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9E715" w14:textId="77777777" w:rsidR="0060531D" w:rsidRDefault="00A3203C" w:rsidP="00A3203C">
      <w:pPr>
        <w:pStyle w:val="BCoversheetHeading1"/>
        <w:rPr>
          <w:noProof/>
        </w:rPr>
      </w:pPr>
      <w:r w:rsidRPr="00A3203C">
        <w:t>APPENDICES</w:t>
      </w:r>
      <w:r>
        <w:fldChar w:fldCharType="begin"/>
      </w:r>
      <w:r>
        <w:instrText xml:space="preserve"> TOC \o "1-2" \h \z \u </w:instrText>
      </w:r>
      <w:r>
        <w:fldChar w:fldCharType="separate"/>
      </w:r>
    </w:p>
    <w:p w14:paraId="0E92E3F4" w14:textId="2B13EBA6" w:rsidR="0060531D" w:rsidRDefault="001C7F37">
      <w:pPr>
        <w:pStyle w:val="TOC2"/>
        <w:tabs>
          <w:tab w:val="right" w:leader="dot" w:pos="9016"/>
        </w:tabs>
        <w:rPr>
          <w:rFonts w:eastAsiaTheme="minorEastAsia"/>
          <w:noProof/>
          <w:lang w:eastAsia="en-AU"/>
        </w:rPr>
      </w:pPr>
      <w:hyperlink w:anchor="_Toc84300596" w:history="1">
        <w:r w:rsidR="0060531D" w:rsidRPr="00C670B2">
          <w:rPr>
            <w:rStyle w:val="Hyperlink"/>
            <w:noProof/>
          </w:rPr>
          <w:t>Appendix A – Budget Consultation</w:t>
        </w:r>
        <w:r w:rsidR="0060531D">
          <w:rPr>
            <w:noProof/>
            <w:webHidden/>
          </w:rPr>
          <w:tab/>
        </w:r>
        <w:r w:rsidR="0060531D">
          <w:rPr>
            <w:noProof/>
            <w:webHidden/>
          </w:rPr>
          <w:fldChar w:fldCharType="begin"/>
        </w:r>
        <w:r w:rsidR="0060531D">
          <w:rPr>
            <w:noProof/>
            <w:webHidden/>
          </w:rPr>
          <w:instrText xml:space="preserve"> PAGEREF _Toc84300596 \h </w:instrText>
        </w:r>
        <w:r w:rsidR="0060531D">
          <w:rPr>
            <w:noProof/>
            <w:webHidden/>
          </w:rPr>
        </w:r>
        <w:r w:rsidR="0060531D">
          <w:rPr>
            <w:noProof/>
            <w:webHidden/>
          </w:rPr>
          <w:fldChar w:fldCharType="separate"/>
        </w:r>
        <w:r w:rsidR="001478F3">
          <w:rPr>
            <w:noProof/>
            <w:webHidden/>
          </w:rPr>
          <w:t>323</w:t>
        </w:r>
        <w:r w:rsidR="0060531D">
          <w:rPr>
            <w:noProof/>
            <w:webHidden/>
          </w:rPr>
          <w:fldChar w:fldCharType="end"/>
        </w:r>
      </w:hyperlink>
    </w:p>
    <w:p w14:paraId="343FBA85" w14:textId="6B0FEE6F" w:rsidR="0060531D" w:rsidRDefault="001C7F37">
      <w:pPr>
        <w:pStyle w:val="TOC2"/>
        <w:tabs>
          <w:tab w:val="right" w:leader="dot" w:pos="9016"/>
        </w:tabs>
        <w:rPr>
          <w:rFonts w:eastAsiaTheme="minorEastAsia"/>
          <w:noProof/>
          <w:lang w:eastAsia="en-AU"/>
        </w:rPr>
      </w:pPr>
      <w:hyperlink w:anchor="_Toc84300597" w:history="1">
        <w:r w:rsidR="0060531D" w:rsidRPr="00C670B2">
          <w:rPr>
            <w:rStyle w:val="Hyperlink"/>
            <w:noProof/>
          </w:rPr>
          <w:t>Appendix B – Better Infrastructure Fund</w:t>
        </w:r>
        <w:r w:rsidR="0060531D">
          <w:rPr>
            <w:noProof/>
            <w:webHidden/>
          </w:rPr>
          <w:tab/>
        </w:r>
        <w:r w:rsidR="0060531D">
          <w:rPr>
            <w:noProof/>
            <w:webHidden/>
          </w:rPr>
          <w:fldChar w:fldCharType="begin"/>
        </w:r>
        <w:r w:rsidR="0060531D">
          <w:rPr>
            <w:noProof/>
            <w:webHidden/>
          </w:rPr>
          <w:instrText xml:space="preserve"> PAGEREF _Toc84300597 \h </w:instrText>
        </w:r>
        <w:r w:rsidR="0060531D">
          <w:rPr>
            <w:noProof/>
            <w:webHidden/>
          </w:rPr>
        </w:r>
        <w:r w:rsidR="0060531D">
          <w:rPr>
            <w:noProof/>
            <w:webHidden/>
          </w:rPr>
          <w:fldChar w:fldCharType="separate"/>
        </w:r>
        <w:r w:rsidR="001478F3">
          <w:rPr>
            <w:noProof/>
            <w:webHidden/>
          </w:rPr>
          <w:t>329</w:t>
        </w:r>
        <w:r w:rsidR="0060531D">
          <w:rPr>
            <w:noProof/>
            <w:webHidden/>
          </w:rPr>
          <w:fldChar w:fldCharType="end"/>
        </w:r>
      </w:hyperlink>
    </w:p>
    <w:p w14:paraId="0BE3409C" w14:textId="3C5D0511" w:rsidR="0060531D" w:rsidRDefault="001C7F37">
      <w:pPr>
        <w:pStyle w:val="TOC2"/>
        <w:tabs>
          <w:tab w:val="right" w:leader="dot" w:pos="9016"/>
        </w:tabs>
        <w:rPr>
          <w:rFonts w:eastAsiaTheme="minorEastAsia"/>
          <w:noProof/>
          <w:lang w:eastAsia="en-AU"/>
        </w:rPr>
      </w:pPr>
      <w:hyperlink w:anchor="_Toc84300598" w:history="1">
        <w:r w:rsidR="0060531D" w:rsidRPr="00C670B2">
          <w:rPr>
            <w:rStyle w:val="Hyperlink"/>
            <w:noProof/>
          </w:rPr>
          <w:t>Appendix C – Infrastructure Investment Program – Works-in-Progress</w:t>
        </w:r>
        <w:r w:rsidR="0060531D">
          <w:rPr>
            <w:noProof/>
            <w:webHidden/>
          </w:rPr>
          <w:tab/>
        </w:r>
        <w:r w:rsidR="0060531D">
          <w:rPr>
            <w:noProof/>
            <w:webHidden/>
          </w:rPr>
          <w:fldChar w:fldCharType="begin"/>
        </w:r>
        <w:r w:rsidR="0060531D">
          <w:rPr>
            <w:noProof/>
            <w:webHidden/>
          </w:rPr>
          <w:instrText xml:space="preserve"> PAGEREF _Toc84300598 \h </w:instrText>
        </w:r>
        <w:r w:rsidR="0060531D">
          <w:rPr>
            <w:noProof/>
            <w:webHidden/>
          </w:rPr>
        </w:r>
        <w:r w:rsidR="0060531D">
          <w:rPr>
            <w:noProof/>
            <w:webHidden/>
          </w:rPr>
          <w:fldChar w:fldCharType="separate"/>
        </w:r>
        <w:r w:rsidR="001478F3">
          <w:rPr>
            <w:noProof/>
            <w:webHidden/>
          </w:rPr>
          <w:t>337</w:t>
        </w:r>
        <w:r w:rsidR="0060531D">
          <w:rPr>
            <w:noProof/>
            <w:webHidden/>
          </w:rPr>
          <w:fldChar w:fldCharType="end"/>
        </w:r>
      </w:hyperlink>
    </w:p>
    <w:p w14:paraId="28324E4E" w14:textId="0615FF89" w:rsidR="0060531D" w:rsidRDefault="001C7F37">
      <w:pPr>
        <w:pStyle w:val="TOC2"/>
        <w:tabs>
          <w:tab w:val="right" w:leader="dot" w:pos="9016"/>
        </w:tabs>
        <w:rPr>
          <w:rFonts w:eastAsiaTheme="minorEastAsia"/>
          <w:noProof/>
          <w:lang w:eastAsia="en-AU"/>
        </w:rPr>
      </w:pPr>
      <w:hyperlink w:anchor="_Toc84300599" w:history="1">
        <w:r w:rsidR="0060531D" w:rsidRPr="00C670B2">
          <w:rPr>
            <w:rStyle w:val="Hyperlink"/>
            <w:noProof/>
          </w:rPr>
          <w:t>Appendix D – Consolidated Financial Statements – Public Trading Enterprises</w:t>
        </w:r>
        <w:r w:rsidR="0060531D">
          <w:rPr>
            <w:noProof/>
            <w:webHidden/>
          </w:rPr>
          <w:tab/>
        </w:r>
        <w:r w:rsidR="0060531D">
          <w:rPr>
            <w:noProof/>
            <w:webHidden/>
          </w:rPr>
          <w:fldChar w:fldCharType="begin"/>
        </w:r>
        <w:r w:rsidR="0060531D">
          <w:rPr>
            <w:noProof/>
            <w:webHidden/>
          </w:rPr>
          <w:instrText xml:space="preserve"> PAGEREF _Toc84300599 \h </w:instrText>
        </w:r>
        <w:r w:rsidR="0060531D">
          <w:rPr>
            <w:noProof/>
            <w:webHidden/>
          </w:rPr>
        </w:r>
        <w:r w:rsidR="0060531D">
          <w:rPr>
            <w:noProof/>
            <w:webHidden/>
          </w:rPr>
          <w:fldChar w:fldCharType="separate"/>
        </w:r>
        <w:r w:rsidR="001478F3">
          <w:rPr>
            <w:noProof/>
            <w:webHidden/>
          </w:rPr>
          <w:t>349</w:t>
        </w:r>
        <w:r w:rsidR="0060531D">
          <w:rPr>
            <w:noProof/>
            <w:webHidden/>
          </w:rPr>
          <w:fldChar w:fldCharType="end"/>
        </w:r>
      </w:hyperlink>
    </w:p>
    <w:p w14:paraId="2CF2D191" w14:textId="27A16905" w:rsidR="0060531D" w:rsidRDefault="001C7F37">
      <w:pPr>
        <w:pStyle w:val="TOC2"/>
        <w:tabs>
          <w:tab w:val="right" w:leader="dot" w:pos="9016"/>
        </w:tabs>
        <w:rPr>
          <w:rFonts w:eastAsiaTheme="minorEastAsia"/>
          <w:noProof/>
          <w:lang w:eastAsia="en-AU"/>
        </w:rPr>
      </w:pPr>
      <w:hyperlink w:anchor="_Toc84300600" w:history="1">
        <w:r w:rsidR="0060531D" w:rsidRPr="00C670B2">
          <w:rPr>
            <w:rStyle w:val="Hyperlink"/>
            <w:noProof/>
          </w:rPr>
          <w:t>Appendix E – Consolidated Financial Statements – Total Territory</w:t>
        </w:r>
        <w:r w:rsidR="0060531D">
          <w:rPr>
            <w:noProof/>
            <w:webHidden/>
          </w:rPr>
          <w:tab/>
        </w:r>
        <w:r w:rsidR="0060531D">
          <w:rPr>
            <w:noProof/>
            <w:webHidden/>
          </w:rPr>
          <w:fldChar w:fldCharType="begin"/>
        </w:r>
        <w:r w:rsidR="0060531D">
          <w:rPr>
            <w:noProof/>
            <w:webHidden/>
          </w:rPr>
          <w:instrText xml:space="preserve"> PAGEREF _Toc84300600 \h </w:instrText>
        </w:r>
        <w:r w:rsidR="0060531D">
          <w:rPr>
            <w:noProof/>
            <w:webHidden/>
          </w:rPr>
        </w:r>
        <w:r w:rsidR="0060531D">
          <w:rPr>
            <w:noProof/>
            <w:webHidden/>
          </w:rPr>
          <w:fldChar w:fldCharType="separate"/>
        </w:r>
        <w:r w:rsidR="001478F3">
          <w:rPr>
            <w:noProof/>
            <w:webHidden/>
          </w:rPr>
          <w:t>356</w:t>
        </w:r>
        <w:r w:rsidR="0060531D">
          <w:rPr>
            <w:noProof/>
            <w:webHidden/>
          </w:rPr>
          <w:fldChar w:fldCharType="end"/>
        </w:r>
      </w:hyperlink>
    </w:p>
    <w:p w14:paraId="7A5E693C" w14:textId="12C527F0" w:rsidR="0060531D" w:rsidRDefault="001C7F37">
      <w:pPr>
        <w:pStyle w:val="TOC2"/>
        <w:tabs>
          <w:tab w:val="right" w:leader="dot" w:pos="9016"/>
        </w:tabs>
        <w:rPr>
          <w:rFonts w:eastAsiaTheme="minorEastAsia"/>
          <w:noProof/>
          <w:lang w:eastAsia="en-AU"/>
        </w:rPr>
      </w:pPr>
      <w:hyperlink w:anchor="_Toc84300601" w:history="1">
        <w:r w:rsidR="0060531D" w:rsidRPr="00C670B2">
          <w:rPr>
            <w:rStyle w:val="Hyperlink"/>
            <w:noProof/>
          </w:rPr>
          <w:t>Appendix F – General Government Sector – Key Aggregates History</w:t>
        </w:r>
        <w:r w:rsidR="0060531D">
          <w:rPr>
            <w:noProof/>
            <w:webHidden/>
          </w:rPr>
          <w:tab/>
        </w:r>
        <w:r w:rsidR="0060531D">
          <w:rPr>
            <w:noProof/>
            <w:webHidden/>
          </w:rPr>
          <w:fldChar w:fldCharType="begin"/>
        </w:r>
        <w:r w:rsidR="0060531D">
          <w:rPr>
            <w:noProof/>
            <w:webHidden/>
          </w:rPr>
          <w:instrText xml:space="preserve"> PAGEREF _Toc84300601 \h </w:instrText>
        </w:r>
        <w:r w:rsidR="0060531D">
          <w:rPr>
            <w:noProof/>
            <w:webHidden/>
          </w:rPr>
        </w:r>
        <w:r w:rsidR="0060531D">
          <w:rPr>
            <w:noProof/>
            <w:webHidden/>
          </w:rPr>
          <w:fldChar w:fldCharType="separate"/>
        </w:r>
        <w:r w:rsidR="001478F3">
          <w:rPr>
            <w:noProof/>
            <w:webHidden/>
          </w:rPr>
          <w:t>365</w:t>
        </w:r>
        <w:r w:rsidR="0060531D">
          <w:rPr>
            <w:noProof/>
            <w:webHidden/>
          </w:rPr>
          <w:fldChar w:fldCharType="end"/>
        </w:r>
      </w:hyperlink>
    </w:p>
    <w:p w14:paraId="12F82088" w14:textId="1C893FAF" w:rsidR="0060531D" w:rsidRDefault="001C7F37">
      <w:pPr>
        <w:pStyle w:val="TOC2"/>
        <w:tabs>
          <w:tab w:val="right" w:leader="dot" w:pos="9016"/>
        </w:tabs>
        <w:rPr>
          <w:rFonts w:eastAsiaTheme="minorEastAsia"/>
          <w:noProof/>
          <w:lang w:eastAsia="en-AU"/>
        </w:rPr>
      </w:pPr>
      <w:hyperlink w:anchor="_Toc84300602" w:history="1">
        <w:r w:rsidR="0060531D" w:rsidRPr="00C670B2">
          <w:rPr>
            <w:rStyle w:val="Hyperlink"/>
            <w:noProof/>
          </w:rPr>
          <w:t>Appendix G – Key Accounting Treatments</w:t>
        </w:r>
        <w:r w:rsidR="0060531D">
          <w:rPr>
            <w:noProof/>
            <w:webHidden/>
          </w:rPr>
          <w:tab/>
        </w:r>
        <w:r w:rsidR="0060531D">
          <w:rPr>
            <w:noProof/>
            <w:webHidden/>
          </w:rPr>
          <w:fldChar w:fldCharType="begin"/>
        </w:r>
        <w:r w:rsidR="0060531D">
          <w:rPr>
            <w:noProof/>
            <w:webHidden/>
          </w:rPr>
          <w:instrText xml:space="preserve"> PAGEREF _Toc84300602 \h </w:instrText>
        </w:r>
        <w:r w:rsidR="0060531D">
          <w:rPr>
            <w:noProof/>
            <w:webHidden/>
          </w:rPr>
        </w:r>
        <w:r w:rsidR="0060531D">
          <w:rPr>
            <w:noProof/>
            <w:webHidden/>
          </w:rPr>
          <w:fldChar w:fldCharType="separate"/>
        </w:r>
        <w:r w:rsidR="001478F3">
          <w:rPr>
            <w:noProof/>
            <w:webHidden/>
          </w:rPr>
          <w:t>369</w:t>
        </w:r>
        <w:r w:rsidR="0060531D">
          <w:rPr>
            <w:noProof/>
            <w:webHidden/>
          </w:rPr>
          <w:fldChar w:fldCharType="end"/>
        </w:r>
      </w:hyperlink>
    </w:p>
    <w:p w14:paraId="5404AD17" w14:textId="005D9E15" w:rsidR="0060531D" w:rsidRDefault="001C7F37">
      <w:pPr>
        <w:pStyle w:val="TOC2"/>
        <w:tabs>
          <w:tab w:val="right" w:leader="dot" w:pos="9016"/>
        </w:tabs>
        <w:rPr>
          <w:rFonts w:eastAsiaTheme="minorEastAsia"/>
          <w:noProof/>
          <w:lang w:eastAsia="en-AU"/>
        </w:rPr>
      </w:pPr>
      <w:hyperlink w:anchor="_Toc84300603" w:history="1">
        <w:r w:rsidR="0060531D" w:rsidRPr="00C670B2">
          <w:rPr>
            <w:rStyle w:val="Hyperlink"/>
            <w:noProof/>
          </w:rPr>
          <w:t>Appendix H – Safer Families</w:t>
        </w:r>
        <w:r w:rsidR="0060531D">
          <w:rPr>
            <w:noProof/>
            <w:webHidden/>
          </w:rPr>
          <w:tab/>
        </w:r>
        <w:r w:rsidR="0060531D">
          <w:rPr>
            <w:noProof/>
            <w:webHidden/>
          </w:rPr>
          <w:fldChar w:fldCharType="begin"/>
        </w:r>
        <w:r w:rsidR="0060531D">
          <w:rPr>
            <w:noProof/>
            <w:webHidden/>
          </w:rPr>
          <w:instrText xml:space="preserve"> PAGEREF _Toc84300603 \h </w:instrText>
        </w:r>
        <w:r w:rsidR="0060531D">
          <w:rPr>
            <w:noProof/>
            <w:webHidden/>
          </w:rPr>
        </w:r>
        <w:r w:rsidR="0060531D">
          <w:rPr>
            <w:noProof/>
            <w:webHidden/>
          </w:rPr>
          <w:fldChar w:fldCharType="separate"/>
        </w:r>
        <w:r w:rsidR="001478F3">
          <w:rPr>
            <w:noProof/>
            <w:webHidden/>
          </w:rPr>
          <w:t>375</w:t>
        </w:r>
        <w:r w:rsidR="0060531D">
          <w:rPr>
            <w:noProof/>
            <w:webHidden/>
          </w:rPr>
          <w:fldChar w:fldCharType="end"/>
        </w:r>
      </w:hyperlink>
    </w:p>
    <w:p w14:paraId="52712139" w14:textId="12720905" w:rsidR="0060531D" w:rsidRDefault="001C7F37">
      <w:pPr>
        <w:pStyle w:val="TOC2"/>
        <w:tabs>
          <w:tab w:val="right" w:leader="dot" w:pos="9016"/>
        </w:tabs>
        <w:rPr>
          <w:rFonts w:eastAsiaTheme="minorEastAsia"/>
          <w:noProof/>
          <w:lang w:eastAsia="en-AU"/>
        </w:rPr>
      </w:pPr>
      <w:hyperlink w:anchor="_Toc84300604" w:history="1">
        <w:r w:rsidR="0060531D" w:rsidRPr="00C670B2">
          <w:rPr>
            <w:rStyle w:val="Hyperlink"/>
            <w:noProof/>
          </w:rPr>
          <w:t>Appendix I – Statement of Risk</w:t>
        </w:r>
        <w:r w:rsidR="0060531D">
          <w:rPr>
            <w:noProof/>
            <w:webHidden/>
          </w:rPr>
          <w:tab/>
        </w:r>
        <w:r w:rsidR="0060531D">
          <w:rPr>
            <w:noProof/>
            <w:webHidden/>
          </w:rPr>
          <w:fldChar w:fldCharType="begin"/>
        </w:r>
        <w:r w:rsidR="0060531D">
          <w:rPr>
            <w:noProof/>
            <w:webHidden/>
          </w:rPr>
          <w:instrText xml:space="preserve"> PAGEREF _Toc84300604 \h </w:instrText>
        </w:r>
        <w:r w:rsidR="0060531D">
          <w:rPr>
            <w:noProof/>
            <w:webHidden/>
          </w:rPr>
        </w:r>
        <w:r w:rsidR="0060531D">
          <w:rPr>
            <w:noProof/>
            <w:webHidden/>
          </w:rPr>
          <w:fldChar w:fldCharType="separate"/>
        </w:r>
        <w:r w:rsidR="001478F3">
          <w:rPr>
            <w:noProof/>
            <w:webHidden/>
          </w:rPr>
          <w:t>385</w:t>
        </w:r>
        <w:r w:rsidR="0060531D">
          <w:rPr>
            <w:noProof/>
            <w:webHidden/>
          </w:rPr>
          <w:fldChar w:fldCharType="end"/>
        </w:r>
      </w:hyperlink>
    </w:p>
    <w:p w14:paraId="591467B0" w14:textId="53D5C8EA" w:rsidR="0060531D" w:rsidRDefault="001C7F37">
      <w:pPr>
        <w:pStyle w:val="TOC2"/>
        <w:tabs>
          <w:tab w:val="right" w:leader="dot" w:pos="9016"/>
        </w:tabs>
        <w:rPr>
          <w:rFonts w:eastAsiaTheme="minorEastAsia"/>
          <w:noProof/>
          <w:lang w:eastAsia="en-AU"/>
        </w:rPr>
      </w:pPr>
      <w:hyperlink w:anchor="_Toc84300605" w:history="1">
        <w:r w:rsidR="0060531D" w:rsidRPr="00C670B2">
          <w:rPr>
            <w:rStyle w:val="Hyperlink"/>
            <w:noProof/>
          </w:rPr>
          <w:t>Appendix J – Statement of Sensitivity</w:t>
        </w:r>
        <w:r w:rsidR="0060531D">
          <w:rPr>
            <w:noProof/>
            <w:webHidden/>
          </w:rPr>
          <w:tab/>
        </w:r>
        <w:r w:rsidR="0060531D">
          <w:rPr>
            <w:noProof/>
            <w:webHidden/>
          </w:rPr>
          <w:fldChar w:fldCharType="begin"/>
        </w:r>
        <w:r w:rsidR="0060531D">
          <w:rPr>
            <w:noProof/>
            <w:webHidden/>
          </w:rPr>
          <w:instrText xml:space="preserve"> PAGEREF _Toc84300605 \h </w:instrText>
        </w:r>
        <w:r w:rsidR="0060531D">
          <w:rPr>
            <w:noProof/>
            <w:webHidden/>
          </w:rPr>
        </w:r>
        <w:r w:rsidR="0060531D">
          <w:rPr>
            <w:noProof/>
            <w:webHidden/>
          </w:rPr>
          <w:fldChar w:fldCharType="separate"/>
        </w:r>
        <w:r w:rsidR="001478F3">
          <w:rPr>
            <w:noProof/>
            <w:webHidden/>
          </w:rPr>
          <w:t>395</w:t>
        </w:r>
        <w:r w:rsidR="0060531D">
          <w:rPr>
            <w:noProof/>
            <w:webHidden/>
          </w:rPr>
          <w:fldChar w:fldCharType="end"/>
        </w:r>
      </w:hyperlink>
    </w:p>
    <w:p w14:paraId="7EDABEEC" w14:textId="78351C1B" w:rsidR="0060531D" w:rsidRDefault="001C7F37">
      <w:pPr>
        <w:pStyle w:val="TOC2"/>
        <w:tabs>
          <w:tab w:val="right" w:leader="dot" w:pos="9016"/>
        </w:tabs>
        <w:rPr>
          <w:rFonts w:eastAsiaTheme="minorEastAsia"/>
          <w:noProof/>
          <w:lang w:eastAsia="en-AU"/>
        </w:rPr>
      </w:pPr>
      <w:hyperlink w:anchor="_Toc84300606" w:history="1">
        <w:r w:rsidR="0060531D" w:rsidRPr="00C670B2">
          <w:rPr>
            <w:rStyle w:val="Hyperlink"/>
            <w:noProof/>
          </w:rPr>
          <w:t>Appendix K – Whole of Government Staffing</w:t>
        </w:r>
        <w:r w:rsidR="0060531D">
          <w:rPr>
            <w:noProof/>
            <w:webHidden/>
          </w:rPr>
          <w:tab/>
        </w:r>
        <w:r w:rsidR="0060531D">
          <w:rPr>
            <w:noProof/>
            <w:webHidden/>
          </w:rPr>
          <w:fldChar w:fldCharType="begin"/>
        </w:r>
        <w:r w:rsidR="0060531D">
          <w:rPr>
            <w:noProof/>
            <w:webHidden/>
          </w:rPr>
          <w:instrText xml:space="preserve"> PAGEREF _Toc84300606 \h </w:instrText>
        </w:r>
        <w:r w:rsidR="0060531D">
          <w:rPr>
            <w:noProof/>
            <w:webHidden/>
          </w:rPr>
        </w:r>
        <w:r w:rsidR="0060531D">
          <w:rPr>
            <w:noProof/>
            <w:webHidden/>
          </w:rPr>
          <w:fldChar w:fldCharType="separate"/>
        </w:r>
        <w:r w:rsidR="001478F3">
          <w:rPr>
            <w:noProof/>
            <w:webHidden/>
          </w:rPr>
          <w:t>401</w:t>
        </w:r>
        <w:r w:rsidR="0060531D">
          <w:rPr>
            <w:noProof/>
            <w:webHidden/>
          </w:rPr>
          <w:fldChar w:fldCharType="end"/>
        </w:r>
      </w:hyperlink>
    </w:p>
    <w:p w14:paraId="3EAA9694" w14:textId="301CD7F8" w:rsidR="00A3203C" w:rsidRDefault="00A3203C" w:rsidP="00A3203C">
      <w:pPr>
        <w:pStyle w:val="BCoversheetHeading1"/>
      </w:pPr>
      <w:r>
        <w:fldChar w:fldCharType="end"/>
      </w:r>
    </w:p>
    <w:p w14:paraId="366B0C1B" w14:textId="77777777" w:rsidR="00A3203C" w:rsidRDefault="00A3203C">
      <w:pPr>
        <w:rPr>
          <w:rFonts w:ascii="Calibri" w:hAnsi="Calibri"/>
          <w:b/>
          <w:sz w:val="36"/>
        </w:rPr>
      </w:pPr>
      <w:r>
        <w:br w:type="page"/>
      </w:r>
    </w:p>
    <w:p w14:paraId="03947E3A" w14:textId="77777777" w:rsidR="00A3203C" w:rsidRDefault="00A3203C">
      <w:pPr>
        <w:sectPr w:rsidR="00A3203C" w:rsidSect="0060531D">
          <w:footerReference w:type="default" r:id="rId8"/>
          <w:pgSz w:w="11906" w:h="16838" w:code="9"/>
          <w:pgMar w:top="1151" w:right="1440" w:bottom="1729" w:left="1440" w:header="720" w:footer="720" w:gutter="0"/>
          <w:pgNumType w:start="319"/>
          <w:cols w:space="708"/>
          <w:docGrid w:linePitch="360"/>
        </w:sectPr>
      </w:pPr>
      <w:r>
        <w:lastRenderedPageBreak/>
        <w:br w:type="page"/>
      </w:r>
    </w:p>
    <w:p w14:paraId="4D3126A1" w14:textId="4945532B" w:rsidR="00A3203C" w:rsidRDefault="00A3203C">
      <w:pPr>
        <w:rPr>
          <w:rFonts w:ascii="Calibri" w:hAnsi="Calibri"/>
          <w:b/>
          <w:sz w:val="36"/>
        </w:rPr>
      </w:pPr>
    </w:p>
    <w:p w14:paraId="00330AAF" w14:textId="77777777" w:rsidR="00A3203C" w:rsidRDefault="00A3203C" w:rsidP="00A3203C">
      <w:pPr>
        <w:jc w:val="center"/>
        <w:rPr>
          <w:b/>
          <w:bCs/>
          <w:sz w:val="32"/>
          <w:szCs w:val="32"/>
        </w:rPr>
      </w:pPr>
    </w:p>
    <w:p w14:paraId="284C0DAF" w14:textId="412D9040" w:rsidR="000F2111" w:rsidRDefault="00A3203C" w:rsidP="00A3203C">
      <w:pPr>
        <w:jc w:val="center"/>
        <w:rPr>
          <w:b/>
          <w:bCs/>
          <w:sz w:val="32"/>
          <w:szCs w:val="32"/>
        </w:rPr>
      </w:pPr>
      <w:r w:rsidRPr="00A3203C">
        <w:rPr>
          <w:b/>
          <w:bCs/>
          <w:sz w:val="32"/>
          <w:szCs w:val="32"/>
        </w:rPr>
        <w:t>APPENDIX A</w:t>
      </w:r>
    </w:p>
    <w:p w14:paraId="0C03B555" w14:textId="055023B9" w:rsidR="00A3203C" w:rsidRDefault="00A3203C" w:rsidP="00A3203C">
      <w:pPr>
        <w:jc w:val="center"/>
        <w:rPr>
          <w:b/>
          <w:bCs/>
          <w:sz w:val="32"/>
          <w:szCs w:val="32"/>
        </w:rPr>
      </w:pPr>
    </w:p>
    <w:p w14:paraId="6E771944" w14:textId="77777777" w:rsidR="00A3203C" w:rsidRPr="00A3203C" w:rsidRDefault="00A3203C" w:rsidP="00A3203C">
      <w:pPr>
        <w:jc w:val="center"/>
        <w:rPr>
          <w:b/>
          <w:bCs/>
          <w:sz w:val="32"/>
          <w:szCs w:val="32"/>
        </w:rPr>
      </w:pPr>
    </w:p>
    <w:p w14:paraId="3B33F626" w14:textId="2E12638B" w:rsidR="00A3203C" w:rsidRPr="00A3203C" w:rsidRDefault="00A3203C" w:rsidP="00A3203C">
      <w:pPr>
        <w:jc w:val="center"/>
        <w:rPr>
          <w:b/>
          <w:bCs/>
          <w:sz w:val="32"/>
          <w:szCs w:val="32"/>
        </w:rPr>
      </w:pPr>
      <w:r w:rsidRPr="00A3203C">
        <w:rPr>
          <w:b/>
          <w:bCs/>
          <w:sz w:val="32"/>
          <w:szCs w:val="32"/>
        </w:rPr>
        <w:t>BUDGET CONSULTATION</w:t>
      </w:r>
    </w:p>
    <w:p w14:paraId="128184F8" w14:textId="77777777" w:rsidR="00A3203C" w:rsidRDefault="00A3203C">
      <w:pPr>
        <w:rPr>
          <w:rFonts w:ascii="Calibri" w:eastAsiaTheme="majorEastAsia" w:hAnsi="Calibri" w:cstheme="majorBidi"/>
          <w:b/>
          <w:caps/>
          <w:kern w:val="28"/>
          <w:sz w:val="36"/>
          <w:szCs w:val="32"/>
        </w:rPr>
      </w:pPr>
      <w:r>
        <w:br w:type="page"/>
      </w:r>
    </w:p>
    <w:p w14:paraId="01762FBF" w14:textId="0DD6E94A" w:rsidR="00A3203C" w:rsidRDefault="00A3203C">
      <w:pPr>
        <w:rPr>
          <w:rFonts w:ascii="Calibri" w:eastAsiaTheme="majorEastAsia" w:hAnsi="Calibri" w:cstheme="majorBidi"/>
          <w:b/>
          <w:caps/>
          <w:kern w:val="28"/>
          <w:sz w:val="36"/>
        </w:rPr>
      </w:pPr>
      <w:r>
        <w:lastRenderedPageBreak/>
        <w:br w:type="page"/>
      </w:r>
    </w:p>
    <w:p w14:paraId="7D26BEEB" w14:textId="77777777" w:rsidR="00A3203C" w:rsidRPr="00930757" w:rsidRDefault="00A3203C" w:rsidP="00A3203C">
      <w:pPr>
        <w:pStyle w:val="Heading2"/>
        <w:numPr>
          <w:ilvl w:val="0"/>
          <w:numId w:val="0"/>
        </w:numPr>
      </w:pPr>
      <w:bookmarkStart w:id="0" w:name="_Toc84300596"/>
      <w:r>
        <w:lastRenderedPageBreak/>
        <w:t>Appendix A – Budget Consultation</w:t>
      </w:r>
      <w:bookmarkEnd w:id="0"/>
      <w:r>
        <w:t xml:space="preserve"> </w:t>
      </w:r>
    </w:p>
    <w:p w14:paraId="52774511" w14:textId="77777777" w:rsidR="00A3203C" w:rsidRDefault="00A3203C" w:rsidP="00A3203C">
      <w:pPr>
        <w:pStyle w:val="Bbodytext"/>
      </w:pPr>
      <w:r>
        <w:t xml:space="preserve">The ACT Government conducts an annual Budget consultation process to seek views and suggestions from community members, businesses and local organisations as to how government service provision can become even more efficient, innovative and deliver more for the Territory. </w:t>
      </w:r>
    </w:p>
    <w:p w14:paraId="44A17537" w14:textId="77777777" w:rsidR="00A3203C" w:rsidRDefault="00A3203C" w:rsidP="00A3203C">
      <w:pPr>
        <w:pStyle w:val="Bbodytext"/>
      </w:pPr>
      <w:r>
        <w:t>As part of our budget planning framework, the Government is committed to engaging the community on these issues and seeking input as to where we can get the best value for the community from the dollars we invest.</w:t>
      </w:r>
    </w:p>
    <w:p w14:paraId="011AA93C" w14:textId="77777777" w:rsidR="00A3203C" w:rsidRPr="00332131" w:rsidRDefault="00A3203C" w:rsidP="00A3203C">
      <w:pPr>
        <w:pStyle w:val="Bbodytext"/>
      </w:pPr>
      <w:r>
        <w:t>The 2021-22 Budget consultation process was launched on 1 April 2021 and continued until 28 June 2021 – noting that responses are collated as they are provided.</w:t>
      </w:r>
    </w:p>
    <w:p w14:paraId="76DB05A3" w14:textId="77777777" w:rsidR="00A3203C" w:rsidRDefault="00A3203C" w:rsidP="00A3203C">
      <w:pPr>
        <w:pStyle w:val="Bbodytext"/>
      </w:pPr>
      <w:r>
        <w:t>As with the 2020-21 consultation process, ACT Government officials held meetings with key community and industry groups in mid to late May to get an insight into the economic and community recovery priorities of these organisations in the context of the COVID-19 public health emergency. Participants provided positive feedback on these sessions, and it is intended that they become a permanent feature of future Budget consultation processes.</w:t>
      </w:r>
    </w:p>
    <w:p w14:paraId="4B7429D0" w14:textId="77777777" w:rsidR="00A3203C" w:rsidRDefault="00A3203C" w:rsidP="00A3203C">
      <w:pPr>
        <w:pStyle w:val="Bbodytext"/>
      </w:pPr>
      <w:r>
        <w:t>Written contributions received as part of the 2021-22 Budget consultation process have been published, except where submissions were provided in confidence. All non</w:t>
      </w:r>
      <w:r>
        <w:noBreakHyphen/>
        <w:t xml:space="preserve">confidential submissions are available through the </w:t>
      </w:r>
      <w:hyperlink r:id="rId9">
        <w:r w:rsidRPr="0B7C8199">
          <w:rPr>
            <w:rStyle w:val="Hyperlink"/>
          </w:rPr>
          <w:t>Budget consultation website</w:t>
        </w:r>
      </w:hyperlink>
      <w:r>
        <w:t>.</w:t>
      </w:r>
    </w:p>
    <w:p w14:paraId="4274EFA6" w14:textId="77777777" w:rsidR="00A3203C" w:rsidRDefault="00A3203C" w:rsidP="00A3203C">
      <w:pPr>
        <w:pStyle w:val="Bbodytext"/>
      </w:pPr>
      <w:r>
        <w:t>One hundred and four submissions were received, as well as 75 responses to the survey, and nine letters of support in relation to received input. This feedback will be summarised in a ‘</w:t>
      </w:r>
      <w:hyperlink r:id="rId10" w:history="1">
        <w:r w:rsidRPr="00FD0AA5">
          <w:rPr>
            <w:rStyle w:val="Hyperlink"/>
          </w:rPr>
          <w:t>What we heard</w:t>
        </w:r>
      </w:hyperlink>
      <w:r>
        <w:t xml:space="preserve">’ report. </w:t>
      </w:r>
      <w:r w:rsidRPr="581D0499">
        <w:rPr>
          <w:lang w:eastAsia="en-AU"/>
        </w:rPr>
        <w:t xml:space="preserve">The submissions and survey responses covered a diverse range of </w:t>
      </w:r>
      <w:r>
        <w:rPr>
          <w:lang w:eastAsia="en-AU"/>
        </w:rPr>
        <w:t>topics,</w:t>
      </w:r>
      <w:r w:rsidRPr="581D0499">
        <w:rPr>
          <w:lang w:eastAsia="en-AU"/>
        </w:rPr>
        <w:t xml:space="preserve"> </w:t>
      </w:r>
      <w:r>
        <w:rPr>
          <w:lang w:eastAsia="en-AU"/>
        </w:rPr>
        <w:t>including</w:t>
      </w:r>
      <w:r w:rsidRPr="581D0499">
        <w:rPr>
          <w:lang w:eastAsia="en-AU"/>
        </w:rPr>
        <w:t xml:space="preserve"> arts and entertainment, community services</w:t>
      </w:r>
      <w:r>
        <w:rPr>
          <w:lang w:eastAsia="en-AU"/>
        </w:rPr>
        <w:t xml:space="preserve"> and housing (including housing affordability and social housing)</w:t>
      </w:r>
      <w:r w:rsidRPr="581D0499">
        <w:rPr>
          <w:lang w:eastAsia="en-AU"/>
        </w:rPr>
        <w:t>, disability</w:t>
      </w:r>
      <w:r>
        <w:rPr>
          <w:lang w:eastAsia="en-AU"/>
        </w:rPr>
        <w:t xml:space="preserve"> services</w:t>
      </w:r>
      <w:r w:rsidRPr="581D0499">
        <w:rPr>
          <w:lang w:eastAsia="en-AU"/>
        </w:rPr>
        <w:t>, education</w:t>
      </w:r>
      <w:r>
        <w:rPr>
          <w:lang w:eastAsia="en-AU"/>
        </w:rPr>
        <w:t xml:space="preserve">, our </w:t>
      </w:r>
      <w:r w:rsidRPr="581D0499">
        <w:rPr>
          <w:lang w:eastAsia="en-AU"/>
        </w:rPr>
        <w:t>environment</w:t>
      </w:r>
      <w:r>
        <w:rPr>
          <w:lang w:eastAsia="en-AU"/>
        </w:rPr>
        <w:t xml:space="preserve"> and the amenity of our city</w:t>
      </w:r>
      <w:r w:rsidRPr="581D0499">
        <w:rPr>
          <w:lang w:eastAsia="en-AU"/>
        </w:rPr>
        <w:t>, health, public infrastructure</w:t>
      </w:r>
      <w:r>
        <w:rPr>
          <w:lang w:eastAsia="en-AU"/>
        </w:rPr>
        <w:t>, roads</w:t>
      </w:r>
      <w:r w:rsidRPr="581D0499">
        <w:rPr>
          <w:lang w:eastAsia="en-AU"/>
        </w:rPr>
        <w:t xml:space="preserve"> and transport</w:t>
      </w:r>
      <w:r>
        <w:rPr>
          <w:lang w:eastAsia="en-AU"/>
        </w:rPr>
        <w:t xml:space="preserve">, </w:t>
      </w:r>
      <w:r w:rsidRPr="581D0499">
        <w:rPr>
          <w:lang w:eastAsia="en-AU"/>
        </w:rPr>
        <w:t>as well as matters relating to the Territory’s finances.</w:t>
      </w:r>
    </w:p>
    <w:p w14:paraId="1B1A7A0A" w14:textId="77777777" w:rsidR="00A3203C" w:rsidRDefault="00A3203C" w:rsidP="00A3203C">
      <w:pPr>
        <w:pStyle w:val="Bbodytext"/>
      </w:pPr>
      <w:r>
        <w:t>The Government would like to thank all individuals, community groups and organisations who contributed to the 2021-22 Budget consultation process and participated in the forums.</w:t>
      </w:r>
    </w:p>
    <w:p w14:paraId="61C89717" w14:textId="77777777" w:rsidR="00A3203C" w:rsidRDefault="00A3203C" w:rsidP="00A3203C">
      <w:pPr>
        <w:pStyle w:val="Bbodytext"/>
      </w:pPr>
      <w:r>
        <w:t>Written submissions were received from the following individuals and organisations during the process (full names were not provided in some instances).</w:t>
      </w:r>
    </w:p>
    <w:p w14:paraId="675935CE" w14:textId="77777777" w:rsidR="00A3203C" w:rsidRPr="007234F7" w:rsidRDefault="00A3203C" w:rsidP="00A3203C">
      <w:pPr>
        <w:spacing w:after="0"/>
        <w:rPr>
          <w:sz w:val="24"/>
          <w:szCs w:val="24"/>
        </w:rPr>
      </w:pPr>
      <w:r w:rsidRPr="007234F7">
        <w:rPr>
          <w:sz w:val="24"/>
          <w:szCs w:val="24"/>
        </w:rPr>
        <w:t>A Gender Agenda</w:t>
      </w:r>
    </w:p>
    <w:p w14:paraId="6472019E" w14:textId="77777777" w:rsidR="00A3203C" w:rsidRPr="007234F7" w:rsidRDefault="00A3203C" w:rsidP="00A3203C">
      <w:pPr>
        <w:spacing w:after="0"/>
        <w:rPr>
          <w:sz w:val="24"/>
          <w:szCs w:val="24"/>
        </w:rPr>
      </w:pPr>
      <w:r w:rsidRPr="007234F7">
        <w:rPr>
          <w:sz w:val="24"/>
          <w:szCs w:val="24"/>
        </w:rPr>
        <w:t>Academy of Interactive Entertainment Ltd.</w:t>
      </w:r>
    </w:p>
    <w:p w14:paraId="04B4E5D1" w14:textId="77777777" w:rsidR="00A3203C" w:rsidRPr="007234F7" w:rsidRDefault="00A3203C" w:rsidP="00A3203C">
      <w:pPr>
        <w:spacing w:after="0"/>
        <w:rPr>
          <w:sz w:val="24"/>
          <w:szCs w:val="24"/>
        </w:rPr>
      </w:pPr>
      <w:r w:rsidRPr="007234F7">
        <w:rPr>
          <w:sz w:val="24"/>
          <w:szCs w:val="24"/>
        </w:rPr>
        <w:t>ACT Council of Parents &amp; Citizens Associations</w:t>
      </w:r>
    </w:p>
    <w:p w14:paraId="2AE1271E" w14:textId="77777777" w:rsidR="00A3203C" w:rsidRPr="007234F7" w:rsidRDefault="00A3203C" w:rsidP="00A3203C">
      <w:pPr>
        <w:spacing w:after="0"/>
        <w:rPr>
          <w:sz w:val="24"/>
          <w:szCs w:val="24"/>
        </w:rPr>
      </w:pPr>
      <w:r w:rsidRPr="007234F7">
        <w:rPr>
          <w:sz w:val="24"/>
          <w:szCs w:val="24"/>
        </w:rPr>
        <w:t>ACT Council of Social Service Inc.</w:t>
      </w:r>
    </w:p>
    <w:p w14:paraId="1AA6797A" w14:textId="77777777" w:rsidR="00A3203C" w:rsidRPr="007234F7" w:rsidRDefault="00A3203C" w:rsidP="00A3203C">
      <w:pPr>
        <w:spacing w:after="0"/>
        <w:rPr>
          <w:sz w:val="24"/>
          <w:szCs w:val="24"/>
        </w:rPr>
      </w:pPr>
      <w:r w:rsidRPr="007234F7">
        <w:rPr>
          <w:sz w:val="24"/>
          <w:szCs w:val="24"/>
        </w:rPr>
        <w:t>ACT Down Syndrome Association</w:t>
      </w:r>
    </w:p>
    <w:p w14:paraId="7F8EED0C" w14:textId="77777777" w:rsidR="00A3203C" w:rsidRPr="007234F7" w:rsidRDefault="00A3203C" w:rsidP="00A3203C">
      <w:pPr>
        <w:spacing w:after="0"/>
        <w:rPr>
          <w:sz w:val="24"/>
          <w:szCs w:val="24"/>
        </w:rPr>
      </w:pPr>
      <w:r w:rsidRPr="007234F7">
        <w:rPr>
          <w:sz w:val="24"/>
          <w:szCs w:val="24"/>
        </w:rPr>
        <w:t>ACT Shelter</w:t>
      </w:r>
    </w:p>
    <w:p w14:paraId="2928DA40" w14:textId="77777777" w:rsidR="00A3203C" w:rsidRPr="007234F7" w:rsidRDefault="00A3203C" w:rsidP="00A3203C">
      <w:pPr>
        <w:spacing w:after="0"/>
        <w:rPr>
          <w:sz w:val="24"/>
          <w:szCs w:val="24"/>
        </w:rPr>
      </w:pPr>
      <w:r w:rsidRPr="007234F7">
        <w:rPr>
          <w:sz w:val="24"/>
          <w:szCs w:val="24"/>
        </w:rPr>
        <w:t>Adam Huttner-Koros</w:t>
      </w:r>
    </w:p>
    <w:p w14:paraId="1F498A84" w14:textId="77777777" w:rsidR="00A3203C" w:rsidRPr="007234F7" w:rsidRDefault="00A3203C" w:rsidP="00A3203C">
      <w:pPr>
        <w:spacing w:after="0"/>
        <w:rPr>
          <w:sz w:val="24"/>
          <w:szCs w:val="24"/>
        </w:rPr>
      </w:pPr>
      <w:r w:rsidRPr="007234F7">
        <w:rPr>
          <w:sz w:val="24"/>
          <w:szCs w:val="24"/>
        </w:rPr>
        <w:t>Alcohol Tobacco and Other Drug Association ACT</w:t>
      </w:r>
    </w:p>
    <w:p w14:paraId="6353A572" w14:textId="77777777" w:rsidR="00A3203C" w:rsidRPr="007234F7" w:rsidRDefault="00A3203C" w:rsidP="00A3203C">
      <w:pPr>
        <w:spacing w:after="0"/>
        <w:rPr>
          <w:sz w:val="24"/>
          <w:szCs w:val="24"/>
        </w:rPr>
      </w:pPr>
      <w:r w:rsidRPr="007234F7">
        <w:rPr>
          <w:sz w:val="24"/>
          <w:szCs w:val="24"/>
        </w:rPr>
        <w:t>Anna Partridge</w:t>
      </w:r>
    </w:p>
    <w:p w14:paraId="1AFEE8CC" w14:textId="77777777" w:rsidR="00A3203C" w:rsidRPr="007234F7" w:rsidRDefault="00A3203C" w:rsidP="00A3203C">
      <w:pPr>
        <w:spacing w:after="0"/>
        <w:rPr>
          <w:sz w:val="24"/>
          <w:szCs w:val="24"/>
        </w:rPr>
      </w:pPr>
      <w:r w:rsidRPr="007234F7">
        <w:rPr>
          <w:sz w:val="24"/>
          <w:szCs w:val="24"/>
        </w:rPr>
        <w:t>Asthma Australia</w:t>
      </w:r>
    </w:p>
    <w:p w14:paraId="4035A08B" w14:textId="77777777" w:rsidR="00A3203C" w:rsidRPr="007234F7" w:rsidRDefault="00A3203C" w:rsidP="00A3203C">
      <w:pPr>
        <w:spacing w:after="0"/>
        <w:rPr>
          <w:sz w:val="24"/>
          <w:szCs w:val="24"/>
        </w:rPr>
      </w:pPr>
      <w:r w:rsidRPr="007234F7">
        <w:rPr>
          <w:sz w:val="24"/>
          <w:szCs w:val="24"/>
        </w:rPr>
        <w:t>Auscycling</w:t>
      </w:r>
    </w:p>
    <w:p w14:paraId="645CC471" w14:textId="77777777" w:rsidR="00A3203C" w:rsidRPr="007234F7" w:rsidRDefault="00A3203C" w:rsidP="00A3203C">
      <w:pPr>
        <w:spacing w:after="0"/>
        <w:rPr>
          <w:sz w:val="24"/>
          <w:szCs w:val="24"/>
        </w:rPr>
      </w:pPr>
      <w:r w:rsidRPr="007234F7">
        <w:rPr>
          <w:sz w:val="24"/>
          <w:szCs w:val="24"/>
        </w:rPr>
        <w:t>Australian Association of Social Workers</w:t>
      </w:r>
    </w:p>
    <w:p w14:paraId="55E91BFC" w14:textId="77777777" w:rsidR="00A3203C" w:rsidRPr="007234F7" w:rsidRDefault="00A3203C" w:rsidP="00A3203C">
      <w:pPr>
        <w:spacing w:after="0"/>
        <w:rPr>
          <w:sz w:val="24"/>
          <w:szCs w:val="24"/>
        </w:rPr>
      </w:pPr>
      <w:r w:rsidRPr="007234F7">
        <w:rPr>
          <w:sz w:val="24"/>
          <w:szCs w:val="24"/>
        </w:rPr>
        <w:lastRenderedPageBreak/>
        <w:t>Australian Education Union - ACT Branch</w:t>
      </w:r>
    </w:p>
    <w:p w14:paraId="6AE372D4" w14:textId="77777777" w:rsidR="00A3203C" w:rsidRDefault="00A3203C" w:rsidP="00A3203C">
      <w:pPr>
        <w:spacing w:after="0"/>
        <w:rPr>
          <w:sz w:val="24"/>
          <w:szCs w:val="24"/>
        </w:rPr>
      </w:pPr>
      <w:r>
        <w:rPr>
          <w:sz w:val="24"/>
          <w:szCs w:val="24"/>
        </w:rPr>
        <w:t>Australian Federation of AIDS Organisations (support letter)</w:t>
      </w:r>
    </w:p>
    <w:p w14:paraId="32B91884" w14:textId="77777777" w:rsidR="00A3203C" w:rsidRPr="007234F7" w:rsidRDefault="00A3203C" w:rsidP="00A3203C">
      <w:pPr>
        <w:spacing w:after="0"/>
        <w:rPr>
          <w:sz w:val="24"/>
          <w:szCs w:val="24"/>
        </w:rPr>
      </w:pPr>
      <w:r w:rsidRPr="007234F7">
        <w:rPr>
          <w:sz w:val="24"/>
          <w:szCs w:val="24"/>
        </w:rPr>
        <w:t xml:space="preserve">Baringa </w:t>
      </w:r>
      <w:r>
        <w:rPr>
          <w:sz w:val="24"/>
          <w:szCs w:val="24"/>
        </w:rPr>
        <w:t>E</w:t>
      </w:r>
      <w:r w:rsidRPr="007234F7">
        <w:rPr>
          <w:sz w:val="24"/>
          <w:szCs w:val="24"/>
        </w:rPr>
        <w:t>arly Learning Centre</w:t>
      </w:r>
    </w:p>
    <w:p w14:paraId="01EE5035" w14:textId="77777777" w:rsidR="00A3203C" w:rsidRPr="007234F7" w:rsidRDefault="00A3203C" w:rsidP="00A3203C">
      <w:pPr>
        <w:spacing w:after="0"/>
        <w:rPr>
          <w:sz w:val="24"/>
          <w:szCs w:val="24"/>
        </w:rPr>
      </w:pPr>
      <w:r w:rsidRPr="007234F7">
        <w:rPr>
          <w:sz w:val="24"/>
          <w:szCs w:val="24"/>
        </w:rPr>
        <w:t>Belconnen Community Council</w:t>
      </w:r>
    </w:p>
    <w:p w14:paraId="2E87A2F9" w14:textId="77777777" w:rsidR="00A3203C" w:rsidRPr="007234F7" w:rsidRDefault="00A3203C" w:rsidP="00A3203C">
      <w:pPr>
        <w:spacing w:after="0"/>
        <w:rPr>
          <w:sz w:val="24"/>
          <w:szCs w:val="24"/>
        </w:rPr>
      </w:pPr>
      <w:r w:rsidRPr="007234F7">
        <w:rPr>
          <w:sz w:val="24"/>
          <w:szCs w:val="24"/>
        </w:rPr>
        <w:t>Bronwyn Davis</w:t>
      </w:r>
    </w:p>
    <w:p w14:paraId="2483FA43" w14:textId="77777777" w:rsidR="00A3203C" w:rsidRPr="007234F7" w:rsidRDefault="00A3203C" w:rsidP="00A3203C">
      <w:pPr>
        <w:spacing w:after="0"/>
        <w:rPr>
          <w:sz w:val="24"/>
          <w:szCs w:val="24"/>
        </w:rPr>
      </w:pPr>
      <w:r w:rsidRPr="007234F7">
        <w:rPr>
          <w:sz w:val="24"/>
          <w:szCs w:val="24"/>
        </w:rPr>
        <w:t>Bruce Paine</w:t>
      </w:r>
    </w:p>
    <w:p w14:paraId="7624919C" w14:textId="77777777" w:rsidR="00A3203C" w:rsidRPr="007234F7" w:rsidRDefault="00A3203C" w:rsidP="00A3203C">
      <w:pPr>
        <w:spacing w:after="0"/>
        <w:rPr>
          <w:sz w:val="24"/>
          <w:szCs w:val="24"/>
        </w:rPr>
      </w:pPr>
      <w:r w:rsidRPr="007234F7">
        <w:rPr>
          <w:sz w:val="24"/>
          <w:szCs w:val="24"/>
        </w:rPr>
        <w:t>Canberra Academy of Languages</w:t>
      </w:r>
    </w:p>
    <w:p w14:paraId="73F3137E" w14:textId="77777777" w:rsidR="00A3203C" w:rsidRPr="007234F7" w:rsidRDefault="00A3203C" w:rsidP="00A3203C">
      <w:pPr>
        <w:spacing w:after="0"/>
        <w:rPr>
          <w:sz w:val="24"/>
          <w:szCs w:val="24"/>
        </w:rPr>
      </w:pPr>
      <w:r w:rsidRPr="007234F7">
        <w:rPr>
          <w:sz w:val="24"/>
          <w:szCs w:val="24"/>
        </w:rPr>
        <w:t>Canberra Business Chamber</w:t>
      </w:r>
    </w:p>
    <w:p w14:paraId="4F3FB27F" w14:textId="77777777" w:rsidR="00A3203C" w:rsidRPr="007234F7" w:rsidRDefault="00A3203C" w:rsidP="00A3203C">
      <w:pPr>
        <w:spacing w:after="0"/>
        <w:rPr>
          <w:sz w:val="24"/>
          <w:szCs w:val="24"/>
        </w:rPr>
      </w:pPr>
      <w:r w:rsidRPr="007234F7">
        <w:rPr>
          <w:sz w:val="24"/>
          <w:szCs w:val="24"/>
        </w:rPr>
        <w:t>Canberra Community Law</w:t>
      </w:r>
    </w:p>
    <w:p w14:paraId="59AF975D" w14:textId="77777777" w:rsidR="00A3203C" w:rsidRPr="007234F7" w:rsidRDefault="00A3203C" w:rsidP="00A3203C">
      <w:pPr>
        <w:spacing w:after="0"/>
        <w:rPr>
          <w:sz w:val="24"/>
          <w:szCs w:val="24"/>
        </w:rPr>
      </w:pPr>
      <w:r w:rsidRPr="007234F7">
        <w:rPr>
          <w:sz w:val="24"/>
          <w:szCs w:val="24"/>
        </w:rPr>
        <w:t>Canberra Rape Crisis Centre</w:t>
      </w:r>
    </w:p>
    <w:p w14:paraId="404EB3D6" w14:textId="77777777" w:rsidR="00A3203C" w:rsidRPr="007234F7" w:rsidRDefault="00A3203C" w:rsidP="00A3203C">
      <w:pPr>
        <w:spacing w:after="0"/>
        <w:rPr>
          <w:sz w:val="24"/>
          <w:szCs w:val="24"/>
        </w:rPr>
      </w:pPr>
      <w:r w:rsidRPr="007234F7">
        <w:rPr>
          <w:sz w:val="24"/>
          <w:szCs w:val="24"/>
        </w:rPr>
        <w:t xml:space="preserve">Canberra Relief Advisory Committee </w:t>
      </w:r>
    </w:p>
    <w:p w14:paraId="2655E58C" w14:textId="77777777" w:rsidR="00A3203C" w:rsidRDefault="00A3203C" w:rsidP="00A3203C">
      <w:pPr>
        <w:spacing w:after="0"/>
        <w:rPr>
          <w:sz w:val="24"/>
          <w:szCs w:val="24"/>
        </w:rPr>
      </w:pPr>
      <w:r w:rsidRPr="007234F7">
        <w:rPr>
          <w:sz w:val="24"/>
          <w:szCs w:val="24"/>
        </w:rPr>
        <w:t>Canberra Restorative Community Network</w:t>
      </w:r>
    </w:p>
    <w:p w14:paraId="4853E64E" w14:textId="77777777" w:rsidR="00A3203C" w:rsidRPr="007234F7" w:rsidRDefault="00A3203C" w:rsidP="00A3203C">
      <w:pPr>
        <w:spacing w:after="0"/>
        <w:rPr>
          <w:sz w:val="24"/>
          <w:szCs w:val="24"/>
        </w:rPr>
      </w:pPr>
      <w:r w:rsidRPr="007234F7">
        <w:rPr>
          <w:sz w:val="24"/>
          <w:szCs w:val="24"/>
        </w:rPr>
        <w:t>Capital Scraps Composting</w:t>
      </w:r>
    </w:p>
    <w:p w14:paraId="55B70BE3" w14:textId="77777777" w:rsidR="00A3203C" w:rsidRPr="007234F7" w:rsidRDefault="00A3203C" w:rsidP="00A3203C">
      <w:pPr>
        <w:spacing w:after="0"/>
        <w:rPr>
          <w:sz w:val="24"/>
          <w:szCs w:val="24"/>
        </w:rPr>
      </w:pPr>
      <w:r w:rsidRPr="007234F7">
        <w:rPr>
          <w:sz w:val="24"/>
          <w:szCs w:val="24"/>
        </w:rPr>
        <w:t>Care Inc.</w:t>
      </w:r>
    </w:p>
    <w:p w14:paraId="6A4FDD3A" w14:textId="77777777" w:rsidR="00A3203C" w:rsidRDefault="00A3203C" w:rsidP="00A3203C">
      <w:pPr>
        <w:spacing w:after="0"/>
        <w:rPr>
          <w:sz w:val="24"/>
          <w:szCs w:val="24"/>
        </w:rPr>
      </w:pPr>
      <w:r w:rsidRPr="007234F7">
        <w:rPr>
          <w:sz w:val="24"/>
          <w:szCs w:val="24"/>
        </w:rPr>
        <w:t>Carers ACT</w:t>
      </w:r>
    </w:p>
    <w:p w14:paraId="14E6EB24" w14:textId="77777777" w:rsidR="00A3203C" w:rsidRPr="007234F7" w:rsidRDefault="00A3203C" w:rsidP="00A3203C">
      <w:pPr>
        <w:spacing w:after="0"/>
        <w:rPr>
          <w:sz w:val="24"/>
          <w:szCs w:val="24"/>
        </w:rPr>
      </w:pPr>
      <w:r w:rsidRPr="007234F7">
        <w:rPr>
          <w:sz w:val="24"/>
          <w:szCs w:val="24"/>
        </w:rPr>
        <w:t xml:space="preserve">CatholicCare Canberra &amp; Goulburn </w:t>
      </w:r>
    </w:p>
    <w:p w14:paraId="79D77B39" w14:textId="77777777" w:rsidR="00A3203C" w:rsidRPr="007234F7" w:rsidRDefault="00A3203C" w:rsidP="00A3203C">
      <w:pPr>
        <w:spacing w:after="0"/>
        <w:rPr>
          <w:sz w:val="24"/>
          <w:szCs w:val="24"/>
        </w:rPr>
      </w:pPr>
      <w:r w:rsidRPr="007234F7">
        <w:rPr>
          <w:sz w:val="24"/>
          <w:szCs w:val="24"/>
        </w:rPr>
        <w:t>The Childers Group</w:t>
      </w:r>
    </w:p>
    <w:p w14:paraId="5A9F2DEB" w14:textId="77777777" w:rsidR="00A3203C" w:rsidRPr="007234F7" w:rsidRDefault="00A3203C" w:rsidP="00A3203C">
      <w:pPr>
        <w:spacing w:after="0"/>
        <w:rPr>
          <w:sz w:val="24"/>
          <w:szCs w:val="24"/>
        </w:rPr>
      </w:pPr>
      <w:r w:rsidRPr="007234F7">
        <w:rPr>
          <w:sz w:val="24"/>
          <w:szCs w:val="24"/>
        </w:rPr>
        <w:t>Children First Alliance</w:t>
      </w:r>
    </w:p>
    <w:p w14:paraId="27B18616" w14:textId="77777777" w:rsidR="00A3203C" w:rsidRPr="007234F7" w:rsidRDefault="00A3203C" w:rsidP="00A3203C">
      <w:pPr>
        <w:spacing w:after="0"/>
        <w:rPr>
          <w:sz w:val="24"/>
          <w:szCs w:val="24"/>
        </w:rPr>
      </w:pPr>
      <w:r w:rsidRPr="007234F7">
        <w:rPr>
          <w:sz w:val="24"/>
          <w:szCs w:val="24"/>
        </w:rPr>
        <w:t>Christine Gingell</w:t>
      </w:r>
    </w:p>
    <w:p w14:paraId="6071BB2E" w14:textId="77777777" w:rsidR="00A3203C" w:rsidRPr="007234F7" w:rsidRDefault="00A3203C" w:rsidP="00A3203C">
      <w:pPr>
        <w:spacing w:after="0"/>
        <w:rPr>
          <w:sz w:val="24"/>
          <w:szCs w:val="24"/>
        </w:rPr>
      </w:pPr>
      <w:r w:rsidRPr="007234F7">
        <w:rPr>
          <w:sz w:val="24"/>
          <w:szCs w:val="24"/>
        </w:rPr>
        <w:t>Claudio Gomes</w:t>
      </w:r>
    </w:p>
    <w:p w14:paraId="0626AE9A" w14:textId="77777777" w:rsidR="00A3203C" w:rsidRDefault="00A3203C" w:rsidP="00A3203C">
      <w:pPr>
        <w:spacing w:after="0"/>
        <w:rPr>
          <w:sz w:val="24"/>
          <w:szCs w:val="24"/>
        </w:rPr>
      </w:pPr>
      <w:r w:rsidRPr="007234F7">
        <w:rPr>
          <w:sz w:val="24"/>
          <w:szCs w:val="24"/>
        </w:rPr>
        <w:t>Cleo Fleming</w:t>
      </w:r>
    </w:p>
    <w:p w14:paraId="15050A16" w14:textId="77777777" w:rsidR="00A3203C" w:rsidRPr="007234F7" w:rsidRDefault="00A3203C" w:rsidP="00A3203C">
      <w:pPr>
        <w:spacing w:after="0"/>
        <w:rPr>
          <w:sz w:val="24"/>
          <w:szCs w:val="24"/>
        </w:rPr>
      </w:pPr>
      <w:r w:rsidRPr="007234F7">
        <w:rPr>
          <w:sz w:val="24"/>
          <w:szCs w:val="24"/>
        </w:rPr>
        <w:t>The Climate Factory</w:t>
      </w:r>
    </w:p>
    <w:p w14:paraId="7D60B40C" w14:textId="77777777" w:rsidR="00A3203C" w:rsidRPr="007234F7" w:rsidRDefault="00A3203C" w:rsidP="00A3203C">
      <w:pPr>
        <w:spacing w:after="0"/>
        <w:rPr>
          <w:sz w:val="24"/>
          <w:szCs w:val="24"/>
        </w:rPr>
      </w:pPr>
      <w:r w:rsidRPr="007234F7">
        <w:rPr>
          <w:sz w:val="24"/>
          <w:szCs w:val="24"/>
        </w:rPr>
        <w:t>Colin Campbell</w:t>
      </w:r>
    </w:p>
    <w:p w14:paraId="01E82A32" w14:textId="77777777" w:rsidR="00A3203C" w:rsidRPr="007234F7" w:rsidRDefault="00A3203C" w:rsidP="00A3203C">
      <w:pPr>
        <w:spacing w:after="0"/>
        <w:rPr>
          <w:sz w:val="24"/>
          <w:szCs w:val="24"/>
        </w:rPr>
      </w:pPr>
      <w:r w:rsidRPr="007234F7">
        <w:rPr>
          <w:sz w:val="24"/>
          <w:szCs w:val="24"/>
        </w:rPr>
        <w:t>Community and Public Sector Union</w:t>
      </w:r>
    </w:p>
    <w:p w14:paraId="42A78121" w14:textId="77777777" w:rsidR="00A3203C" w:rsidRPr="007234F7" w:rsidRDefault="00A3203C" w:rsidP="00A3203C">
      <w:pPr>
        <w:spacing w:after="0"/>
        <w:rPr>
          <w:sz w:val="24"/>
          <w:szCs w:val="24"/>
        </w:rPr>
      </w:pPr>
      <w:r w:rsidRPr="007234F7">
        <w:rPr>
          <w:sz w:val="24"/>
          <w:szCs w:val="24"/>
        </w:rPr>
        <w:t>Community Housing Industry Association</w:t>
      </w:r>
    </w:p>
    <w:p w14:paraId="2F1194FA" w14:textId="77777777" w:rsidR="00A3203C" w:rsidRPr="007234F7" w:rsidRDefault="00A3203C" w:rsidP="00A3203C">
      <w:pPr>
        <w:spacing w:after="0"/>
        <w:rPr>
          <w:sz w:val="24"/>
          <w:szCs w:val="24"/>
        </w:rPr>
      </w:pPr>
      <w:r w:rsidRPr="007234F7">
        <w:rPr>
          <w:sz w:val="24"/>
          <w:szCs w:val="24"/>
        </w:rPr>
        <w:t>Conflict Resolution Service</w:t>
      </w:r>
    </w:p>
    <w:p w14:paraId="508CF7F6" w14:textId="77777777" w:rsidR="00A3203C" w:rsidRPr="007234F7" w:rsidRDefault="00A3203C" w:rsidP="00A3203C">
      <w:pPr>
        <w:spacing w:after="0"/>
        <w:rPr>
          <w:sz w:val="24"/>
          <w:szCs w:val="24"/>
        </w:rPr>
      </w:pPr>
      <w:r w:rsidRPr="007234F7">
        <w:rPr>
          <w:sz w:val="24"/>
          <w:szCs w:val="24"/>
        </w:rPr>
        <w:t>Conservation Council ACT</w:t>
      </w:r>
    </w:p>
    <w:p w14:paraId="4B117A99" w14:textId="77777777" w:rsidR="00A3203C" w:rsidRPr="007234F7" w:rsidRDefault="00A3203C" w:rsidP="00A3203C">
      <w:pPr>
        <w:spacing w:after="0"/>
        <w:rPr>
          <w:sz w:val="24"/>
          <w:szCs w:val="24"/>
        </w:rPr>
      </w:pPr>
      <w:r w:rsidRPr="007234F7">
        <w:rPr>
          <w:sz w:val="24"/>
          <w:szCs w:val="24"/>
        </w:rPr>
        <w:t>Coronial Reform Group</w:t>
      </w:r>
    </w:p>
    <w:p w14:paraId="78991E70" w14:textId="77777777" w:rsidR="00A3203C" w:rsidRPr="007234F7" w:rsidRDefault="00A3203C" w:rsidP="00A3203C">
      <w:pPr>
        <w:spacing w:after="0"/>
        <w:rPr>
          <w:sz w:val="24"/>
          <w:szCs w:val="24"/>
        </w:rPr>
      </w:pPr>
      <w:r w:rsidRPr="007234F7">
        <w:rPr>
          <w:sz w:val="24"/>
          <w:szCs w:val="24"/>
        </w:rPr>
        <w:t>Council on the Ageing ACT</w:t>
      </w:r>
    </w:p>
    <w:p w14:paraId="2531AD3E" w14:textId="77777777" w:rsidR="00A3203C" w:rsidRPr="007234F7" w:rsidRDefault="00A3203C" w:rsidP="00A3203C">
      <w:pPr>
        <w:spacing w:after="0"/>
        <w:rPr>
          <w:sz w:val="24"/>
          <w:szCs w:val="24"/>
        </w:rPr>
      </w:pPr>
      <w:r w:rsidRPr="007234F7">
        <w:rPr>
          <w:sz w:val="24"/>
          <w:szCs w:val="24"/>
        </w:rPr>
        <w:t>David Denham</w:t>
      </w:r>
    </w:p>
    <w:p w14:paraId="7DCFF56B" w14:textId="77777777" w:rsidR="00A3203C" w:rsidRPr="007234F7" w:rsidRDefault="00A3203C" w:rsidP="00A3203C">
      <w:pPr>
        <w:spacing w:after="0"/>
        <w:rPr>
          <w:sz w:val="24"/>
          <w:szCs w:val="24"/>
        </w:rPr>
      </w:pPr>
      <w:r w:rsidRPr="007234F7">
        <w:rPr>
          <w:sz w:val="24"/>
          <w:szCs w:val="24"/>
        </w:rPr>
        <w:t>David McKeown</w:t>
      </w:r>
    </w:p>
    <w:p w14:paraId="2E06F82B" w14:textId="77777777" w:rsidR="00A3203C" w:rsidRPr="007234F7" w:rsidRDefault="00A3203C" w:rsidP="00A3203C">
      <w:pPr>
        <w:spacing w:after="0"/>
        <w:rPr>
          <w:sz w:val="24"/>
          <w:szCs w:val="24"/>
        </w:rPr>
      </w:pPr>
      <w:r w:rsidRPr="007234F7">
        <w:rPr>
          <w:sz w:val="24"/>
          <w:szCs w:val="24"/>
        </w:rPr>
        <w:t>Dementia Australia</w:t>
      </w:r>
    </w:p>
    <w:p w14:paraId="5C6B4B7B" w14:textId="77777777" w:rsidR="00A3203C" w:rsidRPr="007234F7" w:rsidRDefault="00A3203C" w:rsidP="00A3203C">
      <w:pPr>
        <w:spacing w:after="0"/>
        <w:rPr>
          <w:sz w:val="24"/>
          <w:szCs w:val="24"/>
        </w:rPr>
      </w:pPr>
      <w:r w:rsidRPr="007234F7">
        <w:rPr>
          <w:sz w:val="24"/>
          <w:szCs w:val="24"/>
        </w:rPr>
        <w:t>Diane Hodge</w:t>
      </w:r>
    </w:p>
    <w:p w14:paraId="1B3BA0ED" w14:textId="77777777" w:rsidR="00A3203C" w:rsidRPr="007234F7" w:rsidRDefault="00A3203C" w:rsidP="00A3203C">
      <w:pPr>
        <w:spacing w:after="0"/>
        <w:rPr>
          <w:sz w:val="24"/>
          <w:szCs w:val="24"/>
        </w:rPr>
      </w:pPr>
      <w:r w:rsidRPr="007234F7">
        <w:rPr>
          <w:sz w:val="24"/>
          <w:szCs w:val="24"/>
        </w:rPr>
        <w:t>Directions Health Services</w:t>
      </w:r>
    </w:p>
    <w:p w14:paraId="59996582" w14:textId="77777777" w:rsidR="00A3203C" w:rsidRPr="007234F7" w:rsidRDefault="00A3203C" w:rsidP="00A3203C">
      <w:pPr>
        <w:spacing w:after="0"/>
        <w:rPr>
          <w:sz w:val="24"/>
          <w:szCs w:val="24"/>
        </w:rPr>
      </w:pPr>
      <w:r w:rsidRPr="007234F7">
        <w:rPr>
          <w:sz w:val="24"/>
          <w:szCs w:val="24"/>
        </w:rPr>
        <w:t>Dreamtime Connections</w:t>
      </w:r>
      <w:r>
        <w:rPr>
          <w:sz w:val="24"/>
          <w:szCs w:val="24"/>
        </w:rPr>
        <w:t xml:space="preserve"> (support letter)</w:t>
      </w:r>
    </w:p>
    <w:p w14:paraId="6CD81C04" w14:textId="77777777" w:rsidR="00A3203C" w:rsidRPr="007234F7" w:rsidRDefault="00A3203C" w:rsidP="00A3203C">
      <w:pPr>
        <w:spacing w:after="0"/>
        <w:rPr>
          <w:sz w:val="24"/>
          <w:szCs w:val="24"/>
        </w:rPr>
      </w:pPr>
      <w:r w:rsidRPr="007234F7">
        <w:rPr>
          <w:sz w:val="24"/>
          <w:szCs w:val="24"/>
        </w:rPr>
        <w:t>Epilepsy ACT</w:t>
      </w:r>
    </w:p>
    <w:p w14:paraId="39B7C5F5" w14:textId="77777777" w:rsidR="00A3203C" w:rsidRPr="007234F7" w:rsidRDefault="00A3203C" w:rsidP="00A3203C">
      <w:pPr>
        <w:spacing w:after="0"/>
        <w:rPr>
          <w:sz w:val="24"/>
          <w:szCs w:val="24"/>
        </w:rPr>
      </w:pPr>
      <w:r w:rsidRPr="007234F7">
        <w:rPr>
          <w:sz w:val="24"/>
          <w:szCs w:val="24"/>
        </w:rPr>
        <w:t>Extinction Rebellion ACT (Politics Working Group)</w:t>
      </w:r>
    </w:p>
    <w:p w14:paraId="5A320F42" w14:textId="77777777" w:rsidR="00A3203C" w:rsidRPr="007234F7" w:rsidRDefault="00A3203C" w:rsidP="00A3203C">
      <w:pPr>
        <w:spacing w:after="0"/>
        <w:rPr>
          <w:sz w:val="24"/>
          <w:szCs w:val="24"/>
        </w:rPr>
      </w:pPr>
      <w:r w:rsidRPr="007234F7">
        <w:rPr>
          <w:sz w:val="24"/>
          <w:szCs w:val="24"/>
        </w:rPr>
        <w:t>Fiona Skelton</w:t>
      </w:r>
    </w:p>
    <w:p w14:paraId="4D804D37" w14:textId="77777777" w:rsidR="00A3203C" w:rsidRPr="007234F7" w:rsidRDefault="00A3203C" w:rsidP="00A3203C">
      <w:pPr>
        <w:spacing w:after="0"/>
        <w:rPr>
          <w:sz w:val="24"/>
          <w:szCs w:val="24"/>
        </w:rPr>
      </w:pPr>
      <w:r w:rsidRPr="007234F7">
        <w:rPr>
          <w:sz w:val="24"/>
          <w:szCs w:val="24"/>
        </w:rPr>
        <w:t>Forcibly Displaced People Network </w:t>
      </w:r>
    </w:p>
    <w:p w14:paraId="4E1F0295" w14:textId="77777777" w:rsidR="00A3203C" w:rsidRPr="007234F7" w:rsidRDefault="00A3203C" w:rsidP="00A3203C">
      <w:pPr>
        <w:spacing w:after="0"/>
        <w:rPr>
          <w:sz w:val="24"/>
          <w:szCs w:val="24"/>
        </w:rPr>
      </w:pPr>
      <w:r w:rsidRPr="007234F7">
        <w:rPr>
          <w:sz w:val="24"/>
          <w:szCs w:val="24"/>
        </w:rPr>
        <w:t>Friends of Grasslands</w:t>
      </w:r>
    </w:p>
    <w:p w14:paraId="16B2F289" w14:textId="77777777" w:rsidR="00A3203C" w:rsidRPr="007234F7" w:rsidRDefault="00A3203C" w:rsidP="00A3203C">
      <w:pPr>
        <w:spacing w:after="0"/>
        <w:rPr>
          <w:sz w:val="24"/>
          <w:szCs w:val="24"/>
        </w:rPr>
      </w:pPr>
      <w:r w:rsidRPr="007234F7">
        <w:rPr>
          <w:sz w:val="24"/>
          <w:szCs w:val="24"/>
        </w:rPr>
        <w:t>Game Plus</w:t>
      </w:r>
    </w:p>
    <w:p w14:paraId="6A0F3487" w14:textId="77777777" w:rsidR="00A3203C" w:rsidRPr="007234F7" w:rsidRDefault="00A3203C" w:rsidP="00A3203C">
      <w:pPr>
        <w:spacing w:after="0"/>
        <w:rPr>
          <w:sz w:val="24"/>
          <w:szCs w:val="24"/>
        </w:rPr>
      </w:pPr>
      <w:r w:rsidRPr="007234F7">
        <w:rPr>
          <w:sz w:val="24"/>
          <w:szCs w:val="24"/>
        </w:rPr>
        <w:t>Grant Battersby</w:t>
      </w:r>
    </w:p>
    <w:p w14:paraId="645F192D" w14:textId="77777777" w:rsidR="00A3203C" w:rsidRPr="007234F7" w:rsidRDefault="00A3203C" w:rsidP="00A3203C">
      <w:pPr>
        <w:spacing w:after="0"/>
        <w:rPr>
          <w:sz w:val="24"/>
          <w:szCs w:val="24"/>
        </w:rPr>
      </w:pPr>
      <w:r w:rsidRPr="007234F7">
        <w:rPr>
          <w:sz w:val="24"/>
          <w:szCs w:val="24"/>
        </w:rPr>
        <w:t>Greening Australia</w:t>
      </w:r>
    </w:p>
    <w:p w14:paraId="2F55B009" w14:textId="77777777" w:rsidR="00A3203C" w:rsidRPr="007234F7" w:rsidRDefault="00A3203C" w:rsidP="00A3203C">
      <w:pPr>
        <w:spacing w:after="0"/>
        <w:rPr>
          <w:sz w:val="24"/>
          <w:szCs w:val="24"/>
        </w:rPr>
      </w:pPr>
      <w:r w:rsidRPr="007234F7">
        <w:rPr>
          <w:sz w:val="24"/>
          <w:szCs w:val="24"/>
        </w:rPr>
        <w:t>Gungahlin Community Council</w:t>
      </w:r>
    </w:p>
    <w:p w14:paraId="054F1733" w14:textId="77777777" w:rsidR="00A3203C" w:rsidRPr="007234F7" w:rsidRDefault="00A3203C" w:rsidP="00A3203C">
      <w:pPr>
        <w:spacing w:after="0"/>
        <w:rPr>
          <w:sz w:val="24"/>
          <w:szCs w:val="24"/>
        </w:rPr>
      </w:pPr>
      <w:r w:rsidRPr="007234F7">
        <w:rPr>
          <w:sz w:val="24"/>
          <w:szCs w:val="24"/>
        </w:rPr>
        <w:lastRenderedPageBreak/>
        <w:t>Hackett Community Association</w:t>
      </w:r>
    </w:p>
    <w:p w14:paraId="4639AF68" w14:textId="77777777" w:rsidR="00A3203C" w:rsidRPr="007234F7" w:rsidRDefault="00A3203C" w:rsidP="00A3203C">
      <w:pPr>
        <w:spacing w:after="0"/>
        <w:rPr>
          <w:sz w:val="24"/>
          <w:szCs w:val="24"/>
        </w:rPr>
      </w:pPr>
      <w:r w:rsidRPr="007234F7">
        <w:rPr>
          <w:sz w:val="24"/>
          <w:szCs w:val="24"/>
        </w:rPr>
        <w:t>Havelock Housing Association</w:t>
      </w:r>
    </w:p>
    <w:p w14:paraId="2E0B053F" w14:textId="77777777" w:rsidR="00A3203C" w:rsidRPr="007234F7" w:rsidRDefault="00A3203C" w:rsidP="00A3203C">
      <w:pPr>
        <w:spacing w:after="0"/>
        <w:rPr>
          <w:sz w:val="24"/>
          <w:szCs w:val="24"/>
        </w:rPr>
      </w:pPr>
      <w:r w:rsidRPr="007234F7">
        <w:rPr>
          <w:sz w:val="24"/>
          <w:szCs w:val="24"/>
        </w:rPr>
        <w:t>Health Care Consumers’ Association Inc</w:t>
      </w:r>
      <w:r>
        <w:rPr>
          <w:sz w:val="24"/>
          <w:szCs w:val="24"/>
        </w:rPr>
        <w:t>.</w:t>
      </w:r>
    </w:p>
    <w:p w14:paraId="77D4FAE7" w14:textId="77777777" w:rsidR="00A3203C" w:rsidRPr="007234F7" w:rsidRDefault="00A3203C" w:rsidP="00A3203C">
      <w:pPr>
        <w:spacing w:after="0"/>
        <w:rPr>
          <w:sz w:val="24"/>
          <w:szCs w:val="24"/>
        </w:rPr>
      </w:pPr>
      <w:r w:rsidRPr="007234F7">
        <w:rPr>
          <w:sz w:val="24"/>
          <w:szCs w:val="24"/>
        </w:rPr>
        <w:t>Heart Foundation</w:t>
      </w:r>
    </w:p>
    <w:p w14:paraId="40AA78E3" w14:textId="77777777" w:rsidR="00A3203C" w:rsidRPr="007234F7" w:rsidRDefault="00A3203C" w:rsidP="00A3203C">
      <w:pPr>
        <w:spacing w:after="0"/>
        <w:rPr>
          <w:sz w:val="24"/>
          <w:szCs w:val="24"/>
        </w:rPr>
      </w:pPr>
      <w:r w:rsidRPr="007234F7">
        <w:rPr>
          <w:sz w:val="24"/>
          <w:szCs w:val="24"/>
        </w:rPr>
        <w:t>Hepatitis ACT</w:t>
      </w:r>
    </w:p>
    <w:p w14:paraId="66EC77CD" w14:textId="77777777" w:rsidR="00A3203C" w:rsidRPr="007234F7" w:rsidRDefault="00A3203C" w:rsidP="00A3203C">
      <w:pPr>
        <w:spacing w:after="0"/>
        <w:rPr>
          <w:sz w:val="24"/>
          <w:szCs w:val="24"/>
        </w:rPr>
      </w:pPr>
      <w:r w:rsidRPr="007234F7">
        <w:rPr>
          <w:sz w:val="24"/>
          <w:szCs w:val="24"/>
        </w:rPr>
        <w:t xml:space="preserve">Interactive Games &amp; Entertainment Association </w:t>
      </w:r>
    </w:p>
    <w:p w14:paraId="18BCDD6D" w14:textId="77777777" w:rsidR="00A3203C" w:rsidRPr="007234F7" w:rsidRDefault="00A3203C" w:rsidP="00A3203C">
      <w:pPr>
        <w:spacing w:after="0"/>
        <w:rPr>
          <w:sz w:val="24"/>
          <w:szCs w:val="24"/>
        </w:rPr>
      </w:pPr>
      <w:r w:rsidRPr="007234F7">
        <w:rPr>
          <w:sz w:val="24"/>
          <w:szCs w:val="24"/>
        </w:rPr>
        <w:t>James Bacon</w:t>
      </w:r>
    </w:p>
    <w:p w14:paraId="20874BEE" w14:textId="77777777" w:rsidR="00A3203C" w:rsidRPr="007234F7" w:rsidRDefault="00A3203C" w:rsidP="00A3203C">
      <w:pPr>
        <w:spacing w:after="0"/>
        <w:rPr>
          <w:sz w:val="24"/>
          <w:szCs w:val="24"/>
        </w:rPr>
      </w:pPr>
      <w:r w:rsidRPr="007234F7">
        <w:rPr>
          <w:sz w:val="24"/>
          <w:szCs w:val="24"/>
        </w:rPr>
        <w:t>Jason Garwood</w:t>
      </w:r>
    </w:p>
    <w:p w14:paraId="0178BF2F" w14:textId="77777777" w:rsidR="00A3203C" w:rsidRPr="007234F7" w:rsidRDefault="00A3203C" w:rsidP="00A3203C">
      <w:pPr>
        <w:spacing w:after="0"/>
        <w:rPr>
          <w:sz w:val="24"/>
          <w:szCs w:val="24"/>
        </w:rPr>
      </w:pPr>
      <w:r w:rsidRPr="007234F7">
        <w:rPr>
          <w:sz w:val="24"/>
          <w:szCs w:val="24"/>
        </w:rPr>
        <w:t>Jayde Thomson</w:t>
      </w:r>
    </w:p>
    <w:p w14:paraId="104B19C3" w14:textId="77777777" w:rsidR="00A3203C" w:rsidRPr="00F24E98" w:rsidRDefault="00A3203C" w:rsidP="00A3203C">
      <w:pPr>
        <w:spacing w:after="0"/>
        <w:rPr>
          <w:sz w:val="24"/>
          <w:szCs w:val="24"/>
        </w:rPr>
      </w:pPr>
      <w:r w:rsidRPr="00F24E98">
        <w:rPr>
          <w:i/>
          <w:iCs/>
          <w:sz w:val="24"/>
          <w:szCs w:val="24"/>
        </w:rPr>
        <w:t>Joint Submission – ACT Regional Community Service Organisations:</w:t>
      </w:r>
      <w:r w:rsidRPr="00F24E98">
        <w:rPr>
          <w:sz w:val="24"/>
          <w:szCs w:val="24"/>
        </w:rPr>
        <w:t xml:space="preserve"> Community Services #1, Communities@Work, Woden Community Services, Capital Region Community Services and Northside Community Service</w:t>
      </w:r>
    </w:p>
    <w:p w14:paraId="2C27FD59" w14:textId="77777777" w:rsidR="00A3203C" w:rsidRPr="007234F7" w:rsidRDefault="00A3203C" w:rsidP="00A3203C">
      <w:pPr>
        <w:spacing w:after="0"/>
        <w:rPr>
          <w:sz w:val="24"/>
          <w:szCs w:val="24"/>
        </w:rPr>
      </w:pPr>
      <w:r w:rsidRPr="00F24E98">
        <w:rPr>
          <w:i/>
          <w:iCs/>
          <w:sz w:val="24"/>
          <w:szCs w:val="24"/>
        </w:rPr>
        <w:t>Joint Submission - Gungahlin Community Service Organisations:</w:t>
      </w:r>
      <w:r w:rsidRPr="00F24E98">
        <w:rPr>
          <w:sz w:val="24"/>
          <w:szCs w:val="24"/>
        </w:rPr>
        <w:t xml:space="preserve"> Gungahlin Community Service, Northside Community Service, Barnardos Australia, Canberra Police Community Youth Club and Gungahlin Community Council</w:t>
      </w:r>
    </w:p>
    <w:p w14:paraId="152F0475" w14:textId="77777777" w:rsidR="00A3203C" w:rsidRPr="007234F7" w:rsidRDefault="00A3203C" w:rsidP="00A3203C">
      <w:pPr>
        <w:spacing w:after="0"/>
        <w:rPr>
          <w:sz w:val="24"/>
          <w:szCs w:val="24"/>
        </w:rPr>
      </w:pPr>
      <w:r w:rsidRPr="007234F7">
        <w:rPr>
          <w:sz w:val="24"/>
          <w:szCs w:val="24"/>
        </w:rPr>
        <w:t>Keith Sayers</w:t>
      </w:r>
    </w:p>
    <w:p w14:paraId="47CAB26A" w14:textId="77777777" w:rsidR="00A3203C" w:rsidRPr="007234F7" w:rsidRDefault="00A3203C" w:rsidP="00A3203C">
      <w:pPr>
        <w:spacing w:after="0"/>
        <w:rPr>
          <w:sz w:val="24"/>
          <w:szCs w:val="24"/>
        </w:rPr>
      </w:pPr>
      <w:r w:rsidRPr="007234F7">
        <w:rPr>
          <w:sz w:val="24"/>
          <w:szCs w:val="24"/>
        </w:rPr>
        <w:t>Kelly W.</w:t>
      </w:r>
    </w:p>
    <w:p w14:paraId="462B6DA7" w14:textId="77777777" w:rsidR="00A3203C" w:rsidRPr="007234F7" w:rsidRDefault="00A3203C" w:rsidP="00A3203C">
      <w:pPr>
        <w:spacing w:after="0"/>
        <w:rPr>
          <w:sz w:val="24"/>
          <w:szCs w:val="24"/>
        </w:rPr>
      </w:pPr>
      <w:r w:rsidRPr="007234F7">
        <w:rPr>
          <w:sz w:val="24"/>
          <w:szCs w:val="24"/>
        </w:rPr>
        <w:t>Kent Fitch</w:t>
      </w:r>
    </w:p>
    <w:p w14:paraId="0B1A7970" w14:textId="77777777" w:rsidR="00A3203C" w:rsidRPr="007234F7" w:rsidRDefault="00A3203C" w:rsidP="00A3203C">
      <w:pPr>
        <w:spacing w:after="0"/>
        <w:rPr>
          <w:sz w:val="24"/>
          <w:szCs w:val="24"/>
        </w:rPr>
      </w:pPr>
      <w:r w:rsidRPr="007234F7">
        <w:rPr>
          <w:sz w:val="24"/>
          <w:szCs w:val="24"/>
        </w:rPr>
        <w:t>Kevin Cox</w:t>
      </w:r>
    </w:p>
    <w:p w14:paraId="11B16208" w14:textId="77777777" w:rsidR="00A3203C" w:rsidRPr="007234F7" w:rsidRDefault="00A3203C" w:rsidP="00A3203C">
      <w:pPr>
        <w:spacing w:after="0"/>
        <w:rPr>
          <w:sz w:val="24"/>
          <w:szCs w:val="24"/>
        </w:rPr>
      </w:pPr>
      <w:r w:rsidRPr="007234F7">
        <w:rPr>
          <w:sz w:val="24"/>
          <w:szCs w:val="24"/>
        </w:rPr>
        <w:t>Living Streets Canberra</w:t>
      </w:r>
    </w:p>
    <w:p w14:paraId="5D0A840D" w14:textId="77777777" w:rsidR="00A3203C" w:rsidRPr="007234F7" w:rsidRDefault="00A3203C" w:rsidP="00A3203C">
      <w:pPr>
        <w:spacing w:after="0"/>
        <w:rPr>
          <w:sz w:val="24"/>
          <w:szCs w:val="24"/>
        </w:rPr>
      </w:pPr>
      <w:r w:rsidRPr="007234F7">
        <w:rPr>
          <w:sz w:val="24"/>
          <w:szCs w:val="24"/>
        </w:rPr>
        <w:t>Mark Smeaton</w:t>
      </w:r>
    </w:p>
    <w:p w14:paraId="7778DAEF" w14:textId="77777777" w:rsidR="00A3203C" w:rsidRPr="007234F7" w:rsidRDefault="00A3203C" w:rsidP="00A3203C">
      <w:pPr>
        <w:spacing w:after="0"/>
        <w:rPr>
          <w:sz w:val="24"/>
          <w:szCs w:val="24"/>
        </w:rPr>
      </w:pPr>
      <w:r w:rsidRPr="007234F7">
        <w:rPr>
          <w:sz w:val="24"/>
          <w:szCs w:val="24"/>
        </w:rPr>
        <w:t>Martin Silsby</w:t>
      </w:r>
    </w:p>
    <w:p w14:paraId="7273F875" w14:textId="77777777" w:rsidR="00A3203C" w:rsidRPr="007234F7" w:rsidRDefault="00A3203C" w:rsidP="00A3203C">
      <w:pPr>
        <w:spacing w:after="0"/>
        <w:rPr>
          <w:sz w:val="24"/>
          <w:szCs w:val="24"/>
        </w:rPr>
      </w:pPr>
      <w:r w:rsidRPr="007234F7">
        <w:rPr>
          <w:sz w:val="24"/>
          <w:szCs w:val="24"/>
        </w:rPr>
        <w:t>Master Builders ACT</w:t>
      </w:r>
    </w:p>
    <w:p w14:paraId="660FA799" w14:textId="77777777" w:rsidR="00A3203C" w:rsidRPr="007234F7" w:rsidRDefault="00A3203C" w:rsidP="00A3203C">
      <w:pPr>
        <w:spacing w:after="0"/>
        <w:rPr>
          <w:sz w:val="24"/>
          <w:szCs w:val="24"/>
        </w:rPr>
      </w:pPr>
      <w:r w:rsidRPr="007234F7">
        <w:rPr>
          <w:sz w:val="24"/>
          <w:szCs w:val="24"/>
        </w:rPr>
        <w:t>Master Plumbers Association ACT</w:t>
      </w:r>
    </w:p>
    <w:p w14:paraId="019D859B" w14:textId="77777777" w:rsidR="00A3203C" w:rsidRPr="007234F7" w:rsidRDefault="00A3203C" w:rsidP="00A3203C">
      <w:pPr>
        <w:spacing w:after="0"/>
        <w:rPr>
          <w:sz w:val="24"/>
          <w:szCs w:val="24"/>
        </w:rPr>
      </w:pPr>
      <w:r w:rsidRPr="007234F7">
        <w:rPr>
          <w:sz w:val="24"/>
          <w:szCs w:val="24"/>
        </w:rPr>
        <w:t>Mental Health Carers Voice</w:t>
      </w:r>
    </w:p>
    <w:p w14:paraId="131B49CD" w14:textId="77777777" w:rsidR="00A3203C" w:rsidRPr="007234F7" w:rsidRDefault="00A3203C" w:rsidP="00A3203C">
      <w:pPr>
        <w:spacing w:after="0"/>
        <w:rPr>
          <w:sz w:val="24"/>
          <w:szCs w:val="24"/>
        </w:rPr>
      </w:pPr>
      <w:r w:rsidRPr="007234F7">
        <w:rPr>
          <w:sz w:val="24"/>
          <w:szCs w:val="24"/>
        </w:rPr>
        <w:t>Mental Health Community Coalition ACT</w:t>
      </w:r>
    </w:p>
    <w:p w14:paraId="18EB03AF" w14:textId="77777777" w:rsidR="00A3203C" w:rsidRPr="007234F7" w:rsidRDefault="00A3203C" w:rsidP="00A3203C">
      <w:pPr>
        <w:spacing w:after="0"/>
        <w:rPr>
          <w:sz w:val="24"/>
          <w:szCs w:val="24"/>
        </w:rPr>
      </w:pPr>
      <w:r w:rsidRPr="007234F7">
        <w:rPr>
          <w:sz w:val="24"/>
          <w:szCs w:val="24"/>
        </w:rPr>
        <w:t>Mental Illness Education ACT Inc.</w:t>
      </w:r>
    </w:p>
    <w:p w14:paraId="0AF9171F" w14:textId="77777777" w:rsidR="00A3203C" w:rsidRPr="007234F7" w:rsidRDefault="00A3203C" w:rsidP="00A3203C">
      <w:pPr>
        <w:spacing w:after="0"/>
        <w:rPr>
          <w:sz w:val="24"/>
          <w:szCs w:val="24"/>
        </w:rPr>
      </w:pPr>
      <w:r w:rsidRPr="007234F7">
        <w:rPr>
          <w:sz w:val="24"/>
          <w:szCs w:val="24"/>
        </w:rPr>
        <w:t>Meridian</w:t>
      </w:r>
    </w:p>
    <w:p w14:paraId="10F8C77C" w14:textId="77777777" w:rsidR="00A3203C" w:rsidRPr="007234F7" w:rsidRDefault="00A3203C" w:rsidP="00A3203C">
      <w:pPr>
        <w:spacing w:after="0"/>
        <w:rPr>
          <w:sz w:val="24"/>
          <w:szCs w:val="24"/>
        </w:rPr>
      </w:pPr>
      <w:r w:rsidRPr="007234F7">
        <w:rPr>
          <w:sz w:val="24"/>
          <w:szCs w:val="24"/>
        </w:rPr>
        <w:t>Molonglo Valley Community Forum</w:t>
      </w:r>
    </w:p>
    <w:p w14:paraId="33099941" w14:textId="77777777" w:rsidR="00A3203C" w:rsidRPr="007234F7" w:rsidRDefault="00A3203C" w:rsidP="00A3203C">
      <w:pPr>
        <w:spacing w:after="0"/>
        <w:rPr>
          <w:sz w:val="24"/>
          <w:szCs w:val="24"/>
        </w:rPr>
      </w:pPr>
      <w:r w:rsidRPr="007234F7">
        <w:rPr>
          <w:sz w:val="24"/>
          <w:szCs w:val="24"/>
        </w:rPr>
        <w:t>National Disability Services</w:t>
      </w:r>
    </w:p>
    <w:p w14:paraId="12493376" w14:textId="77777777" w:rsidR="00A3203C" w:rsidRPr="007234F7" w:rsidRDefault="00A3203C" w:rsidP="00A3203C">
      <w:pPr>
        <w:spacing w:after="0"/>
        <w:rPr>
          <w:sz w:val="24"/>
          <w:szCs w:val="24"/>
        </w:rPr>
      </w:pPr>
      <w:r w:rsidRPr="007234F7">
        <w:rPr>
          <w:sz w:val="24"/>
          <w:szCs w:val="24"/>
        </w:rPr>
        <w:t>National Seniors Australia</w:t>
      </w:r>
    </w:p>
    <w:p w14:paraId="1D47F3B9" w14:textId="77777777" w:rsidR="00A3203C" w:rsidRPr="007234F7" w:rsidRDefault="00A3203C" w:rsidP="00A3203C">
      <w:pPr>
        <w:spacing w:after="0"/>
        <w:rPr>
          <w:sz w:val="24"/>
          <w:szCs w:val="24"/>
        </w:rPr>
      </w:pPr>
      <w:r w:rsidRPr="007234F7">
        <w:rPr>
          <w:sz w:val="24"/>
          <w:szCs w:val="24"/>
        </w:rPr>
        <w:t>Nick Cheesman</w:t>
      </w:r>
    </w:p>
    <w:p w14:paraId="6C5DC4BA" w14:textId="77777777" w:rsidR="00A3203C" w:rsidRPr="007234F7" w:rsidRDefault="00A3203C" w:rsidP="00A3203C">
      <w:pPr>
        <w:spacing w:after="0"/>
        <w:rPr>
          <w:sz w:val="24"/>
          <w:szCs w:val="24"/>
        </w:rPr>
      </w:pPr>
      <w:r w:rsidRPr="007234F7">
        <w:rPr>
          <w:sz w:val="24"/>
          <w:szCs w:val="24"/>
        </w:rPr>
        <w:t>Nick Haggarty</w:t>
      </w:r>
    </w:p>
    <w:p w14:paraId="645104D3" w14:textId="77777777" w:rsidR="00A3203C" w:rsidRPr="007234F7" w:rsidRDefault="00A3203C" w:rsidP="00A3203C">
      <w:pPr>
        <w:spacing w:after="0"/>
        <w:rPr>
          <w:sz w:val="24"/>
          <w:szCs w:val="24"/>
        </w:rPr>
      </w:pPr>
      <w:r w:rsidRPr="007234F7">
        <w:rPr>
          <w:sz w:val="24"/>
          <w:szCs w:val="24"/>
        </w:rPr>
        <w:t>Occupational Therapy Australia</w:t>
      </w:r>
    </w:p>
    <w:p w14:paraId="1332EE71" w14:textId="77777777" w:rsidR="00A3203C" w:rsidRPr="007234F7" w:rsidRDefault="00A3203C" w:rsidP="00A3203C">
      <w:pPr>
        <w:spacing w:after="0"/>
        <w:rPr>
          <w:sz w:val="24"/>
          <w:szCs w:val="24"/>
        </w:rPr>
      </w:pPr>
      <w:r w:rsidRPr="007234F7">
        <w:rPr>
          <w:sz w:val="24"/>
          <w:szCs w:val="24"/>
        </w:rPr>
        <w:t>Outdoors NSW and ACT</w:t>
      </w:r>
    </w:p>
    <w:p w14:paraId="23F22C16" w14:textId="77777777" w:rsidR="00A3203C" w:rsidRPr="007234F7" w:rsidRDefault="00A3203C" w:rsidP="00A3203C">
      <w:pPr>
        <w:spacing w:after="0"/>
        <w:rPr>
          <w:sz w:val="24"/>
          <w:szCs w:val="24"/>
        </w:rPr>
      </w:pPr>
      <w:r w:rsidRPr="007234F7">
        <w:rPr>
          <w:sz w:val="24"/>
          <w:szCs w:val="24"/>
        </w:rPr>
        <w:t>OzChild</w:t>
      </w:r>
    </w:p>
    <w:p w14:paraId="1C9202F7" w14:textId="77777777" w:rsidR="00A3203C" w:rsidRPr="007234F7" w:rsidRDefault="00A3203C" w:rsidP="00A3203C">
      <w:pPr>
        <w:spacing w:after="0"/>
        <w:rPr>
          <w:sz w:val="24"/>
          <w:szCs w:val="24"/>
        </w:rPr>
      </w:pPr>
      <w:r w:rsidRPr="007234F7">
        <w:rPr>
          <w:sz w:val="24"/>
          <w:szCs w:val="24"/>
        </w:rPr>
        <w:t>OzHelp Foundation Ltd</w:t>
      </w:r>
      <w:r>
        <w:rPr>
          <w:sz w:val="24"/>
          <w:szCs w:val="24"/>
        </w:rPr>
        <w:t>.</w:t>
      </w:r>
    </w:p>
    <w:p w14:paraId="28886F56" w14:textId="77777777" w:rsidR="00A3203C" w:rsidRPr="007234F7" w:rsidRDefault="00A3203C" w:rsidP="00A3203C">
      <w:pPr>
        <w:spacing w:after="0"/>
        <w:rPr>
          <w:sz w:val="24"/>
          <w:szCs w:val="24"/>
        </w:rPr>
      </w:pPr>
      <w:r w:rsidRPr="007234F7">
        <w:rPr>
          <w:sz w:val="24"/>
          <w:szCs w:val="24"/>
        </w:rPr>
        <w:t>Paul Doyle</w:t>
      </w:r>
    </w:p>
    <w:p w14:paraId="1523F329" w14:textId="77777777" w:rsidR="00A3203C" w:rsidRPr="007234F7" w:rsidRDefault="00A3203C" w:rsidP="00A3203C">
      <w:pPr>
        <w:spacing w:after="0"/>
        <w:rPr>
          <w:sz w:val="24"/>
          <w:szCs w:val="24"/>
        </w:rPr>
      </w:pPr>
      <w:r w:rsidRPr="007234F7">
        <w:rPr>
          <w:sz w:val="24"/>
          <w:szCs w:val="24"/>
        </w:rPr>
        <w:t>Pedal Power ACT</w:t>
      </w:r>
    </w:p>
    <w:p w14:paraId="1F343939" w14:textId="77777777" w:rsidR="00A3203C" w:rsidRPr="007234F7" w:rsidRDefault="00A3203C" w:rsidP="00A3203C">
      <w:pPr>
        <w:spacing w:after="0"/>
        <w:rPr>
          <w:sz w:val="24"/>
          <w:szCs w:val="24"/>
        </w:rPr>
      </w:pPr>
      <w:r w:rsidRPr="007234F7">
        <w:rPr>
          <w:sz w:val="24"/>
          <w:szCs w:val="24"/>
        </w:rPr>
        <w:t>Perinatal Wellbeing Centre</w:t>
      </w:r>
    </w:p>
    <w:p w14:paraId="31840491" w14:textId="77777777" w:rsidR="00A3203C" w:rsidRPr="007234F7" w:rsidRDefault="00A3203C" w:rsidP="00A3203C">
      <w:pPr>
        <w:spacing w:after="0"/>
        <w:rPr>
          <w:sz w:val="24"/>
          <w:szCs w:val="24"/>
        </w:rPr>
      </w:pPr>
      <w:r w:rsidRPr="007234F7">
        <w:rPr>
          <w:sz w:val="24"/>
          <w:szCs w:val="24"/>
        </w:rPr>
        <w:t>Peter Dey</w:t>
      </w:r>
    </w:p>
    <w:p w14:paraId="30B005BE" w14:textId="77777777" w:rsidR="00A3203C" w:rsidRPr="007234F7" w:rsidRDefault="00A3203C" w:rsidP="00A3203C">
      <w:pPr>
        <w:spacing w:after="0"/>
        <w:rPr>
          <w:sz w:val="24"/>
          <w:szCs w:val="24"/>
        </w:rPr>
      </w:pPr>
      <w:r w:rsidRPr="007234F7">
        <w:rPr>
          <w:sz w:val="24"/>
          <w:szCs w:val="24"/>
        </w:rPr>
        <w:t>Pharmaceutical Society of Australia</w:t>
      </w:r>
    </w:p>
    <w:p w14:paraId="6BD92668" w14:textId="77777777" w:rsidR="00A3203C" w:rsidRPr="007234F7" w:rsidRDefault="00A3203C" w:rsidP="00A3203C">
      <w:pPr>
        <w:spacing w:after="0"/>
        <w:rPr>
          <w:sz w:val="24"/>
          <w:szCs w:val="24"/>
        </w:rPr>
      </w:pPr>
      <w:r w:rsidRPr="007234F7">
        <w:rPr>
          <w:sz w:val="24"/>
          <w:szCs w:val="24"/>
        </w:rPr>
        <w:t>Phillip Business Community</w:t>
      </w:r>
    </w:p>
    <w:p w14:paraId="04A36290" w14:textId="77777777" w:rsidR="00A3203C" w:rsidRPr="007234F7" w:rsidRDefault="00A3203C" w:rsidP="00A3203C">
      <w:pPr>
        <w:spacing w:after="0"/>
        <w:rPr>
          <w:sz w:val="24"/>
          <w:szCs w:val="24"/>
        </w:rPr>
      </w:pPr>
      <w:r w:rsidRPr="007234F7">
        <w:rPr>
          <w:sz w:val="24"/>
          <w:szCs w:val="24"/>
        </w:rPr>
        <w:t>Public Transport Association of Canberra Inc.</w:t>
      </w:r>
    </w:p>
    <w:p w14:paraId="0B08EEAE" w14:textId="77777777" w:rsidR="00A3203C" w:rsidRPr="007234F7" w:rsidRDefault="00A3203C" w:rsidP="00A3203C">
      <w:pPr>
        <w:spacing w:after="0"/>
        <w:rPr>
          <w:sz w:val="24"/>
          <w:szCs w:val="24"/>
        </w:rPr>
      </w:pPr>
      <w:r w:rsidRPr="007234F7">
        <w:rPr>
          <w:sz w:val="24"/>
          <w:szCs w:val="24"/>
        </w:rPr>
        <w:lastRenderedPageBreak/>
        <w:t>Ray Whitehead</w:t>
      </w:r>
    </w:p>
    <w:p w14:paraId="70B93DCF" w14:textId="77777777" w:rsidR="00A3203C" w:rsidRPr="007234F7" w:rsidRDefault="00A3203C" w:rsidP="00A3203C">
      <w:pPr>
        <w:spacing w:after="0"/>
        <w:rPr>
          <w:sz w:val="24"/>
          <w:szCs w:val="24"/>
        </w:rPr>
      </w:pPr>
      <w:r w:rsidRPr="007234F7">
        <w:rPr>
          <w:sz w:val="24"/>
          <w:szCs w:val="24"/>
        </w:rPr>
        <w:t>Regional Development Australia ACT</w:t>
      </w:r>
    </w:p>
    <w:p w14:paraId="0D851BAC" w14:textId="77777777" w:rsidR="00A3203C" w:rsidRPr="007234F7" w:rsidRDefault="00A3203C" w:rsidP="00A3203C">
      <w:pPr>
        <w:spacing w:after="0"/>
        <w:rPr>
          <w:sz w:val="24"/>
          <w:szCs w:val="24"/>
        </w:rPr>
      </w:pPr>
      <w:r w:rsidRPr="007234F7">
        <w:rPr>
          <w:sz w:val="24"/>
          <w:szCs w:val="24"/>
        </w:rPr>
        <w:t>Renga Rajan</w:t>
      </w:r>
    </w:p>
    <w:p w14:paraId="4683577F" w14:textId="77777777" w:rsidR="00A3203C" w:rsidRPr="007234F7" w:rsidRDefault="00A3203C" w:rsidP="00A3203C">
      <w:pPr>
        <w:spacing w:after="0"/>
        <w:rPr>
          <w:sz w:val="24"/>
          <w:szCs w:val="24"/>
        </w:rPr>
      </w:pPr>
      <w:r w:rsidRPr="007234F7">
        <w:rPr>
          <w:sz w:val="24"/>
          <w:szCs w:val="24"/>
        </w:rPr>
        <w:t>Roger Bacon</w:t>
      </w:r>
    </w:p>
    <w:p w14:paraId="37C07DF3" w14:textId="77777777" w:rsidR="00A3203C" w:rsidRPr="007234F7" w:rsidRDefault="00A3203C" w:rsidP="00A3203C">
      <w:pPr>
        <w:spacing w:after="0"/>
        <w:rPr>
          <w:sz w:val="24"/>
          <w:szCs w:val="24"/>
        </w:rPr>
      </w:pPr>
      <w:r w:rsidRPr="007234F7">
        <w:rPr>
          <w:sz w:val="24"/>
          <w:szCs w:val="24"/>
        </w:rPr>
        <w:t>Scott Taylor</w:t>
      </w:r>
    </w:p>
    <w:p w14:paraId="6EACB2CF" w14:textId="77777777" w:rsidR="00A3203C" w:rsidRPr="007234F7" w:rsidRDefault="00A3203C" w:rsidP="00A3203C">
      <w:pPr>
        <w:spacing w:after="0"/>
        <w:rPr>
          <w:sz w:val="24"/>
          <w:szCs w:val="24"/>
        </w:rPr>
      </w:pPr>
      <w:r w:rsidRPr="007234F7">
        <w:rPr>
          <w:sz w:val="24"/>
          <w:szCs w:val="24"/>
        </w:rPr>
        <w:t>Sexual Health and Family Planning ACT Inc</w:t>
      </w:r>
      <w:r>
        <w:rPr>
          <w:sz w:val="24"/>
          <w:szCs w:val="24"/>
        </w:rPr>
        <w:t>.</w:t>
      </w:r>
    </w:p>
    <w:p w14:paraId="72549FBD" w14:textId="77777777" w:rsidR="00A3203C" w:rsidRPr="007234F7" w:rsidRDefault="00A3203C" w:rsidP="00A3203C">
      <w:pPr>
        <w:spacing w:after="0"/>
        <w:rPr>
          <w:sz w:val="24"/>
          <w:szCs w:val="24"/>
        </w:rPr>
      </w:pPr>
      <w:r w:rsidRPr="007234F7">
        <w:rPr>
          <w:sz w:val="24"/>
          <w:szCs w:val="24"/>
        </w:rPr>
        <w:t>Society of Hospital Pharmacists of Australia</w:t>
      </w:r>
    </w:p>
    <w:p w14:paraId="33810F45" w14:textId="77777777" w:rsidR="00A3203C" w:rsidRPr="007234F7" w:rsidRDefault="00A3203C" w:rsidP="00A3203C">
      <w:pPr>
        <w:spacing w:after="0"/>
        <w:rPr>
          <w:sz w:val="24"/>
          <w:szCs w:val="24"/>
        </w:rPr>
      </w:pPr>
      <w:r w:rsidRPr="007234F7">
        <w:rPr>
          <w:sz w:val="24"/>
          <w:szCs w:val="24"/>
        </w:rPr>
        <w:t>Steven Peisley</w:t>
      </w:r>
    </w:p>
    <w:p w14:paraId="79339C69" w14:textId="77777777" w:rsidR="00A3203C" w:rsidRPr="007234F7" w:rsidRDefault="00A3203C" w:rsidP="00A3203C">
      <w:pPr>
        <w:spacing w:after="0"/>
        <w:rPr>
          <w:sz w:val="24"/>
          <w:szCs w:val="24"/>
        </w:rPr>
      </w:pPr>
      <w:r w:rsidRPr="007234F7">
        <w:rPr>
          <w:sz w:val="24"/>
          <w:szCs w:val="24"/>
        </w:rPr>
        <w:t>Stuart Wallace</w:t>
      </w:r>
    </w:p>
    <w:p w14:paraId="4C0459E3" w14:textId="77777777" w:rsidR="00A3203C" w:rsidRPr="007234F7" w:rsidRDefault="00A3203C" w:rsidP="00A3203C">
      <w:pPr>
        <w:spacing w:after="0"/>
        <w:rPr>
          <w:sz w:val="24"/>
          <w:szCs w:val="24"/>
        </w:rPr>
      </w:pPr>
      <w:r w:rsidRPr="007234F7">
        <w:rPr>
          <w:sz w:val="24"/>
          <w:szCs w:val="24"/>
        </w:rPr>
        <w:t>Tobias Ehinger</w:t>
      </w:r>
    </w:p>
    <w:p w14:paraId="5DF9291D" w14:textId="77777777" w:rsidR="00A3203C" w:rsidRPr="007234F7" w:rsidRDefault="00A3203C" w:rsidP="00A3203C">
      <w:pPr>
        <w:spacing w:after="0"/>
        <w:rPr>
          <w:sz w:val="24"/>
          <w:szCs w:val="24"/>
        </w:rPr>
      </w:pPr>
      <w:r w:rsidRPr="007234F7">
        <w:rPr>
          <w:sz w:val="24"/>
          <w:szCs w:val="24"/>
        </w:rPr>
        <w:t>Toby</w:t>
      </w:r>
    </w:p>
    <w:p w14:paraId="3AAB1A99" w14:textId="77777777" w:rsidR="00A3203C" w:rsidRPr="007234F7" w:rsidRDefault="00A3203C" w:rsidP="00A3203C">
      <w:pPr>
        <w:spacing w:after="0"/>
        <w:rPr>
          <w:sz w:val="24"/>
          <w:szCs w:val="24"/>
        </w:rPr>
      </w:pPr>
      <w:r w:rsidRPr="007234F7">
        <w:rPr>
          <w:sz w:val="24"/>
          <w:szCs w:val="24"/>
        </w:rPr>
        <w:t>Toora Women Inc.</w:t>
      </w:r>
    </w:p>
    <w:p w14:paraId="512829FC" w14:textId="77777777" w:rsidR="00A3203C" w:rsidRPr="007234F7" w:rsidRDefault="00A3203C" w:rsidP="00A3203C">
      <w:pPr>
        <w:spacing w:after="0"/>
        <w:rPr>
          <w:sz w:val="24"/>
          <w:szCs w:val="24"/>
        </w:rPr>
      </w:pPr>
      <w:r w:rsidRPr="007234F7">
        <w:rPr>
          <w:sz w:val="24"/>
          <w:szCs w:val="24"/>
        </w:rPr>
        <w:t>UnionsACT</w:t>
      </w:r>
    </w:p>
    <w:p w14:paraId="0CDF908D" w14:textId="77777777" w:rsidR="00A3203C" w:rsidRPr="007234F7" w:rsidRDefault="00A3203C" w:rsidP="00A3203C">
      <w:pPr>
        <w:spacing w:after="0"/>
        <w:rPr>
          <w:sz w:val="24"/>
          <w:szCs w:val="24"/>
        </w:rPr>
      </w:pPr>
      <w:r w:rsidRPr="007234F7">
        <w:rPr>
          <w:sz w:val="24"/>
          <w:szCs w:val="24"/>
        </w:rPr>
        <w:t>Vintage Reds of the Canberra Region</w:t>
      </w:r>
    </w:p>
    <w:p w14:paraId="77B92931" w14:textId="77777777" w:rsidR="00A3203C" w:rsidRPr="007234F7" w:rsidRDefault="00A3203C" w:rsidP="00A3203C">
      <w:pPr>
        <w:spacing w:after="0"/>
        <w:rPr>
          <w:sz w:val="24"/>
          <w:szCs w:val="24"/>
        </w:rPr>
      </w:pPr>
      <w:r w:rsidRPr="007234F7">
        <w:rPr>
          <w:sz w:val="24"/>
          <w:szCs w:val="24"/>
        </w:rPr>
        <w:t>VolunteeringACT</w:t>
      </w:r>
    </w:p>
    <w:p w14:paraId="156E30F1" w14:textId="77777777" w:rsidR="00A3203C" w:rsidRPr="007234F7" w:rsidRDefault="00A3203C" w:rsidP="00A3203C">
      <w:pPr>
        <w:spacing w:after="0"/>
        <w:rPr>
          <w:sz w:val="24"/>
          <w:szCs w:val="24"/>
        </w:rPr>
      </w:pPr>
      <w:r w:rsidRPr="007234F7">
        <w:rPr>
          <w:sz w:val="24"/>
          <w:szCs w:val="24"/>
        </w:rPr>
        <w:t>Warehouse Circus Inc.</w:t>
      </w:r>
    </w:p>
    <w:p w14:paraId="3F585602" w14:textId="77777777" w:rsidR="00A3203C" w:rsidRPr="007234F7" w:rsidRDefault="00A3203C" w:rsidP="00A3203C">
      <w:pPr>
        <w:spacing w:after="0"/>
        <w:rPr>
          <w:sz w:val="24"/>
          <w:szCs w:val="24"/>
        </w:rPr>
      </w:pPr>
      <w:r w:rsidRPr="007234F7">
        <w:rPr>
          <w:sz w:val="24"/>
          <w:szCs w:val="24"/>
        </w:rPr>
        <w:t>Weston Creek Community Council</w:t>
      </w:r>
    </w:p>
    <w:p w14:paraId="3AE85701" w14:textId="77777777" w:rsidR="00A3203C" w:rsidRPr="007234F7" w:rsidRDefault="00A3203C" w:rsidP="00A3203C">
      <w:pPr>
        <w:spacing w:after="0"/>
        <w:rPr>
          <w:sz w:val="24"/>
          <w:szCs w:val="24"/>
        </w:rPr>
      </w:pPr>
      <w:r w:rsidRPr="007234F7">
        <w:rPr>
          <w:sz w:val="24"/>
          <w:szCs w:val="24"/>
        </w:rPr>
        <w:t>William Goff</w:t>
      </w:r>
    </w:p>
    <w:p w14:paraId="7E5E97C1" w14:textId="77777777" w:rsidR="00A3203C" w:rsidRPr="007234F7" w:rsidRDefault="00A3203C" w:rsidP="00A3203C">
      <w:pPr>
        <w:spacing w:after="0"/>
        <w:rPr>
          <w:sz w:val="24"/>
          <w:szCs w:val="24"/>
        </w:rPr>
      </w:pPr>
      <w:r w:rsidRPr="007234F7">
        <w:rPr>
          <w:sz w:val="24"/>
          <w:szCs w:val="24"/>
        </w:rPr>
        <w:t>Woden Community Service</w:t>
      </w:r>
    </w:p>
    <w:p w14:paraId="0DF0B184" w14:textId="77777777" w:rsidR="00A3203C" w:rsidRPr="007234F7" w:rsidRDefault="00A3203C" w:rsidP="00A3203C">
      <w:pPr>
        <w:spacing w:after="0"/>
        <w:rPr>
          <w:sz w:val="24"/>
          <w:szCs w:val="24"/>
        </w:rPr>
      </w:pPr>
      <w:r w:rsidRPr="007234F7">
        <w:rPr>
          <w:sz w:val="24"/>
          <w:szCs w:val="24"/>
        </w:rPr>
        <w:t>Women with Disabilities ACT</w:t>
      </w:r>
    </w:p>
    <w:p w14:paraId="65D6C5BB" w14:textId="77777777" w:rsidR="00A3203C" w:rsidRPr="007234F7" w:rsidRDefault="00A3203C" w:rsidP="00A3203C">
      <w:pPr>
        <w:spacing w:after="0"/>
        <w:rPr>
          <w:sz w:val="24"/>
          <w:szCs w:val="24"/>
        </w:rPr>
      </w:pPr>
      <w:r w:rsidRPr="007234F7">
        <w:rPr>
          <w:sz w:val="24"/>
          <w:szCs w:val="24"/>
        </w:rPr>
        <w:t xml:space="preserve">Yerrabi Yurwang Child and Family Aboriginal Corporation </w:t>
      </w:r>
    </w:p>
    <w:p w14:paraId="7B6C7A49" w14:textId="77777777" w:rsidR="00A3203C" w:rsidRPr="007234F7" w:rsidRDefault="00A3203C" w:rsidP="00A3203C">
      <w:pPr>
        <w:spacing w:after="0"/>
        <w:rPr>
          <w:sz w:val="24"/>
          <w:szCs w:val="24"/>
        </w:rPr>
      </w:pPr>
      <w:r w:rsidRPr="007234F7">
        <w:rPr>
          <w:sz w:val="24"/>
          <w:szCs w:val="24"/>
        </w:rPr>
        <w:t>Youth Coalition of the ACT</w:t>
      </w:r>
    </w:p>
    <w:p w14:paraId="0B9C3D2E" w14:textId="77777777" w:rsidR="00A3203C" w:rsidRPr="007234F7" w:rsidRDefault="00A3203C" w:rsidP="00A3203C">
      <w:pPr>
        <w:spacing w:after="0"/>
        <w:rPr>
          <w:sz w:val="24"/>
          <w:szCs w:val="24"/>
        </w:rPr>
      </w:pPr>
      <w:r w:rsidRPr="007234F7">
        <w:rPr>
          <w:sz w:val="24"/>
          <w:szCs w:val="24"/>
        </w:rPr>
        <w:t>YWCA Canberra</w:t>
      </w:r>
    </w:p>
    <w:p w14:paraId="03E3CE87" w14:textId="77777777" w:rsidR="00A3203C" w:rsidRDefault="00A3203C" w:rsidP="00A3203C">
      <w:pPr>
        <w:pStyle w:val="Bbodytext"/>
      </w:pPr>
      <w:r>
        <w:t>We also wish to acknowledge and thank those who chose to provide confidential input.</w:t>
      </w:r>
    </w:p>
    <w:p w14:paraId="6248B062" w14:textId="77777777" w:rsidR="00A3203C" w:rsidRDefault="00A3203C" w:rsidP="00A3203C">
      <w:pPr>
        <w:pStyle w:val="Heading1"/>
        <w:numPr>
          <w:ilvl w:val="0"/>
          <w:numId w:val="0"/>
        </w:numPr>
        <w:jc w:val="center"/>
        <w:rPr>
          <w:szCs w:val="22"/>
        </w:rPr>
        <w:sectPr w:rsidR="00A3203C" w:rsidSect="00542DA2">
          <w:footerReference w:type="default" r:id="rId11"/>
          <w:pgSz w:w="11906" w:h="16838" w:code="9"/>
          <w:pgMar w:top="1151" w:right="1440" w:bottom="1729" w:left="1440" w:header="720" w:footer="720" w:gutter="0"/>
          <w:cols w:space="708"/>
          <w:docGrid w:linePitch="360"/>
        </w:sectPr>
      </w:pPr>
    </w:p>
    <w:p w14:paraId="2E0A23E7" w14:textId="77777777" w:rsidR="00A3203C" w:rsidRDefault="00A3203C" w:rsidP="00A3203C">
      <w:pPr>
        <w:rPr>
          <w:rFonts w:ascii="Calibri" w:hAnsi="Calibri"/>
          <w:b/>
          <w:sz w:val="36"/>
        </w:rPr>
      </w:pPr>
    </w:p>
    <w:p w14:paraId="5610191A" w14:textId="77777777" w:rsidR="00A3203C" w:rsidRDefault="00A3203C" w:rsidP="00A3203C">
      <w:pPr>
        <w:jc w:val="center"/>
        <w:rPr>
          <w:b/>
          <w:bCs/>
          <w:sz w:val="32"/>
          <w:szCs w:val="32"/>
        </w:rPr>
      </w:pPr>
    </w:p>
    <w:p w14:paraId="429FDF86" w14:textId="4A40A864" w:rsidR="00A3203C" w:rsidRDefault="00A3203C" w:rsidP="00A3203C">
      <w:pPr>
        <w:jc w:val="center"/>
        <w:rPr>
          <w:b/>
          <w:bCs/>
          <w:sz w:val="32"/>
          <w:szCs w:val="32"/>
        </w:rPr>
      </w:pPr>
      <w:r w:rsidRPr="00A3203C">
        <w:rPr>
          <w:b/>
          <w:bCs/>
          <w:sz w:val="32"/>
          <w:szCs w:val="32"/>
        </w:rPr>
        <w:t xml:space="preserve">APPENDIX </w:t>
      </w:r>
      <w:r>
        <w:rPr>
          <w:b/>
          <w:bCs/>
          <w:sz w:val="32"/>
          <w:szCs w:val="32"/>
        </w:rPr>
        <w:t>B</w:t>
      </w:r>
    </w:p>
    <w:p w14:paraId="0A4EF2CC" w14:textId="77777777" w:rsidR="00A3203C" w:rsidRDefault="00A3203C" w:rsidP="00A3203C">
      <w:pPr>
        <w:jc w:val="center"/>
        <w:rPr>
          <w:b/>
          <w:bCs/>
          <w:sz w:val="32"/>
          <w:szCs w:val="32"/>
        </w:rPr>
      </w:pPr>
    </w:p>
    <w:p w14:paraId="11C52ACB" w14:textId="77777777" w:rsidR="00A3203C" w:rsidRPr="00A3203C" w:rsidRDefault="00A3203C" w:rsidP="00A3203C">
      <w:pPr>
        <w:jc w:val="center"/>
        <w:rPr>
          <w:b/>
          <w:bCs/>
          <w:sz w:val="32"/>
          <w:szCs w:val="32"/>
        </w:rPr>
      </w:pPr>
    </w:p>
    <w:p w14:paraId="54076771" w14:textId="74DFF870" w:rsidR="00A3203C" w:rsidRPr="00A3203C" w:rsidRDefault="00A3203C" w:rsidP="00A3203C">
      <w:pPr>
        <w:jc w:val="center"/>
        <w:rPr>
          <w:b/>
          <w:bCs/>
          <w:sz w:val="32"/>
          <w:szCs w:val="32"/>
        </w:rPr>
      </w:pPr>
      <w:r>
        <w:rPr>
          <w:b/>
          <w:bCs/>
          <w:sz w:val="32"/>
          <w:szCs w:val="32"/>
        </w:rPr>
        <w:t>BETTER INFRASTRUCTURE FUND</w:t>
      </w:r>
    </w:p>
    <w:p w14:paraId="3B182EA5" w14:textId="77777777" w:rsidR="00A3203C" w:rsidRDefault="00A3203C" w:rsidP="00A3203C">
      <w:pPr>
        <w:rPr>
          <w:rFonts w:ascii="Calibri" w:eastAsiaTheme="majorEastAsia" w:hAnsi="Calibri" w:cstheme="majorBidi"/>
          <w:b/>
          <w:caps/>
          <w:kern w:val="28"/>
          <w:sz w:val="36"/>
          <w:szCs w:val="32"/>
        </w:rPr>
      </w:pPr>
      <w:r>
        <w:br w:type="page"/>
      </w:r>
    </w:p>
    <w:p w14:paraId="08C066C8" w14:textId="60BE6512" w:rsidR="00A3203C" w:rsidRDefault="00A3203C">
      <w:pPr>
        <w:rPr>
          <w:rFonts w:ascii="Calibri" w:eastAsiaTheme="majorEastAsia" w:hAnsi="Calibri" w:cstheme="majorBidi"/>
          <w:b/>
          <w:caps/>
          <w:kern w:val="28"/>
          <w:sz w:val="36"/>
        </w:rPr>
      </w:pPr>
      <w:r>
        <w:lastRenderedPageBreak/>
        <w:br w:type="page"/>
      </w:r>
    </w:p>
    <w:p w14:paraId="64C84104" w14:textId="77777777" w:rsidR="00A3203C" w:rsidRDefault="00A3203C" w:rsidP="00A3203C">
      <w:pPr>
        <w:pStyle w:val="Heading2"/>
        <w:numPr>
          <w:ilvl w:val="0"/>
          <w:numId w:val="0"/>
        </w:numPr>
      </w:pPr>
      <w:bookmarkStart w:id="1" w:name="_Toc84300597"/>
      <w:r>
        <w:lastRenderedPageBreak/>
        <w:t>Appendix B – Better Infrastructure Fund</w:t>
      </w:r>
      <w:bookmarkEnd w:id="1"/>
      <w:r>
        <w:t xml:space="preserve"> </w:t>
      </w:r>
    </w:p>
    <w:p w14:paraId="71732113" w14:textId="77777777" w:rsidR="00A3203C" w:rsidRPr="00ED6DFA" w:rsidRDefault="00A3203C" w:rsidP="00A3203C">
      <w:pPr>
        <w:pStyle w:val="Bbodytext"/>
      </w:pPr>
      <w:r w:rsidRPr="00ED6DFA">
        <w:t xml:space="preserve">The </w:t>
      </w:r>
      <w:r w:rsidRPr="00ED6DFA">
        <w:rPr>
          <w:i/>
        </w:rPr>
        <w:t>Better Infrastructure Fund</w:t>
      </w:r>
      <w:r w:rsidRPr="00ED6DFA">
        <w:t xml:space="preserve"> gives ACT Government agencies an annual funding pool for works that extend the useful life or improve the service delivery capacity of existing infrastructure assets. This investment is distinct from routine repairs and maintenance work, which is funded separately. </w:t>
      </w:r>
    </w:p>
    <w:p w14:paraId="68C8C1F2" w14:textId="77777777" w:rsidR="00A3203C" w:rsidRPr="00ED6DFA" w:rsidRDefault="00A3203C" w:rsidP="00A3203C">
      <w:pPr>
        <w:pStyle w:val="Bbodytext"/>
      </w:pPr>
      <w:r w:rsidRPr="00ED6DFA">
        <w:t>The 202</w:t>
      </w:r>
      <w:r>
        <w:t>1</w:t>
      </w:r>
      <w:r w:rsidRPr="00ED6DFA">
        <w:t>-2</w:t>
      </w:r>
      <w:r>
        <w:t>2</w:t>
      </w:r>
      <w:r w:rsidRPr="00ED6DFA">
        <w:t xml:space="preserve"> Budget includes $</w:t>
      </w:r>
      <w:r>
        <w:t>75.313</w:t>
      </w:r>
      <w:r w:rsidRPr="00ED6DFA">
        <w:t xml:space="preserve"> million for core </w:t>
      </w:r>
      <w:r w:rsidRPr="00ED6DFA">
        <w:rPr>
          <w:i/>
        </w:rPr>
        <w:t>Better Infrastructure Fund</w:t>
      </w:r>
      <w:r w:rsidRPr="00ED6DFA">
        <w:t xml:space="preserve"> projects in 202</w:t>
      </w:r>
      <w:r>
        <w:t>1</w:t>
      </w:r>
      <w:r w:rsidRPr="00ED6DFA">
        <w:noBreakHyphen/>
        <w:t>2</w:t>
      </w:r>
      <w:r>
        <w:t>2</w:t>
      </w:r>
      <w:r w:rsidRPr="00ED6DFA">
        <w:t xml:space="preserve">. </w:t>
      </w:r>
    </w:p>
    <w:p w14:paraId="78C55E6A" w14:textId="35C769C2" w:rsidR="00A3203C" w:rsidRPr="00ED6DFA" w:rsidRDefault="00A3203C" w:rsidP="00A3203C">
      <w:pPr>
        <w:pStyle w:val="Bbodytext"/>
      </w:pPr>
      <w:r w:rsidRPr="00ED6DFA">
        <w:t xml:space="preserve">The following table lists these projects by agency. A number of these projects are also highlighted in Chapter 3.2 – </w:t>
      </w:r>
      <w:r w:rsidRPr="00C14ADA">
        <w:t xml:space="preserve">Fiscal </w:t>
      </w:r>
      <w:r w:rsidR="00812777">
        <w:t>S</w:t>
      </w:r>
      <w:r w:rsidRPr="00C14ADA">
        <w:t xml:space="preserve">trategy and </w:t>
      </w:r>
      <w:r w:rsidR="00812777">
        <w:t>Wellbeing Initiatives</w:t>
      </w:r>
      <w:r w:rsidRPr="00ED6DFA">
        <w:rPr>
          <w:i/>
          <w:iCs/>
        </w:rPr>
        <w:t xml:space="preserve"> </w:t>
      </w:r>
      <w:r w:rsidRPr="00ED6DFA">
        <w:t>– where they are being delivered in parallel with, or to support, other new Government projects.</w:t>
      </w:r>
    </w:p>
    <w:p w14:paraId="46C4123A" w14:textId="77777777" w:rsidR="00A3203C" w:rsidRPr="00ED6DFA" w:rsidRDefault="00A3203C" w:rsidP="00A3203C">
      <w:pPr>
        <w:rPr>
          <w:sz w:val="24"/>
        </w:rPr>
      </w:pPr>
      <w:r w:rsidRPr="00ED6DFA">
        <w:rPr>
          <w:sz w:val="24"/>
        </w:rPr>
        <w:t>In 20</w:t>
      </w:r>
      <w:r>
        <w:rPr>
          <w:sz w:val="24"/>
        </w:rPr>
        <w:t>20-21</w:t>
      </w:r>
      <w:r w:rsidRPr="00ED6DFA">
        <w:rPr>
          <w:sz w:val="24"/>
        </w:rPr>
        <w:t xml:space="preserve"> and 202</w:t>
      </w:r>
      <w:r>
        <w:rPr>
          <w:sz w:val="24"/>
        </w:rPr>
        <w:t>1</w:t>
      </w:r>
      <w:r w:rsidRPr="00ED6DFA">
        <w:rPr>
          <w:sz w:val="24"/>
        </w:rPr>
        <w:t>-2</w:t>
      </w:r>
      <w:r>
        <w:rPr>
          <w:sz w:val="24"/>
        </w:rPr>
        <w:t>2</w:t>
      </w:r>
      <w:r w:rsidRPr="00ED6DFA">
        <w:rPr>
          <w:sz w:val="24"/>
        </w:rPr>
        <w:t xml:space="preserve">, the core </w:t>
      </w:r>
      <w:r w:rsidRPr="00ED6DFA">
        <w:rPr>
          <w:i/>
          <w:iCs/>
          <w:sz w:val="24"/>
        </w:rPr>
        <w:t>Better Infrastructure Fund</w:t>
      </w:r>
      <w:r w:rsidRPr="00ED6DFA">
        <w:rPr>
          <w:sz w:val="24"/>
        </w:rPr>
        <w:t xml:space="preserve"> has been complemented by the Fast</w:t>
      </w:r>
      <w:r w:rsidRPr="00ED6DFA">
        <w:rPr>
          <w:sz w:val="24"/>
        </w:rPr>
        <w:noBreakHyphen/>
        <w:t xml:space="preserve">track program, an important element of the ACT Government’s economic support package. </w:t>
      </w:r>
    </w:p>
    <w:p w14:paraId="6AFC0F83" w14:textId="77777777" w:rsidR="00A3203C" w:rsidRPr="000F025D" w:rsidRDefault="00A3203C" w:rsidP="00A3203C">
      <w:r w:rsidRPr="00ED6DFA">
        <w:rPr>
          <w:sz w:val="24"/>
          <w:szCs w:val="24"/>
        </w:rPr>
        <w:t xml:space="preserve">Fast-track projects are reflected in the global </w:t>
      </w:r>
      <w:r w:rsidRPr="00ED6DFA">
        <w:rPr>
          <w:i/>
          <w:iCs/>
          <w:sz w:val="24"/>
          <w:szCs w:val="24"/>
        </w:rPr>
        <w:t>Better Infrastructure Fund</w:t>
      </w:r>
      <w:r w:rsidRPr="00ED6DFA">
        <w:rPr>
          <w:sz w:val="24"/>
          <w:szCs w:val="24"/>
        </w:rPr>
        <w:t xml:space="preserve"> budget figures outlined in </w:t>
      </w:r>
      <w:r w:rsidRPr="00C14ADA">
        <w:rPr>
          <w:sz w:val="24"/>
          <w:szCs w:val="24"/>
        </w:rPr>
        <w:t>Chapter 3.7 – Infrastructure and capital</w:t>
      </w:r>
      <w:r w:rsidRPr="00ED6DFA">
        <w:rPr>
          <w:i/>
          <w:iCs/>
          <w:sz w:val="24"/>
          <w:szCs w:val="24"/>
        </w:rPr>
        <w:t xml:space="preserve"> </w:t>
      </w:r>
      <w:r w:rsidRPr="00ED6DFA">
        <w:rPr>
          <w:sz w:val="24"/>
          <w:szCs w:val="24"/>
        </w:rPr>
        <w:t>but are not included in the table below.</w:t>
      </w:r>
      <w:r w:rsidRPr="1670DB05">
        <w:rPr>
          <w:sz w:val="24"/>
          <w:szCs w:val="24"/>
        </w:rPr>
        <w:t xml:space="preserve">  </w:t>
      </w:r>
    </w:p>
    <w:p w14:paraId="62EC09A0" w14:textId="77777777" w:rsidR="00A3203C" w:rsidRDefault="00A3203C" w:rsidP="00A3203C">
      <w:pPr>
        <w:pStyle w:val="Caption"/>
      </w:pPr>
      <w:r>
        <w:t>Table B.1: Better Infrastructure Fund initiatives in the 2021-22 Budget</w:t>
      </w:r>
    </w:p>
    <w:tbl>
      <w:tblPr>
        <w:tblW w:w="8991" w:type="dxa"/>
        <w:jc w:val="center"/>
        <w:tblLayout w:type="fixed"/>
        <w:tblLook w:val="04A0" w:firstRow="1" w:lastRow="0" w:firstColumn="1" w:lastColumn="0" w:noHBand="0" w:noVBand="1"/>
      </w:tblPr>
      <w:tblGrid>
        <w:gridCol w:w="7727"/>
        <w:gridCol w:w="1264"/>
      </w:tblGrid>
      <w:tr w:rsidR="00A3203C" w:rsidRPr="006614FC" w14:paraId="67E7069D" w14:textId="77777777" w:rsidTr="00A3203C">
        <w:trPr>
          <w:trHeight w:val="227"/>
          <w:tblHeader/>
          <w:jc w:val="center"/>
        </w:trPr>
        <w:tc>
          <w:tcPr>
            <w:tcW w:w="7727" w:type="dxa"/>
            <w:tcBorders>
              <w:top w:val="single" w:sz="4" w:space="0" w:color="auto"/>
              <w:bottom w:val="single" w:sz="4" w:space="0" w:color="auto"/>
            </w:tcBorders>
            <w:shd w:val="clear" w:color="auto" w:fill="472D8C"/>
          </w:tcPr>
          <w:p w14:paraId="143A34D7" w14:textId="77777777" w:rsidR="00A3203C" w:rsidRPr="000F025D" w:rsidRDefault="00A3203C" w:rsidP="00C14ADA">
            <w:pPr>
              <w:pStyle w:val="BStabletextbold"/>
            </w:pPr>
            <w:r w:rsidRPr="00C52D24">
              <w:rPr>
                <w:color w:val="FFFFFF" w:themeColor="background1"/>
              </w:rPr>
              <w:t>Project</w:t>
            </w:r>
          </w:p>
        </w:tc>
        <w:tc>
          <w:tcPr>
            <w:tcW w:w="1264" w:type="dxa"/>
            <w:tcBorders>
              <w:top w:val="single" w:sz="4" w:space="0" w:color="auto"/>
              <w:bottom w:val="single" w:sz="4" w:space="0" w:color="auto"/>
            </w:tcBorders>
            <w:shd w:val="clear" w:color="auto" w:fill="472D8C"/>
          </w:tcPr>
          <w:p w14:paraId="1809DD4C" w14:textId="77777777" w:rsidR="00A3203C" w:rsidRPr="000F025D" w:rsidRDefault="00A3203C" w:rsidP="00A3203C">
            <w:pPr>
              <w:pStyle w:val="BTableHeadingRowRightAligned"/>
              <w:rPr>
                <w:color w:val="FFFFFF" w:themeColor="background1"/>
              </w:rPr>
            </w:pPr>
            <w:r w:rsidRPr="000F025D">
              <w:rPr>
                <w:color w:val="FFFFFF" w:themeColor="background1"/>
              </w:rPr>
              <w:t>Financing</w:t>
            </w:r>
          </w:p>
          <w:p w14:paraId="4D7B6122" w14:textId="77777777" w:rsidR="00A3203C" w:rsidRPr="000F025D" w:rsidRDefault="00A3203C" w:rsidP="00A3203C">
            <w:pPr>
              <w:pStyle w:val="BTableHeadingRowRightAligned"/>
              <w:rPr>
                <w:color w:val="FFFFFF" w:themeColor="background1"/>
              </w:rPr>
            </w:pPr>
            <w:r w:rsidRPr="000F025D">
              <w:rPr>
                <w:color w:val="FFFFFF" w:themeColor="background1"/>
              </w:rPr>
              <w:t>2021-22</w:t>
            </w:r>
          </w:p>
          <w:p w14:paraId="114A3BDB" w14:textId="77777777" w:rsidR="00A3203C" w:rsidRPr="000F025D" w:rsidRDefault="00A3203C" w:rsidP="00A3203C">
            <w:pPr>
              <w:pStyle w:val="BTableHeadingRowRightAligned"/>
              <w:rPr>
                <w:color w:val="FFFFFF" w:themeColor="background1"/>
              </w:rPr>
            </w:pPr>
            <w:r w:rsidRPr="000F025D">
              <w:rPr>
                <w:color w:val="FFFFFF" w:themeColor="background1"/>
              </w:rPr>
              <w:t>$’000</w:t>
            </w:r>
          </w:p>
        </w:tc>
      </w:tr>
      <w:tr w:rsidR="00A3203C" w:rsidRPr="00682A4D" w14:paraId="0DAFBA11" w14:textId="77777777" w:rsidTr="00A3203C">
        <w:trPr>
          <w:trHeight w:val="454"/>
          <w:jc w:val="center"/>
        </w:trPr>
        <w:tc>
          <w:tcPr>
            <w:tcW w:w="7727" w:type="dxa"/>
            <w:shd w:val="clear" w:color="auto" w:fill="auto"/>
            <w:vAlign w:val="bottom"/>
          </w:tcPr>
          <w:p w14:paraId="24F5AEDF" w14:textId="77777777" w:rsidR="00A3203C" w:rsidRPr="000F6FD8" w:rsidRDefault="00A3203C" w:rsidP="00C14ADA">
            <w:pPr>
              <w:pStyle w:val="BStabletextbold"/>
              <w:rPr>
                <w:highlight w:val="green"/>
              </w:rPr>
            </w:pPr>
            <w:r w:rsidRPr="00890FD6">
              <w:t>Canberra Institute of Technology</w:t>
            </w:r>
            <w:r>
              <w:t xml:space="preserve"> (CIT)</w:t>
            </w:r>
          </w:p>
        </w:tc>
        <w:tc>
          <w:tcPr>
            <w:tcW w:w="1264" w:type="dxa"/>
            <w:shd w:val="clear" w:color="auto" w:fill="auto"/>
          </w:tcPr>
          <w:p w14:paraId="004261D4" w14:textId="77777777" w:rsidR="00A3203C" w:rsidRPr="006614FC" w:rsidRDefault="00A3203C" w:rsidP="00A3203C">
            <w:pPr>
              <w:pStyle w:val="EmptyCell0"/>
              <w:rPr>
                <w:lang w:eastAsia="en-AU"/>
              </w:rPr>
            </w:pPr>
          </w:p>
        </w:tc>
      </w:tr>
      <w:tr w:rsidR="00A3203C" w:rsidRPr="00682A4D" w14:paraId="003323F7" w14:textId="77777777" w:rsidTr="00C14ADA">
        <w:trPr>
          <w:trHeight w:val="454"/>
          <w:jc w:val="center"/>
        </w:trPr>
        <w:tc>
          <w:tcPr>
            <w:tcW w:w="7727" w:type="dxa"/>
            <w:shd w:val="clear" w:color="auto" w:fill="auto"/>
            <w:vAlign w:val="bottom"/>
          </w:tcPr>
          <w:p w14:paraId="6B1F06B9" w14:textId="77777777" w:rsidR="00A3203C" w:rsidRDefault="00A3203C" w:rsidP="00C14ADA">
            <w:pPr>
              <w:pStyle w:val="BStabletextbolditalics"/>
            </w:pPr>
            <w:r w:rsidRPr="00D4047E">
              <w:t xml:space="preserve">All Campuses </w:t>
            </w:r>
          </w:p>
        </w:tc>
        <w:tc>
          <w:tcPr>
            <w:tcW w:w="1264" w:type="dxa"/>
            <w:shd w:val="clear" w:color="auto" w:fill="auto"/>
          </w:tcPr>
          <w:p w14:paraId="2051E10B" w14:textId="77777777" w:rsidR="00A3203C" w:rsidRDefault="00A3203C" w:rsidP="00A3203C">
            <w:pPr>
              <w:pStyle w:val="EmptyCell0"/>
            </w:pPr>
          </w:p>
        </w:tc>
      </w:tr>
      <w:tr w:rsidR="00A3203C" w:rsidRPr="006614FC" w14:paraId="441EA6D9" w14:textId="77777777" w:rsidTr="00A3203C">
        <w:trPr>
          <w:trHeight w:val="227"/>
          <w:jc w:val="center"/>
        </w:trPr>
        <w:tc>
          <w:tcPr>
            <w:tcW w:w="7727" w:type="dxa"/>
          </w:tcPr>
          <w:p w14:paraId="44F75A5A" w14:textId="77777777" w:rsidR="00A3203C" w:rsidRPr="00D4047E" w:rsidRDefault="00A3203C" w:rsidP="00C14ADA">
            <w:pPr>
              <w:pStyle w:val="BStabletext"/>
            </w:pPr>
            <w:r w:rsidRPr="00D4047E">
              <w:t>Co-designed student spaces</w:t>
            </w:r>
          </w:p>
        </w:tc>
        <w:tc>
          <w:tcPr>
            <w:tcW w:w="1264" w:type="dxa"/>
          </w:tcPr>
          <w:p w14:paraId="6051FB32" w14:textId="77777777" w:rsidR="00A3203C" w:rsidRDefault="00A3203C" w:rsidP="00A3203C">
            <w:pPr>
              <w:pStyle w:val="Btablefigureunbold"/>
            </w:pPr>
            <w:r>
              <w:t>417</w:t>
            </w:r>
          </w:p>
        </w:tc>
      </w:tr>
      <w:tr w:rsidR="00A3203C" w:rsidRPr="006614FC" w14:paraId="6577090F" w14:textId="77777777" w:rsidTr="00C14ADA">
        <w:trPr>
          <w:trHeight w:val="397"/>
          <w:jc w:val="center"/>
        </w:trPr>
        <w:tc>
          <w:tcPr>
            <w:tcW w:w="7727" w:type="dxa"/>
            <w:vAlign w:val="bottom"/>
          </w:tcPr>
          <w:p w14:paraId="7F377955" w14:textId="77777777" w:rsidR="00A3203C" w:rsidRPr="00D4047E" w:rsidRDefault="00A3203C" w:rsidP="00C14ADA">
            <w:pPr>
              <w:pStyle w:val="BStabletext"/>
            </w:pPr>
            <w:r w:rsidRPr="00966F5F">
              <w:t>Bruce Campus</w:t>
            </w:r>
          </w:p>
        </w:tc>
        <w:tc>
          <w:tcPr>
            <w:tcW w:w="1264" w:type="dxa"/>
            <w:vAlign w:val="bottom"/>
          </w:tcPr>
          <w:p w14:paraId="0E36C02C" w14:textId="77777777" w:rsidR="00A3203C" w:rsidRPr="00D4047E" w:rsidRDefault="00A3203C" w:rsidP="00C14ADA">
            <w:pPr>
              <w:pStyle w:val="Btablefigureunbold"/>
              <w:jc w:val="left"/>
            </w:pPr>
          </w:p>
        </w:tc>
      </w:tr>
      <w:tr w:rsidR="00A3203C" w:rsidRPr="006614FC" w14:paraId="632C9E6A" w14:textId="77777777" w:rsidTr="00A3203C">
        <w:trPr>
          <w:trHeight w:val="227"/>
          <w:jc w:val="center"/>
        </w:trPr>
        <w:tc>
          <w:tcPr>
            <w:tcW w:w="7727" w:type="dxa"/>
          </w:tcPr>
          <w:p w14:paraId="22A383AE" w14:textId="77777777" w:rsidR="00A3203C" w:rsidRPr="00DB1590" w:rsidRDefault="00A3203C" w:rsidP="00C14ADA">
            <w:pPr>
              <w:pStyle w:val="BStabletext"/>
              <w:rPr>
                <w:b/>
                <w:i/>
              </w:rPr>
            </w:pPr>
            <w:r w:rsidRPr="00D4047E">
              <w:t xml:space="preserve">Replacement of </w:t>
            </w:r>
            <w:r>
              <w:t>g</w:t>
            </w:r>
            <w:r w:rsidRPr="00D4047E">
              <w:t>lasshouse boilers and heating system</w:t>
            </w:r>
          </w:p>
        </w:tc>
        <w:tc>
          <w:tcPr>
            <w:tcW w:w="1264" w:type="dxa"/>
          </w:tcPr>
          <w:p w14:paraId="75FF6E05" w14:textId="77777777" w:rsidR="00A3203C" w:rsidRPr="00E37A43" w:rsidRDefault="00A3203C" w:rsidP="00A3203C">
            <w:pPr>
              <w:pStyle w:val="Btablefigureunbold"/>
            </w:pPr>
            <w:r w:rsidRPr="00D4047E">
              <w:t>120</w:t>
            </w:r>
          </w:p>
        </w:tc>
      </w:tr>
      <w:tr w:rsidR="00A3203C" w:rsidRPr="006614FC" w14:paraId="677901D3" w14:textId="77777777" w:rsidTr="00A3203C">
        <w:trPr>
          <w:trHeight w:val="227"/>
          <w:jc w:val="center"/>
        </w:trPr>
        <w:tc>
          <w:tcPr>
            <w:tcW w:w="7727" w:type="dxa"/>
          </w:tcPr>
          <w:p w14:paraId="41C6383A" w14:textId="77777777" w:rsidR="00A3203C" w:rsidRPr="00E46655" w:rsidRDefault="00A3203C" w:rsidP="00C14ADA">
            <w:pPr>
              <w:pStyle w:val="BStabletextbolditalics"/>
              <w:rPr>
                <w:lang w:eastAsia="en-AU"/>
              </w:rPr>
            </w:pPr>
            <w:r w:rsidRPr="00E46655">
              <w:rPr>
                <w:lang w:eastAsia="en-AU"/>
              </w:rPr>
              <w:t xml:space="preserve">Simulated </w:t>
            </w:r>
            <w:r>
              <w:rPr>
                <w:lang w:eastAsia="en-AU"/>
              </w:rPr>
              <w:t>h</w:t>
            </w:r>
            <w:r w:rsidRPr="00E46655">
              <w:rPr>
                <w:lang w:eastAsia="en-AU"/>
              </w:rPr>
              <w:t xml:space="preserve">ospital </w:t>
            </w:r>
            <w:r>
              <w:rPr>
                <w:lang w:eastAsia="en-AU"/>
              </w:rPr>
              <w:t>w</w:t>
            </w:r>
            <w:r w:rsidRPr="00E46655">
              <w:rPr>
                <w:lang w:eastAsia="en-AU"/>
              </w:rPr>
              <w:t>ard space</w:t>
            </w:r>
          </w:p>
        </w:tc>
        <w:tc>
          <w:tcPr>
            <w:tcW w:w="1264" w:type="dxa"/>
          </w:tcPr>
          <w:p w14:paraId="6C67DC3D" w14:textId="77777777" w:rsidR="00A3203C" w:rsidRPr="00E37A43" w:rsidRDefault="00A3203C" w:rsidP="00A3203C">
            <w:pPr>
              <w:pStyle w:val="Btablefigureunbold"/>
            </w:pPr>
            <w:r w:rsidRPr="00D4047E">
              <w:t>300</w:t>
            </w:r>
          </w:p>
        </w:tc>
      </w:tr>
      <w:tr w:rsidR="00A3203C" w:rsidRPr="006614FC" w14:paraId="376BD7F9" w14:textId="77777777" w:rsidTr="00A3203C">
        <w:trPr>
          <w:trHeight w:val="227"/>
          <w:jc w:val="center"/>
        </w:trPr>
        <w:tc>
          <w:tcPr>
            <w:tcW w:w="7727" w:type="dxa"/>
          </w:tcPr>
          <w:p w14:paraId="2847EA9F" w14:textId="77777777" w:rsidR="00A3203C" w:rsidRPr="00DB1590" w:rsidRDefault="00A3203C" w:rsidP="00C14ADA">
            <w:pPr>
              <w:pStyle w:val="BStabletext"/>
              <w:rPr>
                <w:b/>
                <w:i/>
              </w:rPr>
            </w:pPr>
            <w:r w:rsidRPr="00D4047E">
              <w:t>Refurbishment of D-Block learning spaces</w:t>
            </w:r>
          </w:p>
        </w:tc>
        <w:tc>
          <w:tcPr>
            <w:tcW w:w="1264" w:type="dxa"/>
          </w:tcPr>
          <w:p w14:paraId="6A00AFF9" w14:textId="77777777" w:rsidR="00A3203C" w:rsidRPr="00E37A43" w:rsidRDefault="00A3203C" w:rsidP="00A3203C">
            <w:pPr>
              <w:pStyle w:val="Btablefigureunbold"/>
            </w:pPr>
            <w:r w:rsidRPr="00D4047E">
              <w:t>300</w:t>
            </w:r>
          </w:p>
        </w:tc>
      </w:tr>
      <w:tr w:rsidR="00A3203C" w:rsidRPr="006614FC" w14:paraId="42EED645" w14:textId="77777777" w:rsidTr="00A3203C">
        <w:trPr>
          <w:trHeight w:val="227"/>
          <w:jc w:val="center"/>
        </w:trPr>
        <w:tc>
          <w:tcPr>
            <w:tcW w:w="7727" w:type="dxa"/>
          </w:tcPr>
          <w:p w14:paraId="3F49303E" w14:textId="77777777" w:rsidR="00A3203C" w:rsidRPr="00DB1590" w:rsidRDefault="00A3203C" w:rsidP="00C14ADA">
            <w:pPr>
              <w:pStyle w:val="BStabletext"/>
              <w:rPr>
                <w:b/>
                <w:i/>
              </w:rPr>
            </w:pPr>
            <w:r w:rsidRPr="00D4047E">
              <w:t xml:space="preserve">Upgrade </w:t>
            </w:r>
            <w:r>
              <w:t>h</w:t>
            </w:r>
            <w:r w:rsidRPr="00D4047E">
              <w:t xml:space="preserve">eat </w:t>
            </w:r>
            <w:r>
              <w:t>p</w:t>
            </w:r>
            <w:r w:rsidRPr="00D4047E">
              <w:t xml:space="preserve">ump </w:t>
            </w:r>
            <w:r>
              <w:t>c</w:t>
            </w:r>
            <w:r w:rsidRPr="00D4047E">
              <w:t>hiller Building K Bruce</w:t>
            </w:r>
          </w:p>
        </w:tc>
        <w:tc>
          <w:tcPr>
            <w:tcW w:w="1264" w:type="dxa"/>
          </w:tcPr>
          <w:p w14:paraId="75CC8A9E" w14:textId="77777777" w:rsidR="00A3203C" w:rsidRPr="00E37A43" w:rsidRDefault="00A3203C" w:rsidP="00A3203C">
            <w:pPr>
              <w:pStyle w:val="Btablefigureunbold"/>
            </w:pPr>
            <w:r w:rsidRPr="00D4047E">
              <w:t>150</w:t>
            </w:r>
          </w:p>
        </w:tc>
      </w:tr>
      <w:tr w:rsidR="00A3203C" w:rsidRPr="006614FC" w14:paraId="307D7BA8" w14:textId="77777777" w:rsidTr="00A3203C">
        <w:trPr>
          <w:trHeight w:val="227"/>
          <w:jc w:val="center"/>
        </w:trPr>
        <w:tc>
          <w:tcPr>
            <w:tcW w:w="7727" w:type="dxa"/>
          </w:tcPr>
          <w:p w14:paraId="5F9EED1B" w14:textId="77777777" w:rsidR="00A3203C" w:rsidRPr="00DB1590" w:rsidRDefault="00A3203C" w:rsidP="00C14ADA">
            <w:pPr>
              <w:pStyle w:val="BStabletext"/>
              <w:rPr>
                <w:b/>
                <w:i/>
              </w:rPr>
            </w:pPr>
            <w:r w:rsidRPr="00D4047E">
              <w:t xml:space="preserve">D-Block </w:t>
            </w:r>
            <w:r>
              <w:t>r</w:t>
            </w:r>
            <w:r w:rsidRPr="00D4047E">
              <w:t xml:space="preserve">oof </w:t>
            </w:r>
            <w:r>
              <w:t>r</w:t>
            </w:r>
            <w:r w:rsidRPr="00D4047E">
              <w:t>eplacement</w:t>
            </w:r>
          </w:p>
        </w:tc>
        <w:tc>
          <w:tcPr>
            <w:tcW w:w="1264" w:type="dxa"/>
          </w:tcPr>
          <w:p w14:paraId="6EFB0F0E" w14:textId="77777777" w:rsidR="00A3203C" w:rsidRPr="00E37A43" w:rsidRDefault="00A3203C" w:rsidP="00A3203C">
            <w:pPr>
              <w:pStyle w:val="Btablefigureunbold"/>
            </w:pPr>
            <w:r w:rsidRPr="00D4047E">
              <w:t>350</w:t>
            </w:r>
          </w:p>
        </w:tc>
      </w:tr>
      <w:tr w:rsidR="00A3203C" w:rsidRPr="006614FC" w14:paraId="50EB7C17" w14:textId="77777777" w:rsidTr="00C14ADA">
        <w:trPr>
          <w:trHeight w:val="397"/>
          <w:jc w:val="center"/>
        </w:trPr>
        <w:tc>
          <w:tcPr>
            <w:tcW w:w="7727" w:type="dxa"/>
            <w:vAlign w:val="bottom"/>
          </w:tcPr>
          <w:p w14:paraId="1C572966" w14:textId="77777777" w:rsidR="00A3203C" w:rsidRPr="00C14ADA" w:rsidRDefault="00A3203C" w:rsidP="00C14ADA">
            <w:pPr>
              <w:pStyle w:val="BStabletext"/>
              <w:rPr>
                <w:b/>
                <w:bCs w:val="0"/>
              </w:rPr>
            </w:pPr>
            <w:r w:rsidRPr="00C14ADA">
              <w:rPr>
                <w:b/>
                <w:bCs w:val="0"/>
              </w:rPr>
              <w:t>Fyshwick Campus</w:t>
            </w:r>
          </w:p>
        </w:tc>
        <w:tc>
          <w:tcPr>
            <w:tcW w:w="1264" w:type="dxa"/>
            <w:vAlign w:val="bottom"/>
          </w:tcPr>
          <w:p w14:paraId="56DBFFA7" w14:textId="77777777" w:rsidR="00A3203C" w:rsidRPr="00E37A43" w:rsidRDefault="00A3203C" w:rsidP="00C14ADA">
            <w:pPr>
              <w:pStyle w:val="Btablefigureunbold"/>
              <w:jc w:val="left"/>
            </w:pPr>
          </w:p>
        </w:tc>
      </w:tr>
      <w:tr w:rsidR="00A3203C" w:rsidRPr="006614FC" w14:paraId="1F275938" w14:textId="77777777" w:rsidTr="00A3203C">
        <w:trPr>
          <w:trHeight w:val="227"/>
          <w:jc w:val="center"/>
        </w:trPr>
        <w:tc>
          <w:tcPr>
            <w:tcW w:w="7727" w:type="dxa"/>
          </w:tcPr>
          <w:p w14:paraId="750450B3" w14:textId="77777777" w:rsidR="00A3203C" w:rsidRPr="00DB1590" w:rsidRDefault="00A3203C" w:rsidP="00C14ADA">
            <w:pPr>
              <w:pStyle w:val="BStabletext"/>
              <w:rPr>
                <w:b/>
                <w:i/>
              </w:rPr>
            </w:pPr>
            <w:r w:rsidRPr="00D4047E">
              <w:t xml:space="preserve">Ventilation, </w:t>
            </w:r>
            <w:r>
              <w:t>h</w:t>
            </w:r>
            <w:r w:rsidRPr="00D4047E">
              <w:t xml:space="preserve">eating and </w:t>
            </w:r>
            <w:r>
              <w:t>f</w:t>
            </w:r>
            <w:r w:rsidRPr="00D4047E">
              <w:t xml:space="preserve">ire </w:t>
            </w:r>
            <w:r>
              <w:t>h</w:t>
            </w:r>
            <w:r w:rsidRPr="00D4047E">
              <w:t xml:space="preserve">ydrants </w:t>
            </w:r>
            <w:r>
              <w:t>u</w:t>
            </w:r>
            <w:r w:rsidRPr="00D4047E">
              <w:t>pgrade D-Block</w:t>
            </w:r>
          </w:p>
        </w:tc>
        <w:tc>
          <w:tcPr>
            <w:tcW w:w="1264" w:type="dxa"/>
            <w:vAlign w:val="bottom"/>
          </w:tcPr>
          <w:p w14:paraId="4198D4C5" w14:textId="77777777" w:rsidR="00A3203C" w:rsidRPr="00E37A43" w:rsidRDefault="00A3203C" w:rsidP="00A3203C">
            <w:pPr>
              <w:pStyle w:val="Btablefigureunbold"/>
            </w:pPr>
            <w:r w:rsidRPr="00D4047E">
              <w:t>300</w:t>
            </w:r>
          </w:p>
        </w:tc>
      </w:tr>
      <w:tr w:rsidR="00A3203C" w:rsidRPr="006614FC" w14:paraId="45C8D10E" w14:textId="77777777" w:rsidTr="00A3203C">
        <w:trPr>
          <w:trHeight w:val="227"/>
          <w:jc w:val="center"/>
        </w:trPr>
        <w:tc>
          <w:tcPr>
            <w:tcW w:w="7727" w:type="dxa"/>
          </w:tcPr>
          <w:p w14:paraId="4396700B" w14:textId="77777777" w:rsidR="00A3203C" w:rsidRPr="00DB1590" w:rsidRDefault="00A3203C" w:rsidP="00C14ADA">
            <w:pPr>
              <w:pStyle w:val="BStabletext"/>
              <w:rPr>
                <w:b/>
                <w:i/>
              </w:rPr>
            </w:pPr>
            <w:r w:rsidRPr="00D4047E">
              <w:t xml:space="preserve">Stage 2 of A-Block </w:t>
            </w:r>
            <w:r>
              <w:t>l</w:t>
            </w:r>
            <w:r w:rsidRPr="00D4047E">
              <w:t xml:space="preserve">ift </w:t>
            </w:r>
            <w:r>
              <w:t>r</w:t>
            </w:r>
            <w:r w:rsidRPr="00D4047E">
              <w:t>eplacement</w:t>
            </w:r>
          </w:p>
        </w:tc>
        <w:tc>
          <w:tcPr>
            <w:tcW w:w="1264" w:type="dxa"/>
            <w:vAlign w:val="bottom"/>
          </w:tcPr>
          <w:p w14:paraId="7D552065" w14:textId="77777777" w:rsidR="00A3203C" w:rsidRPr="00E37A43" w:rsidRDefault="00A3203C" w:rsidP="00A3203C">
            <w:pPr>
              <w:pStyle w:val="Btablefigureunbold"/>
            </w:pPr>
            <w:r w:rsidRPr="00D4047E">
              <w:t>300</w:t>
            </w:r>
          </w:p>
        </w:tc>
      </w:tr>
      <w:tr w:rsidR="00A3203C" w:rsidRPr="006614FC" w14:paraId="59722865" w14:textId="77777777" w:rsidTr="00A3203C">
        <w:trPr>
          <w:trHeight w:val="227"/>
          <w:jc w:val="center"/>
        </w:trPr>
        <w:tc>
          <w:tcPr>
            <w:tcW w:w="7727" w:type="dxa"/>
          </w:tcPr>
          <w:p w14:paraId="4408E46C" w14:textId="77777777" w:rsidR="00A3203C" w:rsidRPr="00DB1590" w:rsidRDefault="00A3203C" w:rsidP="00C14ADA">
            <w:pPr>
              <w:pStyle w:val="BStabletext"/>
              <w:rPr>
                <w:b/>
                <w:i/>
              </w:rPr>
            </w:pPr>
            <w:r w:rsidRPr="00D4047E">
              <w:t xml:space="preserve">Heating </w:t>
            </w:r>
            <w:r>
              <w:t>u</w:t>
            </w:r>
            <w:r w:rsidRPr="00D4047E">
              <w:t xml:space="preserve">pgrade A and B Block </w:t>
            </w:r>
            <w:r>
              <w:t>w</w:t>
            </w:r>
            <w:r w:rsidRPr="00D4047E">
              <w:t>orkshops</w:t>
            </w:r>
          </w:p>
        </w:tc>
        <w:tc>
          <w:tcPr>
            <w:tcW w:w="1264" w:type="dxa"/>
            <w:vAlign w:val="bottom"/>
          </w:tcPr>
          <w:p w14:paraId="242FD103" w14:textId="77777777" w:rsidR="00A3203C" w:rsidRPr="00E37A43" w:rsidRDefault="00A3203C" w:rsidP="00A3203C">
            <w:pPr>
              <w:pStyle w:val="Btablefigureunbold"/>
            </w:pPr>
            <w:r w:rsidRPr="00D4047E">
              <w:t>80</w:t>
            </w:r>
          </w:p>
        </w:tc>
      </w:tr>
      <w:tr w:rsidR="00A3203C" w:rsidRPr="006614FC" w14:paraId="3612FDCD" w14:textId="77777777" w:rsidTr="00A3203C">
        <w:trPr>
          <w:trHeight w:val="227"/>
          <w:jc w:val="center"/>
        </w:trPr>
        <w:tc>
          <w:tcPr>
            <w:tcW w:w="7727" w:type="dxa"/>
          </w:tcPr>
          <w:p w14:paraId="0B848F66" w14:textId="77777777" w:rsidR="00A3203C" w:rsidRPr="00DB1590" w:rsidRDefault="00A3203C" w:rsidP="00C14ADA">
            <w:pPr>
              <w:pStyle w:val="BStabletext"/>
              <w:rPr>
                <w:b/>
                <w:i/>
              </w:rPr>
            </w:pPr>
            <w:r w:rsidRPr="00D4047E">
              <w:t xml:space="preserve">Refurbishment of D-Block </w:t>
            </w:r>
            <w:r>
              <w:t>r</w:t>
            </w:r>
            <w:r w:rsidRPr="00D4047E">
              <w:t xml:space="preserve">efrigeration </w:t>
            </w:r>
            <w:r>
              <w:t>w</w:t>
            </w:r>
            <w:r w:rsidRPr="00D4047E">
              <w:t>orkshop</w:t>
            </w:r>
          </w:p>
        </w:tc>
        <w:tc>
          <w:tcPr>
            <w:tcW w:w="1264" w:type="dxa"/>
            <w:vAlign w:val="bottom"/>
          </w:tcPr>
          <w:p w14:paraId="777DF453" w14:textId="77777777" w:rsidR="00A3203C" w:rsidRPr="00E37A43" w:rsidRDefault="00A3203C" w:rsidP="00A3203C">
            <w:pPr>
              <w:pStyle w:val="Btablefigureunbold"/>
            </w:pPr>
            <w:r w:rsidRPr="00D4047E">
              <w:t>300</w:t>
            </w:r>
          </w:p>
        </w:tc>
      </w:tr>
      <w:tr w:rsidR="00A3203C" w:rsidRPr="006614FC" w14:paraId="53474020" w14:textId="77777777" w:rsidTr="00A3203C">
        <w:trPr>
          <w:trHeight w:val="227"/>
          <w:jc w:val="center"/>
        </w:trPr>
        <w:tc>
          <w:tcPr>
            <w:tcW w:w="7727" w:type="dxa"/>
          </w:tcPr>
          <w:p w14:paraId="119F7FCF" w14:textId="77777777" w:rsidR="00A3203C" w:rsidRPr="00DB1590" w:rsidRDefault="00A3203C" w:rsidP="00C14ADA">
            <w:pPr>
              <w:pStyle w:val="BStabletext"/>
              <w:rPr>
                <w:b/>
                <w:i/>
              </w:rPr>
            </w:pPr>
            <w:r w:rsidRPr="00D4047E">
              <w:t>Access points and walkways</w:t>
            </w:r>
          </w:p>
        </w:tc>
        <w:tc>
          <w:tcPr>
            <w:tcW w:w="1264" w:type="dxa"/>
            <w:vAlign w:val="bottom"/>
          </w:tcPr>
          <w:p w14:paraId="2EF6F5FA" w14:textId="77777777" w:rsidR="00A3203C" w:rsidRPr="00E37A43" w:rsidRDefault="00A3203C" w:rsidP="00A3203C">
            <w:pPr>
              <w:pStyle w:val="Btablefigureunbold"/>
            </w:pPr>
            <w:r w:rsidRPr="00D4047E">
              <w:t>300</w:t>
            </w:r>
          </w:p>
        </w:tc>
      </w:tr>
      <w:tr w:rsidR="00A3203C" w:rsidRPr="006614FC" w14:paraId="64E78C87" w14:textId="77777777" w:rsidTr="00C14ADA">
        <w:trPr>
          <w:trHeight w:val="227"/>
          <w:jc w:val="center"/>
        </w:trPr>
        <w:tc>
          <w:tcPr>
            <w:tcW w:w="7727" w:type="dxa"/>
          </w:tcPr>
          <w:p w14:paraId="6F73F053" w14:textId="77777777" w:rsidR="00A3203C" w:rsidRPr="00C14ADA" w:rsidRDefault="00A3203C" w:rsidP="00C14ADA">
            <w:pPr>
              <w:pStyle w:val="BStabletext"/>
              <w:rPr>
                <w:b/>
                <w:bCs w:val="0"/>
                <w:i/>
              </w:rPr>
            </w:pPr>
            <w:r w:rsidRPr="00C14ADA">
              <w:rPr>
                <w:b/>
                <w:bCs w:val="0"/>
              </w:rPr>
              <w:t>Total</w:t>
            </w:r>
          </w:p>
        </w:tc>
        <w:tc>
          <w:tcPr>
            <w:tcW w:w="1264" w:type="dxa"/>
          </w:tcPr>
          <w:p w14:paraId="4DD7A526" w14:textId="77777777" w:rsidR="00A3203C" w:rsidRPr="00E37A43" w:rsidRDefault="00A3203C" w:rsidP="00A3203C">
            <w:pPr>
              <w:pStyle w:val="Btablefigureunbold"/>
            </w:pPr>
            <w:r w:rsidRPr="00D4047E">
              <w:rPr>
                <w:b/>
                <w:bCs/>
                <w:szCs w:val="20"/>
              </w:rPr>
              <w:t>2,917</w:t>
            </w:r>
          </w:p>
        </w:tc>
      </w:tr>
      <w:tr w:rsidR="00A3203C" w:rsidRPr="006614FC" w14:paraId="3EB4EDAE" w14:textId="77777777" w:rsidTr="00C14ADA">
        <w:trPr>
          <w:trHeight w:val="397"/>
          <w:jc w:val="center"/>
        </w:trPr>
        <w:tc>
          <w:tcPr>
            <w:tcW w:w="7727" w:type="dxa"/>
            <w:shd w:val="clear" w:color="auto" w:fill="auto"/>
            <w:vAlign w:val="bottom"/>
          </w:tcPr>
          <w:p w14:paraId="1D888D20" w14:textId="77777777" w:rsidR="00A3203C" w:rsidRPr="00C33A74" w:rsidRDefault="00A3203C" w:rsidP="00C14ADA">
            <w:pPr>
              <w:pStyle w:val="BStabletextbold"/>
            </w:pPr>
            <w:r>
              <w:rPr>
                <w:sz w:val="24"/>
              </w:rPr>
              <w:br w:type="page"/>
            </w:r>
            <w:r w:rsidRPr="00FD7239">
              <w:t>Chief Minister, Treasury and Economic Development Directorate</w:t>
            </w:r>
            <w:r>
              <w:t xml:space="preserve"> (CMTEDD)</w:t>
            </w:r>
          </w:p>
        </w:tc>
        <w:tc>
          <w:tcPr>
            <w:tcW w:w="1264" w:type="dxa"/>
            <w:shd w:val="clear" w:color="auto" w:fill="auto"/>
          </w:tcPr>
          <w:p w14:paraId="1A9AC644" w14:textId="77777777" w:rsidR="00A3203C" w:rsidRPr="004A149C" w:rsidRDefault="00A3203C" w:rsidP="00A3203C">
            <w:pPr>
              <w:pStyle w:val="EmptyCell0"/>
            </w:pPr>
          </w:p>
        </w:tc>
      </w:tr>
      <w:tr w:rsidR="00A3203C" w:rsidRPr="00B55531" w14:paraId="723A40E9" w14:textId="77777777" w:rsidTr="00A3203C">
        <w:trPr>
          <w:trHeight w:val="454"/>
          <w:jc w:val="center"/>
        </w:trPr>
        <w:tc>
          <w:tcPr>
            <w:tcW w:w="7727" w:type="dxa"/>
            <w:vAlign w:val="bottom"/>
          </w:tcPr>
          <w:p w14:paraId="3E0EF0EC" w14:textId="77777777" w:rsidR="00A3203C" w:rsidRPr="007C5719" w:rsidRDefault="00A3203C" w:rsidP="00C14ADA">
            <w:pPr>
              <w:pStyle w:val="BStabletextbolditalics"/>
            </w:pPr>
            <w:r w:rsidRPr="007C5719">
              <w:t>ACT property upgrades</w:t>
            </w:r>
          </w:p>
        </w:tc>
        <w:tc>
          <w:tcPr>
            <w:tcW w:w="1264" w:type="dxa"/>
            <w:vAlign w:val="bottom"/>
          </w:tcPr>
          <w:p w14:paraId="5E3D56DD" w14:textId="77777777" w:rsidR="00A3203C" w:rsidRPr="00B55531" w:rsidRDefault="00A3203C" w:rsidP="00A3203C">
            <w:pPr>
              <w:pStyle w:val="EmptyCell0"/>
            </w:pPr>
            <w:r>
              <w:t>11,15</w:t>
            </w:r>
          </w:p>
        </w:tc>
      </w:tr>
      <w:tr w:rsidR="00A3203C" w:rsidRPr="006614FC" w14:paraId="02EC272B" w14:textId="77777777" w:rsidTr="00A3203C">
        <w:trPr>
          <w:trHeight w:val="227"/>
          <w:jc w:val="center"/>
        </w:trPr>
        <w:tc>
          <w:tcPr>
            <w:tcW w:w="7727" w:type="dxa"/>
          </w:tcPr>
          <w:p w14:paraId="3FD928AD" w14:textId="77777777" w:rsidR="00A3203C" w:rsidRPr="007C5719" w:rsidRDefault="00A3203C" w:rsidP="00C14ADA">
            <w:pPr>
              <w:pStyle w:val="BStabletext"/>
            </w:pPr>
            <w:r w:rsidRPr="00D4047E">
              <w:t xml:space="preserve">Building and </w:t>
            </w:r>
            <w:r>
              <w:t>s</w:t>
            </w:r>
            <w:r w:rsidRPr="00D4047E">
              <w:t xml:space="preserve">afety </w:t>
            </w:r>
            <w:r>
              <w:t>u</w:t>
            </w:r>
            <w:r w:rsidRPr="00D4047E">
              <w:t>pgrades</w:t>
            </w:r>
          </w:p>
        </w:tc>
        <w:tc>
          <w:tcPr>
            <w:tcW w:w="1264" w:type="dxa"/>
          </w:tcPr>
          <w:p w14:paraId="08FA3C68" w14:textId="77777777" w:rsidR="00A3203C" w:rsidRPr="00893DB5" w:rsidRDefault="00A3203C" w:rsidP="00A3203C">
            <w:pPr>
              <w:pStyle w:val="Btablefigureunbold"/>
            </w:pPr>
            <w:r>
              <w:t>1,150</w:t>
            </w:r>
          </w:p>
        </w:tc>
      </w:tr>
      <w:tr w:rsidR="00A3203C" w:rsidRPr="006614FC" w14:paraId="070A2D5B" w14:textId="77777777" w:rsidTr="00A3203C">
        <w:trPr>
          <w:trHeight w:val="227"/>
          <w:jc w:val="center"/>
        </w:trPr>
        <w:tc>
          <w:tcPr>
            <w:tcW w:w="7727" w:type="dxa"/>
          </w:tcPr>
          <w:p w14:paraId="38A757BE" w14:textId="77777777" w:rsidR="00A3203C" w:rsidRPr="007C5719" w:rsidRDefault="00A3203C" w:rsidP="00A3203C">
            <w:pPr>
              <w:pStyle w:val="Btabletextunbold"/>
            </w:pPr>
            <w:r w:rsidRPr="00D4047E">
              <w:t>Building refurbishment including roofing, energy efficiency upgrades and</w:t>
            </w:r>
            <w:r>
              <w:t xml:space="preserve"> </w:t>
            </w:r>
            <w:r w:rsidRPr="00D4047E">
              <w:t>internal remediation</w:t>
            </w:r>
          </w:p>
        </w:tc>
        <w:tc>
          <w:tcPr>
            <w:tcW w:w="1264" w:type="dxa"/>
          </w:tcPr>
          <w:p w14:paraId="06DDD392" w14:textId="77777777" w:rsidR="00A3203C" w:rsidRPr="00893DB5" w:rsidRDefault="00A3203C" w:rsidP="00A3203C">
            <w:pPr>
              <w:pStyle w:val="Btablefigureunbold"/>
            </w:pPr>
            <w:r>
              <w:t>545</w:t>
            </w:r>
          </w:p>
        </w:tc>
      </w:tr>
      <w:tr w:rsidR="00A3203C" w:rsidRPr="006614FC" w14:paraId="46544EDB" w14:textId="77777777" w:rsidTr="00A3203C">
        <w:trPr>
          <w:trHeight w:val="227"/>
          <w:jc w:val="center"/>
        </w:trPr>
        <w:tc>
          <w:tcPr>
            <w:tcW w:w="7727" w:type="dxa"/>
          </w:tcPr>
          <w:p w14:paraId="2C7AC112" w14:textId="77777777" w:rsidR="00A3203C" w:rsidRPr="007C5719" w:rsidRDefault="00A3203C" w:rsidP="00C14ADA">
            <w:pPr>
              <w:pStyle w:val="BStabletext"/>
              <w:rPr>
                <w:sz w:val="24"/>
              </w:rPr>
            </w:pPr>
            <w:r w:rsidRPr="00D4047E">
              <w:t>Building fire services upgrades</w:t>
            </w:r>
          </w:p>
        </w:tc>
        <w:tc>
          <w:tcPr>
            <w:tcW w:w="1264" w:type="dxa"/>
          </w:tcPr>
          <w:p w14:paraId="7C4D8E2D" w14:textId="77777777" w:rsidR="00A3203C" w:rsidRPr="00893DB5" w:rsidRDefault="00A3203C" w:rsidP="00A3203C">
            <w:pPr>
              <w:pStyle w:val="Btablefigureunbold"/>
            </w:pPr>
            <w:r>
              <w:t>175</w:t>
            </w:r>
          </w:p>
        </w:tc>
      </w:tr>
      <w:tr w:rsidR="00A3203C" w:rsidRPr="006614FC" w14:paraId="57B6A4D5" w14:textId="77777777" w:rsidTr="00A3203C">
        <w:trPr>
          <w:trHeight w:val="227"/>
          <w:jc w:val="center"/>
        </w:trPr>
        <w:tc>
          <w:tcPr>
            <w:tcW w:w="7727" w:type="dxa"/>
          </w:tcPr>
          <w:p w14:paraId="2B6200CD" w14:textId="77777777" w:rsidR="00A3203C" w:rsidRPr="007C5719" w:rsidRDefault="00A3203C" w:rsidP="00C14ADA">
            <w:pPr>
              <w:pStyle w:val="BStabletext"/>
              <w:rPr>
                <w:sz w:val="24"/>
              </w:rPr>
            </w:pPr>
            <w:r w:rsidRPr="00D4047E">
              <w:t>Essential facilities and grounds upgrades</w:t>
            </w:r>
          </w:p>
        </w:tc>
        <w:tc>
          <w:tcPr>
            <w:tcW w:w="1264" w:type="dxa"/>
          </w:tcPr>
          <w:p w14:paraId="69C578C2" w14:textId="77777777" w:rsidR="00A3203C" w:rsidRPr="00893DB5" w:rsidRDefault="00A3203C" w:rsidP="00A3203C">
            <w:pPr>
              <w:pStyle w:val="Btablefigureunbold"/>
            </w:pPr>
            <w:r>
              <w:t>2,075</w:t>
            </w:r>
          </w:p>
        </w:tc>
      </w:tr>
      <w:tr w:rsidR="00A3203C" w:rsidRPr="007C5719" w14:paraId="16401130" w14:textId="77777777" w:rsidTr="00A3203C">
        <w:trPr>
          <w:trHeight w:val="227"/>
          <w:jc w:val="center"/>
        </w:trPr>
        <w:tc>
          <w:tcPr>
            <w:tcW w:w="7727" w:type="dxa"/>
          </w:tcPr>
          <w:p w14:paraId="14DE70F9" w14:textId="77777777" w:rsidR="00A3203C" w:rsidRPr="007C5719" w:rsidRDefault="00A3203C" w:rsidP="00C14ADA">
            <w:pPr>
              <w:pStyle w:val="BStabletext"/>
              <w:rPr>
                <w:sz w:val="24"/>
              </w:rPr>
            </w:pPr>
            <w:r w:rsidRPr="00D4047E">
              <w:t>Hazardous material management</w:t>
            </w:r>
          </w:p>
        </w:tc>
        <w:tc>
          <w:tcPr>
            <w:tcW w:w="1264" w:type="dxa"/>
          </w:tcPr>
          <w:p w14:paraId="34A0C205" w14:textId="77777777" w:rsidR="00A3203C" w:rsidRPr="00893DB5" w:rsidRDefault="00A3203C" w:rsidP="00A3203C">
            <w:pPr>
              <w:pStyle w:val="Btablefigureunbold"/>
            </w:pPr>
            <w:r>
              <w:t>425</w:t>
            </w:r>
          </w:p>
        </w:tc>
      </w:tr>
      <w:tr w:rsidR="00A3203C" w:rsidRPr="007C5719" w14:paraId="7B6A8730" w14:textId="77777777" w:rsidTr="00A3203C">
        <w:trPr>
          <w:trHeight w:val="227"/>
          <w:jc w:val="center"/>
        </w:trPr>
        <w:tc>
          <w:tcPr>
            <w:tcW w:w="7727" w:type="dxa"/>
          </w:tcPr>
          <w:p w14:paraId="32E009F9" w14:textId="77777777" w:rsidR="00A3203C" w:rsidRPr="007C5719" w:rsidRDefault="00A3203C" w:rsidP="00C14ADA">
            <w:pPr>
              <w:pStyle w:val="BStabletext"/>
              <w:rPr>
                <w:sz w:val="24"/>
              </w:rPr>
            </w:pPr>
            <w:r w:rsidRPr="00D4047E">
              <w:lastRenderedPageBreak/>
              <w:t xml:space="preserve">Pools </w:t>
            </w:r>
            <w:r>
              <w:t>i</w:t>
            </w:r>
            <w:r w:rsidRPr="00D4047E">
              <w:t xml:space="preserve">mprovement </w:t>
            </w:r>
            <w:r>
              <w:t>p</w:t>
            </w:r>
            <w:r w:rsidRPr="00D4047E">
              <w:t>rogram</w:t>
            </w:r>
          </w:p>
        </w:tc>
        <w:tc>
          <w:tcPr>
            <w:tcW w:w="1264" w:type="dxa"/>
          </w:tcPr>
          <w:p w14:paraId="57EB5D63" w14:textId="77777777" w:rsidR="00A3203C" w:rsidRPr="00893DB5" w:rsidRDefault="00A3203C" w:rsidP="00A3203C">
            <w:pPr>
              <w:pStyle w:val="Btablefigureunbold"/>
            </w:pPr>
            <w:r>
              <w:t>830</w:t>
            </w:r>
          </w:p>
        </w:tc>
      </w:tr>
      <w:tr w:rsidR="00A3203C" w:rsidRPr="006614FC" w14:paraId="033800C3" w14:textId="77777777" w:rsidTr="00C14ADA">
        <w:trPr>
          <w:trHeight w:val="397"/>
          <w:jc w:val="center"/>
        </w:trPr>
        <w:tc>
          <w:tcPr>
            <w:tcW w:w="7727" w:type="dxa"/>
            <w:vAlign w:val="bottom"/>
          </w:tcPr>
          <w:p w14:paraId="5ECA2B81" w14:textId="77777777" w:rsidR="00A3203C" w:rsidRPr="007C5719" w:rsidRDefault="00A3203C" w:rsidP="00C14ADA">
            <w:pPr>
              <w:pStyle w:val="BStabletextbolditalics"/>
              <w:rPr>
                <w:sz w:val="24"/>
              </w:rPr>
            </w:pPr>
            <w:r w:rsidRPr="00C14ADA">
              <w:t>Improving major venues</w:t>
            </w:r>
          </w:p>
        </w:tc>
        <w:tc>
          <w:tcPr>
            <w:tcW w:w="1264" w:type="dxa"/>
            <w:vAlign w:val="bottom"/>
          </w:tcPr>
          <w:p w14:paraId="0CF3E229" w14:textId="61766674" w:rsidR="00A3203C" w:rsidRPr="00893DB5" w:rsidRDefault="00A3203C" w:rsidP="00C14ADA">
            <w:pPr>
              <w:pStyle w:val="Btablefigureunbold"/>
            </w:pPr>
          </w:p>
        </w:tc>
      </w:tr>
      <w:tr w:rsidR="00A3203C" w:rsidRPr="00CA1891" w14:paraId="54A62F6D" w14:textId="77777777" w:rsidTr="00A3203C">
        <w:trPr>
          <w:trHeight w:val="227"/>
          <w:jc w:val="center"/>
        </w:trPr>
        <w:tc>
          <w:tcPr>
            <w:tcW w:w="7727" w:type="dxa"/>
          </w:tcPr>
          <w:p w14:paraId="22F96667" w14:textId="77777777" w:rsidR="00A3203C" w:rsidRPr="00D4047E" w:rsidRDefault="00A3203C" w:rsidP="00C14ADA">
            <w:pPr>
              <w:pStyle w:val="BStabletext"/>
            </w:pPr>
            <w:r w:rsidRPr="00D4047E">
              <w:t>National Arboretum Canberra (including Stromlo Forest Park)</w:t>
            </w:r>
          </w:p>
        </w:tc>
        <w:tc>
          <w:tcPr>
            <w:tcW w:w="1264" w:type="dxa"/>
          </w:tcPr>
          <w:p w14:paraId="54DA456C" w14:textId="369DEA3D" w:rsidR="00A3203C" w:rsidRPr="00893DB5" w:rsidRDefault="00C14ADA" w:rsidP="00A3203C">
            <w:pPr>
              <w:pStyle w:val="Btablefigureunbold"/>
            </w:pPr>
            <w:r>
              <w:t>1,534</w:t>
            </w:r>
          </w:p>
        </w:tc>
      </w:tr>
      <w:tr w:rsidR="00A3203C" w:rsidRPr="00CA1891" w14:paraId="4F68DFC2" w14:textId="77777777" w:rsidTr="00A3203C">
        <w:trPr>
          <w:trHeight w:val="227"/>
          <w:jc w:val="center"/>
        </w:trPr>
        <w:tc>
          <w:tcPr>
            <w:tcW w:w="7727" w:type="dxa"/>
          </w:tcPr>
          <w:p w14:paraId="067657B8" w14:textId="77777777" w:rsidR="00A3203C" w:rsidRPr="00D4047E" w:rsidRDefault="00A3203C" w:rsidP="00C14ADA">
            <w:pPr>
              <w:pStyle w:val="BStabletext"/>
            </w:pPr>
            <w:r w:rsidRPr="00D4047E">
              <w:t>Stromlo Forest Park</w:t>
            </w:r>
          </w:p>
        </w:tc>
        <w:tc>
          <w:tcPr>
            <w:tcW w:w="1264" w:type="dxa"/>
          </w:tcPr>
          <w:p w14:paraId="050FEFA2" w14:textId="77777777" w:rsidR="00A3203C" w:rsidRPr="00893DB5" w:rsidRDefault="00A3203C" w:rsidP="00A3203C">
            <w:pPr>
              <w:pStyle w:val="Btablefigureunbold"/>
            </w:pPr>
            <w:r>
              <w:t>140</w:t>
            </w:r>
          </w:p>
        </w:tc>
      </w:tr>
      <w:tr w:rsidR="00A3203C" w:rsidRPr="00CA1891" w14:paraId="1B33F020" w14:textId="77777777" w:rsidTr="00A3203C">
        <w:trPr>
          <w:trHeight w:val="227"/>
          <w:jc w:val="center"/>
        </w:trPr>
        <w:tc>
          <w:tcPr>
            <w:tcW w:w="7727" w:type="dxa"/>
            <w:vAlign w:val="bottom"/>
          </w:tcPr>
          <w:p w14:paraId="055D0161" w14:textId="77777777" w:rsidR="00A3203C" w:rsidRPr="00D4047E" w:rsidRDefault="00A3203C" w:rsidP="00C14ADA">
            <w:pPr>
              <w:pStyle w:val="BStabletext"/>
            </w:pPr>
            <w:r w:rsidRPr="00D4047E">
              <w:t>National Arboretum Canberra</w:t>
            </w:r>
          </w:p>
        </w:tc>
        <w:tc>
          <w:tcPr>
            <w:tcW w:w="1264" w:type="dxa"/>
          </w:tcPr>
          <w:p w14:paraId="5C0A88EE" w14:textId="77777777" w:rsidR="00A3203C" w:rsidRPr="00893DB5" w:rsidRDefault="00A3203C" w:rsidP="00A3203C">
            <w:pPr>
              <w:pStyle w:val="Btablefigureunbold"/>
            </w:pPr>
            <w:r>
              <w:t>304</w:t>
            </w:r>
          </w:p>
        </w:tc>
      </w:tr>
      <w:tr w:rsidR="00A3203C" w:rsidRPr="00CA1891" w14:paraId="290CB376" w14:textId="77777777" w:rsidTr="00C14ADA">
        <w:trPr>
          <w:trHeight w:val="397"/>
          <w:jc w:val="center"/>
        </w:trPr>
        <w:tc>
          <w:tcPr>
            <w:tcW w:w="7727" w:type="dxa"/>
            <w:vAlign w:val="bottom"/>
          </w:tcPr>
          <w:p w14:paraId="73F61C61" w14:textId="77777777" w:rsidR="00A3203C" w:rsidRPr="00EE3754" w:rsidRDefault="00A3203C" w:rsidP="00C14ADA">
            <w:pPr>
              <w:pStyle w:val="BStabletextbolditalics"/>
              <w:rPr>
                <w:b w:val="0"/>
              </w:rPr>
            </w:pPr>
            <w:r w:rsidRPr="00C14ADA">
              <w:t>Funding for major events</w:t>
            </w:r>
          </w:p>
        </w:tc>
        <w:tc>
          <w:tcPr>
            <w:tcW w:w="1264" w:type="dxa"/>
          </w:tcPr>
          <w:p w14:paraId="43AB98AB" w14:textId="77777777" w:rsidR="00A3203C" w:rsidRPr="00893DB5" w:rsidRDefault="00A3203C" w:rsidP="00A3203C">
            <w:pPr>
              <w:pStyle w:val="Btablefigureunbold"/>
            </w:pPr>
          </w:p>
        </w:tc>
      </w:tr>
      <w:tr w:rsidR="00A3203C" w:rsidRPr="00CA1891" w14:paraId="062D2977" w14:textId="77777777" w:rsidTr="00A3203C">
        <w:trPr>
          <w:trHeight w:val="227"/>
          <w:jc w:val="center"/>
        </w:trPr>
        <w:tc>
          <w:tcPr>
            <w:tcW w:w="7727" w:type="dxa"/>
            <w:vAlign w:val="bottom"/>
          </w:tcPr>
          <w:p w14:paraId="674D7973" w14:textId="77777777" w:rsidR="00A3203C" w:rsidRPr="00D4047E" w:rsidRDefault="00A3203C" w:rsidP="00C14ADA">
            <w:pPr>
              <w:pStyle w:val="BStabletext"/>
            </w:pPr>
            <w:r w:rsidRPr="00D4047E">
              <w:t>Floriade and other major and community events</w:t>
            </w:r>
          </w:p>
        </w:tc>
        <w:tc>
          <w:tcPr>
            <w:tcW w:w="1264" w:type="dxa"/>
          </w:tcPr>
          <w:p w14:paraId="22392AD6" w14:textId="77777777" w:rsidR="00A3203C" w:rsidRPr="00893DB5" w:rsidRDefault="00A3203C" w:rsidP="00A3203C">
            <w:pPr>
              <w:pStyle w:val="Btablefigureunbold"/>
            </w:pPr>
            <w:r>
              <w:t>331</w:t>
            </w:r>
          </w:p>
        </w:tc>
      </w:tr>
      <w:tr w:rsidR="00A3203C" w:rsidRPr="00CA1891" w14:paraId="7439434C" w14:textId="77777777" w:rsidTr="00C14ADA">
        <w:trPr>
          <w:trHeight w:val="397"/>
          <w:jc w:val="center"/>
        </w:trPr>
        <w:tc>
          <w:tcPr>
            <w:tcW w:w="7727" w:type="dxa"/>
            <w:vAlign w:val="bottom"/>
          </w:tcPr>
          <w:p w14:paraId="611F330C" w14:textId="77777777" w:rsidR="00A3203C" w:rsidRPr="00450B76" w:rsidRDefault="00A3203C" w:rsidP="00C14ADA">
            <w:pPr>
              <w:pStyle w:val="BStabletextbolditalics"/>
              <w:rPr>
                <w:b w:val="0"/>
              </w:rPr>
            </w:pPr>
            <w:r w:rsidRPr="00C14ADA">
              <w:t>Improving arts buildings and facilities</w:t>
            </w:r>
          </w:p>
        </w:tc>
        <w:tc>
          <w:tcPr>
            <w:tcW w:w="1264" w:type="dxa"/>
          </w:tcPr>
          <w:p w14:paraId="04F63419" w14:textId="77777777" w:rsidR="00A3203C" w:rsidRPr="00893DB5" w:rsidRDefault="00A3203C" w:rsidP="00A3203C">
            <w:pPr>
              <w:pStyle w:val="Btablefigureunbold"/>
            </w:pPr>
          </w:p>
        </w:tc>
      </w:tr>
      <w:tr w:rsidR="00A3203C" w:rsidRPr="00CA1891" w14:paraId="232F0028" w14:textId="77777777" w:rsidTr="00A3203C">
        <w:trPr>
          <w:trHeight w:val="227"/>
          <w:jc w:val="center"/>
        </w:trPr>
        <w:tc>
          <w:tcPr>
            <w:tcW w:w="7727" w:type="dxa"/>
          </w:tcPr>
          <w:p w14:paraId="53D7BEDB" w14:textId="77777777" w:rsidR="00A3203C" w:rsidRPr="00D4047E" w:rsidRDefault="00A3203C" w:rsidP="00C14ADA">
            <w:pPr>
              <w:pStyle w:val="BStabletext"/>
            </w:pPr>
            <w:r w:rsidRPr="00D4047E">
              <w:t xml:space="preserve">Upgrades to arts buildings </w:t>
            </w:r>
          </w:p>
        </w:tc>
        <w:tc>
          <w:tcPr>
            <w:tcW w:w="1264" w:type="dxa"/>
          </w:tcPr>
          <w:p w14:paraId="16C1C854" w14:textId="77777777" w:rsidR="00A3203C" w:rsidRPr="00893DB5" w:rsidRDefault="00A3203C" w:rsidP="00A3203C">
            <w:pPr>
              <w:pStyle w:val="Btablefigureunbold"/>
            </w:pPr>
            <w:r>
              <w:t>320</w:t>
            </w:r>
          </w:p>
        </w:tc>
      </w:tr>
      <w:tr w:rsidR="00A3203C" w:rsidRPr="00CA1891" w14:paraId="7ED79BE1" w14:textId="77777777" w:rsidTr="00A3203C">
        <w:trPr>
          <w:trHeight w:val="227"/>
          <w:jc w:val="center"/>
        </w:trPr>
        <w:tc>
          <w:tcPr>
            <w:tcW w:w="7727" w:type="dxa"/>
          </w:tcPr>
          <w:p w14:paraId="5D25B680" w14:textId="77777777" w:rsidR="00A3203C" w:rsidRPr="0086422F" w:rsidRDefault="00A3203C" w:rsidP="00C14ADA">
            <w:pPr>
              <w:pStyle w:val="BStabletext"/>
            </w:pPr>
            <w:r w:rsidRPr="00D4047E">
              <w:t xml:space="preserve">Improving arts facilities </w:t>
            </w:r>
          </w:p>
        </w:tc>
        <w:tc>
          <w:tcPr>
            <w:tcW w:w="1264" w:type="dxa"/>
          </w:tcPr>
          <w:p w14:paraId="0AD740A4" w14:textId="77777777" w:rsidR="00A3203C" w:rsidRPr="00893DB5" w:rsidRDefault="00A3203C" w:rsidP="00A3203C">
            <w:pPr>
              <w:pStyle w:val="Btablefigureunbold"/>
            </w:pPr>
            <w:r>
              <w:t>246</w:t>
            </w:r>
          </w:p>
        </w:tc>
      </w:tr>
      <w:tr w:rsidR="00A3203C" w:rsidRPr="00CA1891" w14:paraId="3F4EE73E" w14:textId="77777777" w:rsidTr="00A3203C">
        <w:trPr>
          <w:trHeight w:val="227"/>
          <w:jc w:val="center"/>
        </w:trPr>
        <w:tc>
          <w:tcPr>
            <w:tcW w:w="7727" w:type="dxa"/>
          </w:tcPr>
          <w:p w14:paraId="308411CE" w14:textId="77777777" w:rsidR="00A3203C" w:rsidRPr="0086422F" w:rsidRDefault="00A3203C" w:rsidP="00C14ADA">
            <w:pPr>
              <w:pStyle w:val="BStabletext"/>
            </w:pPr>
            <w:r w:rsidRPr="00D4047E">
              <w:t>Belconnen Arts Centre outdoor projection equipment</w:t>
            </w:r>
          </w:p>
        </w:tc>
        <w:tc>
          <w:tcPr>
            <w:tcW w:w="1264" w:type="dxa"/>
          </w:tcPr>
          <w:p w14:paraId="55ABEA78" w14:textId="77777777" w:rsidR="00A3203C" w:rsidRPr="00893DB5" w:rsidRDefault="00A3203C" w:rsidP="00A3203C">
            <w:pPr>
              <w:pStyle w:val="Btablefigureunbold"/>
            </w:pPr>
            <w:r>
              <w:t>113</w:t>
            </w:r>
          </w:p>
        </w:tc>
      </w:tr>
      <w:tr w:rsidR="00A3203C" w:rsidRPr="009C3C98" w14:paraId="2769438E" w14:textId="77777777" w:rsidTr="00A3203C">
        <w:trPr>
          <w:trHeight w:val="227"/>
          <w:jc w:val="center"/>
        </w:trPr>
        <w:tc>
          <w:tcPr>
            <w:tcW w:w="7727" w:type="dxa"/>
          </w:tcPr>
          <w:p w14:paraId="510A13B5" w14:textId="77777777" w:rsidR="00A3203C" w:rsidRPr="006614FC" w:rsidRDefault="00A3203C" w:rsidP="00C14ADA">
            <w:pPr>
              <w:pStyle w:val="BStabletextbold"/>
            </w:pPr>
            <w:r>
              <w:t>Total</w:t>
            </w:r>
          </w:p>
        </w:tc>
        <w:tc>
          <w:tcPr>
            <w:tcW w:w="1264" w:type="dxa"/>
          </w:tcPr>
          <w:p w14:paraId="0AA2ECF6" w14:textId="77777777" w:rsidR="00A3203C" w:rsidRPr="009C3C98" w:rsidRDefault="00A3203C" w:rsidP="00A3203C">
            <w:pPr>
              <w:pStyle w:val="BTablefigureBold"/>
            </w:pPr>
            <w:r>
              <w:t>8,188</w:t>
            </w:r>
          </w:p>
        </w:tc>
      </w:tr>
      <w:tr w:rsidR="00A3203C" w:rsidRPr="00CA1891" w14:paraId="3C55A2AD" w14:textId="77777777" w:rsidTr="00A3203C">
        <w:trPr>
          <w:trHeight w:val="567"/>
          <w:jc w:val="center"/>
        </w:trPr>
        <w:tc>
          <w:tcPr>
            <w:tcW w:w="7727" w:type="dxa"/>
            <w:vAlign w:val="bottom"/>
          </w:tcPr>
          <w:p w14:paraId="0C515C2E" w14:textId="77777777" w:rsidR="00A3203C" w:rsidRPr="006614FC" w:rsidRDefault="00A3203C" w:rsidP="00C14ADA">
            <w:pPr>
              <w:pStyle w:val="BStabletextbold"/>
            </w:pPr>
            <w:r w:rsidRPr="00307193">
              <w:t>Community Services Directorate</w:t>
            </w:r>
          </w:p>
        </w:tc>
        <w:tc>
          <w:tcPr>
            <w:tcW w:w="1264" w:type="dxa"/>
          </w:tcPr>
          <w:p w14:paraId="284A1007" w14:textId="77777777" w:rsidR="00A3203C" w:rsidRPr="00CA1891" w:rsidRDefault="00A3203C" w:rsidP="00A3203C">
            <w:pPr>
              <w:pStyle w:val="EmptyCell0"/>
            </w:pPr>
          </w:p>
        </w:tc>
      </w:tr>
      <w:tr w:rsidR="00A3203C" w:rsidRPr="006614FC" w14:paraId="1AFA2633" w14:textId="77777777" w:rsidTr="00C14ADA">
        <w:trPr>
          <w:trHeight w:val="397"/>
          <w:jc w:val="center"/>
        </w:trPr>
        <w:tc>
          <w:tcPr>
            <w:tcW w:w="7727" w:type="dxa"/>
            <w:vAlign w:val="bottom"/>
          </w:tcPr>
          <w:p w14:paraId="3CB260A9" w14:textId="77777777" w:rsidR="00A3203C" w:rsidRPr="00F43FAE" w:rsidRDefault="00A3203C" w:rsidP="00C14ADA">
            <w:pPr>
              <w:pStyle w:val="BStabletextbolditalics"/>
            </w:pPr>
            <w:r w:rsidRPr="00C14ADA">
              <w:t>Bimberi Residential Services</w:t>
            </w:r>
          </w:p>
        </w:tc>
        <w:tc>
          <w:tcPr>
            <w:tcW w:w="1264" w:type="dxa"/>
          </w:tcPr>
          <w:p w14:paraId="22330957" w14:textId="77777777" w:rsidR="00A3203C" w:rsidRPr="00CA1891" w:rsidRDefault="00A3203C" w:rsidP="00A3203C">
            <w:pPr>
              <w:pStyle w:val="Btablefigureunbold"/>
            </w:pPr>
          </w:p>
        </w:tc>
      </w:tr>
      <w:tr w:rsidR="00A3203C" w:rsidRPr="006614FC" w14:paraId="17ADAFBF" w14:textId="77777777" w:rsidTr="00A3203C">
        <w:trPr>
          <w:trHeight w:val="227"/>
          <w:jc w:val="center"/>
        </w:trPr>
        <w:tc>
          <w:tcPr>
            <w:tcW w:w="7727" w:type="dxa"/>
          </w:tcPr>
          <w:p w14:paraId="099832F8" w14:textId="426B8A62" w:rsidR="00A3203C" w:rsidRPr="00F43FAE" w:rsidRDefault="00A3203C" w:rsidP="00C14ADA">
            <w:pPr>
              <w:pStyle w:val="BStabletext"/>
            </w:pPr>
            <w:r w:rsidRPr="00D4047E">
              <w:t xml:space="preserve">Electric HVAC </w:t>
            </w:r>
            <w:r>
              <w:t>s</w:t>
            </w:r>
            <w:r w:rsidRPr="00D4047E">
              <w:t xml:space="preserve">ystems </w:t>
            </w:r>
            <w:r w:rsidR="00402E06">
              <w:t>–</w:t>
            </w:r>
            <w:r w:rsidRPr="00D4047E">
              <w:t xml:space="preserve"> Stage 1</w:t>
            </w:r>
          </w:p>
        </w:tc>
        <w:tc>
          <w:tcPr>
            <w:tcW w:w="1264" w:type="dxa"/>
          </w:tcPr>
          <w:p w14:paraId="2EE80FAA" w14:textId="77777777" w:rsidR="00A3203C" w:rsidRPr="00CA1891" w:rsidRDefault="00A3203C" w:rsidP="00A3203C">
            <w:pPr>
              <w:pStyle w:val="Btablefigureunbold"/>
            </w:pPr>
            <w:r>
              <w:t>205</w:t>
            </w:r>
          </w:p>
        </w:tc>
      </w:tr>
      <w:tr w:rsidR="00A3203C" w:rsidRPr="006614FC" w14:paraId="7DE916BE" w14:textId="77777777" w:rsidTr="00A3203C">
        <w:trPr>
          <w:trHeight w:val="227"/>
          <w:jc w:val="center"/>
        </w:trPr>
        <w:tc>
          <w:tcPr>
            <w:tcW w:w="7727" w:type="dxa"/>
          </w:tcPr>
          <w:p w14:paraId="7D3BF4B2" w14:textId="77777777" w:rsidR="00A3203C" w:rsidRPr="00F43FAE" w:rsidRDefault="00A3203C" w:rsidP="00C14ADA">
            <w:pPr>
              <w:pStyle w:val="BStabletext"/>
            </w:pPr>
            <w:r w:rsidRPr="00D4047E">
              <w:t xml:space="preserve">Pool </w:t>
            </w:r>
            <w:r>
              <w:t>b</w:t>
            </w:r>
            <w:r w:rsidRPr="00D4047E">
              <w:t>lanket</w:t>
            </w:r>
          </w:p>
        </w:tc>
        <w:tc>
          <w:tcPr>
            <w:tcW w:w="1264" w:type="dxa"/>
          </w:tcPr>
          <w:p w14:paraId="0027475B" w14:textId="77777777" w:rsidR="00A3203C" w:rsidRPr="00CA1891" w:rsidRDefault="00A3203C" w:rsidP="00A3203C">
            <w:pPr>
              <w:pStyle w:val="Btablefigureunbold"/>
            </w:pPr>
            <w:r>
              <w:t>10</w:t>
            </w:r>
          </w:p>
        </w:tc>
      </w:tr>
      <w:tr w:rsidR="00A3203C" w:rsidRPr="006614FC" w14:paraId="2513B553" w14:textId="77777777" w:rsidTr="00A3203C">
        <w:trPr>
          <w:trHeight w:val="227"/>
          <w:jc w:val="center"/>
        </w:trPr>
        <w:tc>
          <w:tcPr>
            <w:tcW w:w="7727" w:type="dxa"/>
          </w:tcPr>
          <w:p w14:paraId="721A6910" w14:textId="77777777" w:rsidR="00A3203C" w:rsidRPr="00F43FAE" w:rsidRDefault="00A3203C" w:rsidP="00C14ADA">
            <w:pPr>
              <w:pStyle w:val="BStabletext"/>
            </w:pPr>
            <w:r w:rsidRPr="00D4047E">
              <w:t>Solar panels</w:t>
            </w:r>
          </w:p>
        </w:tc>
        <w:tc>
          <w:tcPr>
            <w:tcW w:w="1264" w:type="dxa"/>
          </w:tcPr>
          <w:p w14:paraId="7A3D8491" w14:textId="77777777" w:rsidR="00A3203C" w:rsidRPr="00CA1891" w:rsidRDefault="00A3203C" w:rsidP="00A3203C">
            <w:pPr>
              <w:pStyle w:val="Btablefigureunbold"/>
            </w:pPr>
            <w:r>
              <w:t>50</w:t>
            </w:r>
          </w:p>
        </w:tc>
      </w:tr>
      <w:tr w:rsidR="00A3203C" w:rsidRPr="006614FC" w14:paraId="298BC954" w14:textId="77777777" w:rsidTr="00A3203C">
        <w:trPr>
          <w:trHeight w:val="227"/>
          <w:jc w:val="center"/>
        </w:trPr>
        <w:tc>
          <w:tcPr>
            <w:tcW w:w="7727" w:type="dxa"/>
          </w:tcPr>
          <w:p w14:paraId="001FF45E" w14:textId="77777777" w:rsidR="00A3203C" w:rsidRPr="00F43FAE" w:rsidRDefault="00A3203C" w:rsidP="00C14ADA">
            <w:pPr>
              <w:pStyle w:val="BStabletext"/>
            </w:pPr>
            <w:r w:rsidRPr="00D4047E">
              <w:t>Shed in front area</w:t>
            </w:r>
          </w:p>
        </w:tc>
        <w:tc>
          <w:tcPr>
            <w:tcW w:w="1264" w:type="dxa"/>
          </w:tcPr>
          <w:p w14:paraId="64EE6B00" w14:textId="77777777" w:rsidR="00A3203C" w:rsidRPr="00CA1891" w:rsidRDefault="00A3203C" w:rsidP="00A3203C">
            <w:pPr>
              <w:pStyle w:val="Btablefigureunbold"/>
            </w:pPr>
            <w:r>
              <w:t>33</w:t>
            </w:r>
          </w:p>
        </w:tc>
      </w:tr>
      <w:tr w:rsidR="00A3203C" w:rsidRPr="006614FC" w14:paraId="2073CF5B" w14:textId="77777777" w:rsidTr="00C14ADA">
        <w:trPr>
          <w:trHeight w:val="397"/>
          <w:jc w:val="center"/>
        </w:trPr>
        <w:tc>
          <w:tcPr>
            <w:tcW w:w="7727" w:type="dxa"/>
            <w:vAlign w:val="bottom"/>
          </w:tcPr>
          <w:p w14:paraId="1C9CD349" w14:textId="77777777" w:rsidR="00A3203C" w:rsidRPr="0029111B" w:rsidRDefault="00A3203C" w:rsidP="00C14ADA">
            <w:pPr>
              <w:pStyle w:val="BStabletextbolditalics"/>
              <w:rPr>
                <w:b w:val="0"/>
                <w:i w:val="0"/>
              </w:rPr>
            </w:pPr>
            <w:r w:rsidRPr="00C14ADA">
              <w:t>Child Development Service</w:t>
            </w:r>
          </w:p>
        </w:tc>
        <w:tc>
          <w:tcPr>
            <w:tcW w:w="1264" w:type="dxa"/>
          </w:tcPr>
          <w:p w14:paraId="47624813" w14:textId="77777777" w:rsidR="00A3203C" w:rsidRPr="00CA1891" w:rsidRDefault="00A3203C" w:rsidP="00A3203C">
            <w:pPr>
              <w:pStyle w:val="Btablefigureunbold"/>
            </w:pPr>
          </w:p>
        </w:tc>
      </w:tr>
      <w:tr w:rsidR="00A3203C" w:rsidRPr="006614FC" w14:paraId="389F527E" w14:textId="77777777" w:rsidTr="00A3203C">
        <w:trPr>
          <w:trHeight w:val="227"/>
          <w:jc w:val="center"/>
        </w:trPr>
        <w:tc>
          <w:tcPr>
            <w:tcW w:w="7727" w:type="dxa"/>
          </w:tcPr>
          <w:p w14:paraId="15E6905B" w14:textId="77777777" w:rsidR="00A3203C" w:rsidRPr="003D12A1" w:rsidRDefault="00A3203C" w:rsidP="00C14ADA">
            <w:pPr>
              <w:pStyle w:val="BStabletext"/>
            </w:pPr>
            <w:r w:rsidRPr="00D4047E">
              <w:t>Stage two concrete paths</w:t>
            </w:r>
          </w:p>
        </w:tc>
        <w:tc>
          <w:tcPr>
            <w:tcW w:w="1264" w:type="dxa"/>
          </w:tcPr>
          <w:p w14:paraId="493CB2AC" w14:textId="77777777" w:rsidR="00A3203C" w:rsidRPr="00CA1891" w:rsidRDefault="00A3203C" w:rsidP="00A3203C">
            <w:pPr>
              <w:pStyle w:val="Btablefigureunbold"/>
            </w:pPr>
            <w:r>
              <w:t>20</w:t>
            </w:r>
          </w:p>
        </w:tc>
      </w:tr>
      <w:tr w:rsidR="00A3203C" w:rsidRPr="006614FC" w14:paraId="7141AD52" w14:textId="77777777" w:rsidTr="00A3203C">
        <w:trPr>
          <w:trHeight w:val="227"/>
          <w:jc w:val="center"/>
        </w:trPr>
        <w:tc>
          <w:tcPr>
            <w:tcW w:w="7727" w:type="dxa"/>
          </w:tcPr>
          <w:p w14:paraId="532C75BA" w14:textId="77777777" w:rsidR="00A3203C" w:rsidRDefault="00A3203C" w:rsidP="00C14ADA">
            <w:pPr>
              <w:pStyle w:val="BStabletext"/>
            </w:pPr>
            <w:r w:rsidRPr="00D4047E">
              <w:t>WEBEX conference/ Audio visual upgrades</w:t>
            </w:r>
          </w:p>
        </w:tc>
        <w:tc>
          <w:tcPr>
            <w:tcW w:w="1264" w:type="dxa"/>
          </w:tcPr>
          <w:p w14:paraId="6BAD451F" w14:textId="77777777" w:rsidR="00A3203C" w:rsidRPr="00CA1891" w:rsidRDefault="00A3203C" w:rsidP="00A3203C">
            <w:pPr>
              <w:pStyle w:val="Btablefigureunbold"/>
            </w:pPr>
            <w:r>
              <w:t>30</w:t>
            </w:r>
          </w:p>
        </w:tc>
      </w:tr>
      <w:tr w:rsidR="00A3203C" w:rsidRPr="006614FC" w14:paraId="3702D506" w14:textId="77777777" w:rsidTr="00A3203C">
        <w:trPr>
          <w:trHeight w:val="227"/>
          <w:jc w:val="center"/>
        </w:trPr>
        <w:tc>
          <w:tcPr>
            <w:tcW w:w="7727" w:type="dxa"/>
          </w:tcPr>
          <w:p w14:paraId="7FA314C0" w14:textId="77777777" w:rsidR="00A3203C" w:rsidRDefault="00A3203C" w:rsidP="00C14ADA">
            <w:pPr>
              <w:pStyle w:val="BStabletext"/>
            </w:pPr>
            <w:r w:rsidRPr="00D4047E">
              <w:t xml:space="preserve">CCTV, </w:t>
            </w:r>
            <w:r>
              <w:t>d</w:t>
            </w:r>
            <w:r w:rsidRPr="00D4047E">
              <w:t xml:space="preserve">uress and </w:t>
            </w:r>
            <w:r>
              <w:t>s</w:t>
            </w:r>
            <w:r w:rsidRPr="00D4047E">
              <w:t>ecurity upgrade</w:t>
            </w:r>
          </w:p>
        </w:tc>
        <w:tc>
          <w:tcPr>
            <w:tcW w:w="1264" w:type="dxa"/>
          </w:tcPr>
          <w:p w14:paraId="2E601498" w14:textId="77777777" w:rsidR="00A3203C" w:rsidRPr="00CA1891" w:rsidRDefault="00A3203C" w:rsidP="00A3203C">
            <w:pPr>
              <w:pStyle w:val="Btablefigureunbold"/>
            </w:pPr>
            <w:r>
              <w:t>44</w:t>
            </w:r>
          </w:p>
        </w:tc>
      </w:tr>
      <w:tr w:rsidR="00A3203C" w:rsidRPr="006614FC" w14:paraId="351AF217" w14:textId="77777777" w:rsidTr="00C14ADA">
        <w:trPr>
          <w:trHeight w:val="397"/>
          <w:jc w:val="center"/>
        </w:trPr>
        <w:tc>
          <w:tcPr>
            <w:tcW w:w="7727" w:type="dxa"/>
            <w:vAlign w:val="bottom"/>
          </w:tcPr>
          <w:p w14:paraId="3AC666FC" w14:textId="77777777" w:rsidR="00A3203C" w:rsidRDefault="00A3203C" w:rsidP="00C14ADA">
            <w:pPr>
              <w:pStyle w:val="BStabletextbolditalics"/>
            </w:pPr>
            <w:r w:rsidRPr="00C14ADA">
              <w:t>Child and Family Centres</w:t>
            </w:r>
          </w:p>
        </w:tc>
        <w:tc>
          <w:tcPr>
            <w:tcW w:w="1264" w:type="dxa"/>
          </w:tcPr>
          <w:p w14:paraId="68699235" w14:textId="77777777" w:rsidR="00A3203C" w:rsidRPr="00CA1891" w:rsidRDefault="00A3203C" w:rsidP="00A3203C">
            <w:pPr>
              <w:pStyle w:val="Btablefigureunbold"/>
            </w:pPr>
          </w:p>
        </w:tc>
      </w:tr>
      <w:tr w:rsidR="00A3203C" w:rsidRPr="006614FC" w14:paraId="1553638B" w14:textId="77777777" w:rsidTr="00A3203C">
        <w:trPr>
          <w:trHeight w:val="227"/>
          <w:jc w:val="center"/>
        </w:trPr>
        <w:tc>
          <w:tcPr>
            <w:tcW w:w="7727" w:type="dxa"/>
          </w:tcPr>
          <w:p w14:paraId="65C63957" w14:textId="77777777" w:rsidR="00A3203C" w:rsidRDefault="00A3203C" w:rsidP="00C14ADA">
            <w:pPr>
              <w:pStyle w:val="BStabletextbold"/>
            </w:pPr>
            <w:r w:rsidRPr="00D4047E">
              <w:t>Gungahlin</w:t>
            </w:r>
          </w:p>
        </w:tc>
        <w:tc>
          <w:tcPr>
            <w:tcW w:w="1264" w:type="dxa"/>
          </w:tcPr>
          <w:p w14:paraId="0092A869" w14:textId="77777777" w:rsidR="00A3203C" w:rsidRPr="00CA1891" w:rsidRDefault="00A3203C" w:rsidP="00A3203C">
            <w:pPr>
              <w:pStyle w:val="Btablefigureunbold"/>
            </w:pPr>
          </w:p>
        </w:tc>
      </w:tr>
      <w:tr w:rsidR="00A3203C" w:rsidRPr="006614FC" w14:paraId="10250F8E" w14:textId="77777777" w:rsidTr="00A3203C">
        <w:trPr>
          <w:trHeight w:val="227"/>
          <w:jc w:val="center"/>
        </w:trPr>
        <w:tc>
          <w:tcPr>
            <w:tcW w:w="7727" w:type="dxa"/>
          </w:tcPr>
          <w:p w14:paraId="3B1E8318" w14:textId="77777777" w:rsidR="00A3203C" w:rsidRDefault="00A3203C" w:rsidP="00C14ADA">
            <w:pPr>
              <w:pStyle w:val="BStabletext"/>
            </w:pPr>
            <w:r w:rsidRPr="00D4047E">
              <w:t>WEBEX conference/Audio visual upgrades</w:t>
            </w:r>
          </w:p>
        </w:tc>
        <w:tc>
          <w:tcPr>
            <w:tcW w:w="1264" w:type="dxa"/>
          </w:tcPr>
          <w:p w14:paraId="1C980C85" w14:textId="77777777" w:rsidR="00A3203C" w:rsidRPr="00CA1891" w:rsidRDefault="00A3203C" w:rsidP="00A3203C">
            <w:pPr>
              <w:pStyle w:val="Btablefigureunbold"/>
            </w:pPr>
            <w:r>
              <w:t>15</w:t>
            </w:r>
          </w:p>
        </w:tc>
      </w:tr>
      <w:tr w:rsidR="00A3203C" w:rsidRPr="006614FC" w14:paraId="64EA4628" w14:textId="77777777" w:rsidTr="00A3203C">
        <w:trPr>
          <w:trHeight w:val="227"/>
          <w:jc w:val="center"/>
        </w:trPr>
        <w:tc>
          <w:tcPr>
            <w:tcW w:w="7727" w:type="dxa"/>
          </w:tcPr>
          <w:p w14:paraId="7A71509E" w14:textId="77777777" w:rsidR="00A3203C" w:rsidRDefault="00A3203C" w:rsidP="00C14ADA">
            <w:pPr>
              <w:pStyle w:val="BStabletextbold"/>
            </w:pPr>
            <w:r w:rsidRPr="00D4047E">
              <w:t>Tuggeranong</w:t>
            </w:r>
          </w:p>
        </w:tc>
        <w:tc>
          <w:tcPr>
            <w:tcW w:w="1264" w:type="dxa"/>
          </w:tcPr>
          <w:p w14:paraId="682EC28B" w14:textId="77777777" w:rsidR="00A3203C" w:rsidRPr="00CA1891" w:rsidRDefault="00A3203C" w:rsidP="00A3203C">
            <w:pPr>
              <w:pStyle w:val="Btablefigureunbold"/>
            </w:pPr>
          </w:p>
        </w:tc>
      </w:tr>
      <w:tr w:rsidR="00A3203C" w:rsidRPr="006614FC" w14:paraId="25C9E5FC" w14:textId="77777777" w:rsidTr="00A3203C">
        <w:trPr>
          <w:trHeight w:val="227"/>
          <w:jc w:val="center"/>
        </w:trPr>
        <w:tc>
          <w:tcPr>
            <w:tcW w:w="7727" w:type="dxa"/>
          </w:tcPr>
          <w:p w14:paraId="0A924972" w14:textId="77777777" w:rsidR="00A3203C" w:rsidRDefault="00A3203C" w:rsidP="00C14ADA">
            <w:pPr>
              <w:pStyle w:val="BStabletext"/>
            </w:pPr>
            <w:r w:rsidRPr="00D4047E">
              <w:t>WEBEX conference/Audio visual upgrades</w:t>
            </w:r>
          </w:p>
        </w:tc>
        <w:tc>
          <w:tcPr>
            <w:tcW w:w="1264" w:type="dxa"/>
          </w:tcPr>
          <w:p w14:paraId="291856E2" w14:textId="77777777" w:rsidR="00A3203C" w:rsidRPr="00CA1891" w:rsidRDefault="00A3203C" w:rsidP="00A3203C">
            <w:pPr>
              <w:pStyle w:val="Btablefigureunbold"/>
            </w:pPr>
            <w:r>
              <w:t>15</w:t>
            </w:r>
          </w:p>
        </w:tc>
      </w:tr>
      <w:tr w:rsidR="00A3203C" w:rsidRPr="006614FC" w14:paraId="5E50FBE1" w14:textId="77777777" w:rsidTr="00A3203C">
        <w:trPr>
          <w:trHeight w:val="227"/>
          <w:jc w:val="center"/>
        </w:trPr>
        <w:tc>
          <w:tcPr>
            <w:tcW w:w="7727" w:type="dxa"/>
          </w:tcPr>
          <w:p w14:paraId="06F6DDDC" w14:textId="77777777" w:rsidR="00A3203C" w:rsidRDefault="00A3203C" w:rsidP="00C14ADA">
            <w:pPr>
              <w:pStyle w:val="BStabletextbold"/>
            </w:pPr>
            <w:r w:rsidRPr="00D4047E">
              <w:t>West Belconnen</w:t>
            </w:r>
          </w:p>
        </w:tc>
        <w:tc>
          <w:tcPr>
            <w:tcW w:w="1264" w:type="dxa"/>
          </w:tcPr>
          <w:p w14:paraId="47A9F60C" w14:textId="77777777" w:rsidR="00A3203C" w:rsidRPr="00CA1891" w:rsidRDefault="00A3203C" w:rsidP="00A3203C">
            <w:pPr>
              <w:pStyle w:val="Btablefigureunbold"/>
            </w:pPr>
          </w:p>
        </w:tc>
      </w:tr>
      <w:tr w:rsidR="00A3203C" w:rsidRPr="006614FC" w14:paraId="64FC6216" w14:textId="77777777" w:rsidTr="00A3203C">
        <w:trPr>
          <w:trHeight w:val="227"/>
          <w:jc w:val="center"/>
        </w:trPr>
        <w:tc>
          <w:tcPr>
            <w:tcW w:w="7727" w:type="dxa"/>
          </w:tcPr>
          <w:p w14:paraId="63DBD88D" w14:textId="77777777" w:rsidR="00A3203C" w:rsidRDefault="00A3203C" w:rsidP="00C14ADA">
            <w:pPr>
              <w:pStyle w:val="BStabletext"/>
            </w:pPr>
            <w:r w:rsidRPr="00D4047E">
              <w:t>WEBEX conference/Audio visual upgrades</w:t>
            </w:r>
          </w:p>
        </w:tc>
        <w:tc>
          <w:tcPr>
            <w:tcW w:w="1264" w:type="dxa"/>
          </w:tcPr>
          <w:p w14:paraId="040F960F" w14:textId="77777777" w:rsidR="00A3203C" w:rsidRPr="00CA1891" w:rsidRDefault="00A3203C" w:rsidP="00A3203C">
            <w:pPr>
              <w:pStyle w:val="Btablefigureunbold"/>
            </w:pPr>
            <w:r>
              <w:t>15</w:t>
            </w:r>
          </w:p>
        </w:tc>
      </w:tr>
      <w:tr w:rsidR="00A3203C" w:rsidRPr="006614FC" w14:paraId="29A59015" w14:textId="77777777" w:rsidTr="00C14ADA">
        <w:trPr>
          <w:trHeight w:val="227"/>
          <w:jc w:val="center"/>
        </w:trPr>
        <w:tc>
          <w:tcPr>
            <w:tcW w:w="7727" w:type="dxa"/>
          </w:tcPr>
          <w:p w14:paraId="414BDF60" w14:textId="77777777" w:rsidR="00A3203C" w:rsidRPr="003D12A1" w:rsidRDefault="00A3203C" w:rsidP="00C14ADA">
            <w:pPr>
              <w:pStyle w:val="BStabletextbold"/>
            </w:pPr>
            <w:r>
              <w:t>Total</w:t>
            </w:r>
          </w:p>
        </w:tc>
        <w:tc>
          <w:tcPr>
            <w:tcW w:w="1264" w:type="dxa"/>
          </w:tcPr>
          <w:p w14:paraId="16C5499B" w14:textId="77777777" w:rsidR="00A3203C" w:rsidRPr="00CA1891" w:rsidRDefault="00A3203C" w:rsidP="00A3203C">
            <w:pPr>
              <w:pStyle w:val="BTablefigureBold"/>
            </w:pPr>
            <w:r>
              <w:t>436</w:t>
            </w:r>
          </w:p>
        </w:tc>
      </w:tr>
      <w:tr w:rsidR="00A3203C" w:rsidRPr="006614FC" w14:paraId="615C47D1" w14:textId="77777777" w:rsidTr="00C14ADA">
        <w:trPr>
          <w:trHeight w:val="454"/>
          <w:jc w:val="center"/>
        </w:trPr>
        <w:tc>
          <w:tcPr>
            <w:tcW w:w="7727" w:type="dxa"/>
            <w:vAlign w:val="bottom"/>
          </w:tcPr>
          <w:p w14:paraId="324C0B62" w14:textId="77777777" w:rsidR="00A3203C" w:rsidRPr="003D12A1" w:rsidRDefault="00A3203C" w:rsidP="00C14ADA">
            <w:pPr>
              <w:pStyle w:val="BStabletextbold"/>
            </w:pPr>
            <w:r w:rsidRPr="00F43FAE">
              <w:t>Cultural Facilities Corporation</w:t>
            </w:r>
          </w:p>
        </w:tc>
        <w:tc>
          <w:tcPr>
            <w:tcW w:w="1264" w:type="dxa"/>
          </w:tcPr>
          <w:p w14:paraId="2A5D88F7" w14:textId="77777777" w:rsidR="00A3203C" w:rsidRPr="00CA1891" w:rsidRDefault="00A3203C" w:rsidP="00A3203C">
            <w:pPr>
              <w:pStyle w:val="EmptyCell0"/>
            </w:pPr>
          </w:p>
        </w:tc>
      </w:tr>
      <w:tr w:rsidR="00A3203C" w:rsidRPr="00B55531" w14:paraId="0FA4F824" w14:textId="77777777" w:rsidTr="00C14ADA">
        <w:trPr>
          <w:trHeight w:val="397"/>
          <w:jc w:val="center"/>
        </w:trPr>
        <w:tc>
          <w:tcPr>
            <w:tcW w:w="7727" w:type="dxa"/>
            <w:vAlign w:val="bottom"/>
          </w:tcPr>
          <w:p w14:paraId="2EC015F7" w14:textId="77777777" w:rsidR="00A3203C" w:rsidRPr="00D57C9F" w:rsidRDefault="00A3203C" w:rsidP="00C14ADA">
            <w:pPr>
              <w:pStyle w:val="BStabletextbolditalics"/>
            </w:pPr>
            <w:r w:rsidRPr="002166E8">
              <w:t>Improving cultural and arts facilities</w:t>
            </w:r>
          </w:p>
        </w:tc>
        <w:tc>
          <w:tcPr>
            <w:tcW w:w="1264" w:type="dxa"/>
          </w:tcPr>
          <w:p w14:paraId="1A176C5D" w14:textId="77777777" w:rsidR="00A3203C" w:rsidRPr="00B55531" w:rsidRDefault="00A3203C" w:rsidP="00A3203C">
            <w:pPr>
              <w:pStyle w:val="EmptyCell0"/>
            </w:pPr>
          </w:p>
        </w:tc>
      </w:tr>
      <w:tr w:rsidR="00A3203C" w:rsidRPr="006614FC" w14:paraId="6202F33A" w14:textId="77777777" w:rsidTr="00A3203C">
        <w:trPr>
          <w:trHeight w:val="227"/>
          <w:jc w:val="center"/>
        </w:trPr>
        <w:tc>
          <w:tcPr>
            <w:tcW w:w="7727" w:type="dxa"/>
          </w:tcPr>
          <w:p w14:paraId="46D03413" w14:textId="77777777" w:rsidR="00A3203C" w:rsidRPr="00F43FAE" w:rsidRDefault="00A3203C" w:rsidP="00C14ADA">
            <w:pPr>
              <w:pStyle w:val="BStabletext"/>
            </w:pPr>
            <w:r w:rsidRPr="00D4047E">
              <w:t>ACT historic places emerging urgent priorities</w:t>
            </w:r>
          </w:p>
        </w:tc>
        <w:tc>
          <w:tcPr>
            <w:tcW w:w="1264" w:type="dxa"/>
          </w:tcPr>
          <w:p w14:paraId="3C6AA32E" w14:textId="77777777" w:rsidR="00A3203C" w:rsidRPr="006614FC" w:rsidRDefault="00A3203C" w:rsidP="00A3203C">
            <w:pPr>
              <w:pStyle w:val="Btablefigureunbold"/>
            </w:pPr>
            <w:r>
              <w:t>120</w:t>
            </w:r>
          </w:p>
        </w:tc>
      </w:tr>
      <w:tr w:rsidR="00A3203C" w:rsidRPr="006614FC" w14:paraId="290B7912" w14:textId="77777777" w:rsidTr="00A3203C">
        <w:trPr>
          <w:trHeight w:val="227"/>
          <w:jc w:val="center"/>
        </w:trPr>
        <w:tc>
          <w:tcPr>
            <w:tcW w:w="7727" w:type="dxa"/>
          </w:tcPr>
          <w:p w14:paraId="2639D7E8" w14:textId="77777777" w:rsidR="00A3203C" w:rsidRPr="006614FC" w:rsidRDefault="00A3203C" w:rsidP="00C14ADA">
            <w:pPr>
              <w:pStyle w:val="BStabletext"/>
            </w:pPr>
            <w:r w:rsidRPr="00D4047E">
              <w:t>Canberra Theatre Centre emerging urgent priorities</w:t>
            </w:r>
          </w:p>
        </w:tc>
        <w:tc>
          <w:tcPr>
            <w:tcW w:w="1264" w:type="dxa"/>
          </w:tcPr>
          <w:p w14:paraId="141C9EF9" w14:textId="77777777" w:rsidR="00A3203C" w:rsidRPr="006614FC" w:rsidRDefault="00A3203C" w:rsidP="00A3203C">
            <w:pPr>
              <w:pStyle w:val="Btablefigureunbold"/>
            </w:pPr>
            <w:r>
              <w:t>150</w:t>
            </w:r>
          </w:p>
        </w:tc>
      </w:tr>
      <w:tr w:rsidR="00A3203C" w:rsidRPr="006614FC" w14:paraId="2C5D4E3A" w14:textId="77777777" w:rsidTr="00A3203C">
        <w:trPr>
          <w:trHeight w:val="227"/>
          <w:jc w:val="center"/>
        </w:trPr>
        <w:tc>
          <w:tcPr>
            <w:tcW w:w="7727" w:type="dxa"/>
          </w:tcPr>
          <w:p w14:paraId="38306D5F" w14:textId="77777777" w:rsidR="00A3203C" w:rsidRPr="006614FC" w:rsidRDefault="00A3203C" w:rsidP="00C14ADA">
            <w:pPr>
              <w:pStyle w:val="BStabletext"/>
            </w:pPr>
            <w:r w:rsidRPr="00D4047E">
              <w:t>Canberra Museum and Gallery emerging urgent priorities</w:t>
            </w:r>
          </w:p>
        </w:tc>
        <w:tc>
          <w:tcPr>
            <w:tcW w:w="1264" w:type="dxa"/>
          </w:tcPr>
          <w:p w14:paraId="34E0BA71" w14:textId="77777777" w:rsidR="00A3203C" w:rsidRPr="006614FC" w:rsidRDefault="00A3203C" w:rsidP="00A3203C">
            <w:pPr>
              <w:pStyle w:val="Btablefigureunbold"/>
            </w:pPr>
            <w:r>
              <w:t>120</w:t>
            </w:r>
          </w:p>
        </w:tc>
      </w:tr>
      <w:tr w:rsidR="00A3203C" w:rsidRPr="006614FC" w14:paraId="0F8D2FCA" w14:textId="77777777" w:rsidTr="00A3203C">
        <w:trPr>
          <w:trHeight w:val="227"/>
          <w:jc w:val="center"/>
        </w:trPr>
        <w:tc>
          <w:tcPr>
            <w:tcW w:w="7727" w:type="dxa"/>
          </w:tcPr>
          <w:p w14:paraId="128EE45C" w14:textId="77777777" w:rsidR="00A3203C" w:rsidRPr="00F25687" w:rsidRDefault="00A3203C" w:rsidP="00C14ADA">
            <w:pPr>
              <w:pStyle w:val="BStabletext"/>
            </w:pPr>
            <w:r w:rsidRPr="00D4047E">
              <w:t>Corporate emerging urgent priorities</w:t>
            </w:r>
          </w:p>
        </w:tc>
        <w:tc>
          <w:tcPr>
            <w:tcW w:w="1264" w:type="dxa"/>
          </w:tcPr>
          <w:p w14:paraId="0EDB565F" w14:textId="77777777" w:rsidR="00A3203C" w:rsidRDefault="00A3203C" w:rsidP="00A3203C">
            <w:pPr>
              <w:pStyle w:val="Btablefigureunbold"/>
            </w:pPr>
            <w:r>
              <w:t>49</w:t>
            </w:r>
          </w:p>
        </w:tc>
      </w:tr>
      <w:tr w:rsidR="00A3203C" w:rsidRPr="006614FC" w14:paraId="028B4E69" w14:textId="77777777" w:rsidTr="00A3203C">
        <w:trPr>
          <w:trHeight w:val="227"/>
          <w:jc w:val="center"/>
        </w:trPr>
        <w:tc>
          <w:tcPr>
            <w:tcW w:w="7727" w:type="dxa"/>
          </w:tcPr>
          <w:p w14:paraId="366F117B" w14:textId="77777777" w:rsidR="00A3203C" w:rsidRPr="006614FC" w:rsidRDefault="00A3203C" w:rsidP="00C14ADA">
            <w:pPr>
              <w:pStyle w:val="BStabletextbold"/>
            </w:pPr>
            <w:r w:rsidRPr="00081323">
              <w:t>Total</w:t>
            </w:r>
          </w:p>
        </w:tc>
        <w:tc>
          <w:tcPr>
            <w:tcW w:w="1264" w:type="dxa"/>
          </w:tcPr>
          <w:p w14:paraId="5DFE5EE5" w14:textId="77777777" w:rsidR="00A3203C" w:rsidRPr="006614FC" w:rsidRDefault="00A3203C" w:rsidP="00A3203C">
            <w:pPr>
              <w:pStyle w:val="BTablefigureBold"/>
            </w:pPr>
            <w:r>
              <w:t>439</w:t>
            </w:r>
          </w:p>
        </w:tc>
      </w:tr>
      <w:tr w:rsidR="00A3203C" w:rsidRPr="006614FC" w14:paraId="705D30A9" w14:textId="77777777" w:rsidTr="00A3203C">
        <w:trPr>
          <w:trHeight w:val="454"/>
          <w:jc w:val="center"/>
        </w:trPr>
        <w:tc>
          <w:tcPr>
            <w:tcW w:w="7727" w:type="dxa"/>
            <w:vAlign w:val="bottom"/>
          </w:tcPr>
          <w:p w14:paraId="354BD61B" w14:textId="77777777" w:rsidR="00A3203C" w:rsidRPr="00FB1E3D" w:rsidRDefault="00A3203C" w:rsidP="00C14ADA">
            <w:pPr>
              <w:pStyle w:val="BStabletextbold"/>
            </w:pPr>
            <w:r w:rsidRPr="00FB1E3D">
              <w:t>Education Directorate</w:t>
            </w:r>
            <w:r w:rsidRPr="00EA34A9">
              <w:rPr>
                <w:vertAlign w:val="superscript"/>
              </w:rPr>
              <w:t>1</w:t>
            </w:r>
          </w:p>
        </w:tc>
        <w:tc>
          <w:tcPr>
            <w:tcW w:w="1264" w:type="dxa"/>
            <w:vAlign w:val="bottom"/>
          </w:tcPr>
          <w:p w14:paraId="396199FC" w14:textId="77777777" w:rsidR="00A3203C" w:rsidRPr="00FB1E3D" w:rsidRDefault="00A3203C" w:rsidP="00C14ADA">
            <w:pPr>
              <w:pStyle w:val="EmptyCell0"/>
              <w:pageBreakBefore/>
            </w:pPr>
          </w:p>
        </w:tc>
      </w:tr>
      <w:tr w:rsidR="00A3203C" w:rsidRPr="00A60DFE" w14:paraId="371D3ABE" w14:textId="77777777" w:rsidTr="00A3203C">
        <w:trPr>
          <w:trHeight w:val="454"/>
          <w:jc w:val="center"/>
        </w:trPr>
        <w:tc>
          <w:tcPr>
            <w:tcW w:w="7727" w:type="dxa"/>
            <w:vAlign w:val="bottom"/>
          </w:tcPr>
          <w:p w14:paraId="4220B49D" w14:textId="77777777" w:rsidR="00A3203C" w:rsidRPr="00FB1E3D" w:rsidRDefault="00A3203C" w:rsidP="00C14ADA">
            <w:pPr>
              <w:pStyle w:val="BStabletextbolditalics"/>
            </w:pPr>
            <w:r w:rsidRPr="00FB1E3D">
              <w:t>Public school infrastructure upgrades</w:t>
            </w:r>
          </w:p>
        </w:tc>
        <w:tc>
          <w:tcPr>
            <w:tcW w:w="1264" w:type="dxa"/>
          </w:tcPr>
          <w:p w14:paraId="7BBDB031" w14:textId="77777777" w:rsidR="00A3203C" w:rsidRPr="00FB1E3D" w:rsidRDefault="00A3203C" w:rsidP="00A3203C">
            <w:pPr>
              <w:pStyle w:val="EmptyCell0"/>
            </w:pPr>
          </w:p>
        </w:tc>
      </w:tr>
      <w:tr w:rsidR="00A3203C" w:rsidRPr="00A60DFE" w14:paraId="439CCBA9" w14:textId="77777777" w:rsidTr="00A3203C">
        <w:trPr>
          <w:trHeight w:val="227"/>
          <w:jc w:val="center"/>
        </w:trPr>
        <w:tc>
          <w:tcPr>
            <w:tcW w:w="7727" w:type="dxa"/>
          </w:tcPr>
          <w:p w14:paraId="77635713" w14:textId="77777777" w:rsidR="00A3203C" w:rsidRPr="00FB1E3D" w:rsidRDefault="00A3203C" w:rsidP="00C14ADA">
            <w:pPr>
              <w:pStyle w:val="BStabletext"/>
            </w:pPr>
            <w:r w:rsidRPr="00D4047E">
              <w:t>School learning area improvements</w:t>
            </w:r>
          </w:p>
        </w:tc>
        <w:tc>
          <w:tcPr>
            <w:tcW w:w="1264" w:type="dxa"/>
          </w:tcPr>
          <w:p w14:paraId="39105BC1" w14:textId="77777777" w:rsidR="00A3203C" w:rsidRPr="00893DB5" w:rsidRDefault="00A3203C" w:rsidP="00A3203C">
            <w:pPr>
              <w:pStyle w:val="Btablefigureunbold"/>
            </w:pPr>
            <w:r>
              <w:t>4,950</w:t>
            </w:r>
          </w:p>
        </w:tc>
      </w:tr>
      <w:tr w:rsidR="00A3203C" w:rsidRPr="00A60DFE" w14:paraId="0AC12B4D" w14:textId="77777777" w:rsidTr="00A3203C">
        <w:trPr>
          <w:trHeight w:val="227"/>
          <w:jc w:val="center"/>
        </w:trPr>
        <w:tc>
          <w:tcPr>
            <w:tcW w:w="7727" w:type="dxa"/>
          </w:tcPr>
          <w:p w14:paraId="713DF659" w14:textId="77777777" w:rsidR="00A3203C" w:rsidRPr="00FB1E3D" w:rsidRDefault="00A3203C" w:rsidP="00C14ADA">
            <w:pPr>
              <w:pStyle w:val="BStabletext"/>
            </w:pPr>
            <w:r w:rsidRPr="00D4047E">
              <w:t>School administration and support area improvements</w:t>
            </w:r>
          </w:p>
        </w:tc>
        <w:tc>
          <w:tcPr>
            <w:tcW w:w="1264" w:type="dxa"/>
          </w:tcPr>
          <w:p w14:paraId="71209A02" w14:textId="77777777" w:rsidR="00A3203C" w:rsidRPr="00893DB5" w:rsidRDefault="00A3203C" w:rsidP="00A3203C">
            <w:pPr>
              <w:pStyle w:val="Btablefigureunbold"/>
            </w:pPr>
            <w:r>
              <w:t>1,500</w:t>
            </w:r>
          </w:p>
        </w:tc>
      </w:tr>
      <w:tr w:rsidR="00A3203C" w:rsidRPr="00A60DFE" w14:paraId="1973BB04" w14:textId="77777777" w:rsidTr="00A3203C">
        <w:trPr>
          <w:trHeight w:val="227"/>
          <w:jc w:val="center"/>
        </w:trPr>
        <w:tc>
          <w:tcPr>
            <w:tcW w:w="7727" w:type="dxa"/>
          </w:tcPr>
          <w:p w14:paraId="2FA6E418" w14:textId="77777777" w:rsidR="00A3203C" w:rsidRPr="00FB1E3D" w:rsidRDefault="00A3203C" w:rsidP="00C14ADA">
            <w:pPr>
              <w:pStyle w:val="BStabletext"/>
            </w:pPr>
            <w:r w:rsidRPr="00D4047E">
              <w:t xml:space="preserve">Inclusion </w:t>
            </w:r>
            <w:r>
              <w:t>w</w:t>
            </w:r>
            <w:r w:rsidRPr="00D4047E">
              <w:t>orks</w:t>
            </w:r>
          </w:p>
        </w:tc>
        <w:tc>
          <w:tcPr>
            <w:tcW w:w="1264" w:type="dxa"/>
          </w:tcPr>
          <w:p w14:paraId="30892C42" w14:textId="77777777" w:rsidR="00A3203C" w:rsidRPr="00893DB5" w:rsidRDefault="00A3203C" w:rsidP="00A3203C">
            <w:pPr>
              <w:pStyle w:val="Btablefigureunbold"/>
            </w:pPr>
            <w:r>
              <w:t>4,000</w:t>
            </w:r>
          </w:p>
        </w:tc>
      </w:tr>
      <w:tr w:rsidR="00A3203C" w:rsidRPr="00A60DFE" w14:paraId="66A327ED" w14:textId="77777777" w:rsidTr="00A3203C">
        <w:trPr>
          <w:trHeight w:val="227"/>
          <w:jc w:val="center"/>
        </w:trPr>
        <w:tc>
          <w:tcPr>
            <w:tcW w:w="7727" w:type="dxa"/>
          </w:tcPr>
          <w:p w14:paraId="07DA5688" w14:textId="77777777" w:rsidR="00A3203C" w:rsidRPr="00FB1E3D" w:rsidRDefault="00A3203C" w:rsidP="00C14ADA">
            <w:pPr>
              <w:pStyle w:val="BStabletext"/>
            </w:pPr>
            <w:r w:rsidRPr="00D4047E">
              <w:t xml:space="preserve">School </w:t>
            </w:r>
            <w:r>
              <w:t>i</w:t>
            </w:r>
            <w:r w:rsidRPr="00D4047E">
              <w:t xml:space="preserve">nfrastructure </w:t>
            </w:r>
            <w:r>
              <w:t>r</w:t>
            </w:r>
            <w:r w:rsidRPr="00D4047E">
              <w:t>evitalisation</w:t>
            </w:r>
          </w:p>
        </w:tc>
        <w:tc>
          <w:tcPr>
            <w:tcW w:w="1264" w:type="dxa"/>
          </w:tcPr>
          <w:p w14:paraId="5E365D38" w14:textId="77777777" w:rsidR="00A3203C" w:rsidRPr="00893DB5" w:rsidRDefault="00A3203C" w:rsidP="00A3203C">
            <w:pPr>
              <w:pStyle w:val="Btablefigureunbold"/>
            </w:pPr>
            <w:r>
              <w:t>4,705</w:t>
            </w:r>
          </w:p>
        </w:tc>
      </w:tr>
      <w:tr w:rsidR="00A3203C" w:rsidRPr="00A60DFE" w14:paraId="75FB0020" w14:textId="77777777" w:rsidTr="00A3203C">
        <w:trPr>
          <w:trHeight w:val="227"/>
          <w:jc w:val="center"/>
        </w:trPr>
        <w:tc>
          <w:tcPr>
            <w:tcW w:w="7727" w:type="dxa"/>
          </w:tcPr>
          <w:p w14:paraId="1C3F8F3C" w14:textId="77777777" w:rsidR="00A3203C" w:rsidRPr="00FB1E3D" w:rsidRDefault="00A3203C" w:rsidP="00C14ADA">
            <w:pPr>
              <w:pStyle w:val="BStabletext"/>
            </w:pPr>
            <w:r w:rsidRPr="00D4047E">
              <w:t xml:space="preserve">School </w:t>
            </w:r>
            <w:r>
              <w:t>s</w:t>
            </w:r>
            <w:r w:rsidRPr="00D4047E">
              <w:t xml:space="preserve">ecurity </w:t>
            </w:r>
            <w:r>
              <w:t>i</w:t>
            </w:r>
            <w:r w:rsidRPr="00D4047E">
              <w:t>mprovements</w:t>
            </w:r>
          </w:p>
        </w:tc>
        <w:tc>
          <w:tcPr>
            <w:tcW w:w="1264" w:type="dxa"/>
          </w:tcPr>
          <w:p w14:paraId="4D66A5FF" w14:textId="77777777" w:rsidR="00A3203C" w:rsidRPr="00FB1E3D" w:rsidRDefault="00A3203C" w:rsidP="00A3203C">
            <w:pPr>
              <w:pStyle w:val="Btablefigureunbold"/>
            </w:pPr>
            <w:r>
              <w:t>1,500</w:t>
            </w:r>
          </w:p>
        </w:tc>
      </w:tr>
      <w:tr w:rsidR="00A3203C" w:rsidRPr="00A60DFE" w14:paraId="716BEF55" w14:textId="77777777" w:rsidTr="00A3203C">
        <w:trPr>
          <w:trHeight w:val="227"/>
          <w:jc w:val="center"/>
        </w:trPr>
        <w:tc>
          <w:tcPr>
            <w:tcW w:w="7727" w:type="dxa"/>
          </w:tcPr>
          <w:p w14:paraId="3940B952" w14:textId="77777777" w:rsidR="00A3203C" w:rsidRPr="00FB1E3D" w:rsidRDefault="00A3203C" w:rsidP="00C14ADA">
            <w:pPr>
              <w:pStyle w:val="BStabletext"/>
            </w:pPr>
            <w:r w:rsidRPr="00D4047E">
              <w:t>School Safety improvements</w:t>
            </w:r>
          </w:p>
        </w:tc>
        <w:tc>
          <w:tcPr>
            <w:tcW w:w="1264" w:type="dxa"/>
          </w:tcPr>
          <w:p w14:paraId="031255A3" w14:textId="77777777" w:rsidR="00A3203C" w:rsidRPr="00FB1E3D" w:rsidRDefault="00A3203C" w:rsidP="00A3203C">
            <w:pPr>
              <w:pStyle w:val="Btablefigureunbold"/>
            </w:pPr>
            <w:r>
              <w:t>1,400</w:t>
            </w:r>
          </w:p>
        </w:tc>
      </w:tr>
      <w:tr w:rsidR="00A3203C" w:rsidRPr="00A60DFE" w14:paraId="7AE842AC" w14:textId="77777777" w:rsidTr="00A3203C">
        <w:trPr>
          <w:trHeight w:val="227"/>
          <w:jc w:val="center"/>
        </w:trPr>
        <w:tc>
          <w:tcPr>
            <w:tcW w:w="7727" w:type="dxa"/>
          </w:tcPr>
          <w:p w14:paraId="54C974A9" w14:textId="77777777" w:rsidR="00A3203C" w:rsidRPr="00FB1E3D" w:rsidRDefault="00A3203C" w:rsidP="00C14ADA">
            <w:pPr>
              <w:pStyle w:val="BStabletext"/>
            </w:pPr>
            <w:r w:rsidRPr="00D4047E">
              <w:lastRenderedPageBreak/>
              <w:t xml:space="preserve">External </w:t>
            </w:r>
            <w:r>
              <w:t>l</w:t>
            </w:r>
            <w:r w:rsidRPr="00D4047E">
              <w:t xml:space="preserve">earning </w:t>
            </w:r>
            <w:r>
              <w:t>e</w:t>
            </w:r>
            <w:r w:rsidRPr="00D4047E">
              <w:t xml:space="preserve">nvironments </w:t>
            </w:r>
          </w:p>
        </w:tc>
        <w:tc>
          <w:tcPr>
            <w:tcW w:w="1264" w:type="dxa"/>
          </w:tcPr>
          <w:p w14:paraId="4F8D4DA3" w14:textId="77777777" w:rsidR="00A3203C" w:rsidRPr="00FB1E3D" w:rsidRDefault="00A3203C" w:rsidP="00A3203C">
            <w:pPr>
              <w:pStyle w:val="Btablefigureunbold"/>
            </w:pPr>
            <w:r>
              <w:t>3,400</w:t>
            </w:r>
          </w:p>
        </w:tc>
      </w:tr>
      <w:tr w:rsidR="00A3203C" w:rsidRPr="00A60DFE" w14:paraId="15BD42D8" w14:textId="77777777" w:rsidTr="00A3203C">
        <w:trPr>
          <w:trHeight w:val="227"/>
          <w:jc w:val="center"/>
        </w:trPr>
        <w:tc>
          <w:tcPr>
            <w:tcW w:w="7727" w:type="dxa"/>
          </w:tcPr>
          <w:p w14:paraId="3B52C63B" w14:textId="77777777" w:rsidR="00A3203C" w:rsidRPr="00FB1E3D" w:rsidRDefault="00A3203C" w:rsidP="00C14ADA">
            <w:pPr>
              <w:pStyle w:val="BStabletext"/>
            </w:pPr>
            <w:r w:rsidRPr="00D4047E">
              <w:t xml:space="preserve">Environmentally </w:t>
            </w:r>
            <w:r>
              <w:t>s</w:t>
            </w:r>
            <w:r w:rsidRPr="00D4047E">
              <w:t xml:space="preserve">ustainable </w:t>
            </w:r>
            <w:r>
              <w:t>d</w:t>
            </w:r>
            <w:r w:rsidRPr="00D4047E">
              <w:t>evelopment</w:t>
            </w:r>
          </w:p>
        </w:tc>
        <w:tc>
          <w:tcPr>
            <w:tcW w:w="1264" w:type="dxa"/>
          </w:tcPr>
          <w:p w14:paraId="718BA81D" w14:textId="77777777" w:rsidR="00A3203C" w:rsidRPr="00FB1E3D" w:rsidRDefault="00A3203C" w:rsidP="00A3203C">
            <w:pPr>
              <w:pStyle w:val="Btablefigureunbold"/>
            </w:pPr>
            <w:r>
              <w:t>4,000</w:t>
            </w:r>
          </w:p>
        </w:tc>
      </w:tr>
      <w:tr w:rsidR="00A3203C" w:rsidRPr="00A60DFE" w14:paraId="2A49C664" w14:textId="77777777" w:rsidTr="00A3203C">
        <w:trPr>
          <w:trHeight w:val="227"/>
          <w:jc w:val="center"/>
        </w:trPr>
        <w:tc>
          <w:tcPr>
            <w:tcW w:w="7727" w:type="dxa"/>
          </w:tcPr>
          <w:p w14:paraId="18BA17F0" w14:textId="77777777" w:rsidR="00A3203C" w:rsidRPr="00FB1E3D" w:rsidRDefault="00A3203C" w:rsidP="00C14ADA">
            <w:pPr>
              <w:pStyle w:val="BStabletextbold"/>
            </w:pPr>
            <w:r w:rsidRPr="00FB1E3D">
              <w:t>Total</w:t>
            </w:r>
          </w:p>
        </w:tc>
        <w:tc>
          <w:tcPr>
            <w:tcW w:w="1264" w:type="dxa"/>
          </w:tcPr>
          <w:p w14:paraId="3634FFE5" w14:textId="77777777" w:rsidR="00A3203C" w:rsidRPr="00FB1E3D" w:rsidRDefault="00A3203C" w:rsidP="00A3203C">
            <w:pPr>
              <w:pStyle w:val="BTablefigureBold"/>
            </w:pPr>
            <w:r>
              <w:t>25,455</w:t>
            </w:r>
          </w:p>
        </w:tc>
      </w:tr>
      <w:tr w:rsidR="00A3203C" w:rsidRPr="006614FC" w14:paraId="32C48D26" w14:textId="77777777" w:rsidTr="00A3203C">
        <w:trPr>
          <w:trHeight w:val="454"/>
          <w:jc w:val="center"/>
        </w:trPr>
        <w:tc>
          <w:tcPr>
            <w:tcW w:w="7727" w:type="dxa"/>
            <w:vAlign w:val="bottom"/>
          </w:tcPr>
          <w:p w14:paraId="6B4CA7C4" w14:textId="77777777" w:rsidR="00A3203C" w:rsidRPr="001A4CF7" w:rsidRDefault="00A3203C" w:rsidP="00C14ADA">
            <w:pPr>
              <w:pStyle w:val="BStabletextbold"/>
            </w:pPr>
            <w:r w:rsidRPr="00FD7239">
              <w:t>Environment, Planning and Sustainable Development Directorate</w:t>
            </w:r>
          </w:p>
        </w:tc>
        <w:tc>
          <w:tcPr>
            <w:tcW w:w="1264" w:type="dxa"/>
          </w:tcPr>
          <w:p w14:paraId="76CD084E" w14:textId="77777777" w:rsidR="00A3203C" w:rsidRPr="001A4CF7" w:rsidRDefault="00A3203C" w:rsidP="00A3203C">
            <w:pPr>
              <w:pStyle w:val="Emptycell"/>
              <w:pageBreakBefore/>
            </w:pPr>
          </w:p>
        </w:tc>
      </w:tr>
      <w:tr w:rsidR="00A3203C" w:rsidRPr="006614FC" w14:paraId="15E4D15E" w14:textId="77777777" w:rsidTr="00A3203C">
        <w:trPr>
          <w:trHeight w:val="454"/>
          <w:jc w:val="center"/>
        </w:trPr>
        <w:tc>
          <w:tcPr>
            <w:tcW w:w="7727" w:type="dxa"/>
            <w:vAlign w:val="bottom"/>
          </w:tcPr>
          <w:p w14:paraId="3967CB8A" w14:textId="77777777" w:rsidR="00A3203C" w:rsidRPr="00E76278" w:rsidRDefault="00A3203C" w:rsidP="00C14ADA">
            <w:pPr>
              <w:pStyle w:val="BStabletextbolditalics"/>
            </w:pPr>
            <w:r w:rsidRPr="00E76278">
              <w:t>Improving our parks and nature reserves</w:t>
            </w:r>
          </w:p>
        </w:tc>
        <w:tc>
          <w:tcPr>
            <w:tcW w:w="1264" w:type="dxa"/>
            <w:vAlign w:val="bottom"/>
          </w:tcPr>
          <w:p w14:paraId="5DF833B7" w14:textId="77777777" w:rsidR="00A3203C" w:rsidRPr="001A4CF7" w:rsidRDefault="00A3203C" w:rsidP="00A3203C">
            <w:pPr>
              <w:pStyle w:val="Emptycell"/>
            </w:pPr>
          </w:p>
        </w:tc>
      </w:tr>
      <w:tr w:rsidR="00A3203C" w:rsidRPr="006614FC" w14:paraId="48BC3927" w14:textId="77777777" w:rsidTr="00A3203C">
        <w:trPr>
          <w:trHeight w:val="227"/>
          <w:jc w:val="center"/>
        </w:trPr>
        <w:tc>
          <w:tcPr>
            <w:tcW w:w="7727" w:type="dxa"/>
          </w:tcPr>
          <w:p w14:paraId="0640CD7B" w14:textId="77777777" w:rsidR="00A3203C" w:rsidRPr="00C125B0" w:rsidRDefault="00A3203C" w:rsidP="00A3203C">
            <w:pPr>
              <w:spacing w:after="0"/>
              <w:rPr>
                <w:bCs/>
                <w:sz w:val="20"/>
                <w:szCs w:val="20"/>
                <w:lang w:eastAsia="en-AU"/>
              </w:rPr>
            </w:pPr>
            <w:r w:rsidRPr="00C125B0">
              <w:rPr>
                <w:sz w:val="20"/>
                <w:szCs w:val="20"/>
              </w:rPr>
              <w:t>Visitor assets and infrastructure upgrades</w:t>
            </w:r>
          </w:p>
        </w:tc>
        <w:tc>
          <w:tcPr>
            <w:tcW w:w="1264" w:type="dxa"/>
          </w:tcPr>
          <w:p w14:paraId="7F17A259" w14:textId="77777777" w:rsidR="00A3203C" w:rsidRPr="001A4CF7" w:rsidRDefault="00A3203C" w:rsidP="00A3203C">
            <w:pPr>
              <w:pStyle w:val="Btablefigureunbold"/>
            </w:pPr>
            <w:r>
              <w:t>438</w:t>
            </w:r>
          </w:p>
        </w:tc>
      </w:tr>
      <w:tr w:rsidR="00A3203C" w:rsidRPr="006614FC" w14:paraId="0C851187" w14:textId="77777777" w:rsidTr="00A3203C">
        <w:trPr>
          <w:trHeight w:val="227"/>
          <w:jc w:val="center"/>
        </w:trPr>
        <w:tc>
          <w:tcPr>
            <w:tcW w:w="7727" w:type="dxa"/>
          </w:tcPr>
          <w:p w14:paraId="77E95AB7" w14:textId="77777777" w:rsidR="00A3203C" w:rsidRPr="00C125B0" w:rsidRDefault="00A3203C" w:rsidP="00C14ADA">
            <w:pPr>
              <w:pStyle w:val="BStabletext"/>
            </w:pPr>
            <w:r w:rsidRPr="00C125B0">
              <w:t>Upgrade communication infrastructure and capacity</w:t>
            </w:r>
          </w:p>
        </w:tc>
        <w:tc>
          <w:tcPr>
            <w:tcW w:w="1264" w:type="dxa"/>
          </w:tcPr>
          <w:p w14:paraId="4E4A1E9B" w14:textId="77777777" w:rsidR="00A3203C" w:rsidRDefault="00A3203C" w:rsidP="00A3203C">
            <w:pPr>
              <w:pStyle w:val="Btablefigureunbold"/>
            </w:pPr>
            <w:r>
              <w:t>140</w:t>
            </w:r>
          </w:p>
        </w:tc>
      </w:tr>
      <w:tr w:rsidR="00A3203C" w:rsidRPr="006614FC" w14:paraId="72878D9A" w14:textId="77777777" w:rsidTr="00A3203C">
        <w:trPr>
          <w:trHeight w:val="227"/>
          <w:jc w:val="center"/>
        </w:trPr>
        <w:tc>
          <w:tcPr>
            <w:tcW w:w="7727" w:type="dxa"/>
          </w:tcPr>
          <w:p w14:paraId="67FE2D20" w14:textId="77777777" w:rsidR="00A3203C" w:rsidRDefault="00A3203C" w:rsidP="00C14ADA">
            <w:pPr>
              <w:pStyle w:val="BStabletext"/>
            </w:pPr>
            <w:r w:rsidRPr="00CC1BBF">
              <w:t xml:space="preserve">Signage and wayfinding upgrades </w:t>
            </w:r>
          </w:p>
        </w:tc>
        <w:tc>
          <w:tcPr>
            <w:tcW w:w="1264" w:type="dxa"/>
          </w:tcPr>
          <w:p w14:paraId="1D161099" w14:textId="77777777" w:rsidR="00A3203C" w:rsidRDefault="00A3203C" w:rsidP="00A3203C">
            <w:pPr>
              <w:pStyle w:val="Btablefigureunbold"/>
            </w:pPr>
            <w:r>
              <w:t>150</w:t>
            </w:r>
          </w:p>
        </w:tc>
      </w:tr>
      <w:tr w:rsidR="00A3203C" w:rsidRPr="00E76278" w14:paraId="2F196605" w14:textId="77777777" w:rsidTr="00A3203C">
        <w:trPr>
          <w:trHeight w:val="454"/>
          <w:jc w:val="center"/>
        </w:trPr>
        <w:tc>
          <w:tcPr>
            <w:tcW w:w="7727" w:type="dxa"/>
            <w:vAlign w:val="bottom"/>
          </w:tcPr>
          <w:p w14:paraId="55504CD9" w14:textId="77777777" w:rsidR="00A3203C" w:rsidRPr="00E360E1" w:rsidRDefault="00A3203C" w:rsidP="00C14ADA">
            <w:pPr>
              <w:pStyle w:val="BStabletextbolditalics"/>
            </w:pPr>
            <w:r w:rsidRPr="00E360E1">
              <w:t>Improving our heritage</w:t>
            </w:r>
          </w:p>
        </w:tc>
        <w:tc>
          <w:tcPr>
            <w:tcW w:w="1264" w:type="dxa"/>
          </w:tcPr>
          <w:p w14:paraId="04A0FD13" w14:textId="77777777" w:rsidR="00A3203C" w:rsidRPr="00E76278" w:rsidRDefault="00A3203C" w:rsidP="00A3203C">
            <w:pPr>
              <w:pStyle w:val="Emptycell"/>
            </w:pPr>
          </w:p>
        </w:tc>
      </w:tr>
      <w:tr w:rsidR="00A3203C" w:rsidRPr="006614FC" w14:paraId="4C3714ED" w14:textId="77777777" w:rsidTr="00A3203C">
        <w:trPr>
          <w:trHeight w:val="227"/>
          <w:jc w:val="center"/>
        </w:trPr>
        <w:tc>
          <w:tcPr>
            <w:tcW w:w="7727" w:type="dxa"/>
          </w:tcPr>
          <w:p w14:paraId="7C6B966B" w14:textId="77777777" w:rsidR="00A3203C" w:rsidRPr="00A4097B" w:rsidRDefault="00A3203C" w:rsidP="00C14ADA">
            <w:pPr>
              <w:pStyle w:val="BStabletext"/>
            </w:pPr>
            <w:r w:rsidRPr="00D4047E">
              <w:t xml:space="preserve">Canberra </w:t>
            </w:r>
            <w:r>
              <w:t>t</w:t>
            </w:r>
            <w:r w:rsidRPr="00D4047E">
              <w:t>racks</w:t>
            </w:r>
            <w:r>
              <w:t xml:space="preserve"> - H</w:t>
            </w:r>
            <w:r w:rsidRPr="00D4047E">
              <w:t xml:space="preserve">eritage </w:t>
            </w:r>
            <w:r>
              <w:t>i</w:t>
            </w:r>
            <w:r w:rsidRPr="00D4047E">
              <w:t xml:space="preserve">nterpretive </w:t>
            </w:r>
            <w:r>
              <w:t>s</w:t>
            </w:r>
            <w:r w:rsidRPr="00D4047E">
              <w:t xml:space="preserve">ignage </w:t>
            </w:r>
            <w:r>
              <w:t>p</w:t>
            </w:r>
            <w:r w:rsidRPr="00D4047E">
              <w:t>rogram</w:t>
            </w:r>
          </w:p>
        </w:tc>
        <w:tc>
          <w:tcPr>
            <w:tcW w:w="1264" w:type="dxa"/>
          </w:tcPr>
          <w:p w14:paraId="46768773" w14:textId="77777777" w:rsidR="00A3203C" w:rsidRPr="001A4CF7" w:rsidRDefault="00A3203C" w:rsidP="00A3203C">
            <w:pPr>
              <w:pStyle w:val="Btablefigureunbold"/>
            </w:pPr>
            <w:r>
              <w:t>29</w:t>
            </w:r>
          </w:p>
        </w:tc>
      </w:tr>
      <w:tr w:rsidR="00A3203C" w:rsidRPr="006614FC" w14:paraId="2C756F22" w14:textId="77777777" w:rsidTr="00A3203C">
        <w:trPr>
          <w:trHeight w:val="454"/>
          <w:jc w:val="center"/>
        </w:trPr>
        <w:tc>
          <w:tcPr>
            <w:tcW w:w="7727" w:type="dxa"/>
            <w:vAlign w:val="bottom"/>
          </w:tcPr>
          <w:p w14:paraId="782AB33E" w14:textId="77777777" w:rsidR="00A3203C" w:rsidRPr="00A4097B" w:rsidRDefault="00A3203C" w:rsidP="00C14ADA">
            <w:pPr>
              <w:pStyle w:val="BStabletextbolditalics"/>
            </w:pPr>
            <w:r w:rsidRPr="006822FD">
              <w:t>Infrastructure and equipment (civil infrastructure works)</w:t>
            </w:r>
          </w:p>
        </w:tc>
        <w:tc>
          <w:tcPr>
            <w:tcW w:w="1264" w:type="dxa"/>
          </w:tcPr>
          <w:p w14:paraId="192B47FD" w14:textId="77777777" w:rsidR="00A3203C" w:rsidRPr="0090319C" w:rsidRDefault="00A3203C" w:rsidP="00A3203C">
            <w:pPr>
              <w:pStyle w:val="Btablefigureunbold"/>
            </w:pPr>
          </w:p>
        </w:tc>
      </w:tr>
      <w:tr w:rsidR="00A3203C" w:rsidRPr="006614FC" w14:paraId="4472CFC8" w14:textId="77777777" w:rsidTr="00A3203C">
        <w:trPr>
          <w:trHeight w:val="227"/>
          <w:jc w:val="center"/>
        </w:trPr>
        <w:tc>
          <w:tcPr>
            <w:tcW w:w="7727" w:type="dxa"/>
          </w:tcPr>
          <w:p w14:paraId="30352400" w14:textId="0CF3B226" w:rsidR="00A3203C" w:rsidRPr="00B45931" w:rsidRDefault="00A3203C" w:rsidP="00A3203C">
            <w:pPr>
              <w:pStyle w:val="Btabletextunbold"/>
              <w:rPr>
                <w:bCs/>
              </w:rPr>
            </w:pPr>
            <w:r w:rsidRPr="00D4047E">
              <w:t xml:space="preserve">Woden </w:t>
            </w:r>
            <w:r>
              <w:t>i</w:t>
            </w:r>
            <w:r w:rsidRPr="00D4047E">
              <w:t xml:space="preserve">nfrastructure </w:t>
            </w:r>
            <w:r>
              <w:t>s</w:t>
            </w:r>
            <w:r w:rsidRPr="00D4047E">
              <w:t xml:space="preserve">tudy Part 2 </w:t>
            </w:r>
            <w:r w:rsidR="00402E06">
              <w:t>–</w:t>
            </w:r>
            <w:r w:rsidRPr="00D4047E">
              <w:t xml:space="preserve"> Roads, </w:t>
            </w:r>
            <w:r>
              <w:t>i</w:t>
            </w:r>
            <w:r w:rsidRPr="00D4047E">
              <w:t xml:space="preserve">ntersections and </w:t>
            </w:r>
            <w:r>
              <w:t>p</w:t>
            </w:r>
            <w:r w:rsidRPr="00D4047E">
              <w:t xml:space="preserve">ublic </w:t>
            </w:r>
            <w:r>
              <w:t>t</w:t>
            </w:r>
            <w:r w:rsidRPr="00D4047E">
              <w:t>ransport analysis and upgrade concepts</w:t>
            </w:r>
          </w:p>
        </w:tc>
        <w:tc>
          <w:tcPr>
            <w:tcW w:w="1264" w:type="dxa"/>
          </w:tcPr>
          <w:p w14:paraId="01B2D3C5" w14:textId="77777777" w:rsidR="00A3203C" w:rsidRPr="001A4CF7" w:rsidRDefault="00A3203C" w:rsidP="00A3203C">
            <w:pPr>
              <w:pStyle w:val="Btablefigureunbold"/>
            </w:pPr>
            <w:r>
              <w:t>120</w:t>
            </w:r>
          </w:p>
        </w:tc>
      </w:tr>
      <w:tr w:rsidR="00A3203C" w:rsidRPr="006614FC" w14:paraId="5047B01C" w14:textId="77777777" w:rsidTr="00A3203C">
        <w:trPr>
          <w:trHeight w:val="227"/>
          <w:jc w:val="center"/>
        </w:trPr>
        <w:tc>
          <w:tcPr>
            <w:tcW w:w="7727" w:type="dxa"/>
          </w:tcPr>
          <w:p w14:paraId="039A13BD" w14:textId="77777777" w:rsidR="00A3203C" w:rsidRPr="001A4CF7" w:rsidRDefault="00A3203C" w:rsidP="00C14ADA">
            <w:pPr>
              <w:pStyle w:val="BStabletext"/>
            </w:pPr>
            <w:r w:rsidRPr="00D4047E">
              <w:t xml:space="preserve">Molonglo Valley </w:t>
            </w:r>
            <w:r>
              <w:t>a</w:t>
            </w:r>
            <w:r w:rsidRPr="00D4047E">
              <w:t xml:space="preserve">ctive </w:t>
            </w:r>
            <w:r>
              <w:t>t</w:t>
            </w:r>
            <w:r w:rsidRPr="00D4047E">
              <w:t xml:space="preserve">ravel </w:t>
            </w:r>
            <w:r>
              <w:t>m</w:t>
            </w:r>
            <w:r w:rsidRPr="00D4047E">
              <w:t>aster plan</w:t>
            </w:r>
          </w:p>
        </w:tc>
        <w:tc>
          <w:tcPr>
            <w:tcW w:w="1264" w:type="dxa"/>
          </w:tcPr>
          <w:p w14:paraId="48F3E93D" w14:textId="77777777" w:rsidR="00A3203C" w:rsidRPr="001A4CF7" w:rsidRDefault="00A3203C" w:rsidP="00A3203C">
            <w:pPr>
              <w:pStyle w:val="Btablefigureunbold"/>
            </w:pPr>
            <w:r>
              <w:t>80</w:t>
            </w:r>
          </w:p>
        </w:tc>
      </w:tr>
      <w:tr w:rsidR="00A3203C" w:rsidRPr="006614FC" w14:paraId="79163E15" w14:textId="77777777" w:rsidTr="00A3203C">
        <w:trPr>
          <w:trHeight w:val="227"/>
          <w:jc w:val="center"/>
        </w:trPr>
        <w:tc>
          <w:tcPr>
            <w:tcW w:w="7727" w:type="dxa"/>
          </w:tcPr>
          <w:p w14:paraId="693C120A" w14:textId="77777777" w:rsidR="00A3203C" w:rsidRPr="001A4CF7" w:rsidRDefault="00A3203C" w:rsidP="00C14ADA">
            <w:pPr>
              <w:pStyle w:val="BStabletext"/>
            </w:pPr>
            <w:r w:rsidRPr="00D4047E">
              <w:t>Sullivans Creek flood modelling of overland flows through suburbs</w:t>
            </w:r>
          </w:p>
        </w:tc>
        <w:tc>
          <w:tcPr>
            <w:tcW w:w="1264" w:type="dxa"/>
          </w:tcPr>
          <w:p w14:paraId="408CEABD" w14:textId="77777777" w:rsidR="00A3203C" w:rsidRPr="001A4CF7" w:rsidRDefault="00A3203C" w:rsidP="00A3203C">
            <w:pPr>
              <w:pStyle w:val="Btablefigureunbold"/>
            </w:pPr>
            <w:r>
              <w:t>80</w:t>
            </w:r>
          </w:p>
        </w:tc>
      </w:tr>
      <w:tr w:rsidR="00A3203C" w:rsidRPr="006614FC" w14:paraId="09770E05" w14:textId="77777777" w:rsidTr="00A3203C">
        <w:trPr>
          <w:trHeight w:val="227"/>
          <w:jc w:val="center"/>
        </w:trPr>
        <w:tc>
          <w:tcPr>
            <w:tcW w:w="7727" w:type="dxa"/>
          </w:tcPr>
          <w:p w14:paraId="65589B45" w14:textId="77777777" w:rsidR="00A3203C" w:rsidRPr="00B45931" w:rsidRDefault="00A3203C" w:rsidP="00C14ADA">
            <w:pPr>
              <w:pStyle w:val="BStabletext"/>
            </w:pPr>
            <w:r w:rsidRPr="00D4047E">
              <w:t>Study of riparian corridors in urban ACT</w:t>
            </w:r>
          </w:p>
        </w:tc>
        <w:tc>
          <w:tcPr>
            <w:tcW w:w="1264" w:type="dxa"/>
          </w:tcPr>
          <w:p w14:paraId="134998C9" w14:textId="77777777" w:rsidR="00A3203C" w:rsidRDefault="00A3203C" w:rsidP="00A3203C">
            <w:pPr>
              <w:pStyle w:val="Btablefigureunbold"/>
            </w:pPr>
            <w:r>
              <w:t>40</w:t>
            </w:r>
          </w:p>
        </w:tc>
      </w:tr>
      <w:tr w:rsidR="00A3203C" w:rsidRPr="006614FC" w14:paraId="3B63619C" w14:textId="77777777" w:rsidTr="00A3203C">
        <w:trPr>
          <w:trHeight w:val="227"/>
          <w:jc w:val="center"/>
        </w:trPr>
        <w:tc>
          <w:tcPr>
            <w:tcW w:w="7727" w:type="dxa"/>
          </w:tcPr>
          <w:p w14:paraId="376195BB" w14:textId="77777777" w:rsidR="00A3203C" w:rsidRPr="00B45931" w:rsidRDefault="00A3203C" w:rsidP="00C14ADA">
            <w:pPr>
              <w:pStyle w:val="BStabletext"/>
            </w:pPr>
            <w:r w:rsidRPr="00D4047E">
              <w:t>Social cost of Carbon</w:t>
            </w:r>
          </w:p>
        </w:tc>
        <w:tc>
          <w:tcPr>
            <w:tcW w:w="1264" w:type="dxa"/>
          </w:tcPr>
          <w:p w14:paraId="35B9FE73" w14:textId="77777777" w:rsidR="00A3203C" w:rsidRDefault="00A3203C" w:rsidP="00A3203C">
            <w:pPr>
              <w:pStyle w:val="Btablefigureunbold"/>
            </w:pPr>
            <w:r>
              <w:t>1,340</w:t>
            </w:r>
          </w:p>
        </w:tc>
      </w:tr>
      <w:tr w:rsidR="00A3203C" w:rsidRPr="00101BC7" w14:paraId="11C485FC" w14:textId="77777777" w:rsidTr="00A3203C">
        <w:trPr>
          <w:trHeight w:val="227"/>
          <w:jc w:val="center"/>
        </w:trPr>
        <w:tc>
          <w:tcPr>
            <w:tcW w:w="7727" w:type="dxa"/>
          </w:tcPr>
          <w:p w14:paraId="6EA483B9" w14:textId="77777777" w:rsidR="00A3203C" w:rsidRPr="00101BC7" w:rsidRDefault="00A3203C" w:rsidP="00C14ADA">
            <w:pPr>
              <w:pStyle w:val="BStabletextbold"/>
            </w:pPr>
            <w:r w:rsidRPr="00101BC7">
              <w:t>Total</w:t>
            </w:r>
          </w:p>
        </w:tc>
        <w:tc>
          <w:tcPr>
            <w:tcW w:w="1264" w:type="dxa"/>
          </w:tcPr>
          <w:p w14:paraId="385E392F" w14:textId="77777777" w:rsidR="00A3203C" w:rsidRPr="00101BC7" w:rsidRDefault="00A3203C" w:rsidP="00A3203C">
            <w:pPr>
              <w:pStyle w:val="BTablefigureBold"/>
            </w:pPr>
            <w:r>
              <w:t>2,417</w:t>
            </w:r>
          </w:p>
        </w:tc>
      </w:tr>
      <w:tr w:rsidR="00A3203C" w:rsidRPr="006614FC" w14:paraId="2DD5B73C" w14:textId="77777777" w:rsidTr="00A3203C">
        <w:trPr>
          <w:trHeight w:val="454"/>
          <w:jc w:val="center"/>
        </w:trPr>
        <w:tc>
          <w:tcPr>
            <w:tcW w:w="7727" w:type="dxa"/>
            <w:vAlign w:val="bottom"/>
          </w:tcPr>
          <w:p w14:paraId="3B54DA15" w14:textId="77777777" w:rsidR="00A3203C" w:rsidRPr="001A4CF7" w:rsidRDefault="00A3203C" w:rsidP="00C14ADA">
            <w:pPr>
              <w:pStyle w:val="BStabletextbold"/>
            </w:pPr>
            <w:r w:rsidRPr="00FD7239">
              <w:t>Hea</w:t>
            </w:r>
            <w:r>
              <w:t>lth Portfolio Agencies</w:t>
            </w:r>
          </w:p>
        </w:tc>
        <w:tc>
          <w:tcPr>
            <w:tcW w:w="1264" w:type="dxa"/>
            <w:vAlign w:val="bottom"/>
          </w:tcPr>
          <w:p w14:paraId="413F20AF" w14:textId="77777777" w:rsidR="00A3203C" w:rsidRPr="00F227E3" w:rsidRDefault="00A3203C" w:rsidP="00A3203C">
            <w:pPr>
              <w:pStyle w:val="Emptycell"/>
            </w:pPr>
          </w:p>
        </w:tc>
      </w:tr>
      <w:tr w:rsidR="00A3203C" w:rsidRPr="006614FC" w14:paraId="30168703" w14:textId="77777777" w:rsidTr="00A3203C">
        <w:trPr>
          <w:trHeight w:val="454"/>
          <w:jc w:val="center"/>
        </w:trPr>
        <w:tc>
          <w:tcPr>
            <w:tcW w:w="7727" w:type="dxa"/>
            <w:vAlign w:val="bottom"/>
          </w:tcPr>
          <w:p w14:paraId="7AE35495" w14:textId="77777777" w:rsidR="00A3203C" w:rsidRPr="009F4A61" w:rsidRDefault="00A3203C" w:rsidP="00C14ADA">
            <w:pPr>
              <w:pStyle w:val="BStabletextbolditalics"/>
            </w:pPr>
            <w:r w:rsidRPr="009F4A61">
              <w:t>Improving health facilities</w:t>
            </w:r>
          </w:p>
        </w:tc>
        <w:tc>
          <w:tcPr>
            <w:tcW w:w="1264" w:type="dxa"/>
            <w:vAlign w:val="bottom"/>
          </w:tcPr>
          <w:p w14:paraId="7E30C585" w14:textId="77777777" w:rsidR="00A3203C" w:rsidRPr="001A4CF7" w:rsidRDefault="00A3203C" w:rsidP="00A3203C">
            <w:pPr>
              <w:pStyle w:val="Emptycell"/>
            </w:pPr>
          </w:p>
        </w:tc>
      </w:tr>
      <w:tr w:rsidR="00A3203C" w:rsidRPr="006614FC" w14:paraId="68F25F83" w14:textId="77777777" w:rsidTr="00A3203C">
        <w:trPr>
          <w:trHeight w:val="454"/>
          <w:jc w:val="center"/>
        </w:trPr>
        <w:tc>
          <w:tcPr>
            <w:tcW w:w="7727" w:type="dxa"/>
            <w:vAlign w:val="bottom"/>
          </w:tcPr>
          <w:p w14:paraId="6B465621" w14:textId="77777777" w:rsidR="00A3203C" w:rsidRDefault="00A3203C" w:rsidP="00C14ADA">
            <w:pPr>
              <w:pStyle w:val="BStabletextbolditalics"/>
            </w:pPr>
            <w:r>
              <w:t xml:space="preserve">Canberra Health Services </w:t>
            </w:r>
          </w:p>
        </w:tc>
        <w:tc>
          <w:tcPr>
            <w:tcW w:w="1264" w:type="dxa"/>
          </w:tcPr>
          <w:p w14:paraId="04631A3E" w14:textId="77777777" w:rsidR="00A3203C" w:rsidRPr="001A4CF7" w:rsidRDefault="00A3203C" w:rsidP="00A3203C">
            <w:pPr>
              <w:pStyle w:val="Emptycell"/>
            </w:pPr>
          </w:p>
        </w:tc>
      </w:tr>
      <w:tr w:rsidR="00A3203C" w:rsidRPr="006614FC" w14:paraId="44D47EFE" w14:textId="77777777" w:rsidTr="00A3203C">
        <w:trPr>
          <w:trHeight w:val="227"/>
          <w:jc w:val="center"/>
        </w:trPr>
        <w:tc>
          <w:tcPr>
            <w:tcW w:w="7727" w:type="dxa"/>
          </w:tcPr>
          <w:p w14:paraId="35471E20" w14:textId="77777777" w:rsidR="00A3203C" w:rsidRPr="00DB1590" w:rsidRDefault="00A3203C" w:rsidP="00C14ADA">
            <w:pPr>
              <w:pStyle w:val="BStabletext"/>
              <w:rPr>
                <w:b/>
                <w:i/>
              </w:rPr>
            </w:pPr>
            <w:r w:rsidRPr="00D4047E">
              <w:t>Building upgrades</w:t>
            </w:r>
          </w:p>
        </w:tc>
        <w:tc>
          <w:tcPr>
            <w:tcW w:w="1264" w:type="dxa"/>
          </w:tcPr>
          <w:p w14:paraId="045B7CEF" w14:textId="77777777" w:rsidR="00A3203C" w:rsidRPr="001A4CF7" w:rsidRDefault="00A3203C" w:rsidP="00A3203C">
            <w:pPr>
              <w:pStyle w:val="Btablefigureunbold"/>
            </w:pPr>
            <w:r>
              <w:t>2,000</w:t>
            </w:r>
          </w:p>
        </w:tc>
      </w:tr>
      <w:tr w:rsidR="00A3203C" w:rsidRPr="006614FC" w14:paraId="50AAD644" w14:textId="77777777" w:rsidTr="00A3203C">
        <w:trPr>
          <w:trHeight w:val="227"/>
          <w:jc w:val="center"/>
        </w:trPr>
        <w:tc>
          <w:tcPr>
            <w:tcW w:w="7727" w:type="dxa"/>
          </w:tcPr>
          <w:p w14:paraId="2718A985" w14:textId="77777777" w:rsidR="00A3203C" w:rsidRPr="00DB1590" w:rsidRDefault="00A3203C" w:rsidP="00C14ADA">
            <w:pPr>
              <w:pStyle w:val="BStabletext"/>
              <w:rPr>
                <w:b/>
                <w:i/>
              </w:rPr>
            </w:pPr>
            <w:r w:rsidRPr="00D4047E">
              <w:t>Electrical, fire and safety upgrades</w:t>
            </w:r>
          </w:p>
        </w:tc>
        <w:tc>
          <w:tcPr>
            <w:tcW w:w="1264" w:type="dxa"/>
          </w:tcPr>
          <w:p w14:paraId="782C2596" w14:textId="77777777" w:rsidR="00A3203C" w:rsidRPr="001A4CF7" w:rsidRDefault="00A3203C" w:rsidP="00A3203C">
            <w:pPr>
              <w:pStyle w:val="Btablefigureunbold"/>
            </w:pPr>
            <w:r>
              <w:t>970</w:t>
            </w:r>
          </w:p>
        </w:tc>
      </w:tr>
      <w:tr w:rsidR="00A3203C" w:rsidRPr="006614FC" w14:paraId="4C61B5FA" w14:textId="77777777" w:rsidTr="00C14ADA">
        <w:trPr>
          <w:trHeight w:val="227"/>
          <w:jc w:val="center"/>
        </w:trPr>
        <w:tc>
          <w:tcPr>
            <w:tcW w:w="7727" w:type="dxa"/>
          </w:tcPr>
          <w:p w14:paraId="44EAC266" w14:textId="77777777" w:rsidR="00A3203C" w:rsidRPr="00DB1590" w:rsidRDefault="00A3203C" w:rsidP="00C14ADA">
            <w:pPr>
              <w:pStyle w:val="BStabletext"/>
              <w:rPr>
                <w:b/>
                <w:i/>
              </w:rPr>
            </w:pPr>
            <w:r w:rsidRPr="00D4047E">
              <w:t xml:space="preserve">Mechanical and other infrastructure services upgrades </w:t>
            </w:r>
          </w:p>
        </w:tc>
        <w:tc>
          <w:tcPr>
            <w:tcW w:w="1264" w:type="dxa"/>
          </w:tcPr>
          <w:p w14:paraId="7D3098C5" w14:textId="77777777" w:rsidR="00A3203C" w:rsidRPr="001A4CF7" w:rsidRDefault="00A3203C" w:rsidP="00A3203C">
            <w:pPr>
              <w:pStyle w:val="Btablefigureunbold"/>
            </w:pPr>
            <w:r>
              <w:t>1,250</w:t>
            </w:r>
          </w:p>
        </w:tc>
      </w:tr>
      <w:tr w:rsidR="00A3203C" w:rsidRPr="006614FC" w14:paraId="54BAA90B" w14:textId="77777777" w:rsidTr="00C14ADA">
        <w:trPr>
          <w:trHeight w:val="454"/>
          <w:jc w:val="center"/>
        </w:trPr>
        <w:tc>
          <w:tcPr>
            <w:tcW w:w="7727" w:type="dxa"/>
            <w:vAlign w:val="bottom"/>
          </w:tcPr>
          <w:p w14:paraId="57C22454" w14:textId="77777777" w:rsidR="00A3203C" w:rsidRPr="001A4CF7" w:rsidRDefault="00A3203C" w:rsidP="00C14ADA">
            <w:pPr>
              <w:pStyle w:val="BStabletextbolditalics"/>
            </w:pPr>
            <w:r>
              <w:t>ACT Health Directorate</w:t>
            </w:r>
          </w:p>
        </w:tc>
        <w:tc>
          <w:tcPr>
            <w:tcW w:w="1264" w:type="dxa"/>
          </w:tcPr>
          <w:p w14:paraId="4DF896B6" w14:textId="77777777" w:rsidR="00A3203C" w:rsidRPr="001A4CF7" w:rsidRDefault="00A3203C" w:rsidP="00A3203C">
            <w:pPr>
              <w:pStyle w:val="Emptycell"/>
            </w:pPr>
          </w:p>
        </w:tc>
      </w:tr>
      <w:tr w:rsidR="00A3203C" w:rsidRPr="006614FC" w14:paraId="5E471765" w14:textId="77777777" w:rsidTr="00A3203C">
        <w:trPr>
          <w:trHeight w:val="227"/>
          <w:jc w:val="center"/>
        </w:trPr>
        <w:tc>
          <w:tcPr>
            <w:tcW w:w="7727" w:type="dxa"/>
          </w:tcPr>
          <w:p w14:paraId="17F3FE8A" w14:textId="77777777" w:rsidR="00A3203C" w:rsidRPr="003E3B25" w:rsidRDefault="00A3203C" w:rsidP="00C14ADA">
            <w:pPr>
              <w:pStyle w:val="BStabletext"/>
            </w:pPr>
            <w:r w:rsidRPr="00D4047E">
              <w:t xml:space="preserve">Burrangiri </w:t>
            </w:r>
            <w:r>
              <w:t>a</w:t>
            </w:r>
            <w:r w:rsidRPr="00D4047E">
              <w:t xml:space="preserve">sset </w:t>
            </w:r>
            <w:r>
              <w:t>m</w:t>
            </w:r>
            <w:r w:rsidRPr="00D4047E">
              <w:t xml:space="preserve">anagement </w:t>
            </w:r>
            <w:r>
              <w:t>p</w:t>
            </w:r>
            <w:r w:rsidRPr="00D4047E">
              <w:t xml:space="preserve">lan </w:t>
            </w:r>
          </w:p>
        </w:tc>
        <w:tc>
          <w:tcPr>
            <w:tcW w:w="1264" w:type="dxa"/>
          </w:tcPr>
          <w:p w14:paraId="0678AB0F" w14:textId="77777777" w:rsidR="00A3203C" w:rsidRPr="001A4CF7" w:rsidRDefault="00A3203C" w:rsidP="00A3203C">
            <w:pPr>
              <w:pStyle w:val="Btablefigureunbold"/>
            </w:pPr>
            <w:r>
              <w:t>180</w:t>
            </w:r>
          </w:p>
        </w:tc>
      </w:tr>
      <w:tr w:rsidR="00A3203C" w:rsidRPr="006614FC" w14:paraId="06AB9C09" w14:textId="77777777" w:rsidTr="00A3203C">
        <w:trPr>
          <w:trHeight w:val="227"/>
          <w:jc w:val="center"/>
        </w:trPr>
        <w:tc>
          <w:tcPr>
            <w:tcW w:w="7727" w:type="dxa"/>
          </w:tcPr>
          <w:p w14:paraId="68595954" w14:textId="77777777" w:rsidR="00A3203C" w:rsidRPr="003E3B25" w:rsidRDefault="00A3203C" w:rsidP="00C14ADA">
            <w:pPr>
              <w:pStyle w:val="BStabletext"/>
            </w:pPr>
            <w:r w:rsidRPr="00D4047E">
              <w:t>Clare Holland House</w:t>
            </w:r>
          </w:p>
        </w:tc>
        <w:tc>
          <w:tcPr>
            <w:tcW w:w="1264" w:type="dxa"/>
          </w:tcPr>
          <w:p w14:paraId="46C4CAF9" w14:textId="77777777" w:rsidR="00A3203C" w:rsidRPr="001A4CF7" w:rsidRDefault="00A3203C" w:rsidP="00A3203C">
            <w:pPr>
              <w:pStyle w:val="Btablefigureunbold"/>
            </w:pPr>
            <w:r>
              <w:t>200</w:t>
            </w:r>
          </w:p>
        </w:tc>
      </w:tr>
      <w:tr w:rsidR="00A3203C" w:rsidRPr="006614FC" w14:paraId="646023AA" w14:textId="77777777" w:rsidTr="00A3203C">
        <w:trPr>
          <w:trHeight w:val="227"/>
          <w:jc w:val="center"/>
        </w:trPr>
        <w:tc>
          <w:tcPr>
            <w:tcW w:w="7727" w:type="dxa"/>
          </w:tcPr>
          <w:p w14:paraId="008DB621" w14:textId="77777777" w:rsidR="00A3203C" w:rsidRPr="001A4CF7" w:rsidRDefault="00A3203C" w:rsidP="00C14ADA">
            <w:pPr>
              <w:pStyle w:val="BStabletext"/>
            </w:pPr>
            <w:r w:rsidRPr="00D4047E">
              <w:t xml:space="preserve">Queen Elizabeth II </w:t>
            </w:r>
            <w:r>
              <w:t>a</w:t>
            </w:r>
            <w:r w:rsidRPr="00D4047E">
              <w:t xml:space="preserve">sset </w:t>
            </w:r>
            <w:r>
              <w:t>m</w:t>
            </w:r>
            <w:r w:rsidRPr="00D4047E">
              <w:t xml:space="preserve">anagement </w:t>
            </w:r>
            <w:r>
              <w:t>p</w:t>
            </w:r>
            <w:r w:rsidRPr="00D4047E">
              <w:t xml:space="preserve">lan </w:t>
            </w:r>
          </w:p>
        </w:tc>
        <w:tc>
          <w:tcPr>
            <w:tcW w:w="1264" w:type="dxa"/>
          </w:tcPr>
          <w:p w14:paraId="5790AD95" w14:textId="77777777" w:rsidR="00A3203C" w:rsidRPr="001A4CF7" w:rsidRDefault="00A3203C" w:rsidP="00A3203C">
            <w:pPr>
              <w:pStyle w:val="Btablefigureunbold"/>
            </w:pPr>
            <w:r>
              <w:t>86</w:t>
            </w:r>
          </w:p>
        </w:tc>
      </w:tr>
      <w:tr w:rsidR="00A3203C" w:rsidRPr="006614FC" w14:paraId="07286561" w14:textId="77777777" w:rsidTr="00A3203C">
        <w:trPr>
          <w:trHeight w:val="454"/>
          <w:jc w:val="center"/>
        </w:trPr>
        <w:tc>
          <w:tcPr>
            <w:tcW w:w="7727" w:type="dxa"/>
            <w:vAlign w:val="bottom"/>
          </w:tcPr>
          <w:p w14:paraId="574523B2" w14:textId="77777777" w:rsidR="00A3203C" w:rsidRPr="00A47D84" w:rsidRDefault="00A3203C" w:rsidP="00C14ADA">
            <w:pPr>
              <w:pStyle w:val="BStabletextbolditalics"/>
            </w:pPr>
            <w:r>
              <w:t>Calvary Hospital</w:t>
            </w:r>
          </w:p>
        </w:tc>
        <w:tc>
          <w:tcPr>
            <w:tcW w:w="1264" w:type="dxa"/>
          </w:tcPr>
          <w:p w14:paraId="127755EF" w14:textId="77777777" w:rsidR="00A3203C" w:rsidRPr="001A4CF7" w:rsidRDefault="00A3203C" w:rsidP="00A3203C">
            <w:pPr>
              <w:pStyle w:val="Emptycell"/>
              <w:keepLines/>
            </w:pPr>
          </w:p>
        </w:tc>
      </w:tr>
      <w:tr w:rsidR="00A3203C" w:rsidRPr="006614FC" w14:paraId="26DEAE4F" w14:textId="77777777" w:rsidTr="00A3203C">
        <w:trPr>
          <w:trHeight w:val="227"/>
          <w:jc w:val="center"/>
        </w:trPr>
        <w:tc>
          <w:tcPr>
            <w:tcW w:w="7727" w:type="dxa"/>
          </w:tcPr>
          <w:p w14:paraId="33C5EC84" w14:textId="77777777" w:rsidR="00A3203C" w:rsidRPr="001A4CF7" w:rsidRDefault="00A3203C" w:rsidP="00C14ADA">
            <w:pPr>
              <w:pStyle w:val="BStabletext"/>
            </w:pPr>
            <w:r w:rsidRPr="00D4047E">
              <w:t xml:space="preserve">Mechanical systems </w:t>
            </w:r>
          </w:p>
        </w:tc>
        <w:tc>
          <w:tcPr>
            <w:tcW w:w="1264" w:type="dxa"/>
          </w:tcPr>
          <w:p w14:paraId="4B0F5939" w14:textId="77777777" w:rsidR="00A3203C" w:rsidRPr="001A4CF7" w:rsidRDefault="00A3203C" w:rsidP="00A3203C">
            <w:pPr>
              <w:pStyle w:val="Btablefigureunbold"/>
              <w:keepLines/>
            </w:pPr>
            <w:r>
              <w:t>500</w:t>
            </w:r>
          </w:p>
        </w:tc>
      </w:tr>
      <w:tr w:rsidR="00A3203C" w:rsidRPr="006614FC" w14:paraId="29293CEC" w14:textId="77777777" w:rsidTr="00A3203C">
        <w:trPr>
          <w:trHeight w:val="227"/>
          <w:jc w:val="center"/>
        </w:trPr>
        <w:tc>
          <w:tcPr>
            <w:tcW w:w="7727" w:type="dxa"/>
          </w:tcPr>
          <w:p w14:paraId="47D1D4EE" w14:textId="77777777" w:rsidR="00A3203C" w:rsidRPr="001A4CF7" w:rsidRDefault="00A3203C" w:rsidP="00C14ADA">
            <w:pPr>
              <w:pStyle w:val="BStabletext"/>
            </w:pPr>
            <w:r w:rsidRPr="00D4047E">
              <w:t xml:space="preserve">Thermostatic </w:t>
            </w:r>
            <w:r>
              <w:t>m</w:t>
            </w:r>
            <w:r w:rsidRPr="00D4047E">
              <w:t xml:space="preserve">ixing </w:t>
            </w:r>
            <w:r>
              <w:t>v</w:t>
            </w:r>
            <w:r w:rsidRPr="00D4047E">
              <w:t xml:space="preserve">alves </w:t>
            </w:r>
          </w:p>
        </w:tc>
        <w:tc>
          <w:tcPr>
            <w:tcW w:w="1264" w:type="dxa"/>
          </w:tcPr>
          <w:p w14:paraId="57E28C32" w14:textId="77777777" w:rsidR="00A3203C" w:rsidRPr="001A4CF7" w:rsidRDefault="00A3203C" w:rsidP="00A3203C">
            <w:pPr>
              <w:pStyle w:val="Btablefigureunbold"/>
              <w:keepLines/>
            </w:pPr>
            <w:r>
              <w:t>300</w:t>
            </w:r>
          </w:p>
        </w:tc>
      </w:tr>
      <w:tr w:rsidR="00A3203C" w:rsidRPr="006614FC" w14:paraId="45E84FC0" w14:textId="77777777" w:rsidTr="00A3203C">
        <w:trPr>
          <w:trHeight w:val="227"/>
          <w:jc w:val="center"/>
        </w:trPr>
        <w:tc>
          <w:tcPr>
            <w:tcW w:w="7727" w:type="dxa"/>
          </w:tcPr>
          <w:p w14:paraId="2E12ECA6" w14:textId="77777777" w:rsidR="00A3203C" w:rsidRPr="001A4CF7" w:rsidRDefault="00A3203C" w:rsidP="00C14ADA">
            <w:pPr>
              <w:pStyle w:val="BStabletext"/>
            </w:pPr>
            <w:r w:rsidRPr="00D4047E">
              <w:t>Elevator door and controller</w:t>
            </w:r>
          </w:p>
        </w:tc>
        <w:tc>
          <w:tcPr>
            <w:tcW w:w="1264" w:type="dxa"/>
          </w:tcPr>
          <w:p w14:paraId="270D57A6" w14:textId="77777777" w:rsidR="00A3203C" w:rsidRPr="001A4CF7" w:rsidRDefault="00A3203C" w:rsidP="00A3203C">
            <w:pPr>
              <w:pStyle w:val="Btablefigureunbold"/>
              <w:keepLines/>
            </w:pPr>
            <w:r>
              <w:t>131</w:t>
            </w:r>
          </w:p>
        </w:tc>
      </w:tr>
      <w:tr w:rsidR="00A3203C" w:rsidRPr="00A47D84" w14:paraId="32443ECD" w14:textId="77777777" w:rsidTr="00A3203C">
        <w:trPr>
          <w:trHeight w:val="227"/>
          <w:jc w:val="center"/>
        </w:trPr>
        <w:tc>
          <w:tcPr>
            <w:tcW w:w="7727" w:type="dxa"/>
          </w:tcPr>
          <w:p w14:paraId="7C48476C" w14:textId="77777777" w:rsidR="00A3203C" w:rsidRPr="00A47D84" w:rsidRDefault="00A3203C" w:rsidP="00C14ADA">
            <w:pPr>
              <w:pStyle w:val="BStabletextbold"/>
            </w:pPr>
            <w:r w:rsidRPr="00A47D84">
              <w:t>Total</w:t>
            </w:r>
          </w:p>
        </w:tc>
        <w:tc>
          <w:tcPr>
            <w:tcW w:w="1264" w:type="dxa"/>
          </w:tcPr>
          <w:p w14:paraId="7BE8EFCB" w14:textId="77777777" w:rsidR="00A3203C" w:rsidRPr="00A47D84" w:rsidRDefault="00A3203C" w:rsidP="00A3203C">
            <w:pPr>
              <w:pStyle w:val="BTablefigureBold"/>
              <w:keepLines/>
            </w:pPr>
            <w:r>
              <w:t>5,617</w:t>
            </w:r>
          </w:p>
        </w:tc>
      </w:tr>
      <w:tr w:rsidR="00A3203C" w:rsidRPr="006614FC" w14:paraId="50A717D5" w14:textId="77777777" w:rsidTr="00A3203C">
        <w:trPr>
          <w:trHeight w:val="454"/>
          <w:jc w:val="center"/>
        </w:trPr>
        <w:tc>
          <w:tcPr>
            <w:tcW w:w="7727" w:type="dxa"/>
            <w:vAlign w:val="bottom"/>
          </w:tcPr>
          <w:p w14:paraId="7F2A0247" w14:textId="77777777" w:rsidR="00A3203C" w:rsidRPr="001A4CF7" w:rsidRDefault="00A3203C" w:rsidP="00C14ADA">
            <w:pPr>
              <w:pStyle w:val="BStabletextbold"/>
            </w:pPr>
            <w:r w:rsidRPr="003B1572">
              <w:t>Justice and Community Safety Directorate</w:t>
            </w:r>
          </w:p>
        </w:tc>
        <w:tc>
          <w:tcPr>
            <w:tcW w:w="1264" w:type="dxa"/>
          </w:tcPr>
          <w:p w14:paraId="09A66CC3" w14:textId="77777777" w:rsidR="00A3203C" w:rsidRPr="001A4CF7" w:rsidRDefault="00A3203C" w:rsidP="00A3203C">
            <w:pPr>
              <w:pStyle w:val="Emptycell"/>
              <w:keepNext/>
              <w:keepLines/>
            </w:pPr>
          </w:p>
        </w:tc>
      </w:tr>
      <w:tr w:rsidR="00A3203C" w:rsidRPr="006614FC" w14:paraId="321E6093" w14:textId="77777777" w:rsidTr="00A3203C">
        <w:trPr>
          <w:trHeight w:val="227"/>
          <w:jc w:val="center"/>
        </w:trPr>
        <w:tc>
          <w:tcPr>
            <w:tcW w:w="7727" w:type="dxa"/>
            <w:shd w:val="clear" w:color="auto" w:fill="auto"/>
            <w:vAlign w:val="bottom"/>
          </w:tcPr>
          <w:p w14:paraId="354A198D" w14:textId="77777777" w:rsidR="00A3203C" w:rsidRPr="009B119D" w:rsidRDefault="00A3203C" w:rsidP="00C14ADA">
            <w:pPr>
              <w:pStyle w:val="BStabletextbolditalics"/>
            </w:pPr>
            <w:r w:rsidRPr="00D4047E">
              <w:t>Emergency Services</w:t>
            </w:r>
          </w:p>
        </w:tc>
        <w:tc>
          <w:tcPr>
            <w:tcW w:w="1264" w:type="dxa"/>
            <w:shd w:val="clear" w:color="auto" w:fill="auto"/>
          </w:tcPr>
          <w:p w14:paraId="76C30186" w14:textId="77777777" w:rsidR="00A3203C" w:rsidRPr="009B119D" w:rsidRDefault="00A3203C" w:rsidP="00A3203C">
            <w:pPr>
              <w:pStyle w:val="Emptycell"/>
              <w:keepNext/>
              <w:keepLines/>
            </w:pPr>
          </w:p>
        </w:tc>
      </w:tr>
      <w:tr w:rsidR="00A3203C" w:rsidRPr="006614FC" w14:paraId="1527A62E" w14:textId="77777777" w:rsidTr="00A3203C">
        <w:trPr>
          <w:trHeight w:val="227"/>
          <w:jc w:val="center"/>
        </w:trPr>
        <w:tc>
          <w:tcPr>
            <w:tcW w:w="7727" w:type="dxa"/>
            <w:shd w:val="clear" w:color="auto" w:fill="auto"/>
          </w:tcPr>
          <w:p w14:paraId="526BBAA6" w14:textId="77777777" w:rsidR="00A3203C" w:rsidRPr="009B119D" w:rsidRDefault="00A3203C" w:rsidP="00C14ADA">
            <w:pPr>
              <w:pStyle w:val="BStabletext"/>
            </w:pPr>
            <w:r w:rsidRPr="00D4047E">
              <w:t xml:space="preserve">ACT Ambulance Service </w:t>
            </w:r>
            <w:r>
              <w:t>e</w:t>
            </w:r>
            <w:r w:rsidRPr="00D4047E">
              <w:t>nhanced crewing area upgrade Kambah</w:t>
            </w:r>
          </w:p>
        </w:tc>
        <w:tc>
          <w:tcPr>
            <w:tcW w:w="1264" w:type="dxa"/>
            <w:shd w:val="clear" w:color="auto" w:fill="auto"/>
          </w:tcPr>
          <w:p w14:paraId="09E44494" w14:textId="77777777" w:rsidR="00A3203C" w:rsidRPr="009B119D" w:rsidRDefault="00A3203C" w:rsidP="00A3203C">
            <w:pPr>
              <w:pStyle w:val="Btablefigureunbold"/>
              <w:keepNext/>
              <w:keepLines/>
            </w:pPr>
            <w:r>
              <w:t>189</w:t>
            </w:r>
          </w:p>
        </w:tc>
      </w:tr>
      <w:tr w:rsidR="00A3203C" w:rsidRPr="006614FC" w14:paraId="000463A4" w14:textId="77777777" w:rsidTr="00A3203C">
        <w:trPr>
          <w:trHeight w:val="227"/>
          <w:jc w:val="center"/>
        </w:trPr>
        <w:tc>
          <w:tcPr>
            <w:tcW w:w="7727" w:type="dxa"/>
            <w:shd w:val="clear" w:color="auto" w:fill="auto"/>
          </w:tcPr>
          <w:p w14:paraId="2D1EDFF8" w14:textId="77777777" w:rsidR="00A3203C" w:rsidRPr="009B119D" w:rsidRDefault="00A3203C" w:rsidP="00C14ADA">
            <w:pPr>
              <w:pStyle w:val="BStabletext"/>
            </w:pPr>
            <w:r w:rsidRPr="00D4047E">
              <w:t>ACT Ambulance Service Woden Station facility upgrade</w:t>
            </w:r>
          </w:p>
        </w:tc>
        <w:tc>
          <w:tcPr>
            <w:tcW w:w="1264" w:type="dxa"/>
            <w:shd w:val="clear" w:color="auto" w:fill="auto"/>
          </w:tcPr>
          <w:p w14:paraId="1482FBD9" w14:textId="77777777" w:rsidR="00A3203C" w:rsidRPr="009B119D" w:rsidRDefault="00A3203C" w:rsidP="00A3203C">
            <w:pPr>
              <w:pStyle w:val="Btablefigureunbold"/>
              <w:keepNext/>
              <w:keepLines/>
            </w:pPr>
            <w:r>
              <w:t>74</w:t>
            </w:r>
          </w:p>
        </w:tc>
      </w:tr>
      <w:tr w:rsidR="00A3203C" w:rsidRPr="006614FC" w14:paraId="7F7AAC11" w14:textId="77777777" w:rsidTr="00A3203C">
        <w:trPr>
          <w:trHeight w:val="227"/>
          <w:jc w:val="center"/>
        </w:trPr>
        <w:tc>
          <w:tcPr>
            <w:tcW w:w="7727" w:type="dxa"/>
            <w:shd w:val="clear" w:color="auto" w:fill="auto"/>
          </w:tcPr>
          <w:p w14:paraId="436F39B5" w14:textId="77777777" w:rsidR="00A3203C" w:rsidRPr="009B119D" w:rsidRDefault="00A3203C" w:rsidP="00C14ADA">
            <w:pPr>
              <w:pStyle w:val="BStabletext"/>
            </w:pPr>
            <w:r w:rsidRPr="00D4047E">
              <w:t>Electric fire truck infrastructure at Aranda</w:t>
            </w:r>
          </w:p>
        </w:tc>
        <w:tc>
          <w:tcPr>
            <w:tcW w:w="1264" w:type="dxa"/>
            <w:shd w:val="clear" w:color="auto" w:fill="auto"/>
          </w:tcPr>
          <w:p w14:paraId="1D05B843" w14:textId="77777777" w:rsidR="00A3203C" w:rsidRPr="009B119D" w:rsidRDefault="00A3203C" w:rsidP="00A3203C">
            <w:pPr>
              <w:pStyle w:val="Btablefigureunbold"/>
              <w:keepNext/>
              <w:keepLines/>
            </w:pPr>
            <w:r>
              <w:t>210</w:t>
            </w:r>
          </w:p>
        </w:tc>
      </w:tr>
      <w:tr w:rsidR="00A3203C" w:rsidRPr="006614FC" w14:paraId="336C5CC7" w14:textId="77777777" w:rsidTr="00A3203C">
        <w:trPr>
          <w:trHeight w:val="227"/>
          <w:jc w:val="center"/>
        </w:trPr>
        <w:tc>
          <w:tcPr>
            <w:tcW w:w="7727" w:type="dxa"/>
            <w:shd w:val="clear" w:color="auto" w:fill="auto"/>
          </w:tcPr>
          <w:p w14:paraId="2027FE31" w14:textId="77777777" w:rsidR="00A3203C" w:rsidRPr="009B119D" w:rsidRDefault="00A3203C" w:rsidP="00C14ADA">
            <w:pPr>
              <w:pStyle w:val="BStabletext"/>
            </w:pPr>
            <w:r w:rsidRPr="00D4047E">
              <w:t>SES training upgrade Woden unit</w:t>
            </w:r>
          </w:p>
        </w:tc>
        <w:tc>
          <w:tcPr>
            <w:tcW w:w="1264" w:type="dxa"/>
            <w:shd w:val="clear" w:color="auto" w:fill="auto"/>
          </w:tcPr>
          <w:p w14:paraId="394F5493" w14:textId="77777777" w:rsidR="00A3203C" w:rsidRPr="009B119D" w:rsidRDefault="00A3203C" w:rsidP="00A3203C">
            <w:pPr>
              <w:pStyle w:val="Btablefigureunbold"/>
              <w:keepNext/>
              <w:keepLines/>
            </w:pPr>
            <w:r>
              <w:t>53</w:t>
            </w:r>
          </w:p>
        </w:tc>
      </w:tr>
      <w:tr w:rsidR="00A3203C" w:rsidRPr="006614FC" w14:paraId="6BCE3EE5" w14:textId="77777777" w:rsidTr="00A3203C">
        <w:trPr>
          <w:trHeight w:val="454"/>
          <w:jc w:val="center"/>
        </w:trPr>
        <w:tc>
          <w:tcPr>
            <w:tcW w:w="7727" w:type="dxa"/>
            <w:shd w:val="clear" w:color="auto" w:fill="auto"/>
            <w:vAlign w:val="bottom"/>
          </w:tcPr>
          <w:p w14:paraId="5F2FFBCF" w14:textId="77777777" w:rsidR="00A3203C" w:rsidRPr="009B119D" w:rsidRDefault="00A3203C" w:rsidP="00C14ADA">
            <w:pPr>
              <w:pStyle w:val="BStabletextbolditalics"/>
            </w:pPr>
            <w:r w:rsidRPr="00D4047E">
              <w:t>Corrective services, courts, tribunals and accommodation</w:t>
            </w:r>
          </w:p>
        </w:tc>
        <w:tc>
          <w:tcPr>
            <w:tcW w:w="1264" w:type="dxa"/>
            <w:shd w:val="clear" w:color="auto" w:fill="auto"/>
            <w:vAlign w:val="bottom"/>
          </w:tcPr>
          <w:p w14:paraId="4EDC12E8" w14:textId="77777777" w:rsidR="00A3203C" w:rsidRDefault="00A3203C" w:rsidP="00A3203C">
            <w:pPr>
              <w:pStyle w:val="Emptycell"/>
              <w:keepNext/>
              <w:keepLines/>
            </w:pPr>
          </w:p>
        </w:tc>
      </w:tr>
      <w:tr w:rsidR="00A3203C" w:rsidRPr="006614FC" w14:paraId="70BE3996" w14:textId="77777777" w:rsidTr="00A3203C">
        <w:trPr>
          <w:trHeight w:val="227"/>
          <w:jc w:val="center"/>
        </w:trPr>
        <w:tc>
          <w:tcPr>
            <w:tcW w:w="7727" w:type="dxa"/>
          </w:tcPr>
          <w:p w14:paraId="624FD79E" w14:textId="77777777" w:rsidR="00A3203C" w:rsidRPr="009B119D" w:rsidRDefault="00A3203C" w:rsidP="00C14ADA">
            <w:pPr>
              <w:pStyle w:val="BStabletext"/>
            </w:pPr>
            <w:r w:rsidRPr="00D4047E">
              <w:t xml:space="preserve">Additional </w:t>
            </w:r>
            <w:r>
              <w:t>c</w:t>
            </w:r>
            <w:r w:rsidRPr="00D4047E">
              <w:t>lassroom at Alexander Maconochie Centre (AMC)</w:t>
            </w:r>
          </w:p>
        </w:tc>
        <w:tc>
          <w:tcPr>
            <w:tcW w:w="1264" w:type="dxa"/>
            <w:shd w:val="clear" w:color="auto" w:fill="auto"/>
          </w:tcPr>
          <w:p w14:paraId="2C0FAF20" w14:textId="77777777" w:rsidR="00A3203C" w:rsidRDefault="00A3203C" w:rsidP="00A3203C">
            <w:pPr>
              <w:pStyle w:val="Btablefigureunbold"/>
              <w:keepNext/>
              <w:keepLines/>
            </w:pPr>
            <w:r>
              <w:t>168</w:t>
            </w:r>
          </w:p>
        </w:tc>
      </w:tr>
      <w:tr w:rsidR="00A3203C" w:rsidRPr="006614FC" w14:paraId="7591E0D5" w14:textId="77777777" w:rsidTr="00A3203C">
        <w:trPr>
          <w:trHeight w:val="227"/>
          <w:jc w:val="center"/>
        </w:trPr>
        <w:tc>
          <w:tcPr>
            <w:tcW w:w="7727" w:type="dxa"/>
          </w:tcPr>
          <w:p w14:paraId="4CB41CF6" w14:textId="77777777" w:rsidR="00A3203C" w:rsidRPr="00CB4227" w:rsidRDefault="00A3203C" w:rsidP="00C14ADA">
            <w:pPr>
              <w:pStyle w:val="BStabletext"/>
            </w:pPr>
            <w:r w:rsidRPr="00D4047E">
              <w:t xml:space="preserve">AMC </w:t>
            </w:r>
            <w:r>
              <w:t>e</w:t>
            </w:r>
            <w:r w:rsidRPr="00D4047E">
              <w:t xml:space="preserve">vacuation </w:t>
            </w:r>
            <w:r>
              <w:t>g</w:t>
            </w:r>
            <w:r w:rsidRPr="00D4047E">
              <w:t xml:space="preserve">ate </w:t>
            </w:r>
            <w:r>
              <w:t>s</w:t>
            </w:r>
            <w:r w:rsidRPr="00D4047E">
              <w:t xml:space="preserve">afety &amp; </w:t>
            </w:r>
            <w:r>
              <w:t>s</w:t>
            </w:r>
            <w:r w:rsidRPr="00D4047E">
              <w:t xml:space="preserve">ecurity </w:t>
            </w:r>
            <w:r>
              <w:t>e</w:t>
            </w:r>
            <w:r w:rsidRPr="00D4047E">
              <w:t>nhancement</w:t>
            </w:r>
          </w:p>
        </w:tc>
        <w:tc>
          <w:tcPr>
            <w:tcW w:w="1264" w:type="dxa"/>
            <w:shd w:val="clear" w:color="auto" w:fill="auto"/>
          </w:tcPr>
          <w:p w14:paraId="34C7F1BE" w14:textId="77777777" w:rsidR="00A3203C" w:rsidRDefault="00A3203C" w:rsidP="00A3203C">
            <w:pPr>
              <w:pStyle w:val="Btablefigureunbold"/>
              <w:keepNext/>
              <w:keepLines/>
            </w:pPr>
            <w:r>
              <w:t>163</w:t>
            </w:r>
          </w:p>
        </w:tc>
      </w:tr>
      <w:tr w:rsidR="00A3203C" w:rsidRPr="006614FC" w14:paraId="22F53580" w14:textId="77777777" w:rsidTr="00A3203C">
        <w:trPr>
          <w:trHeight w:val="227"/>
          <w:jc w:val="center"/>
        </w:trPr>
        <w:tc>
          <w:tcPr>
            <w:tcW w:w="7727" w:type="dxa"/>
          </w:tcPr>
          <w:p w14:paraId="786B5146" w14:textId="77777777" w:rsidR="00A3203C" w:rsidRPr="00CB4227" w:rsidRDefault="00A3203C" w:rsidP="00C14ADA">
            <w:pPr>
              <w:pStyle w:val="BStabletext"/>
            </w:pPr>
            <w:r w:rsidRPr="00D4047E">
              <w:t xml:space="preserve">Interior </w:t>
            </w:r>
            <w:r>
              <w:t>c</w:t>
            </w:r>
            <w:r w:rsidRPr="00D4047E">
              <w:t xml:space="preserve">ombustible </w:t>
            </w:r>
            <w:r>
              <w:t>c</w:t>
            </w:r>
            <w:r w:rsidRPr="00D4047E">
              <w:t xml:space="preserve">ladding </w:t>
            </w:r>
            <w:r>
              <w:t>r</w:t>
            </w:r>
            <w:r w:rsidRPr="00D4047E">
              <w:t>emoval</w:t>
            </w:r>
          </w:p>
        </w:tc>
        <w:tc>
          <w:tcPr>
            <w:tcW w:w="1264" w:type="dxa"/>
            <w:shd w:val="clear" w:color="auto" w:fill="auto"/>
          </w:tcPr>
          <w:p w14:paraId="4819DB0C" w14:textId="77777777" w:rsidR="00A3203C" w:rsidRDefault="00A3203C" w:rsidP="00A3203C">
            <w:pPr>
              <w:pStyle w:val="Btablefigureunbold"/>
              <w:keepNext/>
              <w:keepLines/>
            </w:pPr>
            <w:r>
              <w:t>158</w:t>
            </w:r>
          </w:p>
        </w:tc>
      </w:tr>
      <w:tr w:rsidR="00A3203C" w:rsidRPr="006614FC" w14:paraId="60C15E68" w14:textId="77777777" w:rsidTr="00A3203C">
        <w:trPr>
          <w:trHeight w:val="227"/>
          <w:jc w:val="center"/>
        </w:trPr>
        <w:tc>
          <w:tcPr>
            <w:tcW w:w="7727" w:type="dxa"/>
          </w:tcPr>
          <w:p w14:paraId="341236AF" w14:textId="77777777" w:rsidR="00A3203C" w:rsidRPr="00CB4227" w:rsidRDefault="00A3203C" w:rsidP="00C14ADA">
            <w:pPr>
              <w:pStyle w:val="BStabletext"/>
            </w:pPr>
            <w:r w:rsidRPr="00D4047E">
              <w:lastRenderedPageBreak/>
              <w:t xml:space="preserve">Accessibility </w:t>
            </w:r>
            <w:r>
              <w:t>i</w:t>
            </w:r>
            <w:r w:rsidRPr="00D4047E">
              <w:t xml:space="preserve">mprovements </w:t>
            </w:r>
          </w:p>
        </w:tc>
        <w:tc>
          <w:tcPr>
            <w:tcW w:w="1264" w:type="dxa"/>
            <w:shd w:val="clear" w:color="auto" w:fill="auto"/>
          </w:tcPr>
          <w:p w14:paraId="39C8A07B" w14:textId="77777777" w:rsidR="00A3203C" w:rsidRDefault="00A3203C" w:rsidP="00A3203C">
            <w:pPr>
              <w:pStyle w:val="Btablefigureunbold"/>
              <w:keepNext/>
              <w:keepLines/>
            </w:pPr>
            <w:r>
              <w:t>184</w:t>
            </w:r>
          </w:p>
        </w:tc>
      </w:tr>
      <w:tr w:rsidR="00A3203C" w:rsidRPr="006614FC" w14:paraId="04D0AAFF" w14:textId="77777777" w:rsidTr="00A3203C">
        <w:trPr>
          <w:trHeight w:val="227"/>
          <w:jc w:val="center"/>
        </w:trPr>
        <w:tc>
          <w:tcPr>
            <w:tcW w:w="7727" w:type="dxa"/>
          </w:tcPr>
          <w:p w14:paraId="754F9FCF" w14:textId="77777777" w:rsidR="00A3203C" w:rsidRPr="00CB4227" w:rsidRDefault="00A3203C" w:rsidP="00C14ADA">
            <w:pPr>
              <w:pStyle w:val="BStabletext"/>
            </w:pPr>
            <w:r w:rsidRPr="00D4047E">
              <w:t xml:space="preserve">Energy </w:t>
            </w:r>
            <w:r>
              <w:t>e</w:t>
            </w:r>
            <w:r w:rsidRPr="00D4047E">
              <w:t xml:space="preserve">fficiency </w:t>
            </w:r>
          </w:p>
        </w:tc>
        <w:tc>
          <w:tcPr>
            <w:tcW w:w="1264" w:type="dxa"/>
            <w:shd w:val="clear" w:color="auto" w:fill="auto"/>
          </w:tcPr>
          <w:p w14:paraId="0AB2B4D9" w14:textId="77777777" w:rsidR="00A3203C" w:rsidRDefault="00A3203C" w:rsidP="00A3203C">
            <w:pPr>
              <w:pStyle w:val="Btablefigureunbold"/>
              <w:keepNext/>
              <w:keepLines/>
            </w:pPr>
            <w:r>
              <w:t>463</w:t>
            </w:r>
          </w:p>
        </w:tc>
      </w:tr>
      <w:tr w:rsidR="00A3203C" w:rsidRPr="006614FC" w14:paraId="77E868E2" w14:textId="77777777" w:rsidTr="00A3203C">
        <w:trPr>
          <w:trHeight w:val="454"/>
          <w:jc w:val="center"/>
        </w:trPr>
        <w:tc>
          <w:tcPr>
            <w:tcW w:w="7727" w:type="dxa"/>
            <w:shd w:val="clear" w:color="auto" w:fill="auto"/>
            <w:vAlign w:val="bottom"/>
          </w:tcPr>
          <w:p w14:paraId="543CBB06" w14:textId="77777777" w:rsidR="00A3203C" w:rsidRPr="009B119D" w:rsidRDefault="00A3203C" w:rsidP="00C14ADA">
            <w:pPr>
              <w:pStyle w:val="BStabletextbolditalics"/>
            </w:pPr>
            <w:r w:rsidRPr="00CB4227">
              <w:t>Territorial Projects</w:t>
            </w:r>
            <w:r w:rsidRPr="00D4047E">
              <w:t>– ACT Policing</w:t>
            </w:r>
          </w:p>
        </w:tc>
        <w:tc>
          <w:tcPr>
            <w:tcW w:w="1264" w:type="dxa"/>
            <w:shd w:val="clear" w:color="auto" w:fill="auto"/>
            <w:vAlign w:val="bottom"/>
          </w:tcPr>
          <w:p w14:paraId="38DFAC79" w14:textId="77777777" w:rsidR="00A3203C" w:rsidRDefault="00A3203C" w:rsidP="00A3203C">
            <w:pPr>
              <w:pStyle w:val="Emptycell"/>
              <w:keepNext/>
              <w:keepLines/>
            </w:pPr>
          </w:p>
        </w:tc>
      </w:tr>
      <w:tr w:rsidR="00A3203C" w:rsidRPr="006614FC" w14:paraId="08237A1C" w14:textId="77777777" w:rsidTr="00A3203C">
        <w:trPr>
          <w:trHeight w:val="227"/>
          <w:jc w:val="center"/>
        </w:trPr>
        <w:tc>
          <w:tcPr>
            <w:tcW w:w="7727" w:type="dxa"/>
            <w:shd w:val="clear" w:color="auto" w:fill="auto"/>
          </w:tcPr>
          <w:p w14:paraId="2A0C9885" w14:textId="77777777" w:rsidR="00A3203C" w:rsidRPr="009B119D" w:rsidRDefault="00A3203C" w:rsidP="00C14ADA">
            <w:pPr>
              <w:pStyle w:val="BStabletext"/>
            </w:pPr>
            <w:r w:rsidRPr="00D4047E">
              <w:t>Bathroom upgrade city station</w:t>
            </w:r>
          </w:p>
        </w:tc>
        <w:tc>
          <w:tcPr>
            <w:tcW w:w="1264" w:type="dxa"/>
            <w:shd w:val="clear" w:color="auto" w:fill="auto"/>
          </w:tcPr>
          <w:p w14:paraId="4043E7E1" w14:textId="77777777" w:rsidR="00A3203C" w:rsidRDefault="00A3203C" w:rsidP="00A3203C">
            <w:pPr>
              <w:pStyle w:val="Btablefigureunbold"/>
              <w:keepNext/>
              <w:keepLines/>
            </w:pPr>
            <w:r>
              <w:t>292</w:t>
            </w:r>
          </w:p>
        </w:tc>
      </w:tr>
      <w:tr w:rsidR="00A3203C" w:rsidRPr="006614FC" w14:paraId="6957F3CC" w14:textId="77777777" w:rsidTr="00A3203C">
        <w:trPr>
          <w:trHeight w:val="227"/>
          <w:jc w:val="center"/>
        </w:trPr>
        <w:tc>
          <w:tcPr>
            <w:tcW w:w="7727" w:type="dxa"/>
            <w:shd w:val="clear" w:color="auto" w:fill="auto"/>
          </w:tcPr>
          <w:p w14:paraId="54102FB4" w14:textId="77777777" w:rsidR="00A3203C" w:rsidRPr="009B119D" w:rsidRDefault="00A3203C" w:rsidP="00C14ADA">
            <w:pPr>
              <w:pStyle w:val="BStabletextbold"/>
            </w:pPr>
            <w:r w:rsidRPr="00CB4227">
              <w:t>Total</w:t>
            </w:r>
          </w:p>
        </w:tc>
        <w:tc>
          <w:tcPr>
            <w:tcW w:w="1264" w:type="dxa"/>
            <w:shd w:val="clear" w:color="auto" w:fill="auto"/>
          </w:tcPr>
          <w:p w14:paraId="0C02FAB0" w14:textId="77777777" w:rsidR="00A3203C" w:rsidRDefault="00A3203C" w:rsidP="00A3203C">
            <w:pPr>
              <w:pStyle w:val="BTablefigureBold"/>
              <w:keepNext/>
              <w:keepLines/>
            </w:pPr>
            <w:r>
              <w:t>1,954</w:t>
            </w:r>
          </w:p>
        </w:tc>
      </w:tr>
      <w:tr w:rsidR="00A3203C" w:rsidRPr="006614FC" w14:paraId="17B9ADAE" w14:textId="77777777" w:rsidTr="00A3203C">
        <w:trPr>
          <w:trHeight w:val="567"/>
          <w:jc w:val="center"/>
        </w:trPr>
        <w:tc>
          <w:tcPr>
            <w:tcW w:w="7727" w:type="dxa"/>
            <w:shd w:val="clear" w:color="auto" w:fill="auto"/>
            <w:vAlign w:val="bottom"/>
          </w:tcPr>
          <w:p w14:paraId="6E30CC59" w14:textId="77777777" w:rsidR="00A3203C" w:rsidRPr="009B119D" w:rsidRDefault="00A3203C" w:rsidP="00C14ADA">
            <w:pPr>
              <w:pStyle w:val="BStabletextbold"/>
            </w:pPr>
            <w:r w:rsidRPr="00CB4227">
              <w:t>Office of the Legislative Assembly</w:t>
            </w:r>
          </w:p>
        </w:tc>
        <w:tc>
          <w:tcPr>
            <w:tcW w:w="1264" w:type="dxa"/>
            <w:shd w:val="clear" w:color="auto" w:fill="auto"/>
          </w:tcPr>
          <w:p w14:paraId="611C5A1B" w14:textId="77777777" w:rsidR="00A3203C" w:rsidRDefault="00A3203C" w:rsidP="00A3203C">
            <w:pPr>
              <w:pStyle w:val="Emptycell"/>
              <w:keepNext/>
              <w:keepLines/>
            </w:pPr>
          </w:p>
        </w:tc>
      </w:tr>
      <w:tr w:rsidR="00A3203C" w:rsidRPr="006614FC" w14:paraId="36AEDD2A" w14:textId="77777777" w:rsidTr="00A3203C">
        <w:trPr>
          <w:trHeight w:val="227"/>
          <w:jc w:val="center"/>
        </w:trPr>
        <w:tc>
          <w:tcPr>
            <w:tcW w:w="7727" w:type="dxa"/>
            <w:shd w:val="clear" w:color="auto" w:fill="auto"/>
          </w:tcPr>
          <w:p w14:paraId="1F543DB6" w14:textId="77777777" w:rsidR="00A3203C" w:rsidRPr="00CB4227" w:rsidRDefault="00A3203C" w:rsidP="00C14ADA">
            <w:pPr>
              <w:pStyle w:val="BStabletext"/>
            </w:pPr>
            <w:r w:rsidRPr="00D4047E">
              <w:t>Fire services upgrades</w:t>
            </w:r>
          </w:p>
        </w:tc>
        <w:tc>
          <w:tcPr>
            <w:tcW w:w="1264" w:type="dxa"/>
            <w:shd w:val="clear" w:color="auto" w:fill="auto"/>
          </w:tcPr>
          <w:p w14:paraId="7DD02F2D" w14:textId="77777777" w:rsidR="00A3203C" w:rsidRDefault="00A3203C" w:rsidP="00A3203C">
            <w:pPr>
              <w:pStyle w:val="Btablefigureunbold"/>
              <w:keepNext/>
              <w:keepLines/>
            </w:pPr>
            <w:r>
              <w:t>110</w:t>
            </w:r>
          </w:p>
        </w:tc>
      </w:tr>
      <w:tr w:rsidR="00A3203C" w:rsidRPr="006614FC" w14:paraId="2A45DEB7" w14:textId="77777777" w:rsidTr="00A3203C">
        <w:trPr>
          <w:trHeight w:val="227"/>
          <w:jc w:val="center"/>
        </w:trPr>
        <w:tc>
          <w:tcPr>
            <w:tcW w:w="7727" w:type="dxa"/>
            <w:shd w:val="clear" w:color="auto" w:fill="auto"/>
          </w:tcPr>
          <w:p w14:paraId="6D676BFF" w14:textId="77777777" w:rsidR="00A3203C" w:rsidRPr="00D4047E" w:rsidRDefault="00A3203C" w:rsidP="00C14ADA">
            <w:pPr>
              <w:pStyle w:val="BStabletext"/>
            </w:pPr>
            <w:r w:rsidRPr="00D4047E">
              <w:t>Mechanical services upgrades</w:t>
            </w:r>
          </w:p>
        </w:tc>
        <w:tc>
          <w:tcPr>
            <w:tcW w:w="1264" w:type="dxa"/>
            <w:shd w:val="clear" w:color="auto" w:fill="auto"/>
          </w:tcPr>
          <w:p w14:paraId="33A70A60" w14:textId="77777777" w:rsidR="00A3203C" w:rsidRDefault="00A3203C" w:rsidP="00A3203C">
            <w:pPr>
              <w:pStyle w:val="Btablefigureunbold"/>
              <w:keepNext/>
              <w:keepLines/>
            </w:pPr>
            <w:r>
              <w:t>72</w:t>
            </w:r>
          </w:p>
        </w:tc>
      </w:tr>
      <w:tr w:rsidR="00A3203C" w:rsidRPr="006614FC" w14:paraId="645E8D2C" w14:textId="77777777" w:rsidTr="00A3203C">
        <w:trPr>
          <w:trHeight w:val="227"/>
          <w:jc w:val="center"/>
        </w:trPr>
        <w:tc>
          <w:tcPr>
            <w:tcW w:w="7727" w:type="dxa"/>
            <w:shd w:val="clear" w:color="auto" w:fill="auto"/>
          </w:tcPr>
          <w:p w14:paraId="557DE427" w14:textId="77777777" w:rsidR="00A3203C" w:rsidRPr="00CB4227" w:rsidRDefault="00A3203C" w:rsidP="00C14ADA">
            <w:pPr>
              <w:pStyle w:val="BStabletext"/>
            </w:pPr>
            <w:r w:rsidRPr="00D4047E">
              <w:t xml:space="preserve">Window coverings </w:t>
            </w:r>
          </w:p>
        </w:tc>
        <w:tc>
          <w:tcPr>
            <w:tcW w:w="1264" w:type="dxa"/>
            <w:shd w:val="clear" w:color="auto" w:fill="auto"/>
          </w:tcPr>
          <w:p w14:paraId="59A6858E" w14:textId="77777777" w:rsidR="00A3203C" w:rsidRDefault="00A3203C" w:rsidP="00A3203C">
            <w:pPr>
              <w:pStyle w:val="Btablefigureunbold"/>
              <w:keepNext/>
              <w:keepLines/>
            </w:pPr>
            <w:r>
              <w:t>40</w:t>
            </w:r>
          </w:p>
        </w:tc>
      </w:tr>
      <w:tr w:rsidR="00A3203C" w:rsidRPr="006614FC" w14:paraId="1AAD781F" w14:textId="77777777" w:rsidTr="00A3203C">
        <w:trPr>
          <w:trHeight w:val="227"/>
          <w:jc w:val="center"/>
        </w:trPr>
        <w:tc>
          <w:tcPr>
            <w:tcW w:w="7727" w:type="dxa"/>
            <w:shd w:val="clear" w:color="auto" w:fill="auto"/>
          </w:tcPr>
          <w:p w14:paraId="1A5AC31A" w14:textId="77777777" w:rsidR="00A3203C" w:rsidRPr="00C6545E" w:rsidRDefault="00A3203C" w:rsidP="00C14ADA">
            <w:pPr>
              <w:pStyle w:val="BStabletext"/>
            </w:pPr>
            <w:r w:rsidRPr="00D4047E">
              <w:t xml:space="preserve">Accommodation upgrades </w:t>
            </w:r>
          </w:p>
        </w:tc>
        <w:tc>
          <w:tcPr>
            <w:tcW w:w="1264" w:type="dxa"/>
            <w:shd w:val="clear" w:color="auto" w:fill="auto"/>
          </w:tcPr>
          <w:p w14:paraId="26FB886D" w14:textId="77777777" w:rsidR="00A3203C" w:rsidRDefault="00A3203C" w:rsidP="00A3203C">
            <w:pPr>
              <w:pStyle w:val="Btablefigureunbold"/>
              <w:keepNext/>
              <w:keepLines/>
            </w:pPr>
            <w:r>
              <w:t>35</w:t>
            </w:r>
          </w:p>
        </w:tc>
      </w:tr>
      <w:tr w:rsidR="00A3203C" w:rsidRPr="006614FC" w14:paraId="2895BC08" w14:textId="77777777" w:rsidTr="00A3203C">
        <w:trPr>
          <w:trHeight w:val="227"/>
          <w:jc w:val="center"/>
        </w:trPr>
        <w:tc>
          <w:tcPr>
            <w:tcW w:w="7727" w:type="dxa"/>
            <w:shd w:val="clear" w:color="auto" w:fill="auto"/>
          </w:tcPr>
          <w:p w14:paraId="0BE5EB6C" w14:textId="77777777" w:rsidR="00A3203C" w:rsidRPr="00C6545E" w:rsidRDefault="00A3203C" w:rsidP="00C14ADA">
            <w:pPr>
              <w:pStyle w:val="BStabletext"/>
            </w:pPr>
            <w:r w:rsidRPr="00D4047E">
              <w:t xml:space="preserve">Building redesign projects </w:t>
            </w:r>
          </w:p>
        </w:tc>
        <w:tc>
          <w:tcPr>
            <w:tcW w:w="1264" w:type="dxa"/>
            <w:shd w:val="clear" w:color="auto" w:fill="auto"/>
          </w:tcPr>
          <w:p w14:paraId="0E853D84" w14:textId="77777777" w:rsidR="00A3203C" w:rsidRDefault="00A3203C" w:rsidP="00A3203C">
            <w:pPr>
              <w:pStyle w:val="Btablefigureunbold"/>
              <w:keepNext/>
              <w:keepLines/>
            </w:pPr>
            <w:r>
              <w:t>20</w:t>
            </w:r>
          </w:p>
        </w:tc>
      </w:tr>
      <w:tr w:rsidR="00A3203C" w:rsidRPr="006614FC" w14:paraId="4720119F" w14:textId="77777777" w:rsidTr="00A3203C">
        <w:trPr>
          <w:trHeight w:val="227"/>
          <w:jc w:val="center"/>
        </w:trPr>
        <w:tc>
          <w:tcPr>
            <w:tcW w:w="7727" w:type="dxa"/>
            <w:shd w:val="clear" w:color="auto" w:fill="auto"/>
          </w:tcPr>
          <w:p w14:paraId="135B58E6" w14:textId="77777777" w:rsidR="00A3203C" w:rsidRPr="00C6545E" w:rsidRDefault="00A3203C" w:rsidP="00C14ADA">
            <w:pPr>
              <w:pStyle w:val="BStabletext"/>
            </w:pPr>
            <w:r w:rsidRPr="00D4047E">
              <w:t xml:space="preserve">Auto doors </w:t>
            </w:r>
          </w:p>
        </w:tc>
        <w:tc>
          <w:tcPr>
            <w:tcW w:w="1264" w:type="dxa"/>
            <w:shd w:val="clear" w:color="auto" w:fill="auto"/>
          </w:tcPr>
          <w:p w14:paraId="326E28CD" w14:textId="77777777" w:rsidR="00A3203C" w:rsidRDefault="00A3203C" w:rsidP="00A3203C">
            <w:pPr>
              <w:pStyle w:val="Btablefigureunbold"/>
              <w:keepNext/>
              <w:keepLines/>
            </w:pPr>
            <w:r>
              <w:t>15</w:t>
            </w:r>
          </w:p>
        </w:tc>
      </w:tr>
      <w:tr w:rsidR="00A3203C" w:rsidRPr="006614FC" w14:paraId="3FB7E7A4" w14:textId="77777777" w:rsidTr="00A3203C">
        <w:trPr>
          <w:trHeight w:val="227"/>
          <w:jc w:val="center"/>
        </w:trPr>
        <w:tc>
          <w:tcPr>
            <w:tcW w:w="7727" w:type="dxa"/>
            <w:shd w:val="clear" w:color="auto" w:fill="auto"/>
          </w:tcPr>
          <w:p w14:paraId="3450CFBD" w14:textId="77777777" w:rsidR="00A3203C" w:rsidRPr="00CB4227" w:rsidRDefault="00A3203C" w:rsidP="00C14ADA">
            <w:pPr>
              <w:pStyle w:val="BStabletextbold"/>
            </w:pPr>
            <w:r w:rsidRPr="00CB4227">
              <w:t>Total</w:t>
            </w:r>
          </w:p>
        </w:tc>
        <w:tc>
          <w:tcPr>
            <w:tcW w:w="1264" w:type="dxa"/>
            <w:shd w:val="clear" w:color="auto" w:fill="auto"/>
          </w:tcPr>
          <w:p w14:paraId="1B3E4A5F" w14:textId="77777777" w:rsidR="00A3203C" w:rsidRDefault="00A3203C" w:rsidP="00A3203C">
            <w:pPr>
              <w:pStyle w:val="BTablefigureBold"/>
              <w:keepNext/>
              <w:keepLines/>
            </w:pPr>
            <w:r>
              <w:t>292</w:t>
            </w:r>
          </w:p>
        </w:tc>
      </w:tr>
      <w:tr w:rsidR="00A3203C" w:rsidRPr="006614FC" w14:paraId="597F8824" w14:textId="77777777" w:rsidTr="00A3203C">
        <w:trPr>
          <w:trHeight w:val="567"/>
          <w:jc w:val="center"/>
        </w:trPr>
        <w:tc>
          <w:tcPr>
            <w:tcW w:w="7727" w:type="dxa"/>
            <w:shd w:val="clear" w:color="auto" w:fill="auto"/>
            <w:vAlign w:val="bottom"/>
          </w:tcPr>
          <w:p w14:paraId="0D3E6336" w14:textId="77777777" w:rsidR="00A3203C" w:rsidRPr="00CB4227" w:rsidRDefault="00A3203C" w:rsidP="00C14ADA">
            <w:pPr>
              <w:pStyle w:val="BStabletextbold"/>
            </w:pPr>
            <w:r w:rsidRPr="00757F53">
              <w:t>Transport Canberra and City Services Directorate (TCCS)</w:t>
            </w:r>
          </w:p>
        </w:tc>
        <w:tc>
          <w:tcPr>
            <w:tcW w:w="1264" w:type="dxa"/>
            <w:shd w:val="clear" w:color="auto" w:fill="auto"/>
            <w:vAlign w:val="bottom"/>
          </w:tcPr>
          <w:p w14:paraId="2D70BFEC" w14:textId="77777777" w:rsidR="00A3203C" w:rsidRDefault="00A3203C" w:rsidP="00A3203C">
            <w:pPr>
              <w:pStyle w:val="Emptycell"/>
              <w:keepNext/>
              <w:keepLines/>
            </w:pPr>
          </w:p>
        </w:tc>
      </w:tr>
      <w:tr w:rsidR="00A3203C" w:rsidRPr="006614FC" w14:paraId="66420697" w14:textId="77777777" w:rsidTr="00A3203C">
        <w:trPr>
          <w:trHeight w:val="454"/>
          <w:jc w:val="center"/>
        </w:trPr>
        <w:tc>
          <w:tcPr>
            <w:tcW w:w="7727" w:type="dxa"/>
            <w:shd w:val="clear" w:color="auto" w:fill="auto"/>
            <w:vAlign w:val="bottom"/>
          </w:tcPr>
          <w:p w14:paraId="0C96AAE4" w14:textId="77777777" w:rsidR="00A3203C" w:rsidRPr="0078417C" w:rsidRDefault="00A3203C" w:rsidP="00C14ADA">
            <w:pPr>
              <w:pStyle w:val="BStabletextbolditalics"/>
            </w:pPr>
            <w:r w:rsidRPr="00D4047E">
              <w:t>Safety compliance</w:t>
            </w:r>
          </w:p>
        </w:tc>
        <w:tc>
          <w:tcPr>
            <w:tcW w:w="1264" w:type="dxa"/>
            <w:shd w:val="clear" w:color="auto" w:fill="auto"/>
          </w:tcPr>
          <w:p w14:paraId="0B26B031" w14:textId="77777777" w:rsidR="00A3203C" w:rsidRDefault="00A3203C" w:rsidP="00A3203C">
            <w:pPr>
              <w:pStyle w:val="Emptycell"/>
              <w:keepNext/>
              <w:keepLines/>
            </w:pPr>
          </w:p>
        </w:tc>
      </w:tr>
      <w:tr w:rsidR="00A3203C" w:rsidRPr="006614FC" w14:paraId="434EEA9B" w14:textId="77777777" w:rsidTr="00A3203C">
        <w:trPr>
          <w:trHeight w:val="227"/>
          <w:jc w:val="center"/>
        </w:trPr>
        <w:tc>
          <w:tcPr>
            <w:tcW w:w="7727" w:type="dxa"/>
            <w:shd w:val="clear" w:color="auto" w:fill="auto"/>
          </w:tcPr>
          <w:p w14:paraId="0E03B0F1" w14:textId="77777777" w:rsidR="00A3203C" w:rsidRPr="009B119D" w:rsidRDefault="00A3203C" w:rsidP="00C14ADA">
            <w:pPr>
              <w:pStyle w:val="BStabletext"/>
            </w:pPr>
            <w:r w:rsidRPr="00D4047E">
              <w:t xml:space="preserve">Safer </w:t>
            </w:r>
            <w:r>
              <w:t>d</w:t>
            </w:r>
            <w:r w:rsidRPr="00D4047E">
              <w:t xml:space="preserve">ams &amp; </w:t>
            </w:r>
            <w:r>
              <w:t>w</w:t>
            </w:r>
            <w:r w:rsidRPr="00D4047E">
              <w:t xml:space="preserve">eirs </w:t>
            </w:r>
            <w:r>
              <w:t>i</w:t>
            </w:r>
            <w:r w:rsidRPr="00D4047E">
              <w:t xml:space="preserve">mprovements </w:t>
            </w:r>
            <w:r>
              <w:t>p</w:t>
            </w:r>
            <w:r w:rsidRPr="00D4047E">
              <w:t>rogram</w:t>
            </w:r>
          </w:p>
        </w:tc>
        <w:tc>
          <w:tcPr>
            <w:tcW w:w="1264" w:type="dxa"/>
            <w:shd w:val="clear" w:color="auto" w:fill="auto"/>
          </w:tcPr>
          <w:p w14:paraId="3EA7B81C" w14:textId="77777777" w:rsidR="00A3203C" w:rsidRDefault="00A3203C" w:rsidP="00A3203C">
            <w:pPr>
              <w:pStyle w:val="Btablefigureunbold"/>
              <w:keepNext/>
              <w:keepLines/>
            </w:pPr>
            <w:r>
              <w:t>1,610</w:t>
            </w:r>
          </w:p>
        </w:tc>
      </w:tr>
      <w:tr w:rsidR="00A3203C" w:rsidRPr="006614FC" w14:paraId="7D8E9980" w14:textId="77777777" w:rsidTr="00A3203C">
        <w:trPr>
          <w:trHeight w:val="227"/>
          <w:jc w:val="center"/>
        </w:trPr>
        <w:tc>
          <w:tcPr>
            <w:tcW w:w="7727" w:type="dxa"/>
            <w:shd w:val="clear" w:color="auto" w:fill="auto"/>
          </w:tcPr>
          <w:p w14:paraId="458B0D62" w14:textId="7AB3D2DA" w:rsidR="00A3203C" w:rsidRPr="009B119D" w:rsidRDefault="00A3203C" w:rsidP="00C14ADA">
            <w:pPr>
              <w:pStyle w:val="BStabletext"/>
            </w:pPr>
            <w:r w:rsidRPr="00D4047E">
              <w:t xml:space="preserve">Safety </w:t>
            </w:r>
            <w:r>
              <w:t>i</w:t>
            </w:r>
            <w:r w:rsidRPr="00D4047E">
              <w:t xml:space="preserve">mprovements </w:t>
            </w:r>
            <w:r w:rsidR="00C14ADA">
              <w:t>–</w:t>
            </w:r>
            <w:r w:rsidRPr="00D4047E">
              <w:t xml:space="preserve"> Yarralumla Nursery and facilities at Birrigai</w:t>
            </w:r>
          </w:p>
        </w:tc>
        <w:tc>
          <w:tcPr>
            <w:tcW w:w="1264" w:type="dxa"/>
            <w:shd w:val="clear" w:color="auto" w:fill="auto"/>
          </w:tcPr>
          <w:p w14:paraId="028D309D" w14:textId="77777777" w:rsidR="00A3203C" w:rsidRDefault="00A3203C" w:rsidP="00A3203C">
            <w:pPr>
              <w:pStyle w:val="Btablefigureunbold"/>
              <w:keepNext/>
              <w:keepLines/>
            </w:pPr>
            <w:r>
              <w:t>700</w:t>
            </w:r>
          </w:p>
        </w:tc>
      </w:tr>
      <w:tr w:rsidR="00A3203C" w:rsidRPr="006614FC" w14:paraId="03ED426F" w14:textId="77777777" w:rsidTr="00A3203C">
        <w:trPr>
          <w:trHeight w:val="227"/>
          <w:jc w:val="center"/>
        </w:trPr>
        <w:tc>
          <w:tcPr>
            <w:tcW w:w="7727" w:type="dxa"/>
            <w:shd w:val="clear" w:color="auto" w:fill="auto"/>
          </w:tcPr>
          <w:p w14:paraId="62A3B29F" w14:textId="77777777" w:rsidR="00A3203C" w:rsidRPr="009B119D" w:rsidRDefault="00A3203C" w:rsidP="00C14ADA">
            <w:pPr>
              <w:pStyle w:val="BStabletext"/>
            </w:pPr>
            <w:r w:rsidRPr="00D4047E">
              <w:t xml:space="preserve">Dam </w:t>
            </w:r>
            <w:r>
              <w:t>s</w:t>
            </w:r>
            <w:r w:rsidRPr="00D4047E">
              <w:t xml:space="preserve">afety </w:t>
            </w:r>
            <w:r>
              <w:t>c</w:t>
            </w:r>
            <w:r w:rsidRPr="00D4047E">
              <w:t>ode</w:t>
            </w:r>
          </w:p>
        </w:tc>
        <w:tc>
          <w:tcPr>
            <w:tcW w:w="1264" w:type="dxa"/>
            <w:shd w:val="clear" w:color="auto" w:fill="auto"/>
          </w:tcPr>
          <w:p w14:paraId="3D08568D" w14:textId="77777777" w:rsidR="00A3203C" w:rsidRDefault="00A3203C" w:rsidP="00A3203C">
            <w:pPr>
              <w:pStyle w:val="Btablefigureunbold"/>
              <w:keepNext/>
              <w:keepLines/>
            </w:pPr>
            <w:r>
              <w:t>768</w:t>
            </w:r>
          </w:p>
        </w:tc>
      </w:tr>
      <w:tr w:rsidR="00A3203C" w:rsidRPr="006614FC" w14:paraId="22D70243" w14:textId="77777777" w:rsidTr="00A3203C">
        <w:trPr>
          <w:trHeight w:val="227"/>
          <w:jc w:val="center"/>
        </w:trPr>
        <w:tc>
          <w:tcPr>
            <w:tcW w:w="7727" w:type="dxa"/>
            <w:shd w:val="clear" w:color="auto" w:fill="auto"/>
          </w:tcPr>
          <w:p w14:paraId="401A3C52" w14:textId="77777777" w:rsidR="00A3203C" w:rsidRPr="009B119D" w:rsidRDefault="00A3203C" w:rsidP="00C14ADA">
            <w:pPr>
              <w:pStyle w:val="BStabletext"/>
            </w:pPr>
            <w:r w:rsidRPr="00D4047E">
              <w:t xml:space="preserve">Bridge </w:t>
            </w:r>
            <w:r>
              <w:t>c</w:t>
            </w:r>
            <w:r w:rsidRPr="00D4047E">
              <w:t>omponent replacement program</w:t>
            </w:r>
          </w:p>
        </w:tc>
        <w:tc>
          <w:tcPr>
            <w:tcW w:w="1264" w:type="dxa"/>
            <w:shd w:val="clear" w:color="auto" w:fill="auto"/>
          </w:tcPr>
          <w:p w14:paraId="4988DEC5" w14:textId="77777777" w:rsidR="00A3203C" w:rsidRDefault="00A3203C" w:rsidP="00A3203C">
            <w:pPr>
              <w:pStyle w:val="Btablefigureunbold"/>
              <w:keepNext/>
              <w:keepLines/>
            </w:pPr>
            <w:r>
              <w:t>500</w:t>
            </w:r>
          </w:p>
        </w:tc>
      </w:tr>
      <w:tr w:rsidR="00A3203C" w:rsidRPr="006614FC" w14:paraId="4ACC6E1D" w14:textId="77777777" w:rsidTr="00A3203C">
        <w:trPr>
          <w:trHeight w:val="227"/>
          <w:jc w:val="center"/>
        </w:trPr>
        <w:tc>
          <w:tcPr>
            <w:tcW w:w="7727" w:type="dxa"/>
            <w:shd w:val="clear" w:color="auto" w:fill="auto"/>
          </w:tcPr>
          <w:p w14:paraId="2D7E7DE3" w14:textId="74376598" w:rsidR="00A3203C" w:rsidRPr="009B119D" w:rsidRDefault="00A3203C" w:rsidP="00A3203C">
            <w:pPr>
              <w:pStyle w:val="Btabletextunbold"/>
            </w:pPr>
            <w:r w:rsidRPr="00D4047E">
              <w:t xml:space="preserve">Alderson Place Hume depot </w:t>
            </w:r>
            <w:r w:rsidR="00402E06">
              <w:t>–</w:t>
            </w:r>
            <w:r w:rsidRPr="00D4047E">
              <w:t xml:space="preserve"> Investigations on underground fuel tanks and trade waste licence requirements</w:t>
            </w:r>
          </w:p>
        </w:tc>
        <w:tc>
          <w:tcPr>
            <w:tcW w:w="1264" w:type="dxa"/>
            <w:shd w:val="clear" w:color="auto" w:fill="auto"/>
          </w:tcPr>
          <w:p w14:paraId="68B0341F" w14:textId="77777777" w:rsidR="00A3203C" w:rsidRDefault="00A3203C" w:rsidP="00A3203C">
            <w:pPr>
              <w:pStyle w:val="Btablefigureunbold"/>
              <w:keepNext/>
              <w:keepLines/>
            </w:pPr>
            <w:r>
              <w:t>515</w:t>
            </w:r>
          </w:p>
        </w:tc>
      </w:tr>
      <w:tr w:rsidR="00A3203C" w:rsidRPr="006614FC" w14:paraId="44D788EA" w14:textId="77777777" w:rsidTr="00C14ADA">
        <w:trPr>
          <w:trHeight w:val="227"/>
          <w:jc w:val="center"/>
        </w:trPr>
        <w:tc>
          <w:tcPr>
            <w:tcW w:w="7727" w:type="dxa"/>
            <w:shd w:val="clear" w:color="auto" w:fill="auto"/>
          </w:tcPr>
          <w:p w14:paraId="1FA93B1C" w14:textId="77777777" w:rsidR="00A3203C" w:rsidRPr="009B119D" w:rsidRDefault="00A3203C" w:rsidP="00C14ADA">
            <w:pPr>
              <w:pStyle w:val="BStabletext"/>
            </w:pPr>
            <w:r w:rsidRPr="00D4047E">
              <w:t>Macerator and Birrigai radios</w:t>
            </w:r>
          </w:p>
        </w:tc>
        <w:tc>
          <w:tcPr>
            <w:tcW w:w="1264" w:type="dxa"/>
            <w:shd w:val="clear" w:color="auto" w:fill="auto"/>
          </w:tcPr>
          <w:p w14:paraId="3A4D5C37" w14:textId="77777777" w:rsidR="00A3203C" w:rsidRDefault="00A3203C" w:rsidP="00A3203C">
            <w:pPr>
              <w:pStyle w:val="Btablefigureunbold"/>
              <w:keepNext/>
              <w:keepLines/>
            </w:pPr>
            <w:r>
              <w:t>335</w:t>
            </w:r>
          </w:p>
        </w:tc>
      </w:tr>
      <w:tr w:rsidR="00A3203C" w:rsidRPr="006614FC" w14:paraId="6BBA2C7D" w14:textId="77777777" w:rsidTr="00A3203C">
        <w:trPr>
          <w:trHeight w:val="227"/>
          <w:jc w:val="center"/>
        </w:trPr>
        <w:tc>
          <w:tcPr>
            <w:tcW w:w="7727" w:type="dxa"/>
            <w:shd w:val="clear" w:color="auto" w:fill="auto"/>
          </w:tcPr>
          <w:p w14:paraId="1BAC582B" w14:textId="77777777" w:rsidR="00A3203C" w:rsidRPr="009B119D" w:rsidRDefault="00A3203C" w:rsidP="00C14ADA">
            <w:pPr>
              <w:pStyle w:val="BStabletext"/>
            </w:pPr>
            <w:r w:rsidRPr="00D4047E">
              <w:t xml:space="preserve">Physical </w:t>
            </w:r>
            <w:r>
              <w:t>s</w:t>
            </w:r>
            <w:r w:rsidRPr="00D4047E">
              <w:t xml:space="preserve">ecurity upgrades at </w:t>
            </w:r>
            <w:r>
              <w:t>d</w:t>
            </w:r>
            <w:r w:rsidRPr="00D4047E">
              <w:t>irectorate sites</w:t>
            </w:r>
          </w:p>
        </w:tc>
        <w:tc>
          <w:tcPr>
            <w:tcW w:w="1264" w:type="dxa"/>
            <w:shd w:val="clear" w:color="auto" w:fill="auto"/>
          </w:tcPr>
          <w:p w14:paraId="3DBF3752" w14:textId="77777777" w:rsidR="00A3203C" w:rsidRDefault="00A3203C" w:rsidP="00A3203C">
            <w:pPr>
              <w:pStyle w:val="Btablefigureunbold"/>
              <w:keepNext/>
              <w:keepLines/>
            </w:pPr>
            <w:r>
              <w:t>250</w:t>
            </w:r>
          </w:p>
        </w:tc>
      </w:tr>
      <w:tr w:rsidR="00A3203C" w:rsidRPr="006614FC" w14:paraId="21C0522A" w14:textId="77777777" w:rsidTr="00C14ADA">
        <w:trPr>
          <w:trHeight w:val="454"/>
          <w:jc w:val="center"/>
        </w:trPr>
        <w:tc>
          <w:tcPr>
            <w:tcW w:w="7727" w:type="dxa"/>
            <w:shd w:val="clear" w:color="auto" w:fill="auto"/>
            <w:vAlign w:val="bottom"/>
          </w:tcPr>
          <w:p w14:paraId="3FE2994B" w14:textId="77777777" w:rsidR="00A3203C" w:rsidRPr="001B2C25" w:rsidRDefault="00A3203C" w:rsidP="00C14ADA">
            <w:pPr>
              <w:pStyle w:val="BStabletextbolditalics"/>
            </w:pPr>
            <w:r w:rsidRPr="00D4047E">
              <w:t>Public transport and active travel</w:t>
            </w:r>
          </w:p>
        </w:tc>
        <w:tc>
          <w:tcPr>
            <w:tcW w:w="1264" w:type="dxa"/>
            <w:shd w:val="clear" w:color="auto" w:fill="auto"/>
          </w:tcPr>
          <w:p w14:paraId="731FB06E" w14:textId="77777777" w:rsidR="00A3203C" w:rsidRPr="001B2C25" w:rsidRDefault="00A3203C" w:rsidP="00A3203C">
            <w:pPr>
              <w:pStyle w:val="Emptycell"/>
              <w:keepNext/>
              <w:keepLines/>
            </w:pPr>
          </w:p>
        </w:tc>
      </w:tr>
      <w:tr w:rsidR="00A3203C" w:rsidRPr="006614FC" w14:paraId="799D720F" w14:textId="77777777" w:rsidTr="00A3203C">
        <w:trPr>
          <w:trHeight w:val="227"/>
          <w:jc w:val="center"/>
        </w:trPr>
        <w:tc>
          <w:tcPr>
            <w:tcW w:w="7727" w:type="dxa"/>
            <w:shd w:val="clear" w:color="auto" w:fill="auto"/>
          </w:tcPr>
          <w:p w14:paraId="6A1CE5CE" w14:textId="57DE167B" w:rsidR="00A3203C" w:rsidRPr="001B2C25" w:rsidRDefault="00A3203C" w:rsidP="00A3203C">
            <w:pPr>
              <w:pStyle w:val="Btabletextunbold"/>
            </w:pPr>
            <w:r w:rsidRPr="00D4047E">
              <w:t xml:space="preserve">Active Travel </w:t>
            </w:r>
            <w:r w:rsidR="00C14ADA">
              <w:t>–</w:t>
            </w:r>
            <w:r w:rsidRPr="00D4047E">
              <w:t xml:space="preserve"> Age </w:t>
            </w:r>
            <w:r>
              <w:t>f</w:t>
            </w:r>
            <w:r w:rsidRPr="00D4047E">
              <w:t xml:space="preserve">riendly </w:t>
            </w:r>
            <w:r>
              <w:t>s</w:t>
            </w:r>
            <w:r w:rsidRPr="00D4047E">
              <w:t xml:space="preserve">uburbs and </w:t>
            </w:r>
            <w:r>
              <w:t>c</w:t>
            </w:r>
            <w:r w:rsidRPr="00D4047E">
              <w:t xml:space="preserve">ycle </w:t>
            </w:r>
            <w:r>
              <w:t>p</w:t>
            </w:r>
            <w:r w:rsidRPr="00D4047E">
              <w:t>ath maintenance (2020 election commitment)</w:t>
            </w:r>
          </w:p>
        </w:tc>
        <w:tc>
          <w:tcPr>
            <w:tcW w:w="1264" w:type="dxa"/>
            <w:shd w:val="clear" w:color="auto" w:fill="auto"/>
          </w:tcPr>
          <w:p w14:paraId="71A8F3CA" w14:textId="77777777" w:rsidR="00A3203C" w:rsidRPr="001B2C25" w:rsidRDefault="00A3203C" w:rsidP="00A3203C">
            <w:pPr>
              <w:pStyle w:val="Btablefigureunbold"/>
              <w:keepNext/>
              <w:keepLines/>
            </w:pPr>
            <w:r>
              <w:t>1,500</w:t>
            </w:r>
          </w:p>
        </w:tc>
      </w:tr>
      <w:tr w:rsidR="00A3203C" w:rsidRPr="006614FC" w14:paraId="127A8C84" w14:textId="77777777" w:rsidTr="00A3203C">
        <w:trPr>
          <w:trHeight w:val="227"/>
          <w:jc w:val="center"/>
        </w:trPr>
        <w:tc>
          <w:tcPr>
            <w:tcW w:w="7727" w:type="dxa"/>
            <w:shd w:val="clear" w:color="auto" w:fill="auto"/>
          </w:tcPr>
          <w:p w14:paraId="282D9606" w14:textId="0DD8C21A" w:rsidR="00A3203C" w:rsidRPr="001B2C25" w:rsidRDefault="00A3203C" w:rsidP="00C14ADA">
            <w:pPr>
              <w:pStyle w:val="BStabletext"/>
            </w:pPr>
            <w:r w:rsidRPr="00D4047E">
              <w:t xml:space="preserve">Transport Canberra </w:t>
            </w:r>
            <w:r w:rsidR="00402E06">
              <w:t>–</w:t>
            </w:r>
            <w:r w:rsidRPr="00D4047E">
              <w:t xml:space="preserve"> </w:t>
            </w:r>
            <w:r>
              <w:t>M</w:t>
            </w:r>
            <w:r w:rsidRPr="00D4047E">
              <w:t>ajor component overhaul and refurbishment</w:t>
            </w:r>
          </w:p>
        </w:tc>
        <w:tc>
          <w:tcPr>
            <w:tcW w:w="1264" w:type="dxa"/>
            <w:shd w:val="clear" w:color="auto" w:fill="auto"/>
          </w:tcPr>
          <w:p w14:paraId="77E11F4C" w14:textId="77777777" w:rsidR="00A3203C" w:rsidRPr="001B2C25" w:rsidRDefault="00A3203C" w:rsidP="00A3203C">
            <w:pPr>
              <w:pStyle w:val="Btablefigureunbold"/>
              <w:keepNext/>
              <w:keepLines/>
            </w:pPr>
            <w:r>
              <w:t>1,700</w:t>
            </w:r>
          </w:p>
        </w:tc>
      </w:tr>
      <w:tr w:rsidR="00A3203C" w:rsidRPr="006614FC" w14:paraId="3CB3067F" w14:textId="77777777" w:rsidTr="00A3203C">
        <w:trPr>
          <w:trHeight w:val="227"/>
          <w:jc w:val="center"/>
        </w:trPr>
        <w:tc>
          <w:tcPr>
            <w:tcW w:w="7727" w:type="dxa"/>
            <w:shd w:val="clear" w:color="auto" w:fill="auto"/>
          </w:tcPr>
          <w:p w14:paraId="026D58A2" w14:textId="0B2BF9AB" w:rsidR="00A3203C" w:rsidRPr="001B2C25" w:rsidRDefault="00A3203C" w:rsidP="00C14ADA">
            <w:pPr>
              <w:pStyle w:val="BStabletext"/>
            </w:pPr>
            <w:r w:rsidRPr="00D4047E">
              <w:t xml:space="preserve">Transport Canberra </w:t>
            </w:r>
            <w:r w:rsidR="00402E06">
              <w:t>–</w:t>
            </w:r>
            <w:r w:rsidRPr="00D4047E">
              <w:t xml:space="preserve"> Brake testing machines</w:t>
            </w:r>
          </w:p>
        </w:tc>
        <w:tc>
          <w:tcPr>
            <w:tcW w:w="1264" w:type="dxa"/>
            <w:shd w:val="clear" w:color="auto" w:fill="auto"/>
          </w:tcPr>
          <w:p w14:paraId="37EDE690" w14:textId="77777777" w:rsidR="00A3203C" w:rsidRPr="001B2C25" w:rsidRDefault="00A3203C" w:rsidP="00A3203C">
            <w:pPr>
              <w:pStyle w:val="Btablefigureunbold"/>
              <w:keepNext/>
              <w:keepLines/>
            </w:pPr>
            <w:r>
              <w:t>350</w:t>
            </w:r>
          </w:p>
        </w:tc>
      </w:tr>
      <w:tr w:rsidR="00A3203C" w:rsidRPr="006614FC" w14:paraId="0863D8C8" w14:textId="77777777" w:rsidTr="00A3203C">
        <w:trPr>
          <w:trHeight w:val="227"/>
          <w:jc w:val="center"/>
        </w:trPr>
        <w:tc>
          <w:tcPr>
            <w:tcW w:w="7727" w:type="dxa"/>
            <w:shd w:val="clear" w:color="auto" w:fill="auto"/>
          </w:tcPr>
          <w:p w14:paraId="3B0CFAFF" w14:textId="77777777" w:rsidR="00A3203C" w:rsidRPr="001B2C25" w:rsidRDefault="00A3203C" w:rsidP="00C14ADA">
            <w:pPr>
              <w:pStyle w:val="BStabletext"/>
            </w:pPr>
            <w:r w:rsidRPr="00D4047E">
              <w:t xml:space="preserve">Accessible </w:t>
            </w:r>
            <w:r>
              <w:t>b</w:t>
            </w:r>
            <w:r w:rsidRPr="00D4047E">
              <w:t xml:space="preserve">us </w:t>
            </w:r>
            <w:r>
              <w:t>s</w:t>
            </w:r>
            <w:r w:rsidRPr="00D4047E">
              <w:t xml:space="preserve">tops </w:t>
            </w:r>
          </w:p>
        </w:tc>
        <w:tc>
          <w:tcPr>
            <w:tcW w:w="1264" w:type="dxa"/>
            <w:shd w:val="clear" w:color="auto" w:fill="auto"/>
          </w:tcPr>
          <w:p w14:paraId="7C05DFB3" w14:textId="77777777" w:rsidR="00A3203C" w:rsidRPr="001B2C25" w:rsidRDefault="00A3203C" w:rsidP="00A3203C">
            <w:pPr>
              <w:pStyle w:val="Btablefigureunbold"/>
              <w:keepNext/>
              <w:keepLines/>
            </w:pPr>
            <w:r>
              <w:t>1,565</w:t>
            </w:r>
          </w:p>
        </w:tc>
      </w:tr>
      <w:tr w:rsidR="00A3203C" w:rsidRPr="006614FC" w14:paraId="3488938A" w14:textId="77777777" w:rsidTr="00A3203C">
        <w:trPr>
          <w:trHeight w:val="227"/>
          <w:jc w:val="center"/>
        </w:trPr>
        <w:tc>
          <w:tcPr>
            <w:tcW w:w="7727" w:type="dxa"/>
            <w:shd w:val="clear" w:color="auto" w:fill="auto"/>
          </w:tcPr>
          <w:p w14:paraId="798022C8" w14:textId="77777777" w:rsidR="00A3203C" w:rsidRPr="001B2C25" w:rsidRDefault="00A3203C" w:rsidP="00C14ADA">
            <w:pPr>
              <w:pStyle w:val="BStabletext"/>
            </w:pPr>
            <w:r w:rsidRPr="00D4047E">
              <w:t>Vernon Circle pedestrian signalised pedestrian cross (at Edinburgh Avenue)</w:t>
            </w:r>
          </w:p>
        </w:tc>
        <w:tc>
          <w:tcPr>
            <w:tcW w:w="1264" w:type="dxa"/>
            <w:shd w:val="clear" w:color="auto" w:fill="auto"/>
          </w:tcPr>
          <w:p w14:paraId="43C3405A" w14:textId="77777777" w:rsidR="00A3203C" w:rsidRPr="001B2C25" w:rsidRDefault="00A3203C" w:rsidP="00A3203C">
            <w:pPr>
              <w:pStyle w:val="Btablefigureunbold"/>
              <w:keepNext/>
              <w:keepLines/>
            </w:pPr>
            <w:r>
              <w:t>80</w:t>
            </w:r>
          </w:p>
        </w:tc>
      </w:tr>
      <w:tr w:rsidR="00A3203C" w:rsidRPr="006614FC" w14:paraId="0D71AC3E" w14:textId="77777777" w:rsidTr="00A3203C">
        <w:trPr>
          <w:trHeight w:val="227"/>
          <w:jc w:val="center"/>
        </w:trPr>
        <w:tc>
          <w:tcPr>
            <w:tcW w:w="7727" w:type="dxa"/>
            <w:shd w:val="clear" w:color="auto" w:fill="auto"/>
          </w:tcPr>
          <w:p w14:paraId="7690DC9D" w14:textId="77777777" w:rsidR="00A3203C" w:rsidRPr="001B2C25" w:rsidRDefault="00A3203C" w:rsidP="00C14ADA">
            <w:pPr>
              <w:pStyle w:val="BStabletext"/>
            </w:pPr>
            <w:r w:rsidRPr="00D4047E">
              <w:t xml:space="preserve">Gungahlin Town Centre </w:t>
            </w:r>
            <w:r>
              <w:t>a</w:t>
            </w:r>
            <w:r w:rsidRPr="00D4047E">
              <w:t xml:space="preserve">ctive </w:t>
            </w:r>
            <w:r>
              <w:t>t</w:t>
            </w:r>
            <w:r w:rsidRPr="00D4047E">
              <w:t>ravel feasibility</w:t>
            </w:r>
          </w:p>
        </w:tc>
        <w:tc>
          <w:tcPr>
            <w:tcW w:w="1264" w:type="dxa"/>
            <w:shd w:val="clear" w:color="auto" w:fill="auto"/>
          </w:tcPr>
          <w:p w14:paraId="2E6C57D1" w14:textId="77777777" w:rsidR="00A3203C" w:rsidRPr="001B2C25" w:rsidRDefault="00A3203C" w:rsidP="00A3203C">
            <w:pPr>
              <w:pStyle w:val="Btablefigureunbold"/>
              <w:keepNext/>
              <w:keepLines/>
            </w:pPr>
            <w:r>
              <w:t>200</w:t>
            </w:r>
          </w:p>
        </w:tc>
      </w:tr>
      <w:tr w:rsidR="00A3203C" w:rsidRPr="008E1FE3" w14:paraId="70B455A5" w14:textId="77777777" w:rsidTr="00A3203C">
        <w:trPr>
          <w:trHeight w:val="227"/>
          <w:jc w:val="center"/>
        </w:trPr>
        <w:tc>
          <w:tcPr>
            <w:tcW w:w="7727" w:type="dxa"/>
            <w:shd w:val="clear" w:color="auto" w:fill="auto"/>
          </w:tcPr>
          <w:p w14:paraId="5CE98CA8" w14:textId="77777777" w:rsidR="00A3203C" w:rsidRPr="00E1025C" w:rsidRDefault="00A3203C" w:rsidP="00C14ADA">
            <w:pPr>
              <w:pStyle w:val="BStabletext"/>
            </w:pPr>
            <w:r w:rsidRPr="00E1025C">
              <w:t>Community paths and missing links</w:t>
            </w:r>
          </w:p>
        </w:tc>
        <w:tc>
          <w:tcPr>
            <w:tcW w:w="1264" w:type="dxa"/>
            <w:shd w:val="clear" w:color="auto" w:fill="auto"/>
          </w:tcPr>
          <w:p w14:paraId="06C5E379" w14:textId="77777777" w:rsidR="00A3203C" w:rsidRPr="00E1025C" w:rsidRDefault="00A3203C" w:rsidP="00A3203C">
            <w:pPr>
              <w:pStyle w:val="Btablefigureunbold"/>
              <w:keepNext/>
              <w:keepLines/>
            </w:pPr>
            <w:r w:rsidRPr="00E1025C">
              <w:t>300</w:t>
            </w:r>
          </w:p>
        </w:tc>
      </w:tr>
      <w:tr w:rsidR="00A3203C" w:rsidRPr="008E1FE3" w14:paraId="2E93DA95" w14:textId="77777777" w:rsidTr="00A3203C">
        <w:trPr>
          <w:trHeight w:val="227"/>
          <w:jc w:val="center"/>
        </w:trPr>
        <w:tc>
          <w:tcPr>
            <w:tcW w:w="7727" w:type="dxa"/>
            <w:shd w:val="clear" w:color="auto" w:fill="auto"/>
          </w:tcPr>
          <w:p w14:paraId="5146A017" w14:textId="77777777" w:rsidR="00A3203C" w:rsidRPr="00E1025C" w:rsidRDefault="00A3203C" w:rsidP="00C14ADA">
            <w:pPr>
              <w:pStyle w:val="BStabletext"/>
            </w:pPr>
            <w:r w:rsidRPr="00E1025C">
              <w:t>Design and road pavements Lawson</w:t>
            </w:r>
          </w:p>
        </w:tc>
        <w:tc>
          <w:tcPr>
            <w:tcW w:w="1264" w:type="dxa"/>
            <w:shd w:val="clear" w:color="auto" w:fill="auto"/>
          </w:tcPr>
          <w:p w14:paraId="1D7863A8" w14:textId="77777777" w:rsidR="00A3203C" w:rsidRPr="00E1025C" w:rsidRDefault="00A3203C" w:rsidP="00A3203C">
            <w:pPr>
              <w:pStyle w:val="Btablefigureunbold"/>
              <w:keepNext/>
              <w:keepLines/>
            </w:pPr>
            <w:r w:rsidRPr="00E1025C">
              <w:t>500</w:t>
            </w:r>
          </w:p>
        </w:tc>
      </w:tr>
      <w:tr w:rsidR="00A3203C" w:rsidRPr="006614FC" w14:paraId="7ECCD999" w14:textId="77777777" w:rsidTr="00A3203C">
        <w:trPr>
          <w:trHeight w:val="227"/>
          <w:jc w:val="center"/>
        </w:trPr>
        <w:tc>
          <w:tcPr>
            <w:tcW w:w="7727" w:type="dxa"/>
            <w:shd w:val="clear" w:color="auto" w:fill="auto"/>
          </w:tcPr>
          <w:p w14:paraId="79354298" w14:textId="77777777" w:rsidR="00A3203C" w:rsidRPr="001B2C25" w:rsidRDefault="00A3203C" w:rsidP="00C14ADA">
            <w:pPr>
              <w:pStyle w:val="BStabletext"/>
            </w:pPr>
            <w:r w:rsidRPr="00D4047E">
              <w:t xml:space="preserve">Yerrabi Pond </w:t>
            </w:r>
            <w:r>
              <w:t>d</w:t>
            </w:r>
            <w:r w:rsidRPr="00D4047E">
              <w:t>esign</w:t>
            </w:r>
          </w:p>
        </w:tc>
        <w:tc>
          <w:tcPr>
            <w:tcW w:w="1264" w:type="dxa"/>
            <w:shd w:val="clear" w:color="auto" w:fill="auto"/>
          </w:tcPr>
          <w:p w14:paraId="0B48B177" w14:textId="77777777" w:rsidR="00A3203C" w:rsidRPr="001B2C25" w:rsidRDefault="00A3203C" w:rsidP="00A3203C">
            <w:pPr>
              <w:pStyle w:val="Btablefigureunbold"/>
              <w:keepNext/>
              <w:keepLines/>
            </w:pPr>
            <w:r>
              <w:t>600</w:t>
            </w:r>
          </w:p>
        </w:tc>
      </w:tr>
      <w:tr w:rsidR="00A3203C" w:rsidRPr="006614FC" w14:paraId="28858179" w14:textId="77777777" w:rsidTr="00A3203C">
        <w:trPr>
          <w:trHeight w:val="454"/>
          <w:jc w:val="center"/>
        </w:trPr>
        <w:tc>
          <w:tcPr>
            <w:tcW w:w="7727" w:type="dxa"/>
            <w:shd w:val="clear" w:color="auto" w:fill="auto"/>
            <w:vAlign w:val="bottom"/>
          </w:tcPr>
          <w:p w14:paraId="4DE32D96" w14:textId="77777777" w:rsidR="00A3203C" w:rsidRPr="00111D87" w:rsidRDefault="00A3203C" w:rsidP="00C14ADA">
            <w:pPr>
              <w:pStyle w:val="BStabletextbolditalics"/>
            </w:pPr>
            <w:r w:rsidRPr="00D4047E">
              <w:t>Road infrastructure and road safety</w:t>
            </w:r>
          </w:p>
        </w:tc>
        <w:tc>
          <w:tcPr>
            <w:tcW w:w="1264" w:type="dxa"/>
            <w:shd w:val="clear" w:color="auto" w:fill="auto"/>
          </w:tcPr>
          <w:p w14:paraId="1F58B0DB" w14:textId="77777777" w:rsidR="00A3203C" w:rsidRPr="001B2C25" w:rsidRDefault="00A3203C" w:rsidP="00A3203C">
            <w:pPr>
              <w:pStyle w:val="Emptycell"/>
              <w:keepNext/>
              <w:keepLines/>
            </w:pPr>
          </w:p>
        </w:tc>
      </w:tr>
      <w:tr w:rsidR="00A3203C" w:rsidRPr="006614FC" w14:paraId="6A1E8E6F" w14:textId="77777777" w:rsidTr="00A3203C">
        <w:trPr>
          <w:trHeight w:val="227"/>
          <w:jc w:val="center"/>
        </w:trPr>
        <w:tc>
          <w:tcPr>
            <w:tcW w:w="7727" w:type="dxa"/>
            <w:shd w:val="clear" w:color="auto" w:fill="auto"/>
          </w:tcPr>
          <w:p w14:paraId="24C4D67A" w14:textId="77777777" w:rsidR="00A3203C" w:rsidRPr="001B2C25" w:rsidRDefault="00A3203C" w:rsidP="00C14ADA">
            <w:pPr>
              <w:pStyle w:val="BStabletext"/>
            </w:pPr>
            <w:r w:rsidRPr="00D4047E">
              <w:t xml:space="preserve">Road </w:t>
            </w:r>
            <w:r>
              <w:t>m</w:t>
            </w:r>
            <w:r w:rsidRPr="00D4047E">
              <w:t xml:space="preserve">edian </w:t>
            </w:r>
            <w:r>
              <w:t>i</w:t>
            </w:r>
            <w:r w:rsidRPr="00D4047E">
              <w:t xml:space="preserve">mprovement </w:t>
            </w:r>
          </w:p>
        </w:tc>
        <w:tc>
          <w:tcPr>
            <w:tcW w:w="1264" w:type="dxa"/>
            <w:shd w:val="clear" w:color="auto" w:fill="auto"/>
          </w:tcPr>
          <w:p w14:paraId="2E64BFCB" w14:textId="77777777" w:rsidR="00A3203C" w:rsidRPr="001B2C25" w:rsidRDefault="00A3203C" w:rsidP="00A3203C">
            <w:pPr>
              <w:pStyle w:val="Btablefigureunbold"/>
              <w:keepNext/>
              <w:keepLines/>
            </w:pPr>
            <w:r>
              <w:t>465</w:t>
            </w:r>
          </w:p>
        </w:tc>
      </w:tr>
      <w:tr w:rsidR="00A3203C" w:rsidRPr="006614FC" w14:paraId="59145FC3" w14:textId="77777777" w:rsidTr="00A3203C">
        <w:trPr>
          <w:trHeight w:val="227"/>
          <w:jc w:val="center"/>
        </w:trPr>
        <w:tc>
          <w:tcPr>
            <w:tcW w:w="7727" w:type="dxa"/>
            <w:shd w:val="clear" w:color="auto" w:fill="auto"/>
          </w:tcPr>
          <w:p w14:paraId="314B214D" w14:textId="77777777" w:rsidR="00A3203C" w:rsidRPr="001B2C25" w:rsidRDefault="00A3203C" w:rsidP="00C14ADA">
            <w:pPr>
              <w:pStyle w:val="BStabletext"/>
            </w:pPr>
            <w:r w:rsidRPr="00D4047E">
              <w:t xml:space="preserve">Streetlight </w:t>
            </w:r>
            <w:r>
              <w:t>e</w:t>
            </w:r>
            <w:r w:rsidRPr="00D4047E">
              <w:t xml:space="preserve">nergy </w:t>
            </w:r>
            <w:r>
              <w:t>p</w:t>
            </w:r>
            <w:r w:rsidRPr="00D4047E">
              <w:t xml:space="preserve">erformance </w:t>
            </w:r>
            <w:r>
              <w:t>c</w:t>
            </w:r>
            <w:r w:rsidRPr="00D4047E">
              <w:t>ontracts</w:t>
            </w:r>
          </w:p>
        </w:tc>
        <w:tc>
          <w:tcPr>
            <w:tcW w:w="1264" w:type="dxa"/>
            <w:shd w:val="clear" w:color="auto" w:fill="auto"/>
          </w:tcPr>
          <w:p w14:paraId="2A494CCF" w14:textId="77777777" w:rsidR="00A3203C" w:rsidRPr="001B2C25" w:rsidRDefault="00A3203C" w:rsidP="00A3203C">
            <w:pPr>
              <w:pStyle w:val="Btablefigureunbold"/>
              <w:keepNext/>
              <w:keepLines/>
            </w:pPr>
            <w:r>
              <w:t>2,050</w:t>
            </w:r>
          </w:p>
        </w:tc>
      </w:tr>
      <w:tr w:rsidR="00A3203C" w:rsidRPr="006614FC" w14:paraId="446F6910" w14:textId="77777777" w:rsidTr="00A3203C">
        <w:trPr>
          <w:trHeight w:val="227"/>
          <w:jc w:val="center"/>
        </w:trPr>
        <w:tc>
          <w:tcPr>
            <w:tcW w:w="7727" w:type="dxa"/>
            <w:shd w:val="clear" w:color="auto" w:fill="auto"/>
          </w:tcPr>
          <w:p w14:paraId="7DAAAF60" w14:textId="77777777" w:rsidR="00A3203C" w:rsidRPr="001B2C25" w:rsidRDefault="00A3203C" w:rsidP="00C14ADA">
            <w:pPr>
              <w:pStyle w:val="BStabletext"/>
            </w:pPr>
            <w:r w:rsidRPr="00D4047E">
              <w:t xml:space="preserve">Urban </w:t>
            </w:r>
            <w:r>
              <w:t>s</w:t>
            </w:r>
            <w:r w:rsidRPr="00D4047E">
              <w:t xml:space="preserve">tormwater </w:t>
            </w:r>
            <w:r>
              <w:t>u</w:t>
            </w:r>
            <w:r w:rsidRPr="00D4047E">
              <w:t>pgrade program</w:t>
            </w:r>
          </w:p>
        </w:tc>
        <w:tc>
          <w:tcPr>
            <w:tcW w:w="1264" w:type="dxa"/>
            <w:shd w:val="clear" w:color="auto" w:fill="auto"/>
          </w:tcPr>
          <w:p w14:paraId="1816F987" w14:textId="77777777" w:rsidR="00A3203C" w:rsidRPr="001B2C25" w:rsidRDefault="00A3203C" w:rsidP="00A3203C">
            <w:pPr>
              <w:pStyle w:val="Btablefigureunbold"/>
              <w:keepNext/>
              <w:keepLines/>
            </w:pPr>
            <w:r>
              <w:t>1,400</w:t>
            </w:r>
          </w:p>
        </w:tc>
      </w:tr>
      <w:tr w:rsidR="00A3203C" w:rsidRPr="006614FC" w14:paraId="68C84434" w14:textId="77777777" w:rsidTr="00A3203C">
        <w:trPr>
          <w:trHeight w:val="227"/>
          <w:jc w:val="center"/>
        </w:trPr>
        <w:tc>
          <w:tcPr>
            <w:tcW w:w="7727" w:type="dxa"/>
            <w:shd w:val="clear" w:color="auto" w:fill="auto"/>
          </w:tcPr>
          <w:p w14:paraId="011E6D6C" w14:textId="77777777" w:rsidR="00A3203C" w:rsidRPr="001B2C25" w:rsidRDefault="00A3203C" w:rsidP="00C14ADA">
            <w:pPr>
              <w:pStyle w:val="BStabletext"/>
            </w:pPr>
            <w:r w:rsidRPr="00D4047E">
              <w:t>Streetlight program</w:t>
            </w:r>
          </w:p>
        </w:tc>
        <w:tc>
          <w:tcPr>
            <w:tcW w:w="1264" w:type="dxa"/>
            <w:shd w:val="clear" w:color="auto" w:fill="auto"/>
          </w:tcPr>
          <w:p w14:paraId="07587D36" w14:textId="77777777" w:rsidR="00A3203C" w:rsidRPr="001B2C25" w:rsidRDefault="00A3203C" w:rsidP="00A3203C">
            <w:pPr>
              <w:pStyle w:val="Btablefigureunbold"/>
              <w:keepNext/>
              <w:keepLines/>
            </w:pPr>
            <w:r>
              <w:t>500</w:t>
            </w:r>
          </w:p>
        </w:tc>
      </w:tr>
      <w:tr w:rsidR="00A3203C" w:rsidRPr="006614FC" w14:paraId="3EE249D1" w14:textId="77777777" w:rsidTr="00A3203C">
        <w:trPr>
          <w:trHeight w:val="227"/>
          <w:jc w:val="center"/>
        </w:trPr>
        <w:tc>
          <w:tcPr>
            <w:tcW w:w="7727" w:type="dxa"/>
            <w:shd w:val="clear" w:color="auto" w:fill="auto"/>
          </w:tcPr>
          <w:p w14:paraId="65ED5E16" w14:textId="77777777" w:rsidR="00A3203C" w:rsidRPr="001B2C25" w:rsidRDefault="00A3203C" w:rsidP="00C14ADA">
            <w:pPr>
              <w:pStyle w:val="BStabletext"/>
            </w:pPr>
            <w:r w:rsidRPr="00D4047E">
              <w:t xml:space="preserve">Streetlight </w:t>
            </w:r>
            <w:r>
              <w:t>s</w:t>
            </w:r>
            <w:r w:rsidRPr="00D4047E">
              <w:t>ignal program</w:t>
            </w:r>
          </w:p>
        </w:tc>
        <w:tc>
          <w:tcPr>
            <w:tcW w:w="1264" w:type="dxa"/>
            <w:shd w:val="clear" w:color="auto" w:fill="auto"/>
          </w:tcPr>
          <w:p w14:paraId="5E3F5665" w14:textId="77777777" w:rsidR="00A3203C" w:rsidRPr="001B2C25" w:rsidRDefault="00A3203C" w:rsidP="00A3203C">
            <w:pPr>
              <w:pStyle w:val="Btablefigureunbold"/>
              <w:keepNext/>
              <w:keepLines/>
            </w:pPr>
            <w:r>
              <w:t>700</w:t>
            </w:r>
          </w:p>
        </w:tc>
      </w:tr>
      <w:tr w:rsidR="00A3203C" w:rsidRPr="006614FC" w14:paraId="0D3A89A0" w14:textId="77777777" w:rsidTr="00A3203C">
        <w:trPr>
          <w:trHeight w:val="454"/>
          <w:jc w:val="center"/>
        </w:trPr>
        <w:tc>
          <w:tcPr>
            <w:tcW w:w="7727" w:type="dxa"/>
            <w:shd w:val="clear" w:color="auto" w:fill="auto"/>
            <w:vAlign w:val="bottom"/>
          </w:tcPr>
          <w:p w14:paraId="0A36AAB3" w14:textId="77777777" w:rsidR="00A3203C" w:rsidRPr="001B2C25" w:rsidRDefault="00A3203C" w:rsidP="00C14ADA">
            <w:pPr>
              <w:pStyle w:val="BStabletextbolditalics"/>
            </w:pPr>
            <w:r w:rsidRPr="00111D87">
              <w:t>Public realm and playgrounds</w:t>
            </w:r>
          </w:p>
        </w:tc>
        <w:tc>
          <w:tcPr>
            <w:tcW w:w="1264" w:type="dxa"/>
            <w:shd w:val="clear" w:color="auto" w:fill="auto"/>
          </w:tcPr>
          <w:p w14:paraId="6E3F4B59" w14:textId="77777777" w:rsidR="00A3203C" w:rsidRPr="001B2C25" w:rsidRDefault="00A3203C" w:rsidP="00A3203C">
            <w:pPr>
              <w:pStyle w:val="Emptycell"/>
              <w:keepNext/>
            </w:pPr>
          </w:p>
        </w:tc>
      </w:tr>
      <w:tr w:rsidR="00A3203C" w:rsidRPr="006614FC" w14:paraId="7CAA5F08" w14:textId="77777777" w:rsidTr="00A3203C">
        <w:trPr>
          <w:trHeight w:val="227"/>
          <w:jc w:val="center"/>
        </w:trPr>
        <w:tc>
          <w:tcPr>
            <w:tcW w:w="7727" w:type="dxa"/>
            <w:shd w:val="clear" w:color="auto" w:fill="auto"/>
          </w:tcPr>
          <w:p w14:paraId="19BE6F02" w14:textId="77777777" w:rsidR="00A3203C" w:rsidRPr="001B2C25" w:rsidRDefault="00A3203C" w:rsidP="00C14ADA">
            <w:pPr>
              <w:pStyle w:val="BStabletext"/>
            </w:pPr>
            <w:r w:rsidRPr="00D4047E">
              <w:t xml:space="preserve">Shopping </w:t>
            </w:r>
            <w:r>
              <w:t>c</w:t>
            </w:r>
            <w:r w:rsidRPr="00D4047E">
              <w:t xml:space="preserve">entre </w:t>
            </w:r>
            <w:r>
              <w:t>i</w:t>
            </w:r>
            <w:r w:rsidRPr="00D4047E">
              <w:t>mprovements (2020 election commitment)</w:t>
            </w:r>
          </w:p>
        </w:tc>
        <w:tc>
          <w:tcPr>
            <w:tcW w:w="1264" w:type="dxa"/>
            <w:shd w:val="clear" w:color="auto" w:fill="auto"/>
          </w:tcPr>
          <w:p w14:paraId="39B555D3" w14:textId="77777777" w:rsidR="00A3203C" w:rsidRPr="001B2C25" w:rsidRDefault="00A3203C" w:rsidP="00A3203C">
            <w:pPr>
              <w:pStyle w:val="Btablefigureunbold"/>
              <w:keepNext/>
            </w:pPr>
            <w:r>
              <w:t>2,375</w:t>
            </w:r>
          </w:p>
        </w:tc>
      </w:tr>
      <w:tr w:rsidR="00A3203C" w:rsidRPr="006614FC" w14:paraId="7A549A10" w14:textId="77777777" w:rsidTr="00A3203C">
        <w:trPr>
          <w:trHeight w:val="227"/>
          <w:jc w:val="center"/>
        </w:trPr>
        <w:tc>
          <w:tcPr>
            <w:tcW w:w="7727" w:type="dxa"/>
            <w:shd w:val="clear" w:color="auto" w:fill="auto"/>
          </w:tcPr>
          <w:p w14:paraId="2F0CBEE0" w14:textId="77777777" w:rsidR="00A3203C" w:rsidRPr="001B2C25" w:rsidRDefault="00A3203C" w:rsidP="00C14ADA">
            <w:pPr>
              <w:pStyle w:val="BStabletext"/>
            </w:pPr>
            <w:r w:rsidRPr="00D4047E">
              <w:t xml:space="preserve">New </w:t>
            </w:r>
            <w:r>
              <w:t>t</w:t>
            </w:r>
            <w:r w:rsidRPr="00D4047E">
              <w:t>oilets (2020 election commitment)</w:t>
            </w:r>
          </w:p>
        </w:tc>
        <w:tc>
          <w:tcPr>
            <w:tcW w:w="1264" w:type="dxa"/>
            <w:shd w:val="clear" w:color="auto" w:fill="auto"/>
          </w:tcPr>
          <w:p w14:paraId="170372B7" w14:textId="77777777" w:rsidR="00A3203C" w:rsidRPr="001B2C25" w:rsidRDefault="00A3203C" w:rsidP="00A3203C">
            <w:pPr>
              <w:pStyle w:val="Btablefigureunbold"/>
              <w:keepNext/>
            </w:pPr>
            <w:r>
              <w:t>400</w:t>
            </w:r>
          </w:p>
        </w:tc>
      </w:tr>
      <w:tr w:rsidR="00A3203C" w:rsidRPr="006614FC" w14:paraId="3BA490DA" w14:textId="77777777" w:rsidTr="00A3203C">
        <w:trPr>
          <w:trHeight w:val="227"/>
          <w:jc w:val="center"/>
        </w:trPr>
        <w:tc>
          <w:tcPr>
            <w:tcW w:w="7727" w:type="dxa"/>
            <w:shd w:val="clear" w:color="auto" w:fill="auto"/>
          </w:tcPr>
          <w:p w14:paraId="1AA751E0" w14:textId="77777777" w:rsidR="00A3203C" w:rsidRPr="001B2C25" w:rsidRDefault="00A3203C" w:rsidP="00C14ADA">
            <w:pPr>
              <w:pStyle w:val="BStabletext"/>
            </w:pPr>
            <w:r w:rsidRPr="00D4047E">
              <w:t xml:space="preserve">Dog </w:t>
            </w:r>
            <w:r>
              <w:t>p</w:t>
            </w:r>
            <w:r w:rsidRPr="00D4047E">
              <w:t>arks (2020 election commitment)</w:t>
            </w:r>
          </w:p>
        </w:tc>
        <w:tc>
          <w:tcPr>
            <w:tcW w:w="1264" w:type="dxa"/>
            <w:shd w:val="clear" w:color="auto" w:fill="auto"/>
          </w:tcPr>
          <w:p w14:paraId="1FFCADCF" w14:textId="77777777" w:rsidR="00A3203C" w:rsidRPr="001B2C25" w:rsidRDefault="00A3203C" w:rsidP="00A3203C">
            <w:pPr>
              <w:pStyle w:val="Btablefigureunbold"/>
              <w:keepNext/>
            </w:pPr>
            <w:r>
              <w:t>400</w:t>
            </w:r>
          </w:p>
        </w:tc>
      </w:tr>
      <w:tr w:rsidR="00A3203C" w:rsidRPr="006614FC" w14:paraId="1B82C9C0" w14:textId="77777777" w:rsidTr="00A3203C">
        <w:trPr>
          <w:trHeight w:val="227"/>
          <w:jc w:val="center"/>
        </w:trPr>
        <w:tc>
          <w:tcPr>
            <w:tcW w:w="7727" w:type="dxa"/>
            <w:shd w:val="clear" w:color="auto" w:fill="auto"/>
          </w:tcPr>
          <w:p w14:paraId="3355CCF1" w14:textId="77777777" w:rsidR="00A3203C" w:rsidRPr="001B2C25" w:rsidRDefault="00A3203C" w:rsidP="00C14ADA">
            <w:pPr>
              <w:pStyle w:val="BStabletext"/>
            </w:pPr>
            <w:r w:rsidRPr="00D4047E">
              <w:t xml:space="preserve">Playgrounds (2020 election commitment) and </w:t>
            </w:r>
            <w:r>
              <w:t>g</w:t>
            </w:r>
            <w:r w:rsidRPr="00D4047E">
              <w:t xml:space="preserve">eneral </w:t>
            </w:r>
            <w:r>
              <w:t>a</w:t>
            </w:r>
            <w:r w:rsidRPr="00D4047E">
              <w:t xml:space="preserve">menity </w:t>
            </w:r>
            <w:r>
              <w:t>i</w:t>
            </w:r>
            <w:r w:rsidRPr="00D4047E">
              <w:t>mprovements</w:t>
            </w:r>
          </w:p>
        </w:tc>
        <w:tc>
          <w:tcPr>
            <w:tcW w:w="1264" w:type="dxa"/>
            <w:shd w:val="clear" w:color="auto" w:fill="auto"/>
          </w:tcPr>
          <w:p w14:paraId="7DA419E8" w14:textId="77777777" w:rsidR="00A3203C" w:rsidRPr="001B2C25" w:rsidRDefault="00A3203C" w:rsidP="00A3203C">
            <w:pPr>
              <w:pStyle w:val="Btablefigureunbold"/>
              <w:keepNext/>
            </w:pPr>
            <w:r>
              <w:t>510</w:t>
            </w:r>
          </w:p>
        </w:tc>
      </w:tr>
      <w:tr w:rsidR="00A3203C" w:rsidRPr="006614FC" w14:paraId="6484FA54" w14:textId="77777777" w:rsidTr="00A3203C">
        <w:trPr>
          <w:trHeight w:val="227"/>
          <w:jc w:val="center"/>
        </w:trPr>
        <w:tc>
          <w:tcPr>
            <w:tcW w:w="7727" w:type="dxa"/>
            <w:shd w:val="clear" w:color="auto" w:fill="auto"/>
          </w:tcPr>
          <w:p w14:paraId="038296F5" w14:textId="77777777" w:rsidR="00A3203C" w:rsidRPr="001B2C25" w:rsidRDefault="00A3203C" w:rsidP="00C14ADA">
            <w:pPr>
              <w:pStyle w:val="BStabletext"/>
            </w:pPr>
            <w:r w:rsidRPr="00D4047E">
              <w:t xml:space="preserve">Play </w:t>
            </w:r>
            <w:r>
              <w:t>s</w:t>
            </w:r>
            <w:r w:rsidRPr="00D4047E">
              <w:t>pace audit</w:t>
            </w:r>
          </w:p>
        </w:tc>
        <w:tc>
          <w:tcPr>
            <w:tcW w:w="1264" w:type="dxa"/>
            <w:shd w:val="clear" w:color="auto" w:fill="auto"/>
          </w:tcPr>
          <w:p w14:paraId="43E5DE11" w14:textId="77777777" w:rsidR="00A3203C" w:rsidRPr="001B2C25" w:rsidRDefault="00A3203C" w:rsidP="00A3203C">
            <w:pPr>
              <w:pStyle w:val="Btablefigureunbold"/>
              <w:keepNext/>
            </w:pPr>
            <w:r>
              <w:t>180</w:t>
            </w:r>
          </w:p>
        </w:tc>
      </w:tr>
      <w:tr w:rsidR="00A3203C" w:rsidRPr="006614FC" w14:paraId="4B1BA7D3" w14:textId="77777777" w:rsidTr="00A3203C">
        <w:trPr>
          <w:trHeight w:val="454"/>
          <w:jc w:val="center"/>
        </w:trPr>
        <w:tc>
          <w:tcPr>
            <w:tcW w:w="7727" w:type="dxa"/>
            <w:shd w:val="clear" w:color="auto" w:fill="auto"/>
            <w:vAlign w:val="bottom"/>
          </w:tcPr>
          <w:p w14:paraId="5C8465A5" w14:textId="77777777" w:rsidR="00A3203C" w:rsidRPr="00D37F9E" w:rsidRDefault="00A3203C" w:rsidP="00C14ADA">
            <w:pPr>
              <w:pStyle w:val="BStabletextbolditalics"/>
            </w:pPr>
            <w:r w:rsidRPr="00D37F9E">
              <w:lastRenderedPageBreak/>
              <w:t>Urban infrastructure and sports facilities</w:t>
            </w:r>
          </w:p>
        </w:tc>
        <w:tc>
          <w:tcPr>
            <w:tcW w:w="1264" w:type="dxa"/>
            <w:shd w:val="clear" w:color="auto" w:fill="auto"/>
          </w:tcPr>
          <w:p w14:paraId="5E3C51D1" w14:textId="77777777" w:rsidR="00A3203C" w:rsidRPr="001B2C25" w:rsidRDefault="00A3203C" w:rsidP="00A3203C">
            <w:pPr>
              <w:pStyle w:val="Emptycell"/>
              <w:keepNext/>
            </w:pPr>
          </w:p>
        </w:tc>
      </w:tr>
      <w:tr w:rsidR="00A3203C" w:rsidRPr="006614FC" w14:paraId="0D875056" w14:textId="77777777" w:rsidTr="00A3203C">
        <w:trPr>
          <w:trHeight w:val="227"/>
          <w:jc w:val="center"/>
        </w:trPr>
        <w:tc>
          <w:tcPr>
            <w:tcW w:w="7727" w:type="dxa"/>
            <w:shd w:val="clear" w:color="auto" w:fill="auto"/>
          </w:tcPr>
          <w:p w14:paraId="7F022EE0" w14:textId="77777777" w:rsidR="00A3203C" w:rsidRPr="001B2C25" w:rsidRDefault="00A3203C" w:rsidP="00C14ADA">
            <w:pPr>
              <w:pStyle w:val="BStabletext"/>
            </w:pPr>
            <w:r w:rsidRPr="00D4047E">
              <w:t>Sportsground facilities improvement program</w:t>
            </w:r>
          </w:p>
        </w:tc>
        <w:tc>
          <w:tcPr>
            <w:tcW w:w="1264" w:type="dxa"/>
            <w:shd w:val="clear" w:color="auto" w:fill="auto"/>
          </w:tcPr>
          <w:p w14:paraId="11CD56CA" w14:textId="77777777" w:rsidR="00A3203C" w:rsidRPr="001B2C25" w:rsidRDefault="00A3203C" w:rsidP="00A3203C">
            <w:pPr>
              <w:pStyle w:val="Btablefigureunbold"/>
              <w:keepNext/>
            </w:pPr>
            <w:r>
              <w:t>1,800</w:t>
            </w:r>
          </w:p>
        </w:tc>
      </w:tr>
      <w:tr w:rsidR="00A3203C" w:rsidRPr="006614FC" w14:paraId="255BB2D7" w14:textId="77777777" w:rsidTr="00A3203C">
        <w:trPr>
          <w:trHeight w:val="227"/>
          <w:jc w:val="center"/>
        </w:trPr>
        <w:tc>
          <w:tcPr>
            <w:tcW w:w="7727" w:type="dxa"/>
            <w:shd w:val="clear" w:color="auto" w:fill="auto"/>
          </w:tcPr>
          <w:p w14:paraId="1B21BBA0" w14:textId="77777777" w:rsidR="00A3203C" w:rsidRPr="001B2C25" w:rsidRDefault="00A3203C" w:rsidP="00C14ADA">
            <w:pPr>
              <w:pStyle w:val="BStabletext"/>
            </w:pPr>
            <w:r w:rsidRPr="00D4047E">
              <w:t>Tuggeranong foreshore improvements (</w:t>
            </w:r>
            <w:r>
              <w:t xml:space="preserve">2020 </w:t>
            </w:r>
            <w:r w:rsidRPr="00D4047E">
              <w:t>election commitment)</w:t>
            </w:r>
          </w:p>
        </w:tc>
        <w:tc>
          <w:tcPr>
            <w:tcW w:w="1264" w:type="dxa"/>
            <w:shd w:val="clear" w:color="auto" w:fill="auto"/>
          </w:tcPr>
          <w:p w14:paraId="7827AE6E" w14:textId="77777777" w:rsidR="00A3203C" w:rsidRPr="001B2C25" w:rsidRDefault="00A3203C" w:rsidP="00A3203C">
            <w:pPr>
              <w:pStyle w:val="Btablefigureunbold"/>
              <w:keepNext/>
            </w:pPr>
            <w:r>
              <w:t>750</w:t>
            </w:r>
          </w:p>
        </w:tc>
      </w:tr>
      <w:tr w:rsidR="00A3203C" w:rsidRPr="006614FC" w14:paraId="2275583F" w14:textId="77777777" w:rsidTr="00A3203C">
        <w:trPr>
          <w:trHeight w:val="227"/>
          <w:jc w:val="center"/>
        </w:trPr>
        <w:tc>
          <w:tcPr>
            <w:tcW w:w="7727" w:type="dxa"/>
            <w:shd w:val="clear" w:color="auto" w:fill="auto"/>
          </w:tcPr>
          <w:p w14:paraId="49E8A5C4" w14:textId="77777777" w:rsidR="00A3203C" w:rsidRPr="001B2C25" w:rsidRDefault="00A3203C" w:rsidP="00C14ADA">
            <w:pPr>
              <w:pStyle w:val="BStabletext"/>
            </w:pPr>
            <w:r w:rsidRPr="00D4047E">
              <w:t xml:space="preserve">Reducing reliance on potable water to irrigate grass </w:t>
            </w:r>
          </w:p>
        </w:tc>
        <w:tc>
          <w:tcPr>
            <w:tcW w:w="1264" w:type="dxa"/>
            <w:shd w:val="clear" w:color="auto" w:fill="auto"/>
          </w:tcPr>
          <w:p w14:paraId="7D2C2ADD" w14:textId="77777777" w:rsidR="00A3203C" w:rsidRPr="001B2C25" w:rsidRDefault="00A3203C" w:rsidP="00A3203C">
            <w:pPr>
              <w:pStyle w:val="Btablefigureunbold"/>
              <w:keepNext/>
            </w:pPr>
            <w:r>
              <w:t>970</w:t>
            </w:r>
          </w:p>
        </w:tc>
      </w:tr>
      <w:tr w:rsidR="00A3203C" w:rsidRPr="006614FC" w14:paraId="1C5CB9A1" w14:textId="77777777" w:rsidTr="00A3203C">
        <w:trPr>
          <w:trHeight w:val="567"/>
          <w:jc w:val="center"/>
        </w:trPr>
        <w:tc>
          <w:tcPr>
            <w:tcW w:w="7727" w:type="dxa"/>
            <w:tcBorders>
              <w:bottom w:val="single" w:sz="4" w:space="0" w:color="auto"/>
            </w:tcBorders>
            <w:shd w:val="clear" w:color="auto" w:fill="auto"/>
          </w:tcPr>
          <w:p w14:paraId="0AC73B63" w14:textId="77777777" w:rsidR="00A3203C" w:rsidRPr="001B2C25" w:rsidRDefault="00A3203C" w:rsidP="00C14ADA">
            <w:pPr>
              <w:pStyle w:val="BStabletextbold"/>
            </w:pPr>
            <w:r>
              <w:t>Total</w:t>
            </w:r>
          </w:p>
        </w:tc>
        <w:tc>
          <w:tcPr>
            <w:tcW w:w="1264" w:type="dxa"/>
            <w:tcBorders>
              <w:bottom w:val="single" w:sz="4" w:space="0" w:color="auto"/>
            </w:tcBorders>
            <w:shd w:val="clear" w:color="auto" w:fill="auto"/>
          </w:tcPr>
          <w:p w14:paraId="183DF7EB" w14:textId="77777777" w:rsidR="00A3203C" w:rsidRPr="001B2C25" w:rsidRDefault="00A3203C" w:rsidP="00A3203C">
            <w:pPr>
              <w:pStyle w:val="BTablefigureBold"/>
              <w:keepNext/>
            </w:pPr>
            <w:r>
              <w:t>23,973</w:t>
            </w:r>
          </w:p>
        </w:tc>
      </w:tr>
      <w:tr w:rsidR="00A3203C" w:rsidRPr="006614FC" w14:paraId="0A1BB65F" w14:textId="77777777" w:rsidTr="00A3203C">
        <w:trPr>
          <w:trHeight w:val="227"/>
          <w:jc w:val="center"/>
        </w:trPr>
        <w:tc>
          <w:tcPr>
            <w:tcW w:w="7727" w:type="dxa"/>
            <w:tcBorders>
              <w:top w:val="single" w:sz="4" w:space="0" w:color="auto"/>
              <w:bottom w:val="single" w:sz="4" w:space="0" w:color="auto"/>
            </w:tcBorders>
            <w:shd w:val="clear" w:color="auto" w:fill="auto"/>
            <w:vAlign w:val="bottom"/>
          </w:tcPr>
          <w:p w14:paraId="2C4A255D" w14:textId="77777777" w:rsidR="00A3203C" w:rsidRPr="00D8735A" w:rsidRDefault="00A3203C" w:rsidP="00C14ADA">
            <w:pPr>
              <w:pStyle w:val="BStabletextbold"/>
              <w:rPr>
                <w:color w:val="472D8C"/>
              </w:rPr>
            </w:pPr>
            <w:r w:rsidRPr="00D8735A">
              <w:rPr>
                <w:color w:val="472D8C"/>
              </w:rPr>
              <w:t>Total Directorate Better Infrastructure Fund</w:t>
            </w:r>
          </w:p>
        </w:tc>
        <w:tc>
          <w:tcPr>
            <w:tcW w:w="1264" w:type="dxa"/>
            <w:tcBorders>
              <w:top w:val="single" w:sz="4" w:space="0" w:color="auto"/>
              <w:bottom w:val="single" w:sz="4" w:space="0" w:color="auto"/>
            </w:tcBorders>
            <w:shd w:val="clear" w:color="auto" w:fill="auto"/>
            <w:vAlign w:val="bottom"/>
          </w:tcPr>
          <w:p w14:paraId="33882C64" w14:textId="77777777" w:rsidR="00A3203C" w:rsidRPr="00350333" w:rsidRDefault="00A3203C" w:rsidP="00A3203C">
            <w:pPr>
              <w:pStyle w:val="BTablefigureBold"/>
              <w:keepNext/>
              <w:rPr>
                <w:color w:val="472D8C"/>
              </w:rPr>
            </w:pPr>
            <w:r w:rsidRPr="00350333">
              <w:rPr>
                <w:color w:val="472D8C"/>
              </w:rPr>
              <w:t>71,688</w:t>
            </w:r>
          </w:p>
        </w:tc>
      </w:tr>
      <w:tr w:rsidR="00A3203C" w:rsidRPr="006614FC" w14:paraId="3AC2B337" w14:textId="77777777" w:rsidTr="00A3203C">
        <w:trPr>
          <w:trHeight w:val="227"/>
          <w:jc w:val="center"/>
        </w:trPr>
        <w:tc>
          <w:tcPr>
            <w:tcW w:w="7727" w:type="dxa"/>
            <w:tcBorders>
              <w:top w:val="single" w:sz="4" w:space="0" w:color="auto"/>
              <w:bottom w:val="single" w:sz="4" w:space="0" w:color="auto"/>
            </w:tcBorders>
            <w:shd w:val="clear" w:color="auto" w:fill="auto"/>
            <w:vAlign w:val="bottom"/>
          </w:tcPr>
          <w:p w14:paraId="64301D45" w14:textId="77777777" w:rsidR="00A3203C" w:rsidRPr="00D8735A" w:rsidRDefault="00A3203C" w:rsidP="00C14ADA">
            <w:pPr>
              <w:pStyle w:val="BStabletextbold"/>
              <w:rPr>
                <w:color w:val="472D8C"/>
              </w:rPr>
            </w:pPr>
            <w:r w:rsidRPr="00D8735A">
              <w:rPr>
                <w:color w:val="472D8C"/>
              </w:rPr>
              <w:t>Major Projects Canberra - Better Infrastructure Fund Management Levy</w:t>
            </w:r>
          </w:p>
        </w:tc>
        <w:tc>
          <w:tcPr>
            <w:tcW w:w="1264" w:type="dxa"/>
            <w:tcBorders>
              <w:top w:val="single" w:sz="4" w:space="0" w:color="auto"/>
              <w:bottom w:val="single" w:sz="4" w:space="0" w:color="auto"/>
            </w:tcBorders>
            <w:shd w:val="clear" w:color="auto" w:fill="auto"/>
            <w:vAlign w:val="bottom"/>
          </w:tcPr>
          <w:p w14:paraId="24DFDA34" w14:textId="77777777" w:rsidR="00A3203C" w:rsidRPr="00350333" w:rsidRDefault="00A3203C" w:rsidP="00A3203C">
            <w:pPr>
              <w:pStyle w:val="BTablefigureBold"/>
              <w:keepNext/>
              <w:rPr>
                <w:color w:val="472D8C"/>
              </w:rPr>
            </w:pPr>
            <w:r w:rsidRPr="00350333">
              <w:rPr>
                <w:color w:val="472D8C"/>
              </w:rPr>
              <w:t>3,625</w:t>
            </w:r>
          </w:p>
        </w:tc>
      </w:tr>
      <w:tr w:rsidR="00A3203C" w:rsidRPr="006614FC" w14:paraId="58920524" w14:textId="77777777" w:rsidTr="00A3203C">
        <w:trPr>
          <w:trHeight w:val="227"/>
          <w:jc w:val="center"/>
        </w:trPr>
        <w:tc>
          <w:tcPr>
            <w:tcW w:w="7727" w:type="dxa"/>
            <w:tcBorders>
              <w:top w:val="single" w:sz="4" w:space="0" w:color="auto"/>
              <w:bottom w:val="single" w:sz="4" w:space="0" w:color="auto"/>
            </w:tcBorders>
            <w:shd w:val="clear" w:color="auto" w:fill="auto"/>
            <w:vAlign w:val="bottom"/>
          </w:tcPr>
          <w:p w14:paraId="5A6212E8" w14:textId="77777777" w:rsidR="00A3203C" w:rsidRPr="00D8735A" w:rsidRDefault="00A3203C" w:rsidP="00C14ADA">
            <w:pPr>
              <w:pStyle w:val="BStabletextbold"/>
              <w:rPr>
                <w:color w:val="472D8C"/>
              </w:rPr>
            </w:pPr>
            <w:r w:rsidRPr="00D8735A">
              <w:rPr>
                <w:color w:val="472D8C"/>
              </w:rPr>
              <w:t>Total Better Infrastructure Fund</w:t>
            </w:r>
            <w:r w:rsidRPr="00D8735A">
              <w:rPr>
                <w:color w:val="472D8C"/>
                <w:vertAlign w:val="superscript"/>
              </w:rPr>
              <w:t>2</w:t>
            </w:r>
          </w:p>
        </w:tc>
        <w:tc>
          <w:tcPr>
            <w:tcW w:w="1264" w:type="dxa"/>
            <w:tcBorders>
              <w:top w:val="single" w:sz="4" w:space="0" w:color="auto"/>
              <w:bottom w:val="single" w:sz="4" w:space="0" w:color="auto"/>
            </w:tcBorders>
            <w:shd w:val="clear" w:color="auto" w:fill="auto"/>
            <w:vAlign w:val="bottom"/>
          </w:tcPr>
          <w:p w14:paraId="7F7C2485" w14:textId="77777777" w:rsidR="00A3203C" w:rsidRPr="00350333" w:rsidRDefault="00A3203C" w:rsidP="00A3203C">
            <w:pPr>
              <w:pStyle w:val="BTablefigureBold"/>
              <w:keepNext/>
              <w:rPr>
                <w:color w:val="472D8C"/>
              </w:rPr>
            </w:pPr>
            <w:r w:rsidRPr="00350333">
              <w:rPr>
                <w:color w:val="472D8C"/>
              </w:rPr>
              <w:t>75,313</w:t>
            </w:r>
          </w:p>
        </w:tc>
      </w:tr>
    </w:tbl>
    <w:p w14:paraId="74DC159C" w14:textId="77777777" w:rsidR="00A3203C" w:rsidRPr="00EA34A9" w:rsidRDefault="00A3203C" w:rsidP="00A3203C">
      <w:pPr>
        <w:pStyle w:val="BSnotetext"/>
        <w:rPr>
          <w:b/>
          <w:lang w:val="en-AU"/>
        </w:rPr>
      </w:pPr>
      <w:r>
        <w:rPr>
          <w:b/>
          <w:lang w:val="en-AU"/>
        </w:rPr>
        <w:t xml:space="preserve">Notes </w:t>
      </w:r>
    </w:p>
    <w:p w14:paraId="3A35F237" w14:textId="066814BC" w:rsidR="00A3203C" w:rsidRPr="00D4047E" w:rsidRDefault="00A3203C" w:rsidP="00A3203C">
      <w:pPr>
        <w:pStyle w:val="BNotelist"/>
      </w:pPr>
      <w:r w:rsidRPr="00D4047E">
        <w:t xml:space="preserve">The </w:t>
      </w:r>
      <w:r w:rsidRPr="00EA32FA">
        <w:rPr>
          <w:i/>
          <w:iCs/>
        </w:rPr>
        <w:t>Public School Infrastructure Renewal Program</w:t>
      </w:r>
      <w:r w:rsidRPr="00D4047E">
        <w:t xml:space="preserve"> is a 2020 election commitment.  </w:t>
      </w:r>
    </w:p>
    <w:p w14:paraId="4299FB3A" w14:textId="77777777" w:rsidR="00A3203C" w:rsidRPr="00EA32FA" w:rsidRDefault="00A3203C" w:rsidP="00A3203C">
      <w:pPr>
        <w:pStyle w:val="BNotelist"/>
      </w:pPr>
      <w:r w:rsidRPr="00EA32FA">
        <w:t xml:space="preserve">Table may not add due to rounding. </w:t>
      </w:r>
    </w:p>
    <w:p w14:paraId="2847B258" w14:textId="7E6C5297" w:rsidR="00C9296C" w:rsidRDefault="00C9296C">
      <w:r>
        <w:br w:type="page"/>
      </w:r>
    </w:p>
    <w:p w14:paraId="1CA96A03" w14:textId="77777777" w:rsidR="00C9296C" w:rsidRDefault="00C9296C" w:rsidP="00A3203C"/>
    <w:p w14:paraId="657F18F5" w14:textId="77777777" w:rsidR="00C9296C" w:rsidRDefault="00C9296C">
      <w:r>
        <w:br w:type="page"/>
      </w:r>
    </w:p>
    <w:p w14:paraId="487A30D3" w14:textId="77777777" w:rsidR="00C9296C" w:rsidRDefault="00C9296C" w:rsidP="00A3203C">
      <w:pPr>
        <w:sectPr w:rsidR="00C9296C" w:rsidSect="00542DA2">
          <w:footerReference w:type="default" r:id="rId12"/>
          <w:pgSz w:w="11906" w:h="16838" w:code="9"/>
          <w:pgMar w:top="1151" w:right="1440" w:bottom="1729" w:left="1440" w:header="720" w:footer="720" w:gutter="0"/>
          <w:cols w:space="708"/>
          <w:docGrid w:linePitch="360"/>
        </w:sectPr>
      </w:pPr>
    </w:p>
    <w:p w14:paraId="0952F857" w14:textId="77777777" w:rsidR="00704BD4" w:rsidRDefault="00704BD4" w:rsidP="00704BD4">
      <w:pPr>
        <w:rPr>
          <w:rFonts w:ascii="Calibri" w:hAnsi="Calibri"/>
          <w:b/>
          <w:sz w:val="36"/>
        </w:rPr>
      </w:pPr>
    </w:p>
    <w:p w14:paraId="4F0DDC59" w14:textId="77777777" w:rsidR="00704BD4" w:rsidRDefault="00704BD4" w:rsidP="00704BD4">
      <w:pPr>
        <w:jc w:val="center"/>
        <w:rPr>
          <w:b/>
          <w:bCs/>
          <w:sz w:val="32"/>
          <w:szCs w:val="32"/>
        </w:rPr>
      </w:pPr>
    </w:p>
    <w:p w14:paraId="61CB2BC1" w14:textId="7A047EA4" w:rsidR="00704BD4" w:rsidRDefault="00704BD4" w:rsidP="00704BD4">
      <w:pPr>
        <w:jc w:val="center"/>
        <w:rPr>
          <w:b/>
          <w:bCs/>
          <w:sz w:val="32"/>
          <w:szCs w:val="32"/>
        </w:rPr>
      </w:pPr>
      <w:r w:rsidRPr="00A3203C">
        <w:rPr>
          <w:b/>
          <w:bCs/>
          <w:sz w:val="32"/>
          <w:szCs w:val="32"/>
        </w:rPr>
        <w:t xml:space="preserve">APPENDIX </w:t>
      </w:r>
      <w:r>
        <w:rPr>
          <w:b/>
          <w:bCs/>
          <w:sz w:val="32"/>
          <w:szCs w:val="32"/>
        </w:rPr>
        <w:t>C</w:t>
      </w:r>
    </w:p>
    <w:p w14:paraId="4A5A7AC2" w14:textId="77777777" w:rsidR="00704BD4" w:rsidRDefault="00704BD4" w:rsidP="00704BD4">
      <w:pPr>
        <w:jc w:val="center"/>
        <w:rPr>
          <w:b/>
          <w:bCs/>
          <w:sz w:val="32"/>
          <w:szCs w:val="32"/>
        </w:rPr>
      </w:pPr>
    </w:p>
    <w:p w14:paraId="0C2430AF" w14:textId="77777777" w:rsidR="00704BD4" w:rsidRPr="00A3203C" w:rsidRDefault="00704BD4" w:rsidP="00704BD4">
      <w:pPr>
        <w:jc w:val="center"/>
        <w:rPr>
          <w:b/>
          <w:bCs/>
          <w:sz w:val="32"/>
          <w:szCs w:val="32"/>
        </w:rPr>
      </w:pPr>
    </w:p>
    <w:p w14:paraId="636C52A2" w14:textId="0FED074D" w:rsidR="00704BD4" w:rsidRDefault="00704BD4" w:rsidP="00704BD4">
      <w:pPr>
        <w:jc w:val="center"/>
        <w:rPr>
          <w:b/>
          <w:bCs/>
          <w:sz w:val="32"/>
          <w:szCs w:val="32"/>
        </w:rPr>
      </w:pPr>
      <w:r>
        <w:rPr>
          <w:b/>
          <w:bCs/>
          <w:sz w:val="32"/>
          <w:szCs w:val="32"/>
        </w:rPr>
        <w:t>INFRASTRUCTURE INVESTMENT PROGRAM</w:t>
      </w:r>
    </w:p>
    <w:p w14:paraId="67BAFD00" w14:textId="458A4694" w:rsidR="00704BD4" w:rsidRPr="00A3203C" w:rsidRDefault="00704BD4" w:rsidP="00704BD4">
      <w:pPr>
        <w:jc w:val="center"/>
        <w:rPr>
          <w:b/>
          <w:bCs/>
          <w:sz w:val="32"/>
          <w:szCs w:val="32"/>
        </w:rPr>
      </w:pPr>
      <w:r>
        <w:rPr>
          <w:b/>
          <w:bCs/>
          <w:sz w:val="32"/>
          <w:szCs w:val="32"/>
        </w:rPr>
        <w:t>WORKS-IN-PROGRESS</w:t>
      </w:r>
    </w:p>
    <w:p w14:paraId="4DAAFF5F" w14:textId="77777777" w:rsidR="00704BD4" w:rsidRDefault="00704BD4" w:rsidP="00704BD4">
      <w:pPr>
        <w:rPr>
          <w:rFonts w:ascii="Calibri" w:eastAsiaTheme="majorEastAsia" w:hAnsi="Calibri" w:cstheme="majorBidi"/>
          <w:b/>
          <w:caps/>
          <w:kern w:val="28"/>
          <w:sz w:val="36"/>
          <w:szCs w:val="32"/>
        </w:rPr>
      </w:pPr>
      <w:r>
        <w:br w:type="page"/>
      </w:r>
    </w:p>
    <w:p w14:paraId="06BA872B" w14:textId="77777777" w:rsidR="00A511AA" w:rsidRDefault="00A511AA" w:rsidP="00CC240B"/>
    <w:p w14:paraId="11AB58C3" w14:textId="77777777" w:rsidR="00DD0834" w:rsidRDefault="00DD0834" w:rsidP="00A3203C">
      <w:pPr>
        <w:sectPr w:rsidR="00DD0834" w:rsidSect="00542DA2">
          <w:footerReference w:type="default" r:id="rId13"/>
          <w:pgSz w:w="11906" w:h="16838" w:code="9"/>
          <w:pgMar w:top="1151" w:right="1440" w:bottom="1729" w:left="1440" w:header="720" w:footer="720" w:gutter="0"/>
          <w:cols w:space="708"/>
          <w:docGrid w:linePitch="360"/>
        </w:sectPr>
      </w:pPr>
    </w:p>
    <w:p w14:paraId="20CEC5BB" w14:textId="77777777" w:rsidR="005958CD" w:rsidRDefault="005958CD" w:rsidP="005958CD">
      <w:pPr>
        <w:pStyle w:val="Heading2"/>
        <w:numPr>
          <w:ilvl w:val="0"/>
          <w:numId w:val="0"/>
        </w:numPr>
        <w:ind w:left="2127" w:hanging="2127"/>
      </w:pPr>
      <w:bookmarkStart w:id="2" w:name="_Toc84300598"/>
      <w:r>
        <w:lastRenderedPageBreak/>
        <w:t>Appendix C – Infrastructure Investment Program – Works-in-Progress</w:t>
      </w:r>
      <w:bookmarkEnd w:id="2"/>
    </w:p>
    <w:p w14:paraId="378447B6" w14:textId="77777777" w:rsidR="005958CD" w:rsidRPr="00E41700" w:rsidRDefault="005958CD" w:rsidP="005958CD">
      <w:pPr>
        <w:pStyle w:val="Caption"/>
      </w:pPr>
      <w:r>
        <w:t>Table C.1: 2021-22 Infrastructure Investment Program – Works-in-progress</w:t>
      </w:r>
    </w:p>
    <w:tbl>
      <w:tblPr>
        <w:tblW w:w="9068" w:type="dxa"/>
        <w:jc w:val="center"/>
        <w:tblLayout w:type="fixed"/>
        <w:tblCellMar>
          <w:left w:w="57" w:type="dxa"/>
          <w:right w:w="57" w:type="dxa"/>
        </w:tblCellMar>
        <w:tblLook w:val="04A0" w:firstRow="1" w:lastRow="0" w:firstColumn="1" w:lastColumn="0" w:noHBand="0" w:noVBand="1"/>
      </w:tblPr>
      <w:tblGrid>
        <w:gridCol w:w="3798"/>
        <w:gridCol w:w="850"/>
        <w:gridCol w:w="850"/>
        <w:gridCol w:w="850"/>
        <w:gridCol w:w="850"/>
        <w:gridCol w:w="850"/>
        <w:gridCol w:w="1020"/>
      </w:tblGrid>
      <w:tr w:rsidR="005958CD" w:rsidRPr="00704BD4" w14:paraId="780B6BFF" w14:textId="77777777" w:rsidTr="00C52D24">
        <w:trPr>
          <w:trHeight w:val="156"/>
          <w:tblHeader/>
          <w:jc w:val="center"/>
        </w:trPr>
        <w:tc>
          <w:tcPr>
            <w:tcW w:w="3798" w:type="dxa"/>
            <w:tcBorders>
              <w:bottom w:val="single" w:sz="4" w:space="0" w:color="auto"/>
            </w:tcBorders>
            <w:shd w:val="clear" w:color="auto" w:fill="472D8C"/>
          </w:tcPr>
          <w:p w14:paraId="68BFF478" w14:textId="77777777" w:rsidR="005958CD" w:rsidRPr="00704BD4" w:rsidRDefault="005958CD" w:rsidP="00C52D24">
            <w:pPr>
              <w:rPr>
                <w:rFonts w:cs="Calibri"/>
                <w:b/>
                <w:color w:val="FFFFFF" w:themeColor="background1"/>
                <w:sz w:val="18"/>
                <w:szCs w:val="18"/>
              </w:rPr>
            </w:pPr>
            <w:r w:rsidRPr="00704BD4">
              <w:rPr>
                <w:rFonts w:cs="Calibri"/>
                <w:b/>
                <w:color w:val="FFFFFF" w:themeColor="background1"/>
                <w:sz w:val="18"/>
                <w:szCs w:val="18"/>
              </w:rPr>
              <w:t>Project</w:t>
            </w:r>
          </w:p>
        </w:tc>
        <w:tc>
          <w:tcPr>
            <w:tcW w:w="850" w:type="dxa"/>
            <w:tcBorders>
              <w:bottom w:val="single" w:sz="4" w:space="0" w:color="auto"/>
            </w:tcBorders>
            <w:shd w:val="clear" w:color="auto" w:fill="472D8C"/>
          </w:tcPr>
          <w:p w14:paraId="27129A41"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2021-22</w:t>
            </w:r>
          </w:p>
          <w:p w14:paraId="6849435C" w14:textId="77777777" w:rsidR="00AB05FB" w:rsidRDefault="00AB05FB" w:rsidP="00C52D24">
            <w:pPr>
              <w:pStyle w:val="BTableHeadingRowRightAligned"/>
              <w:rPr>
                <w:color w:val="FFFFFF" w:themeColor="background1"/>
                <w:sz w:val="18"/>
                <w:szCs w:val="18"/>
              </w:rPr>
            </w:pPr>
          </w:p>
          <w:p w14:paraId="0FB4705B" w14:textId="690462A5"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c>
          <w:tcPr>
            <w:tcW w:w="850" w:type="dxa"/>
            <w:tcBorders>
              <w:bottom w:val="single" w:sz="4" w:space="0" w:color="auto"/>
            </w:tcBorders>
            <w:shd w:val="clear" w:color="auto" w:fill="472D8C"/>
          </w:tcPr>
          <w:p w14:paraId="18470424"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2022-23</w:t>
            </w:r>
          </w:p>
          <w:p w14:paraId="5D85476A" w14:textId="77777777" w:rsidR="00AB05FB" w:rsidRDefault="00AB05FB" w:rsidP="00C52D24">
            <w:pPr>
              <w:pStyle w:val="BTableHeadingRowRightAligned"/>
              <w:rPr>
                <w:color w:val="FFFFFF" w:themeColor="background1"/>
                <w:sz w:val="18"/>
                <w:szCs w:val="18"/>
              </w:rPr>
            </w:pPr>
          </w:p>
          <w:p w14:paraId="77768B94" w14:textId="5DA9FE15"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c>
          <w:tcPr>
            <w:tcW w:w="850" w:type="dxa"/>
            <w:tcBorders>
              <w:bottom w:val="single" w:sz="4" w:space="0" w:color="auto"/>
            </w:tcBorders>
            <w:shd w:val="clear" w:color="auto" w:fill="472D8C"/>
          </w:tcPr>
          <w:p w14:paraId="19D596F1"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2023-24</w:t>
            </w:r>
          </w:p>
          <w:p w14:paraId="07707141" w14:textId="77777777" w:rsidR="00AB05FB" w:rsidRDefault="00AB05FB" w:rsidP="00C52D24">
            <w:pPr>
              <w:pStyle w:val="BTableHeadingRowRightAligned"/>
              <w:rPr>
                <w:color w:val="FFFFFF" w:themeColor="background1"/>
                <w:sz w:val="18"/>
                <w:szCs w:val="18"/>
              </w:rPr>
            </w:pPr>
          </w:p>
          <w:p w14:paraId="320C5DDD" w14:textId="5D119AE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c>
          <w:tcPr>
            <w:tcW w:w="850" w:type="dxa"/>
            <w:tcBorders>
              <w:bottom w:val="single" w:sz="4" w:space="0" w:color="auto"/>
            </w:tcBorders>
            <w:shd w:val="clear" w:color="auto" w:fill="472D8C"/>
          </w:tcPr>
          <w:p w14:paraId="1F79B79C"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2024-25</w:t>
            </w:r>
          </w:p>
          <w:p w14:paraId="706B2D42" w14:textId="77777777" w:rsidR="00AB05FB" w:rsidRDefault="00AB05FB" w:rsidP="00C52D24">
            <w:pPr>
              <w:pStyle w:val="BTableHeadingRowRightAligned"/>
              <w:rPr>
                <w:color w:val="FFFFFF" w:themeColor="background1"/>
                <w:sz w:val="18"/>
                <w:szCs w:val="18"/>
              </w:rPr>
            </w:pPr>
          </w:p>
          <w:p w14:paraId="1B85AAB9" w14:textId="7FB57C36"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c>
          <w:tcPr>
            <w:tcW w:w="850" w:type="dxa"/>
            <w:tcBorders>
              <w:bottom w:val="single" w:sz="4" w:space="0" w:color="auto"/>
            </w:tcBorders>
            <w:shd w:val="clear" w:color="auto" w:fill="472D8C"/>
          </w:tcPr>
          <w:p w14:paraId="71F346E2"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2025-26</w:t>
            </w:r>
          </w:p>
          <w:p w14:paraId="4DBEB4ED" w14:textId="77777777" w:rsidR="00AB05FB" w:rsidRDefault="00AB05FB" w:rsidP="00C52D24">
            <w:pPr>
              <w:pStyle w:val="BTableHeadingRowRightAligned"/>
              <w:rPr>
                <w:color w:val="FFFFFF" w:themeColor="background1"/>
                <w:sz w:val="18"/>
                <w:szCs w:val="18"/>
              </w:rPr>
            </w:pPr>
          </w:p>
          <w:p w14:paraId="1CF3377A" w14:textId="5AB430BD"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c>
          <w:tcPr>
            <w:tcW w:w="1020" w:type="dxa"/>
            <w:tcBorders>
              <w:bottom w:val="single" w:sz="4" w:space="0" w:color="auto"/>
            </w:tcBorders>
            <w:shd w:val="clear" w:color="auto" w:fill="472D8C"/>
          </w:tcPr>
          <w:p w14:paraId="39A40209"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Total</w:t>
            </w:r>
          </w:p>
          <w:p w14:paraId="63EEEE61"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Investment</w:t>
            </w:r>
          </w:p>
          <w:p w14:paraId="603BFAA5" w14:textId="77777777" w:rsidR="005958CD" w:rsidRPr="00704BD4" w:rsidRDefault="005958CD" w:rsidP="00C52D24">
            <w:pPr>
              <w:pStyle w:val="BTableHeadingRowRightAligned"/>
              <w:rPr>
                <w:color w:val="FFFFFF" w:themeColor="background1"/>
                <w:sz w:val="18"/>
                <w:szCs w:val="18"/>
              </w:rPr>
            </w:pPr>
            <w:r w:rsidRPr="00704BD4">
              <w:rPr>
                <w:color w:val="FFFFFF" w:themeColor="background1"/>
                <w:sz w:val="18"/>
                <w:szCs w:val="18"/>
              </w:rPr>
              <w:t>$’000</w:t>
            </w:r>
          </w:p>
        </w:tc>
      </w:tr>
      <w:tr w:rsidR="005958CD" w:rsidRPr="00704BD4" w14:paraId="0A1E18C9" w14:textId="77777777" w:rsidTr="00C52D24">
        <w:trPr>
          <w:trHeight w:val="156"/>
          <w:jc w:val="center"/>
        </w:trPr>
        <w:tc>
          <w:tcPr>
            <w:tcW w:w="3798" w:type="dxa"/>
            <w:tcBorders>
              <w:top w:val="single" w:sz="4" w:space="0" w:color="auto"/>
            </w:tcBorders>
            <w:shd w:val="clear" w:color="auto" w:fill="auto"/>
            <w:vAlign w:val="center"/>
          </w:tcPr>
          <w:p w14:paraId="693B1098"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ACT Electoral Commission</w:t>
            </w:r>
          </w:p>
        </w:tc>
        <w:tc>
          <w:tcPr>
            <w:tcW w:w="850" w:type="dxa"/>
            <w:tcBorders>
              <w:top w:val="single" w:sz="4" w:space="0" w:color="auto"/>
            </w:tcBorders>
            <w:shd w:val="clear" w:color="auto" w:fill="auto"/>
          </w:tcPr>
          <w:p w14:paraId="19F873E8"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Borders>
              <w:top w:val="single" w:sz="4" w:space="0" w:color="auto"/>
            </w:tcBorders>
            <w:shd w:val="clear" w:color="auto" w:fill="auto"/>
          </w:tcPr>
          <w:p w14:paraId="6B835934"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Borders>
              <w:top w:val="single" w:sz="4" w:space="0" w:color="auto"/>
            </w:tcBorders>
            <w:shd w:val="clear" w:color="auto" w:fill="auto"/>
          </w:tcPr>
          <w:p w14:paraId="29021C80"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Borders>
              <w:top w:val="single" w:sz="4" w:space="0" w:color="auto"/>
            </w:tcBorders>
            <w:shd w:val="clear" w:color="auto" w:fill="auto"/>
          </w:tcPr>
          <w:p w14:paraId="510C10AC"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Borders>
              <w:top w:val="single" w:sz="4" w:space="0" w:color="auto"/>
            </w:tcBorders>
          </w:tcPr>
          <w:p w14:paraId="56E87CD6"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tcBorders>
              <w:top w:val="single" w:sz="4" w:space="0" w:color="auto"/>
            </w:tcBorders>
            <w:shd w:val="clear" w:color="auto" w:fill="auto"/>
          </w:tcPr>
          <w:p w14:paraId="3009FC3A"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3D5F35E8" w14:textId="77777777" w:rsidTr="00C52D24">
        <w:trPr>
          <w:trHeight w:val="156"/>
          <w:jc w:val="center"/>
        </w:trPr>
        <w:tc>
          <w:tcPr>
            <w:tcW w:w="3798" w:type="dxa"/>
            <w:shd w:val="clear" w:color="auto" w:fill="auto"/>
            <w:vAlign w:val="center"/>
          </w:tcPr>
          <w:p w14:paraId="3FA9971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Government - New Electoral Management System</w:t>
            </w:r>
          </w:p>
        </w:tc>
        <w:tc>
          <w:tcPr>
            <w:tcW w:w="850" w:type="dxa"/>
            <w:shd w:val="clear" w:color="auto" w:fill="auto"/>
          </w:tcPr>
          <w:p w14:paraId="6815E61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263</w:t>
            </w:r>
          </w:p>
        </w:tc>
        <w:tc>
          <w:tcPr>
            <w:tcW w:w="850" w:type="dxa"/>
            <w:shd w:val="clear" w:color="auto" w:fill="auto"/>
          </w:tcPr>
          <w:p w14:paraId="2B288B3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D71CA2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164CF6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37458DD"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81D89A"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263</w:t>
            </w:r>
          </w:p>
        </w:tc>
      </w:tr>
      <w:tr w:rsidR="005958CD" w:rsidRPr="00704BD4" w14:paraId="6EEAC705" w14:textId="77777777" w:rsidTr="00C52D24">
        <w:trPr>
          <w:trHeight w:val="156"/>
          <w:jc w:val="center"/>
        </w:trPr>
        <w:tc>
          <w:tcPr>
            <w:tcW w:w="3798" w:type="dxa"/>
            <w:shd w:val="clear" w:color="auto" w:fill="auto"/>
            <w:vAlign w:val="center"/>
          </w:tcPr>
          <w:p w14:paraId="08A3D45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10158C8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sz w:val="18"/>
                <w:szCs w:val="18"/>
                <w:lang w:eastAsia="en-AU"/>
              </w:rPr>
              <w:t>263</w:t>
            </w:r>
          </w:p>
        </w:tc>
        <w:tc>
          <w:tcPr>
            <w:tcW w:w="850" w:type="dxa"/>
            <w:shd w:val="clear" w:color="auto" w:fill="auto"/>
          </w:tcPr>
          <w:p w14:paraId="25BE0EF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sz w:val="18"/>
                <w:szCs w:val="18"/>
                <w:lang w:eastAsia="en-AU"/>
              </w:rPr>
              <w:t>0</w:t>
            </w:r>
          </w:p>
        </w:tc>
        <w:tc>
          <w:tcPr>
            <w:tcW w:w="850" w:type="dxa"/>
            <w:shd w:val="clear" w:color="auto" w:fill="auto"/>
          </w:tcPr>
          <w:p w14:paraId="0750B20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sz w:val="18"/>
                <w:szCs w:val="18"/>
                <w:lang w:eastAsia="en-AU"/>
              </w:rPr>
              <w:t>0</w:t>
            </w:r>
          </w:p>
        </w:tc>
        <w:tc>
          <w:tcPr>
            <w:tcW w:w="850" w:type="dxa"/>
            <w:shd w:val="clear" w:color="auto" w:fill="auto"/>
          </w:tcPr>
          <w:p w14:paraId="3DC9CAD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sz w:val="18"/>
                <w:szCs w:val="18"/>
                <w:lang w:eastAsia="en-AU"/>
              </w:rPr>
              <w:t>0</w:t>
            </w:r>
          </w:p>
        </w:tc>
        <w:tc>
          <w:tcPr>
            <w:tcW w:w="850" w:type="dxa"/>
          </w:tcPr>
          <w:p w14:paraId="0178A62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sz w:val="18"/>
                <w:szCs w:val="18"/>
                <w:lang w:eastAsia="en-AU"/>
              </w:rPr>
              <w:t>0</w:t>
            </w:r>
          </w:p>
        </w:tc>
        <w:tc>
          <w:tcPr>
            <w:tcW w:w="1020" w:type="dxa"/>
            <w:shd w:val="clear" w:color="auto" w:fill="auto"/>
          </w:tcPr>
          <w:p w14:paraId="0C8BEC0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263</w:t>
            </w:r>
          </w:p>
        </w:tc>
      </w:tr>
      <w:tr w:rsidR="005958CD" w:rsidRPr="00704BD4" w14:paraId="7EA7D71F" w14:textId="77777777" w:rsidTr="00C52D24">
        <w:trPr>
          <w:trHeight w:val="156"/>
          <w:jc w:val="center"/>
        </w:trPr>
        <w:tc>
          <w:tcPr>
            <w:tcW w:w="3798" w:type="dxa"/>
            <w:shd w:val="clear" w:color="auto" w:fill="auto"/>
            <w:vAlign w:val="center"/>
          </w:tcPr>
          <w:p w14:paraId="3FE20789"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ACT Health Directorate</w:t>
            </w:r>
          </w:p>
        </w:tc>
        <w:tc>
          <w:tcPr>
            <w:tcW w:w="850" w:type="dxa"/>
            <w:shd w:val="clear" w:color="auto" w:fill="auto"/>
          </w:tcPr>
          <w:p w14:paraId="5D47E69D"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2A66F8B1"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4B5F681B"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2629AA6D"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277BF08A"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58C7A8E9"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48C15592" w14:textId="77777777" w:rsidTr="00C52D24">
        <w:trPr>
          <w:trHeight w:val="156"/>
          <w:jc w:val="center"/>
        </w:trPr>
        <w:tc>
          <w:tcPr>
            <w:tcW w:w="3798" w:type="dxa"/>
            <w:shd w:val="clear" w:color="auto" w:fill="auto"/>
            <w:vAlign w:val="center"/>
          </w:tcPr>
          <w:p w14:paraId="07F4B05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ACT Health Core IT Systems to align with the Digital Health Strategy</w:t>
            </w:r>
          </w:p>
        </w:tc>
        <w:tc>
          <w:tcPr>
            <w:tcW w:w="850" w:type="dxa"/>
            <w:shd w:val="clear" w:color="auto" w:fill="auto"/>
          </w:tcPr>
          <w:p w14:paraId="511E62B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31,745</w:t>
            </w:r>
          </w:p>
        </w:tc>
        <w:tc>
          <w:tcPr>
            <w:tcW w:w="850" w:type="dxa"/>
            <w:shd w:val="clear" w:color="auto" w:fill="auto"/>
          </w:tcPr>
          <w:p w14:paraId="15BD96D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32,001</w:t>
            </w:r>
          </w:p>
        </w:tc>
        <w:tc>
          <w:tcPr>
            <w:tcW w:w="850" w:type="dxa"/>
            <w:shd w:val="clear" w:color="auto" w:fill="auto"/>
          </w:tcPr>
          <w:p w14:paraId="254F9A5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5,009</w:t>
            </w:r>
          </w:p>
        </w:tc>
        <w:tc>
          <w:tcPr>
            <w:tcW w:w="850" w:type="dxa"/>
            <w:shd w:val="clear" w:color="auto" w:fill="auto"/>
          </w:tcPr>
          <w:p w14:paraId="79E0708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5,009</w:t>
            </w:r>
          </w:p>
        </w:tc>
        <w:tc>
          <w:tcPr>
            <w:tcW w:w="850" w:type="dxa"/>
          </w:tcPr>
          <w:p w14:paraId="3249564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28022BC"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73,764</w:t>
            </w:r>
          </w:p>
        </w:tc>
      </w:tr>
      <w:tr w:rsidR="005958CD" w:rsidRPr="00704BD4" w14:paraId="16C63105" w14:textId="77777777" w:rsidTr="00C52D24">
        <w:trPr>
          <w:trHeight w:val="156"/>
          <w:jc w:val="center"/>
        </w:trPr>
        <w:tc>
          <w:tcPr>
            <w:tcW w:w="3798" w:type="dxa"/>
            <w:shd w:val="clear" w:color="auto" w:fill="auto"/>
            <w:vAlign w:val="center"/>
          </w:tcPr>
          <w:p w14:paraId="3BFCA29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care when you need it - Protecting Canberrans from infectious diseases</w:t>
            </w:r>
          </w:p>
        </w:tc>
        <w:tc>
          <w:tcPr>
            <w:tcW w:w="850" w:type="dxa"/>
            <w:shd w:val="clear" w:color="auto" w:fill="auto"/>
          </w:tcPr>
          <w:p w14:paraId="65F78CC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46</w:t>
            </w:r>
          </w:p>
        </w:tc>
        <w:tc>
          <w:tcPr>
            <w:tcW w:w="850" w:type="dxa"/>
            <w:shd w:val="clear" w:color="auto" w:fill="auto"/>
          </w:tcPr>
          <w:p w14:paraId="64E047B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B2B413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572CF9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09305E2"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3559F1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46</w:t>
            </w:r>
          </w:p>
        </w:tc>
      </w:tr>
      <w:tr w:rsidR="005958CD" w:rsidRPr="00704BD4" w14:paraId="7A19ED25" w14:textId="77777777" w:rsidTr="00C52D24">
        <w:trPr>
          <w:trHeight w:val="156"/>
          <w:jc w:val="center"/>
        </w:trPr>
        <w:tc>
          <w:tcPr>
            <w:tcW w:w="3798" w:type="dxa"/>
            <w:shd w:val="clear" w:color="auto" w:fill="auto"/>
            <w:vAlign w:val="center"/>
          </w:tcPr>
          <w:p w14:paraId="4C534E9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healthcare for a growing community - ACT Pathology Laboratory information system replacement</w:t>
            </w:r>
          </w:p>
        </w:tc>
        <w:tc>
          <w:tcPr>
            <w:tcW w:w="850" w:type="dxa"/>
            <w:shd w:val="clear" w:color="auto" w:fill="auto"/>
          </w:tcPr>
          <w:p w14:paraId="32FB563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5,207</w:t>
            </w:r>
          </w:p>
        </w:tc>
        <w:tc>
          <w:tcPr>
            <w:tcW w:w="850" w:type="dxa"/>
            <w:shd w:val="clear" w:color="auto" w:fill="auto"/>
          </w:tcPr>
          <w:p w14:paraId="6F2767E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5C8EBC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80AA87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BEE597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1EA06F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5,207</w:t>
            </w:r>
          </w:p>
        </w:tc>
      </w:tr>
      <w:tr w:rsidR="005958CD" w:rsidRPr="00704BD4" w14:paraId="429CC954" w14:textId="77777777" w:rsidTr="00C52D24">
        <w:trPr>
          <w:trHeight w:val="156"/>
          <w:jc w:val="center"/>
        </w:trPr>
        <w:tc>
          <w:tcPr>
            <w:tcW w:w="3798" w:type="dxa"/>
            <w:shd w:val="clear" w:color="auto" w:fill="auto"/>
            <w:vAlign w:val="center"/>
          </w:tcPr>
          <w:p w14:paraId="4FABA63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Calvary Critical Infrastructure</w:t>
            </w:r>
          </w:p>
        </w:tc>
        <w:tc>
          <w:tcPr>
            <w:tcW w:w="850" w:type="dxa"/>
            <w:shd w:val="clear" w:color="auto" w:fill="auto"/>
          </w:tcPr>
          <w:p w14:paraId="07147CE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7,469</w:t>
            </w:r>
          </w:p>
        </w:tc>
        <w:tc>
          <w:tcPr>
            <w:tcW w:w="850" w:type="dxa"/>
            <w:shd w:val="clear" w:color="auto" w:fill="auto"/>
          </w:tcPr>
          <w:p w14:paraId="3808532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269EF1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505C72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9B60AC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7C8EF9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7,469</w:t>
            </w:r>
          </w:p>
        </w:tc>
      </w:tr>
      <w:tr w:rsidR="005958CD" w:rsidRPr="00704BD4" w14:paraId="4B8BCFA8" w14:textId="77777777" w:rsidTr="00C52D24">
        <w:trPr>
          <w:trHeight w:val="156"/>
          <w:jc w:val="center"/>
        </w:trPr>
        <w:tc>
          <w:tcPr>
            <w:tcW w:w="3798" w:type="dxa"/>
            <w:shd w:val="clear" w:color="auto" w:fill="auto"/>
            <w:vAlign w:val="center"/>
          </w:tcPr>
          <w:p w14:paraId="13E461F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Community, Health and Hospitals Program - ACT Initiatives (Cth Contribution)</w:t>
            </w:r>
          </w:p>
        </w:tc>
        <w:tc>
          <w:tcPr>
            <w:tcW w:w="850" w:type="dxa"/>
            <w:shd w:val="clear" w:color="auto" w:fill="auto"/>
          </w:tcPr>
          <w:p w14:paraId="3B8E773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1,008</w:t>
            </w:r>
          </w:p>
        </w:tc>
        <w:tc>
          <w:tcPr>
            <w:tcW w:w="850" w:type="dxa"/>
            <w:shd w:val="clear" w:color="auto" w:fill="auto"/>
          </w:tcPr>
          <w:p w14:paraId="6380BEA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14,592</w:t>
            </w:r>
          </w:p>
        </w:tc>
        <w:tc>
          <w:tcPr>
            <w:tcW w:w="850" w:type="dxa"/>
            <w:shd w:val="clear" w:color="auto" w:fill="auto"/>
          </w:tcPr>
          <w:p w14:paraId="5D1E79D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1,500</w:t>
            </w:r>
          </w:p>
        </w:tc>
        <w:tc>
          <w:tcPr>
            <w:tcW w:w="850" w:type="dxa"/>
            <w:shd w:val="clear" w:color="auto" w:fill="auto"/>
          </w:tcPr>
          <w:p w14:paraId="7535D6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2D6FBD7C"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2C50634"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17,100</w:t>
            </w:r>
          </w:p>
        </w:tc>
      </w:tr>
      <w:tr w:rsidR="005958CD" w:rsidRPr="00704BD4" w14:paraId="7282E6CC" w14:textId="77777777" w:rsidTr="00C52D24">
        <w:trPr>
          <w:trHeight w:val="156"/>
          <w:jc w:val="center"/>
        </w:trPr>
        <w:tc>
          <w:tcPr>
            <w:tcW w:w="3798" w:type="dxa"/>
            <w:shd w:val="clear" w:color="auto" w:fill="auto"/>
            <w:vAlign w:val="center"/>
          </w:tcPr>
          <w:p w14:paraId="4DAA46E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COVID-19 Public Health Response - Vaccination Program</w:t>
            </w:r>
          </w:p>
        </w:tc>
        <w:tc>
          <w:tcPr>
            <w:tcW w:w="850" w:type="dxa"/>
            <w:shd w:val="clear" w:color="auto" w:fill="auto"/>
          </w:tcPr>
          <w:p w14:paraId="186F1B2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4,018</w:t>
            </w:r>
          </w:p>
        </w:tc>
        <w:tc>
          <w:tcPr>
            <w:tcW w:w="850" w:type="dxa"/>
            <w:shd w:val="clear" w:color="auto" w:fill="auto"/>
          </w:tcPr>
          <w:p w14:paraId="797298F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C62183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A48A91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08C85E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9FA4DA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4,018</w:t>
            </w:r>
          </w:p>
        </w:tc>
      </w:tr>
      <w:tr w:rsidR="005958CD" w:rsidRPr="00704BD4" w14:paraId="65A14472" w14:textId="77777777" w:rsidTr="00C52D24">
        <w:trPr>
          <w:trHeight w:val="156"/>
          <w:jc w:val="center"/>
        </w:trPr>
        <w:tc>
          <w:tcPr>
            <w:tcW w:w="3798" w:type="dxa"/>
            <w:shd w:val="clear" w:color="auto" w:fill="auto"/>
            <w:vAlign w:val="center"/>
          </w:tcPr>
          <w:p w14:paraId="22DD111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Expansion of Clare Holland House (Cth Contribution)</w:t>
            </w:r>
          </w:p>
        </w:tc>
        <w:tc>
          <w:tcPr>
            <w:tcW w:w="850" w:type="dxa"/>
            <w:shd w:val="clear" w:color="auto" w:fill="auto"/>
          </w:tcPr>
          <w:p w14:paraId="15E5E8F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1,002</w:t>
            </w:r>
          </w:p>
        </w:tc>
        <w:tc>
          <w:tcPr>
            <w:tcW w:w="850" w:type="dxa"/>
            <w:shd w:val="clear" w:color="auto" w:fill="auto"/>
          </w:tcPr>
          <w:p w14:paraId="302803E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A29C40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F51181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516910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DC7D0C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1,002</w:t>
            </w:r>
          </w:p>
        </w:tc>
      </w:tr>
      <w:tr w:rsidR="005958CD" w:rsidRPr="00704BD4" w14:paraId="6DCC179D" w14:textId="77777777" w:rsidTr="00C52D24">
        <w:trPr>
          <w:trHeight w:val="156"/>
          <w:jc w:val="center"/>
        </w:trPr>
        <w:tc>
          <w:tcPr>
            <w:tcW w:w="3798" w:type="dxa"/>
            <w:shd w:val="clear" w:color="auto" w:fill="auto"/>
            <w:vAlign w:val="center"/>
          </w:tcPr>
          <w:p w14:paraId="76CBC7A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Expansion of Palliative Care Services at Clare Holland House Hospice</w:t>
            </w:r>
          </w:p>
        </w:tc>
        <w:tc>
          <w:tcPr>
            <w:tcW w:w="850" w:type="dxa"/>
            <w:shd w:val="clear" w:color="auto" w:fill="auto"/>
          </w:tcPr>
          <w:p w14:paraId="02B7C77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46</w:t>
            </w:r>
          </w:p>
        </w:tc>
        <w:tc>
          <w:tcPr>
            <w:tcW w:w="850" w:type="dxa"/>
            <w:shd w:val="clear" w:color="auto" w:fill="auto"/>
          </w:tcPr>
          <w:p w14:paraId="5F6ABEC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D2576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13CB21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0895102"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EF5911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46</w:t>
            </w:r>
          </w:p>
        </w:tc>
      </w:tr>
      <w:tr w:rsidR="005958CD" w:rsidRPr="00704BD4" w14:paraId="768CCD86" w14:textId="77777777" w:rsidTr="00C52D24">
        <w:trPr>
          <w:trHeight w:val="156"/>
          <w:jc w:val="center"/>
        </w:trPr>
        <w:tc>
          <w:tcPr>
            <w:tcW w:w="3798" w:type="dxa"/>
            <w:shd w:val="clear" w:color="auto" w:fill="auto"/>
            <w:vAlign w:val="center"/>
          </w:tcPr>
          <w:p w14:paraId="49B2D05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Implementing real time prescription monitoring</w:t>
            </w:r>
          </w:p>
        </w:tc>
        <w:tc>
          <w:tcPr>
            <w:tcW w:w="850" w:type="dxa"/>
            <w:shd w:val="clear" w:color="auto" w:fill="auto"/>
          </w:tcPr>
          <w:p w14:paraId="6BEF0EB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1,315</w:t>
            </w:r>
          </w:p>
        </w:tc>
        <w:tc>
          <w:tcPr>
            <w:tcW w:w="850" w:type="dxa"/>
            <w:shd w:val="clear" w:color="auto" w:fill="auto"/>
          </w:tcPr>
          <w:p w14:paraId="4D155BE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247</w:t>
            </w:r>
          </w:p>
        </w:tc>
        <w:tc>
          <w:tcPr>
            <w:tcW w:w="850" w:type="dxa"/>
            <w:shd w:val="clear" w:color="auto" w:fill="auto"/>
          </w:tcPr>
          <w:p w14:paraId="47736E7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2623C0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DA6909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A06EBB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1,562</w:t>
            </w:r>
          </w:p>
        </w:tc>
      </w:tr>
      <w:tr w:rsidR="005958CD" w:rsidRPr="00704BD4" w14:paraId="192A2054" w14:textId="77777777" w:rsidTr="00C52D24">
        <w:trPr>
          <w:trHeight w:val="156"/>
          <w:jc w:val="center"/>
        </w:trPr>
        <w:tc>
          <w:tcPr>
            <w:tcW w:w="3798" w:type="dxa"/>
            <w:shd w:val="clear" w:color="auto" w:fill="auto"/>
            <w:vAlign w:val="center"/>
          </w:tcPr>
          <w:p w14:paraId="12B580F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New COVID-19 and Disease Response Management System</w:t>
            </w:r>
          </w:p>
        </w:tc>
        <w:tc>
          <w:tcPr>
            <w:tcW w:w="850" w:type="dxa"/>
            <w:shd w:val="clear" w:color="auto" w:fill="auto"/>
          </w:tcPr>
          <w:p w14:paraId="58227F1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7,263</w:t>
            </w:r>
          </w:p>
        </w:tc>
        <w:tc>
          <w:tcPr>
            <w:tcW w:w="850" w:type="dxa"/>
            <w:shd w:val="clear" w:color="auto" w:fill="auto"/>
          </w:tcPr>
          <w:p w14:paraId="3E7287F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AD8180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F1EAEF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72A2AB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7B4ABA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7,263</w:t>
            </w:r>
          </w:p>
        </w:tc>
      </w:tr>
      <w:tr w:rsidR="005958CD" w:rsidRPr="00704BD4" w14:paraId="6E1B27AE" w14:textId="77777777" w:rsidTr="00C52D24">
        <w:trPr>
          <w:trHeight w:val="156"/>
          <w:jc w:val="center"/>
        </w:trPr>
        <w:tc>
          <w:tcPr>
            <w:tcW w:w="3798" w:type="dxa"/>
            <w:shd w:val="clear" w:color="auto" w:fill="auto"/>
            <w:vAlign w:val="center"/>
          </w:tcPr>
          <w:p w14:paraId="0026F742"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Ngunnawal Bush Healing Farm</w:t>
            </w:r>
          </w:p>
        </w:tc>
        <w:tc>
          <w:tcPr>
            <w:tcW w:w="850" w:type="dxa"/>
            <w:shd w:val="clear" w:color="auto" w:fill="auto"/>
          </w:tcPr>
          <w:p w14:paraId="71E8500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933</w:t>
            </w:r>
          </w:p>
        </w:tc>
        <w:tc>
          <w:tcPr>
            <w:tcW w:w="850" w:type="dxa"/>
            <w:shd w:val="clear" w:color="auto" w:fill="auto"/>
          </w:tcPr>
          <w:p w14:paraId="785401F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9DBBFD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E5B58A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163AA7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78FAE36"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933</w:t>
            </w:r>
          </w:p>
        </w:tc>
      </w:tr>
      <w:tr w:rsidR="005958CD" w:rsidRPr="00704BD4" w14:paraId="3D41BE8E" w14:textId="77777777" w:rsidTr="00C52D24">
        <w:trPr>
          <w:trHeight w:val="156"/>
          <w:jc w:val="center"/>
        </w:trPr>
        <w:tc>
          <w:tcPr>
            <w:tcW w:w="3798" w:type="dxa"/>
            <w:shd w:val="clear" w:color="auto" w:fill="auto"/>
            <w:vAlign w:val="center"/>
          </w:tcPr>
          <w:p w14:paraId="22CE24C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5966267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60,052</w:t>
            </w:r>
          </w:p>
        </w:tc>
        <w:tc>
          <w:tcPr>
            <w:tcW w:w="850" w:type="dxa"/>
            <w:shd w:val="clear" w:color="auto" w:fill="auto"/>
          </w:tcPr>
          <w:p w14:paraId="3EDF395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46,840</w:t>
            </w:r>
          </w:p>
        </w:tc>
        <w:tc>
          <w:tcPr>
            <w:tcW w:w="850" w:type="dxa"/>
            <w:shd w:val="clear" w:color="auto" w:fill="auto"/>
          </w:tcPr>
          <w:p w14:paraId="14A8883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6,509</w:t>
            </w:r>
          </w:p>
        </w:tc>
        <w:tc>
          <w:tcPr>
            <w:tcW w:w="850" w:type="dxa"/>
            <w:shd w:val="clear" w:color="auto" w:fill="auto"/>
          </w:tcPr>
          <w:p w14:paraId="207E813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5,009</w:t>
            </w:r>
          </w:p>
        </w:tc>
        <w:tc>
          <w:tcPr>
            <w:tcW w:w="850" w:type="dxa"/>
          </w:tcPr>
          <w:p w14:paraId="30310A8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0</w:t>
            </w:r>
          </w:p>
        </w:tc>
        <w:tc>
          <w:tcPr>
            <w:tcW w:w="1020" w:type="dxa"/>
            <w:shd w:val="clear" w:color="auto" w:fill="auto"/>
          </w:tcPr>
          <w:p w14:paraId="646CCEA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118,410</w:t>
            </w:r>
          </w:p>
        </w:tc>
      </w:tr>
      <w:tr w:rsidR="005958CD" w:rsidRPr="00704BD4" w14:paraId="5C29883D" w14:textId="77777777" w:rsidTr="00C52D24">
        <w:trPr>
          <w:trHeight w:val="156"/>
          <w:jc w:val="center"/>
        </w:trPr>
        <w:tc>
          <w:tcPr>
            <w:tcW w:w="3798" w:type="dxa"/>
            <w:shd w:val="clear" w:color="auto" w:fill="auto"/>
            <w:vAlign w:val="center"/>
          </w:tcPr>
          <w:p w14:paraId="1E38232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Canberra Health Services</w:t>
            </w:r>
          </w:p>
        </w:tc>
        <w:tc>
          <w:tcPr>
            <w:tcW w:w="850" w:type="dxa"/>
            <w:shd w:val="clear" w:color="auto" w:fill="auto"/>
          </w:tcPr>
          <w:p w14:paraId="6AA979A4"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02AC66B1"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2AEC4D2C"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465965A8"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6E9DB240"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32CC2162"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25E284D8" w14:textId="77777777" w:rsidTr="00C52D24">
        <w:trPr>
          <w:trHeight w:val="156"/>
          <w:jc w:val="center"/>
        </w:trPr>
        <w:tc>
          <w:tcPr>
            <w:tcW w:w="3798" w:type="dxa"/>
            <w:shd w:val="clear" w:color="auto" w:fill="auto"/>
            <w:vAlign w:val="center"/>
          </w:tcPr>
          <w:p w14:paraId="405C6B9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 xml:space="preserve">Better care when you need it </w:t>
            </w:r>
            <w:r w:rsidRPr="00704BD4">
              <w:rPr>
                <w:rFonts w:eastAsia="Times New Roman" w:cs="Calibri"/>
                <w:color w:val="000000" w:themeColor="text1"/>
                <w:sz w:val="18"/>
                <w:szCs w:val="18"/>
                <w:lang w:eastAsia="en-AU"/>
              </w:rPr>
              <w:t>-</w:t>
            </w:r>
            <w:r w:rsidRPr="00704BD4">
              <w:rPr>
                <w:rFonts w:eastAsia="Times New Roman" w:cs="Calibri"/>
                <w:sz w:val="18"/>
                <w:szCs w:val="18"/>
                <w:lang w:eastAsia="en-AU"/>
              </w:rPr>
              <w:t xml:space="preserve"> New medical imaging equipment</w:t>
            </w:r>
          </w:p>
        </w:tc>
        <w:tc>
          <w:tcPr>
            <w:tcW w:w="850" w:type="dxa"/>
            <w:shd w:val="clear" w:color="auto" w:fill="auto"/>
          </w:tcPr>
          <w:p w14:paraId="349975F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w:t>
            </w:r>
          </w:p>
        </w:tc>
        <w:tc>
          <w:tcPr>
            <w:tcW w:w="850" w:type="dxa"/>
            <w:shd w:val="clear" w:color="auto" w:fill="auto"/>
          </w:tcPr>
          <w:p w14:paraId="7E4FA8A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106B8C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9ECAD7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7C6DCD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313B3B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500</w:t>
            </w:r>
          </w:p>
        </w:tc>
      </w:tr>
      <w:tr w:rsidR="005958CD" w:rsidRPr="00704BD4" w14:paraId="19F46AB4" w14:textId="77777777" w:rsidTr="00C52D24">
        <w:trPr>
          <w:trHeight w:val="156"/>
          <w:jc w:val="center"/>
        </w:trPr>
        <w:tc>
          <w:tcPr>
            <w:tcW w:w="3798" w:type="dxa"/>
            <w:shd w:val="clear" w:color="auto" w:fill="auto"/>
            <w:vAlign w:val="center"/>
          </w:tcPr>
          <w:p w14:paraId="7E0F14A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care when you need it - Training our future health workforce</w:t>
            </w:r>
          </w:p>
        </w:tc>
        <w:tc>
          <w:tcPr>
            <w:tcW w:w="850" w:type="dxa"/>
            <w:shd w:val="clear" w:color="auto" w:fill="auto"/>
          </w:tcPr>
          <w:p w14:paraId="2397643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1,052</w:t>
            </w:r>
          </w:p>
        </w:tc>
        <w:tc>
          <w:tcPr>
            <w:tcW w:w="850" w:type="dxa"/>
            <w:shd w:val="clear" w:color="auto" w:fill="auto"/>
          </w:tcPr>
          <w:p w14:paraId="01ED6CD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C74AD6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32C03B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A98152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7718B2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1,052</w:t>
            </w:r>
          </w:p>
        </w:tc>
      </w:tr>
      <w:tr w:rsidR="005958CD" w:rsidRPr="00704BD4" w14:paraId="59147702" w14:textId="77777777" w:rsidTr="00C52D24">
        <w:trPr>
          <w:trHeight w:val="156"/>
          <w:jc w:val="center"/>
        </w:trPr>
        <w:tc>
          <w:tcPr>
            <w:tcW w:w="3798" w:type="dxa"/>
            <w:shd w:val="clear" w:color="auto" w:fill="auto"/>
            <w:vAlign w:val="center"/>
          </w:tcPr>
          <w:p w14:paraId="50AE47D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Health Services - Upgrading and maintaining ACT Health assets</w:t>
            </w:r>
          </w:p>
        </w:tc>
        <w:tc>
          <w:tcPr>
            <w:tcW w:w="850" w:type="dxa"/>
            <w:shd w:val="clear" w:color="auto" w:fill="auto"/>
          </w:tcPr>
          <w:p w14:paraId="4906014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4,860</w:t>
            </w:r>
          </w:p>
        </w:tc>
        <w:tc>
          <w:tcPr>
            <w:tcW w:w="850" w:type="dxa"/>
            <w:shd w:val="clear" w:color="auto" w:fill="auto"/>
          </w:tcPr>
          <w:p w14:paraId="066AFCC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1,500</w:t>
            </w:r>
          </w:p>
        </w:tc>
        <w:tc>
          <w:tcPr>
            <w:tcW w:w="850" w:type="dxa"/>
            <w:shd w:val="clear" w:color="auto" w:fill="auto"/>
          </w:tcPr>
          <w:p w14:paraId="516FE97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D5C09D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EF1685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E3DEF5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6,360</w:t>
            </w:r>
          </w:p>
        </w:tc>
      </w:tr>
      <w:tr w:rsidR="005958CD" w:rsidRPr="00704BD4" w14:paraId="26CE0AEC" w14:textId="77777777" w:rsidTr="00C52D24">
        <w:trPr>
          <w:trHeight w:val="156"/>
          <w:jc w:val="center"/>
        </w:trPr>
        <w:tc>
          <w:tcPr>
            <w:tcW w:w="3798" w:type="dxa"/>
            <w:shd w:val="clear" w:color="auto" w:fill="auto"/>
            <w:vAlign w:val="center"/>
          </w:tcPr>
          <w:p w14:paraId="012678C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healthcare for a growing community - ACT Health critical assets upgrades</w:t>
            </w:r>
          </w:p>
        </w:tc>
        <w:tc>
          <w:tcPr>
            <w:tcW w:w="850" w:type="dxa"/>
            <w:shd w:val="clear" w:color="auto" w:fill="auto"/>
          </w:tcPr>
          <w:p w14:paraId="3BF4E14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5,747</w:t>
            </w:r>
          </w:p>
        </w:tc>
        <w:tc>
          <w:tcPr>
            <w:tcW w:w="850" w:type="dxa"/>
            <w:shd w:val="clear" w:color="auto" w:fill="auto"/>
          </w:tcPr>
          <w:p w14:paraId="3C726ED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7,500</w:t>
            </w:r>
          </w:p>
        </w:tc>
        <w:tc>
          <w:tcPr>
            <w:tcW w:w="850" w:type="dxa"/>
            <w:shd w:val="clear" w:color="auto" w:fill="auto"/>
          </w:tcPr>
          <w:p w14:paraId="0D1295C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D07E5A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3031283"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7E9FE5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13,247</w:t>
            </w:r>
          </w:p>
        </w:tc>
      </w:tr>
      <w:tr w:rsidR="005958CD" w:rsidRPr="00704BD4" w14:paraId="6C456A38" w14:textId="77777777" w:rsidTr="00C52D24">
        <w:trPr>
          <w:trHeight w:val="156"/>
          <w:jc w:val="center"/>
        </w:trPr>
        <w:tc>
          <w:tcPr>
            <w:tcW w:w="3798" w:type="dxa"/>
            <w:shd w:val="clear" w:color="auto" w:fill="auto"/>
            <w:vAlign w:val="center"/>
          </w:tcPr>
          <w:p w14:paraId="4985BAA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healthcare for a growing community - Delivering the Weston Creek Walk-in Centre</w:t>
            </w:r>
          </w:p>
        </w:tc>
        <w:tc>
          <w:tcPr>
            <w:tcW w:w="850" w:type="dxa"/>
            <w:shd w:val="clear" w:color="auto" w:fill="auto"/>
          </w:tcPr>
          <w:p w14:paraId="2A55837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247</w:t>
            </w:r>
          </w:p>
        </w:tc>
        <w:tc>
          <w:tcPr>
            <w:tcW w:w="850" w:type="dxa"/>
            <w:shd w:val="clear" w:color="auto" w:fill="auto"/>
          </w:tcPr>
          <w:p w14:paraId="2DA2137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DD0EFB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389A15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21FE65BD"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791B7D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247</w:t>
            </w:r>
          </w:p>
        </w:tc>
      </w:tr>
      <w:tr w:rsidR="005958CD" w:rsidRPr="00704BD4" w14:paraId="1EE7E818" w14:textId="77777777" w:rsidTr="00C52D24">
        <w:trPr>
          <w:trHeight w:val="156"/>
          <w:jc w:val="center"/>
        </w:trPr>
        <w:tc>
          <w:tcPr>
            <w:tcW w:w="3798" w:type="dxa"/>
            <w:shd w:val="clear" w:color="auto" w:fill="auto"/>
            <w:vAlign w:val="center"/>
          </w:tcPr>
          <w:p w14:paraId="3E08E75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healthcare for a growing community - More mental health accommodation</w:t>
            </w:r>
          </w:p>
        </w:tc>
        <w:tc>
          <w:tcPr>
            <w:tcW w:w="850" w:type="dxa"/>
            <w:shd w:val="clear" w:color="auto" w:fill="auto"/>
          </w:tcPr>
          <w:p w14:paraId="76A0F94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588</w:t>
            </w:r>
          </w:p>
        </w:tc>
        <w:tc>
          <w:tcPr>
            <w:tcW w:w="850" w:type="dxa"/>
            <w:shd w:val="clear" w:color="auto" w:fill="auto"/>
          </w:tcPr>
          <w:p w14:paraId="1887395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6AF628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1627C3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A43971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E08B3D6"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588</w:t>
            </w:r>
          </w:p>
        </w:tc>
      </w:tr>
      <w:tr w:rsidR="005958CD" w:rsidRPr="00704BD4" w14:paraId="209A404F" w14:textId="77777777" w:rsidTr="00C52D24">
        <w:trPr>
          <w:trHeight w:val="156"/>
          <w:jc w:val="center"/>
        </w:trPr>
        <w:tc>
          <w:tcPr>
            <w:tcW w:w="3798" w:type="dxa"/>
            <w:shd w:val="clear" w:color="auto" w:fill="auto"/>
            <w:vAlign w:val="center"/>
          </w:tcPr>
          <w:p w14:paraId="41BFA1E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Clinical Services and Inpatient Unit design and infrastructure expansion</w:t>
            </w:r>
          </w:p>
        </w:tc>
        <w:tc>
          <w:tcPr>
            <w:tcW w:w="850" w:type="dxa"/>
            <w:shd w:val="clear" w:color="auto" w:fill="auto"/>
          </w:tcPr>
          <w:p w14:paraId="6FB31C2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74</w:t>
            </w:r>
          </w:p>
        </w:tc>
        <w:tc>
          <w:tcPr>
            <w:tcW w:w="850" w:type="dxa"/>
            <w:shd w:val="clear" w:color="auto" w:fill="auto"/>
          </w:tcPr>
          <w:p w14:paraId="454C841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37585A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E965E0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9A2B32D"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C07D7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74</w:t>
            </w:r>
          </w:p>
        </w:tc>
      </w:tr>
      <w:tr w:rsidR="005958CD" w:rsidRPr="00704BD4" w14:paraId="1A63382F" w14:textId="77777777" w:rsidTr="00C52D24">
        <w:trPr>
          <w:trHeight w:val="156"/>
          <w:jc w:val="center"/>
        </w:trPr>
        <w:tc>
          <w:tcPr>
            <w:tcW w:w="3798" w:type="dxa"/>
            <w:shd w:val="clear" w:color="auto" w:fill="auto"/>
            <w:vAlign w:val="center"/>
          </w:tcPr>
          <w:p w14:paraId="58A1D6C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Clinical Services Redevelopment - Phase 2</w:t>
            </w:r>
          </w:p>
        </w:tc>
        <w:tc>
          <w:tcPr>
            <w:tcW w:w="850" w:type="dxa"/>
            <w:shd w:val="clear" w:color="auto" w:fill="auto"/>
          </w:tcPr>
          <w:p w14:paraId="53B8DC4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208</w:t>
            </w:r>
          </w:p>
        </w:tc>
        <w:tc>
          <w:tcPr>
            <w:tcW w:w="850" w:type="dxa"/>
            <w:shd w:val="clear" w:color="auto" w:fill="auto"/>
          </w:tcPr>
          <w:p w14:paraId="75E800D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074F8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26FCE6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64F14F3"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2E3709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208</w:t>
            </w:r>
          </w:p>
        </w:tc>
      </w:tr>
      <w:tr w:rsidR="005958CD" w:rsidRPr="00704BD4" w14:paraId="157E94B8" w14:textId="77777777" w:rsidTr="00C52D24">
        <w:trPr>
          <w:trHeight w:val="156"/>
          <w:jc w:val="center"/>
        </w:trPr>
        <w:tc>
          <w:tcPr>
            <w:tcW w:w="3798" w:type="dxa"/>
            <w:shd w:val="clear" w:color="auto" w:fill="auto"/>
            <w:vAlign w:val="center"/>
          </w:tcPr>
          <w:p w14:paraId="6B6F292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Clinical Services Redevelopment - Phase 3</w:t>
            </w:r>
          </w:p>
        </w:tc>
        <w:tc>
          <w:tcPr>
            <w:tcW w:w="850" w:type="dxa"/>
            <w:shd w:val="clear" w:color="auto" w:fill="auto"/>
          </w:tcPr>
          <w:p w14:paraId="2289D0D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237</w:t>
            </w:r>
          </w:p>
        </w:tc>
        <w:tc>
          <w:tcPr>
            <w:tcW w:w="850" w:type="dxa"/>
            <w:shd w:val="clear" w:color="auto" w:fill="auto"/>
          </w:tcPr>
          <w:p w14:paraId="1C1CEF9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D21466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095EA1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242D2B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89BA10F"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237</w:t>
            </w:r>
          </w:p>
        </w:tc>
      </w:tr>
      <w:tr w:rsidR="005958CD" w:rsidRPr="00704BD4" w14:paraId="65D74919" w14:textId="77777777" w:rsidTr="00C52D24">
        <w:trPr>
          <w:trHeight w:val="156"/>
          <w:jc w:val="center"/>
        </w:trPr>
        <w:tc>
          <w:tcPr>
            <w:tcW w:w="3798" w:type="dxa"/>
            <w:shd w:val="clear" w:color="auto" w:fill="auto"/>
            <w:vAlign w:val="center"/>
          </w:tcPr>
          <w:p w14:paraId="341C0946"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Community, health and hospitals program - ACT initiative</w:t>
            </w:r>
          </w:p>
        </w:tc>
        <w:tc>
          <w:tcPr>
            <w:tcW w:w="850" w:type="dxa"/>
            <w:shd w:val="clear" w:color="auto" w:fill="auto"/>
          </w:tcPr>
          <w:p w14:paraId="329C7F4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9,768</w:t>
            </w:r>
          </w:p>
        </w:tc>
        <w:tc>
          <w:tcPr>
            <w:tcW w:w="850" w:type="dxa"/>
            <w:shd w:val="clear" w:color="auto" w:fill="auto"/>
          </w:tcPr>
          <w:p w14:paraId="38CB66C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E331C5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9D3F27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30A124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46D07F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9,768</w:t>
            </w:r>
          </w:p>
        </w:tc>
      </w:tr>
      <w:tr w:rsidR="005958CD" w:rsidRPr="00704BD4" w14:paraId="4B17B528" w14:textId="77777777" w:rsidTr="00C52D24">
        <w:trPr>
          <w:trHeight w:val="156"/>
          <w:jc w:val="center"/>
        </w:trPr>
        <w:tc>
          <w:tcPr>
            <w:tcW w:w="3798" w:type="dxa"/>
            <w:shd w:val="clear" w:color="auto" w:fill="auto"/>
            <w:vAlign w:val="center"/>
          </w:tcPr>
          <w:p w14:paraId="0F1C310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Delivering the Inner North Walk-in Centre</w:t>
            </w:r>
          </w:p>
        </w:tc>
        <w:tc>
          <w:tcPr>
            <w:tcW w:w="850" w:type="dxa"/>
            <w:shd w:val="clear" w:color="auto" w:fill="auto"/>
          </w:tcPr>
          <w:p w14:paraId="4791B76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409</w:t>
            </w:r>
          </w:p>
        </w:tc>
        <w:tc>
          <w:tcPr>
            <w:tcW w:w="850" w:type="dxa"/>
            <w:shd w:val="clear" w:color="auto" w:fill="auto"/>
          </w:tcPr>
          <w:p w14:paraId="3C36C14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BA214E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409377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0A19DA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3291BA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409</w:t>
            </w:r>
          </w:p>
        </w:tc>
      </w:tr>
      <w:tr w:rsidR="005958CD" w:rsidRPr="00704BD4" w14:paraId="60C56B33" w14:textId="77777777" w:rsidTr="00C52D24">
        <w:trPr>
          <w:trHeight w:val="156"/>
          <w:jc w:val="center"/>
        </w:trPr>
        <w:tc>
          <w:tcPr>
            <w:tcW w:w="3798" w:type="dxa"/>
            <w:shd w:val="clear" w:color="auto" w:fill="auto"/>
            <w:vAlign w:val="center"/>
          </w:tcPr>
          <w:p w14:paraId="678D9C4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Expanding pharmacy services at The Canberra Hospital</w:t>
            </w:r>
          </w:p>
        </w:tc>
        <w:tc>
          <w:tcPr>
            <w:tcW w:w="850" w:type="dxa"/>
            <w:shd w:val="clear" w:color="auto" w:fill="auto"/>
          </w:tcPr>
          <w:p w14:paraId="3EB1BE2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540</w:t>
            </w:r>
          </w:p>
        </w:tc>
        <w:tc>
          <w:tcPr>
            <w:tcW w:w="850" w:type="dxa"/>
            <w:shd w:val="clear" w:color="auto" w:fill="auto"/>
          </w:tcPr>
          <w:p w14:paraId="43D83D3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4,475</w:t>
            </w:r>
          </w:p>
        </w:tc>
        <w:tc>
          <w:tcPr>
            <w:tcW w:w="850" w:type="dxa"/>
            <w:shd w:val="clear" w:color="auto" w:fill="auto"/>
          </w:tcPr>
          <w:p w14:paraId="59B0AA5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9848DA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D3AE74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7C8788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5,015</w:t>
            </w:r>
          </w:p>
        </w:tc>
      </w:tr>
      <w:tr w:rsidR="005958CD" w:rsidRPr="00704BD4" w14:paraId="38F3E1F7" w14:textId="77777777" w:rsidTr="00C52D24">
        <w:trPr>
          <w:trHeight w:val="156"/>
          <w:jc w:val="center"/>
        </w:trPr>
        <w:tc>
          <w:tcPr>
            <w:tcW w:w="3798" w:type="dxa"/>
            <w:shd w:val="clear" w:color="auto" w:fill="auto"/>
            <w:vAlign w:val="center"/>
          </w:tcPr>
          <w:p w14:paraId="10AE635D"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Expanding the Centenary Hospital for Women and Children</w:t>
            </w:r>
          </w:p>
        </w:tc>
        <w:tc>
          <w:tcPr>
            <w:tcW w:w="850" w:type="dxa"/>
            <w:shd w:val="clear" w:color="auto" w:fill="auto"/>
          </w:tcPr>
          <w:p w14:paraId="0D26A67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13,620</w:t>
            </w:r>
          </w:p>
        </w:tc>
        <w:tc>
          <w:tcPr>
            <w:tcW w:w="850" w:type="dxa"/>
            <w:shd w:val="clear" w:color="auto" w:fill="auto"/>
          </w:tcPr>
          <w:p w14:paraId="1ECD58E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22,513</w:t>
            </w:r>
          </w:p>
        </w:tc>
        <w:tc>
          <w:tcPr>
            <w:tcW w:w="850" w:type="dxa"/>
            <w:shd w:val="clear" w:color="auto" w:fill="auto"/>
          </w:tcPr>
          <w:p w14:paraId="46D98EA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342A7F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F32558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90892C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36,133</w:t>
            </w:r>
          </w:p>
        </w:tc>
      </w:tr>
      <w:tr w:rsidR="005958CD" w:rsidRPr="00704BD4" w14:paraId="0DE4A55A" w14:textId="77777777" w:rsidTr="002C0E51">
        <w:trPr>
          <w:trHeight w:val="156"/>
          <w:jc w:val="center"/>
        </w:trPr>
        <w:tc>
          <w:tcPr>
            <w:tcW w:w="3798" w:type="dxa"/>
            <w:shd w:val="clear" w:color="auto" w:fill="auto"/>
            <w:vAlign w:val="center"/>
          </w:tcPr>
          <w:p w14:paraId="7F309C5D"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Health Innovation Fund (Cth Contribution)</w:t>
            </w:r>
          </w:p>
        </w:tc>
        <w:tc>
          <w:tcPr>
            <w:tcW w:w="850" w:type="dxa"/>
            <w:shd w:val="clear" w:color="auto" w:fill="auto"/>
          </w:tcPr>
          <w:p w14:paraId="06EBA19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4,922</w:t>
            </w:r>
          </w:p>
        </w:tc>
        <w:tc>
          <w:tcPr>
            <w:tcW w:w="850" w:type="dxa"/>
            <w:shd w:val="clear" w:color="auto" w:fill="auto"/>
          </w:tcPr>
          <w:p w14:paraId="18A3A10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865950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C14428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0492C5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23672F3"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4,922</w:t>
            </w:r>
          </w:p>
        </w:tc>
      </w:tr>
      <w:tr w:rsidR="005958CD" w:rsidRPr="00704BD4" w14:paraId="25BE8F06" w14:textId="77777777" w:rsidTr="002C0E51">
        <w:trPr>
          <w:trHeight w:val="156"/>
          <w:jc w:val="center"/>
        </w:trPr>
        <w:tc>
          <w:tcPr>
            <w:tcW w:w="3798" w:type="dxa"/>
            <w:shd w:val="clear" w:color="auto" w:fill="auto"/>
            <w:vAlign w:val="center"/>
          </w:tcPr>
          <w:p w14:paraId="17A835B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lastRenderedPageBreak/>
              <w:t xml:space="preserve">Imaging services at the Weston Creek </w:t>
            </w:r>
            <w:r w:rsidRPr="00704BD4">
              <w:rPr>
                <w:rFonts w:eastAsia="Times New Roman" w:cs="Calibri"/>
                <w:sz w:val="18"/>
                <w:szCs w:val="18"/>
                <w:lang w:eastAsia="en-AU"/>
              </w:rPr>
              <w:br/>
              <w:t>Walk-in Centre</w:t>
            </w:r>
          </w:p>
        </w:tc>
        <w:tc>
          <w:tcPr>
            <w:tcW w:w="850" w:type="dxa"/>
            <w:shd w:val="clear" w:color="auto" w:fill="auto"/>
          </w:tcPr>
          <w:p w14:paraId="2B21033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2,462</w:t>
            </w:r>
          </w:p>
        </w:tc>
        <w:tc>
          <w:tcPr>
            <w:tcW w:w="850" w:type="dxa"/>
            <w:shd w:val="clear" w:color="auto" w:fill="auto"/>
          </w:tcPr>
          <w:p w14:paraId="2C856A7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3,208</w:t>
            </w:r>
          </w:p>
        </w:tc>
        <w:tc>
          <w:tcPr>
            <w:tcW w:w="850" w:type="dxa"/>
            <w:shd w:val="clear" w:color="auto" w:fill="auto"/>
          </w:tcPr>
          <w:p w14:paraId="1552190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9969AB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1BA971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E43AFD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5,670</w:t>
            </w:r>
          </w:p>
        </w:tc>
      </w:tr>
      <w:tr w:rsidR="005958CD" w:rsidRPr="00704BD4" w14:paraId="2141F10A" w14:textId="77777777" w:rsidTr="002C0E51">
        <w:trPr>
          <w:trHeight w:val="156"/>
          <w:jc w:val="center"/>
        </w:trPr>
        <w:tc>
          <w:tcPr>
            <w:tcW w:w="3798" w:type="dxa"/>
            <w:shd w:val="clear" w:color="auto" w:fill="auto"/>
            <w:vAlign w:val="center"/>
          </w:tcPr>
          <w:p w14:paraId="1A81959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Improved infrastructure for acute aged care and cancer inpatients</w:t>
            </w:r>
          </w:p>
        </w:tc>
        <w:tc>
          <w:tcPr>
            <w:tcW w:w="850" w:type="dxa"/>
            <w:shd w:val="clear" w:color="auto" w:fill="auto"/>
          </w:tcPr>
          <w:p w14:paraId="7853EB4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1,135</w:t>
            </w:r>
          </w:p>
        </w:tc>
        <w:tc>
          <w:tcPr>
            <w:tcW w:w="850" w:type="dxa"/>
            <w:shd w:val="clear" w:color="auto" w:fill="auto"/>
          </w:tcPr>
          <w:p w14:paraId="46773DC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789830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173D8C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44FA666"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EAF970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1,135</w:t>
            </w:r>
          </w:p>
        </w:tc>
      </w:tr>
      <w:tr w:rsidR="005958CD" w:rsidRPr="00704BD4" w14:paraId="3BD33D62" w14:textId="77777777" w:rsidTr="00C52D24">
        <w:trPr>
          <w:trHeight w:val="156"/>
          <w:jc w:val="center"/>
        </w:trPr>
        <w:tc>
          <w:tcPr>
            <w:tcW w:w="3798" w:type="dxa"/>
            <w:shd w:val="clear" w:color="auto" w:fill="auto"/>
            <w:vAlign w:val="center"/>
          </w:tcPr>
          <w:p w14:paraId="79C8CC05"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mental health services at The Canberra Hospital</w:t>
            </w:r>
          </w:p>
        </w:tc>
        <w:tc>
          <w:tcPr>
            <w:tcW w:w="850" w:type="dxa"/>
            <w:shd w:val="clear" w:color="auto" w:fill="auto"/>
          </w:tcPr>
          <w:p w14:paraId="2747CF4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2,015</w:t>
            </w:r>
          </w:p>
        </w:tc>
        <w:tc>
          <w:tcPr>
            <w:tcW w:w="850" w:type="dxa"/>
            <w:shd w:val="clear" w:color="auto" w:fill="auto"/>
          </w:tcPr>
          <w:p w14:paraId="08E7D38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0AB8C4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030971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3223D4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394BAE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2,015</w:t>
            </w:r>
          </w:p>
        </w:tc>
      </w:tr>
      <w:tr w:rsidR="005958CD" w:rsidRPr="00704BD4" w14:paraId="1AD67576" w14:textId="77777777" w:rsidTr="00C52D24">
        <w:trPr>
          <w:trHeight w:val="156"/>
          <w:jc w:val="center"/>
        </w:trPr>
        <w:tc>
          <w:tcPr>
            <w:tcW w:w="3798" w:type="dxa"/>
            <w:shd w:val="clear" w:color="auto" w:fill="auto"/>
            <w:vAlign w:val="center"/>
          </w:tcPr>
          <w:p w14:paraId="31E6B00B"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public medical imaging services for Canberra Hospital</w:t>
            </w:r>
          </w:p>
        </w:tc>
        <w:tc>
          <w:tcPr>
            <w:tcW w:w="850" w:type="dxa"/>
            <w:shd w:val="clear" w:color="auto" w:fill="auto"/>
          </w:tcPr>
          <w:p w14:paraId="79FC6ED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2,000</w:t>
            </w:r>
          </w:p>
        </w:tc>
        <w:tc>
          <w:tcPr>
            <w:tcW w:w="850" w:type="dxa"/>
            <w:shd w:val="clear" w:color="auto" w:fill="auto"/>
          </w:tcPr>
          <w:p w14:paraId="6435D81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7,291</w:t>
            </w:r>
          </w:p>
        </w:tc>
        <w:tc>
          <w:tcPr>
            <w:tcW w:w="850" w:type="dxa"/>
            <w:shd w:val="clear" w:color="auto" w:fill="auto"/>
          </w:tcPr>
          <w:p w14:paraId="00AFF96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1,900</w:t>
            </w:r>
          </w:p>
        </w:tc>
        <w:tc>
          <w:tcPr>
            <w:tcW w:w="850" w:type="dxa"/>
            <w:shd w:val="clear" w:color="auto" w:fill="auto"/>
          </w:tcPr>
          <w:p w14:paraId="79FF680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646308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DBF9C2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11,191</w:t>
            </w:r>
          </w:p>
        </w:tc>
      </w:tr>
      <w:tr w:rsidR="005958CD" w:rsidRPr="00704BD4" w14:paraId="64748A67" w14:textId="77777777" w:rsidTr="00C52D24">
        <w:trPr>
          <w:trHeight w:val="156"/>
          <w:jc w:val="center"/>
        </w:trPr>
        <w:tc>
          <w:tcPr>
            <w:tcW w:w="3798" w:type="dxa"/>
            <w:shd w:val="clear" w:color="auto" w:fill="auto"/>
            <w:vAlign w:val="center"/>
          </w:tcPr>
          <w:p w14:paraId="3064FBE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Opioid treatment services on Canberra’s northside</w:t>
            </w:r>
          </w:p>
        </w:tc>
        <w:tc>
          <w:tcPr>
            <w:tcW w:w="850" w:type="dxa"/>
            <w:shd w:val="clear" w:color="auto" w:fill="auto"/>
          </w:tcPr>
          <w:p w14:paraId="2D214E3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1C2B11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36</w:t>
            </w:r>
          </w:p>
        </w:tc>
        <w:tc>
          <w:tcPr>
            <w:tcW w:w="850" w:type="dxa"/>
            <w:shd w:val="clear" w:color="auto" w:fill="auto"/>
          </w:tcPr>
          <w:p w14:paraId="55112ED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F3E429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28CC6C9"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DB2EE8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36</w:t>
            </w:r>
          </w:p>
        </w:tc>
      </w:tr>
      <w:tr w:rsidR="005958CD" w:rsidRPr="00704BD4" w14:paraId="2D932698" w14:textId="77777777" w:rsidTr="00C52D24">
        <w:trPr>
          <w:trHeight w:val="156"/>
          <w:jc w:val="center"/>
        </w:trPr>
        <w:tc>
          <w:tcPr>
            <w:tcW w:w="3798" w:type="dxa"/>
            <w:shd w:val="clear" w:color="auto" w:fill="auto"/>
            <w:vAlign w:val="center"/>
          </w:tcPr>
          <w:p w14:paraId="65EE6C7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Sterilising Services - Relocation and upgrade</w:t>
            </w:r>
          </w:p>
        </w:tc>
        <w:tc>
          <w:tcPr>
            <w:tcW w:w="850" w:type="dxa"/>
            <w:shd w:val="clear" w:color="auto" w:fill="auto"/>
          </w:tcPr>
          <w:p w14:paraId="06C3929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490</w:t>
            </w:r>
          </w:p>
        </w:tc>
        <w:tc>
          <w:tcPr>
            <w:tcW w:w="850" w:type="dxa"/>
            <w:shd w:val="clear" w:color="auto" w:fill="auto"/>
          </w:tcPr>
          <w:p w14:paraId="17DB1BF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BCBE72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86EE37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119E79D"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9D7242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490</w:t>
            </w:r>
          </w:p>
        </w:tc>
      </w:tr>
      <w:tr w:rsidR="005958CD" w:rsidRPr="00704BD4" w14:paraId="102ACB39" w14:textId="77777777" w:rsidTr="00C52D24">
        <w:trPr>
          <w:trHeight w:val="156"/>
          <w:jc w:val="center"/>
        </w:trPr>
        <w:tc>
          <w:tcPr>
            <w:tcW w:w="3798" w:type="dxa"/>
            <w:shd w:val="clear" w:color="auto" w:fill="auto"/>
            <w:vAlign w:val="center"/>
          </w:tcPr>
          <w:p w14:paraId="013C512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The Canberra Hospital - Essential infrastructure and engineering works</w:t>
            </w:r>
          </w:p>
        </w:tc>
        <w:tc>
          <w:tcPr>
            <w:tcW w:w="850" w:type="dxa"/>
            <w:shd w:val="clear" w:color="auto" w:fill="auto"/>
          </w:tcPr>
          <w:p w14:paraId="020277B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708</w:t>
            </w:r>
          </w:p>
        </w:tc>
        <w:tc>
          <w:tcPr>
            <w:tcW w:w="850" w:type="dxa"/>
            <w:shd w:val="clear" w:color="auto" w:fill="auto"/>
          </w:tcPr>
          <w:p w14:paraId="33B7C84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550</w:t>
            </w:r>
          </w:p>
        </w:tc>
        <w:tc>
          <w:tcPr>
            <w:tcW w:w="850" w:type="dxa"/>
            <w:shd w:val="clear" w:color="auto" w:fill="auto"/>
          </w:tcPr>
          <w:p w14:paraId="2C8B297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1C37BD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3738823"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23AADD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1,258</w:t>
            </w:r>
          </w:p>
        </w:tc>
      </w:tr>
      <w:tr w:rsidR="005958CD" w:rsidRPr="00704BD4" w14:paraId="35DD0F29" w14:textId="77777777" w:rsidTr="00C52D24">
        <w:trPr>
          <w:trHeight w:val="156"/>
          <w:jc w:val="center"/>
        </w:trPr>
        <w:tc>
          <w:tcPr>
            <w:tcW w:w="3798" w:type="dxa"/>
            <w:shd w:val="clear" w:color="auto" w:fill="auto"/>
            <w:vAlign w:val="center"/>
          </w:tcPr>
          <w:p w14:paraId="54C30832"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University of Canberra Public Hospital</w:t>
            </w:r>
          </w:p>
        </w:tc>
        <w:tc>
          <w:tcPr>
            <w:tcW w:w="850" w:type="dxa"/>
            <w:shd w:val="clear" w:color="auto" w:fill="auto"/>
          </w:tcPr>
          <w:p w14:paraId="591E52B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800</w:t>
            </w:r>
          </w:p>
        </w:tc>
        <w:tc>
          <w:tcPr>
            <w:tcW w:w="850" w:type="dxa"/>
            <w:shd w:val="clear" w:color="auto" w:fill="auto"/>
          </w:tcPr>
          <w:p w14:paraId="7B58D7B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A57F35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B1E966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F7C28A3"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92FB26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800</w:t>
            </w:r>
          </w:p>
        </w:tc>
      </w:tr>
      <w:tr w:rsidR="005958CD" w:rsidRPr="00704BD4" w14:paraId="7D7FD1DD" w14:textId="77777777" w:rsidTr="00C52D24">
        <w:trPr>
          <w:trHeight w:val="156"/>
          <w:jc w:val="center"/>
        </w:trPr>
        <w:tc>
          <w:tcPr>
            <w:tcW w:w="3798" w:type="dxa"/>
            <w:shd w:val="clear" w:color="auto" w:fill="auto"/>
            <w:vAlign w:val="center"/>
          </w:tcPr>
          <w:p w14:paraId="7C9B72A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University of Canberra Public Hospital Car Park (Grant)</w:t>
            </w:r>
          </w:p>
        </w:tc>
        <w:tc>
          <w:tcPr>
            <w:tcW w:w="850" w:type="dxa"/>
            <w:shd w:val="clear" w:color="auto" w:fill="auto"/>
          </w:tcPr>
          <w:p w14:paraId="7289896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307</w:t>
            </w:r>
          </w:p>
        </w:tc>
        <w:tc>
          <w:tcPr>
            <w:tcW w:w="850" w:type="dxa"/>
            <w:shd w:val="clear" w:color="auto" w:fill="auto"/>
          </w:tcPr>
          <w:p w14:paraId="21699C5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B9ED68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798994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43C7D6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FA2A424"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307</w:t>
            </w:r>
          </w:p>
        </w:tc>
      </w:tr>
      <w:tr w:rsidR="005958CD" w:rsidRPr="00704BD4" w14:paraId="2AC0AD01" w14:textId="77777777" w:rsidTr="00C52D24">
        <w:trPr>
          <w:trHeight w:val="156"/>
          <w:jc w:val="center"/>
        </w:trPr>
        <w:tc>
          <w:tcPr>
            <w:tcW w:w="3798" w:type="dxa"/>
            <w:shd w:val="clear" w:color="auto" w:fill="auto"/>
            <w:vAlign w:val="center"/>
          </w:tcPr>
          <w:p w14:paraId="2BA314DB"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Upgrade and Refurbishment of Critical Buildings at The Canberra Hospital</w:t>
            </w:r>
          </w:p>
        </w:tc>
        <w:tc>
          <w:tcPr>
            <w:tcW w:w="850" w:type="dxa"/>
            <w:shd w:val="clear" w:color="auto" w:fill="auto"/>
          </w:tcPr>
          <w:p w14:paraId="2A63DBE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6,999</w:t>
            </w:r>
          </w:p>
        </w:tc>
        <w:tc>
          <w:tcPr>
            <w:tcW w:w="850" w:type="dxa"/>
            <w:shd w:val="clear" w:color="auto" w:fill="auto"/>
          </w:tcPr>
          <w:p w14:paraId="53F88F5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9,872</w:t>
            </w:r>
          </w:p>
        </w:tc>
        <w:tc>
          <w:tcPr>
            <w:tcW w:w="850" w:type="dxa"/>
            <w:shd w:val="clear" w:color="auto" w:fill="auto"/>
          </w:tcPr>
          <w:p w14:paraId="01A0466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CB923D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5A20F0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527966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16,871</w:t>
            </w:r>
          </w:p>
        </w:tc>
      </w:tr>
      <w:tr w:rsidR="005958CD" w:rsidRPr="00704BD4" w14:paraId="17015484" w14:textId="77777777" w:rsidTr="00C52D24">
        <w:trPr>
          <w:trHeight w:val="156"/>
          <w:jc w:val="center"/>
        </w:trPr>
        <w:tc>
          <w:tcPr>
            <w:tcW w:w="3798" w:type="dxa"/>
            <w:shd w:val="clear" w:color="auto" w:fill="auto"/>
            <w:vAlign w:val="center"/>
          </w:tcPr>
          <w:p w14:paraId="3CB9C7D2"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Walk-in health centre - Coombs pilot</w:t>
            </w:r>
          </w:p>
        </w:tc>
        <w:tc>
          <w:tcPr>
            <w:tcW w:w="850" w:type="dxa"/>
            <w:shd w:val="clear" w:color="auto" w:fill="auto"/>
          </w:tcPr>
          <w:p w14:paraId="3E338F9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250</w:t>
            </w:r>
          </w:p>
        </w:tc>
        <w:tc>
          <w:tcPr>
            <w:tcW w:w="850" w:type="dxa"/>
            <w:shd w:val="clear" w:color="auto" w:fill="auto"/>
          </w:tcPr>
          <w:p w14:paraId="5B17841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0326A9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92F608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99797D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7A95A7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250</w:t>
            </w:r>
          </w:p>
        </w:tc>
      </w:tr>
      <w:tr w:rsidR="005958CD" w:rsidRPr="00704BD4" w14:paraId="5E124D42" w14:textId="77777777" w:rsidTr="00C52D24">
        <w:trPr>
          <w:trHeight w:val="156"/>
          <w:jc w:val="center"/>
        </w:trPr>
        <w:tc>
          <w:tcPr>
            <w:tcW w:w="3798" w:type="dxa"/>
            <w:shd w:val="clear" w:color="auto" w:fill="auto"/>
            <w:vAlign w:val="center"/>
          </w:tcPr>
          <w:p w14:paraId="2913FD0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7EDEF4C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59,938</w:t>
            </w:r>
          </w:p>
        </w:tc>
        <w:tc>
          <w:tcPr>
            <w:tcW w:w="850" w:type="dxa"/>
            <w:shd w:val="clear" w:color="auto" w:fill="auto"/>
          </w:tcPr>
          <w:p w14:paraId="4A6113B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56,945</w:t>
            </w:r>
          </w:p>
        </w:tc>
        <w:tc>
          <w:tcPr>
            <w:tcW w:w="850" w:type="dxa"/>
            <w:shd w:val="clear" w:color="auto" w:fill="auto"/>
          </w:tcPr>
          <w:p w14:paraId="093F225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1,900</w:t>
            </w:r>
          </w:p>
        </w:tc>
        <w:tc>
          <w:tcPr>
            <w:tcW w:w="850" w:type="dxa"/>
            <w:shd w:val="clear" w:color="auto" w:fill="auto"/>
          </w:tcPr>
          <w:p w14:paraId="56150D9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b/>
                <w:bCs/>
                <w:sz w:val="18"/>
                <w:szCs w:val="18"/>
                <w:lang w:eastAsia="en-AU"/>
              </w:rPr>
              <w:t>0</w:t>
            </w:r>
          </w:p>
        </w:tc>
        <w:tc>
          <w:tcPr>
            <w:tcW w:w="850" w:type="dxa"/>
          </w:tcPr>
          <w:p w14:paraId="00B642B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0</w:t>
            </w:r>
          </w:p>
        </w:tc>
        <w:tc>
          <w:tcPr>
            <w:tcW w:w="1020" w:type="dxa"/>
            <w:shd w:val="clear" w:color="auto" w:fill="auto"/>
          </w:tcPr>
          <w:p w14:paraId="6B2AA53F"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118,783</w:t>
            </w:r>
          </w:p>
        </w:tc>
      </w:tr>
      <w:tr w:rsidR="005958CD" w:rsidRPr="00704BD4" w14:paraId="0BC589FD" w14:textId="77777777" w:rsidTr="00C52D24">
        <w:trPr>
          <w:trHeight w:val="156"/>
          <w:jc w:val="center"/>
        </w:trPr>
        <w:tc>
          <w:tcPr>
            <w:tcW w:w="3798" w:type="dxa"/>
            <w:shd w:val="clear" w:color="auto" w:fill="auto"/>
            <w:vAlign w:val="center"/>
          </w:tcPr>
          <w:p w14:paraId="7F2ACD9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Canberra Institute of Technology</w:t>
            </w:r>
          </w:p>
        </w:tc>
        <w:tc>
          <w:tcPr>
            <w:tcW w:w="850" w:type="dxa"/>
            <w:shd w:val="clear" w:color="auto" w:fill="auto"/>
          </w:tcPr>
          <w:p w14:paraId="281E1A49"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25E322E3"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15BE1311"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37EE3A49"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493EC475"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0803905A"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543B17B0" w14:textId="77777777" w:rsidTr="00C52D24">
        <w:trPr>
          <w:trHeight w:val="156"/>
          <w:jc w:val="center"/>
        </w:trPr>
        <w:tc>
          <w:tcPr>
            <w:tcW w:w="3798" w:type="dxa"/>
            <w:shd w:val="clear" w:color="auto" w:fill="auto"/>
            <w:vAlign w:val="center"/>
          </w:tcPr>
          <w:p w14:paraId="344B78B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CIT plant and equipment and ICT infrastructure</w:t>
            </w:r>
          </w:p>
        </w:tc>
        <w:tc>
          <w:tcPr>
            <w:tcW w:w="850" w:type="dxa"/>
            <w:shd w:val="clear" w:color="auto" w:fill="auto"/>
          </w:tcPr>
          <w:p w14:paraId="4E62DB1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1,257</w:t>
            </w:r>
          </w:p>
        </w:tc>
        <w:tc>
          <w:tcPr>
            <w:tcW w:w="850" w:type="dxa"/>
            <w:shd w:val="clear" w:color="auto" w:fill="auto"/>
          </w:tcPr>
          <w:p w14:paraId="417C270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1,257</w:t>
            </w:r>
          </w:p>
        </w:tc>
        <w:tc>
          <w:tcPr>
            <w:tcW w:w="850" w:type="dxa"/>
            <w:shd w:val="clear" w:color="auto" w:fill="auto"/>
          </w:tcPr>
          <w:p w14:paraId="52F1DBF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1,257</w:t>
            </w:r>
          </w:p>
        </w:tc>
        <w:tc>
          <w:tcPr>
            <w:tcW w:w="850" w:type="dxa"/>
            <w:shd w:val="clear" w:color="auto" w:fill="auto"/>
          </w:tcPr>
          <w:p w14:paraId="23902A7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1,257</w:t>
            </w:r>
          </w:p>
        </w:tc>
        <w:tc>
          <w:tcPr>
            <w:tcW w:w="850" w:type="dxa"/>
          </w:tcPr>
          <w:p w14:paraId="6CBAA0C6"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1,257</w:t>
            </w:r>
          </w:p>
        </w:tc>
        <w:tc>
          <w:tcPr>
            <w:tcW w:w="1020" w:type="dxa"/>
            <w:shd w:val="clear" w:color="auto" w:fill="auto"/>
          </w:tcPr>
          <w:p w14:paraId="4EB6C1F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6,285</w:t>
            </w:r>
          </w:p>
        </w:tc>
      </w:tr>
      <w:tr w:rsidR="005958CD" w:rsidRPr="00704BD4" w14:paraId="59CF2337" w14:textId="77777777" w:rsidTr="00C52D24">
        <w:trPr>
          <w:trHeight w:val="156"/>
          <w:jc w:val="center"/>
        </w:trPr>
        <w:tc>
          <w:tcPr>
            <w:tcW w:w="3798" w:type="dxa"/>
            <w:shd w:val="clear" w:color="auto" w:fill="auto"/>
            <w:vAlign w:val="center"/>
          </w:tcPr>
          <w:p w14:paraId="7A088C4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teaching and learning spaces for CIT Fyshwick</w:t>
            </w:r>
          </w:p>
        </w:tc>
        <w:tc>
          <w:tcPr>
            <w:tcW w:w="850" w:type="dxa"/>
            <w:shd w:val="clear" w:color="auto" w:fill="auto"/>
          </w:tcPr>
          <w:p w14:paraId="34FB969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659</w:t>
            </w:r>
          </w:p>
        </w:tc>
        <w:tc>
          <w:tcPr>
            <w:tcW w:w="850" w:type="dxa"/>
            <w:shd w:val="clear" w:color="auto" w:fill="auto"/>
          </w:tcPr>
          <w:p w14:paraId="32CC8A8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BEC147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AD92F5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8FA9D15"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169257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659</w:t>
            </w:r>
          </w:p>
        </w:tc>
      </w:tr>
      <w:tr w:rsidR="005958CD" w:rsidRPr="00704BD4" w14:paraId="4843163C" w14:textId="77777777" w:rsidTr="00C52D24">
        <w:trPr>
          <w:trHeight w:val="156"/>
          <w:jc w:val="center"/>
        </w:trPr>
        <w:tc>
          <w:tcPr>
            <w:tcW w:w="3798" w:type="dxa"/>
            <w:shd w:val="clear" w:color="auto" w:fill="auto"/>
            <w:vAlign w:val="center"/>
          </w:tcPr>
          <w:p w14:paraId="7A86DEC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Expansion of CIT Fyshwick campus</w:t>
            </w:r>
          </w:p>
        </w:tc>
        <w:tc>
          <w:tcPr>
            <w:tcW w:w="850" w:type="dxa"/>
            <w:shd w:val="clear" w:color="auto" w:fill="auto"/>
          </w:tcPr>
          <w:p w14:paraId="231D64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608</w:t>
            </w:r>
          </w:p>
        </w:tc>
        <w:tc>
          <w:tcPr>
            <w:tcW w:w="850" w:type="dxa"/>
            <w:shd w:val="clear" w:color="auto" w:fill="auto"/>
          </w:tcPr>
          <w:p w14:paraId="39A214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9FAF0C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AF341A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129A0B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5069305"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608</w:t>
            </w:r>
          </w:p>
        </w:tc>
      </w:tr>
      <w:tr w:rsidR="005958CD" w:rsidRPr="00704BD4" w14:paraId="63A673DA" w14:textId="77777777" w:rsidTr="00C52D24">
        <w:trPr>
          <w:trHeight w:val="156"/>
          <w:jc w:val="center"/>
        </w:trPr>
        <w:tc>
          <w:tcPr>
            <w:tcW w:w="3798" w:type="dxa"/>
            <w:shd w:val="clear" w:color="auto" w:fill="auto"/>
            <w:vAlign w:val="center"/>
          </w:tcPr>
          <w:p w14:paraId="50B8D975"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5E7B394A"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2,524</w:t>
            </w:r>
          </w:p>
        </w:tc>
        <w:tc>
          <w:tcPr>
            <w:tcW w:w="850" w:type="dxa"/>
            <w:shd w:val="clear" w:color="auto" w:fill="auto"/>
          </w:tcPr>
          <w:p w14:paraId="3851B947"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1,257</w:t>
            </w:r>
          </w:p>
        </w:tc>
        <w:tc>
          <w:tcPr>
            <w:tcW w:w="850" w:type="dxa"/>
            <w:shd w:val="clear" w:color="auto" w:fill="auto"/>
          </w:tcPr>
          <w:p w14:paraId="323DBA20"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1,257</w:t>
            </w:r>
          </w:p>
        </w:tc>
        <w:tc>
          <w:tcPr>
            <w:tcW w:w="850" w:type="dxa"/>
            <w:shd w:val="clear" w:color="auto" w:fill="auto"/>
          </w:tcPr>
          <w:p w14:paraId="051A3598"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1,257</w:t>
            </w:r>
          </w:p>
        </w:tc>
        <w:tc>
          <w:tcPr>
            <w:tcW w:w="850" w:type="dxa"/>
          </w:tcPr>
          <w:p w14:paraId="5986C522"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1,257</w:t>
            </w:r>
          </w:p>
        </w:tc>
        <w:tc>
          <w:tcPr>
            <w:tcW w:w="1020" w:type="dxa"/>
            <w:shd w:val="clear" w:color="auto" w:fill="auto"/>
          </w:tcPr>
          <w:p w14:paraId="22459D0B"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7,552</w:t>
            </w:r>
          </w:p>
        </w:tc>
      </w:tr>
      <w:tr w:rsidR="005958CD" w:rsidRPr="00704BD4" w14:paraId="74060B9E" w14:textId="77777777" w:rsidTr="00C52D24">
        <w:trPr>
          <w:trHeight w:val="156"/>
          <w:jc w:val="center"/>
        </w:trPr>
        <w:tc>
          <w:tcPr>
            <w:tcW w:w="3798" w:type="dxa"/>
            <w:shd w:val="clear" w:color="auto" w:fill="auto"/>
            <w:vAlign w:val="center"/>
          </w:tcPr>
          <w:p w14:paraId="03B76FA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Chief Minister, Treasury and Economic Development Directorate</w:t>
            </w:r>
          </w:p>
        </w:tc>
        <w:tc>
          <w:tcPr>
            <w:tcW w:w="850" w:type="dxa"/>
            <w:shd w:val="clear" w:color="auto" w:fill="auto"/>
          </w:tcPr>
          <w:p w14:paraId="2F422983"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183F5F02"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522C9017"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12A09D52"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36C019E6"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02AE4E7F"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1F3CAFE9" w14:textId="77777777" w:rsidTr="00C52D24">
        <w:trPr>
          <w:trHeight w:val="156"/>
          <w:jc w:val="center"/>
        </w:trPr>
        <w:tc>
          <w:tcPr>
            <w:tcW w:w="3798" w:type="dxa"/>
            <w:shd w:val="clear" w:color="auto" w:fill="auto"/>
            <w:vAlign w:val="center"/>
          </w:tcPr>
          <w:p w14:paraId="26F8900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ACT Land Titles system modernisation</w:t>
            </w:r>
          </w:p>
        </w:tc>
        <w:tc>
          <w:tcPr>
            <w:tcW w:w="850" w:type="dxa"/>
            <w:shd w:val="clear" w:color="auto" w:fill="auto"/>
          </w:tcPr>
          <w:p w14:paraId="28BB49F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44</w:t>
            </w:r>
          </w:p>
        </w:tc>
        <w:tc>
          <w:tcPr>
            <w:tcW w:w="850" w:type="dxa"/>
            <w:shd w:val="clear" w:color="auto" w:fill="auto"/>
          </w:tcPr>
          <w:p w14:paraId="3411839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EF2F3A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97B254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45261D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781879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44</w:t>
            </w:r>
          </w:p>
        </w:tc>
      </w:tr>
      <w:tr w:rsidR="005958CD" w:rsidRPr="00704BD4" w14:paraId="6775C700" w14:textId="77777777" w:rsidTr="00C52D24">
        <w:trPr>
          <w:trHeight w:val="156"/>
          <w:jc w:val="center"/>
        </w:trPr>
        <w:tc>
          <w:tcPr>
            <w:tcW w:w="3798" w:type="dxa"/>
            <w:shd w:val="clear" w:color="auto" w:fill="auto"/>
            <w:vAlign w:val="center"/>
          </w:tcPr>
          <w:p w14:paraId="76354C9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Belconnen Service Centre modernisation</w:t>
            </w:r>
          </w:p>
        </w:tc>
        <w:tc>
          <w:tcPr>
            <w:tcW w:w="850" w:type="dxa"/>
            <w:shd w:val="clear" w:color="auto" w:fill="auto"/>
          </w:tcPr>
          <w:p w14:paraId="75C9347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1,240</w:t>
            </w:r>
          </w:p>
        </w:tc>
        <w:tc>
          <w:tcPr>
            <w:tcW w:w="850" w:type="dxa"/>
            <w:shd w:val="clear" w:color="auto" w:fill="auto"/>
          </w:tcPr>
          <w:p w14:paraId="42EECF2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E8E439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2C2EC3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AEBD776"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4B5A48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1,240</w:t>
            </w:r>
          </w:p>
        </w:tc>
      </w:tr>
      <w:tr w:rsidR="005958CD" w:rsidRPr="00704BD4" w14:paraId="1BFB8570" w14:textId="77777777" w:rsidTr="00C52D24">
        <w:trPr>
          <w:trHeight w:val="156"/>
          <w:jc w:val="center"/>
        </w:trPr>
        <w:tc>
          <w:tcPr>
            <w:tcW w:w="3798" w:type="dxa"/>
            <w:shd w:val="clear" w:color="auto" w:fill="auto"/>
            <w:vAlign w:val="center"/>
          </w:tcPr>
          <w:p w14:paraId="2C6043C9"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Government - Boosting government digital security</w:t>
            </w:r>
          </w:p>
        </w:tc>
        <w:tc>
          <w:tcPr>
            <w:tcW w:w="850" w:type="dxa"/>
            <w:shd w:val="clear" w:color="auto" w:fill="auto"/>
          </w:tcPr>
          <w:p w14:paraId="0415485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474</w:t>
            </w:r>
          </w:p>
        </w:tc>
        <w:tc>
          <w:tcPr>
            <w:tcW w:w="850" w:type="dxa"/>
            <w:shd w:val="clear" w:color="auto" w:fill="auto"/>
          </w:tcPr>
          <w:p w14:paraId="3F86098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4284F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980569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B87E46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752510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474</w:t>
            </w:r>
          </w:p>
        </w:tc>
      </w:tr>
      <w:tr w:rsidR="005958CD" w:rsidRPr="00704BD4" w14:paraId="02EE8603" w14:textId="77777777" w:rsidTr="00C52D24">
        <w:trPr>
          <w:trHeight w:val="156"/>
          <w:jc w:val="center"/>
        </w:trPr>
        <w:tc>
          <w:tcPr>
            <w:tcW w:w="3798" w:type="dxa"/>
            <w:shd w:val="clear" w:color="auto" w:fill="auto"/>
            <w:vAlign w:val="center"/>
          </w:tcPr>
          <w:p w14:paraId="1B3AD1E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online services through Access Canberra</w:t>
            </w:r>
          </w:p>
        </w:tc>
        <w:tc>
          <w:tcPr>
            <w:tcW w:w="850" w:type="dxa"/>
            <w:shd w:val="clear" w:color="auto" w:fill="auto"/>
          </w:tcPr>
          <w:p w14:paraId="3A92ADC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38</w:t>
            </w:r>
          </w:p>
        </w:tc>
        <w:tc>
          <w:tcPr>
            <w:tcW w:w="850" w:type="dxa"/>
            <w:shd w:val="clear" w:color="auto" w:fill="auto"/>
          </w:tcPr>
          <w:p w14:paraId="2821B3F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001CA3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FB6B43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2F2D33F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4307B13"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38</w:t>
            </w:r>
          </w:p>
        </w:tc>
      </w:tr>
      <w:tr w:rsidR="005958CD" w:rsidRPr="00704BD4" w14:paraId="12D3CC24" w14:textId="77777777" w:rsidTr="00C52D24">
        <w:trPr>
          <w:trHeight w:val="156"/>
          <w:jc w:val="center"/>
        </w:trPr>
        <w:tc>
          <w:tcPr>
            <w:tcW w:w="3798" w:type="dxa"/>
            <w:shd w:val="clear" w:color="auto" w:fill="auto"/>
            <w:vAlign w:val="center"/>
          </w:tcPr>
          <w:p w14:paraId="1397C92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Better Services - Weston Creek and Stromlo Swimming Pool and Leisure Centre</w:t>
            </w:r>
          </w:p>
        </w:tc>
        <w:tc>
          <w:tcPr>
            <w:tcW w:w="850" w:type="dxa"/>
            <w:shd w:val="clear" w:color="auto" w:fill="auto"/>
          </w:tcPr>
          <w:p w14:paraId="410DA40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872</w:t>
            </w:r>
          </w:p>
        </w:tc>
        <w:tc>
          <w:tcPr>
            <w:tcW w:w="850" w:type="dxa"/>
            <w:shd w:val="clear" w:color="auto" w:fill="auto"/>
          </w:tcPr>
          <w:p w14:paraId="4359B75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3DB83E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7604C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460AFB7"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C41C94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872</w:t>
            </w:r>
          </w:p>
        </w:tc>
      </w:tr>
      <w:tr w:rsidR="005958CD" w:rsidRPr="00704BD4" w14:paraId="263AEB38" w14:textId="77777777" w:rsidTr="00C52D24">
        <w:trPr>
          <w:trHeight w:val="156"/>
          <w:jc w:val="center"/>
        </w:trPr>
        <w:tc>
          <w:tcPr>
            <w:tcW w:w="3798" w:type="dxa"/>
            <w:shd w:val="clear" w:color="auto" w:fill="auto"/>
            <w:vAlign w:val="center"/>
          </w:tcPr>
          <w:p w14:paraId="624B33A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Building a better city - Improving major venues</w:t>
            </w:r>
          </w:p>
        </w:tc>
        <w:tc>
          <w:tcPr>
            <w:tcW w:w="850" w:type="dxa"/>
            <w:shd w:val="clear" w:color="auto" w:fill="auto"/>
          </w:tcPr>
          <w:p w14:paraId="7A097EC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91</w:t>
            </w:r>
          </w:p>
        </w:tc>
        <w:tc>
          <w:tcPr>
            <w:tcW w:w="850" w:type="dxa"/>
            <w:shd w:val="clear" w:color="auto" w:fill="auto"/>
          </w:tcPr>
          <w:p w14:paraId="5952AFA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42A700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B18201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7932B7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3F7D88A"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91</w:t>
            </w:r>
          </w:p>
        </w:tc>
      </w:tr>
      <w:tr w:rsidR="005958CD" w:rsidRPr="00704BD4" w14:paraId="0FCFE944" w14:textId="77777777" w:rsidTr="00C52D24">
        <w:trPr>
          <w:trHeight w:val="156"/>
          <w:jc w:val="center"/>
        </w:trPr>
        <w:tc>
          <w:tcPr>
            <w:tcW w:w="3798" w:type="dxa"/>
            <w:shd w:val="clear" w:color="auto" w:fill="auto"/>
            <w:vAlign w:val="center"/>
          </w:tcPr>
          <w:p w14:paraId="3D5E88F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Building a better city - Indoor sports centres - Early planning</w:t>
            </w:r>
          </w:p>
        </w:tc>
        <w:tc>
          <w:tcPr>
            <w:tcW w:w="850" w:type="dxa"/>
            <w:shd w:val="clear" w:color="auto" w:fill="auto"/>
          </w:tcPr>
          <w:p w14:paraId="6EB8C8A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64</w:t>
            </w:r>
          </w:p>
        </w:tc>
        <w:tc>
          <w:tcPr>
            <w:tcW w:w="850" w:type="dxa"/>
            <w:shd w:val="clear" w:color="auto" w:fill="auto"/>
          </w:tcPr>
          <w:p w14:paraId="41F6FB4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B136ED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390454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0BFD6AC"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A9B386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64</w:t>
            </w:r>
          </w:p>
        </w:tc>
      </w:tr>
      <w:tr w:rsidR="005958CD" w:rsidRPr="00704BD4" w14:paraId="6EB9DBE1" w14:textId="77777777" w:rsidTr="00C52D24">
        <w:trPr>
          <w:trHeight w:val="156"/>
          <w:jc w:val="center"/>
        </w:trPr>
        <w:tc>
          <w:tcPr>
            <w:tcW w:w="3798" w:type="dxa"/>
            <w:shd w:val="clear" w:color="auto" w:fill="auto"/>
            <w:vAlign w:val="center"/>
          </w:tcPr>
          <w:p w14:paraId="3634A1D5"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Data Storage Infrastructure</w:t>
            </w:r>
          </w:p>
        </w:tc>
        <w:tc>
          <w:tcPr>
            <w:tcW w:w="850" w:type="dxa"/>
            <w:shd w:val="clear" w:color="auto" w:fill="auto"/>
          </w:tcPr>
          <w:p w14:paraId="1C3130D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3,400</w:t>
            </w:r>
          </w:p>
        </w:tc>
        <w:tc>
          <w:tcPr>
            <w:tcW w:w="850" w:type="dxa"/>
            <w:shd w:val="clear" w:color="auto" w:fill="auto"/>
          </w:tcPr>
          <w:p w14:paraId="262B4E0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65CEC3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5DE97A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76CB8D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0FAC08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3,400</w:t>
            </w:r>
          </w:p>
        </w:tc>
      </w:tr>
      <w:tr w:rsidR="005958CD" w:rsidRPr="00704BD4" w14:paraId="3EEEFB6D" w14:textId="77777777" w:rsidTr="00C52D24">
        <w:trPr>
          <w:trHeight w:val="156"/>
          <w:jc w:val="center"/>
        </w:trPr>
        <w:tc>
          <w:tcPr>
            <w:tcW w:w="3798" w:type="dxa"/>
            <w:shd w:val="clear" w:color="auto" w:fill="auto"/>
            <w:vAlign w:val="center"/>
          </w:tcPr>
          <w:p w14:paraId="6B352DD6"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Delivering graduated licensing to reduce road deaths and accidents</w:t>
            </w:r>
          </w:p>
        </w:tc>
        <w:tc>
          <w:tcPr>
            <w:tcW w:w="850" w:type="dxa"/>
            <w:shd w:val="clear" w:color="auto" w:fill="auto"/>
          </w:tcPr>
          <w:p w14:paraId="722C68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17</w:t>
            </w:r>
          </w:p>
        </w:tc>
        <w:tc>
          <w:tcPr>
            <w:tcW w:w="850" w:type="dxa"/>
            <w:shd w:val="clear" w:color="auto" w:fill="auto"/>
          </w:tcPr>
          <w:p w14:paraId="2CB39BC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16CD25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6CDA59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A56CA8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EA58513"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17</w:t>
            </w:r>
          </w:p>
        </w:tc>
      </w:tr>
      <w:tr w:rsidR="005958CD" w:rsidRPr="00704BD4" w14:paraId="6B5DBB0F" w14:textId="77777777" w:rsidTr="00C52D24">
        <w:trPr>
          <w:trHeight w:val="156"/>
          <w:jc w:val="center"/>
        </w:trPr>
        <w:tc>
          <w:tcPr>
            <w:tcW w:w="3798" w:type="dxa"/>
            <w:shd w:val="clear" w:color="auto" w:fill="auto"/>
            <w:vAlign w:val="center"/>
          </w:tcPr>
          <w:p w14:paraId="7130500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Delivering the Home of Football at Throsby</w:t>
            </w:r>
          </w:p>
        </w:tc>
        <w:tc>
          <w:tcPr>
            <w:tcW w:w="850" w:type="dxa"/>
            <w:shd w:val="clear" w:color="auto" w:fill="auto"/>
          </w:tcPr>
          <w:p w14:paraId="657BD93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2,000</w:t>
            </w:r>
          </w:p>
        </w:tc>
        <w:tc>
          <w:tcPr>
            <w:tcW w:w="850" w:type="dxa"/>
            <w:shd w:val="clear" w:color="auto" w:fill="auto"/>
          </w:tcPr>
          <w:p w14:paraId="5B47F7F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10,500</w:t>
            </w:r>
          </w:p>
        </w:tc>
        <w:tc>
          <w:tcPr>
            <w:tcW w:w="850" w:type="dxa"/>
            <w:shd w:val="clear" w:color="auto" w:fill="auto"/>
          </w:tcPr>
          <w:p w14:paraId="73002C9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7,160</w:t>
            </w:r>
          </w:p>
        </w:tc>
        <w:tc>
          <w:tcPr>
            <w:tcW w:w="850" w:type="dxa"/>
            <w:shd w:val="clear" w:color="auto" w:fill="auto"/>
          </w:tcPr>
          <w:p w14:paraId="68BBC51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684152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42BB224"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19,660</w:t>
            </w:r>
          </w:p>
        </w:tc>
      </w:tr>
      <w:tr w:rsidR="005958CD" w:rsidRPr="00704BD4" w14:paraId="5767AC41" w14:textId="77777777" w:rsidTr="00C52D24">
        <w:trPr>
          <w:trHeight w:val="156"/>
          <w:jc w:val="center"/>
        </w:trPr>
        <w:tc>
          <w:tcPr>
            <w:tcW w:w="3798" w:type="dxa"/>
            <w:shd w:val="clear" w:color="auto" w:fill="auto"/>
            <w:vAlign w:val="center"/>
          </w:tcPr>
          <w:p w14:paraId="05DE2032"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Government Budget Management System</w:t>
            </w:r>
          </w:p>
        </w:tc>
        <w:tc>
          <w:tcPr>
            <w:tcW w:w="850" w:type="dxa"/>
            <w:shd w:val="clear" w:color="auto" w:fill="auto"/>
          </w:tcPr>
          <w:p w14:paraId="3585C77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1,315</w:t>
            </w:r>
          </w:p>
        </w:tc>
        <w:tc>
          <w:tcPr>
            <w:tcW w:w="850" w:type="dxa"/>
            <w:shd w:val="clear" w:color="auto" w:fill="auto"/>
          </w:tcPr>
          <w:p w14:paraId="684163D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1,050</w:t>
            </w:r>
          </w:p>
        </w:tc>
        <w:tc>
          <w:tcPr>
            <w:tcW w:w="850" w:type="dxa"/>
            <w:shd w:val="clear" w:color="auto" w:fill="auto"/>
          </w:tcPr>
          <w:p w14:paraId="2F9FF98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733D83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AFB0769"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B57EE8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2,365</w:t>
            </w:r>
          </w:p>
        </w:tc>
      </w:tr>
      <w:tr w:rsidR="005958CD" w:rsidRPr="00704BD4" w14:paraId="1E07D3FA" w14:textId="77777777" w:rsidTr="00C52D24">
        <w:trPr>
          <w:trHeight w:val="156"/>
          <w:jc w:val="center"/>
        </w:trPr>
        <w:tc>
          <w:tcPr>
            <w:tcW w:w="3798" w:type="dxa"/>
            <w:shd w:val="clear" w:color="auto" w:fill="auto"/>
            <w:vAlign w:val="center"/>
          </w:tcPr>
          <w:p w14:paraId="3F481E5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Supporting smarter working in the new ACT Government office projects</w:t>
            </w:r>
          </w:p>
        </w:tc>
        <w:tc>
          <w:tcPr>
            <w:tcW w:w="850" w:type="dxa"/>
            <w:shd w:val="clear" w:color="auto" w:fill="auto"/>
          </w:tcPr>
          <w:p w14:paraId="4CBFE80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2,753</w:t>
            </w:r>
          </w:p>
        </w:tc>
        <w:tc>
          <w:tcPr>
            <w:tcW w:w="850" w:type="dxa"/>
            <w:shd w:val="clear" w:color="auto" w:fill="auto"/>
          </w:tcPr>
          <w:p w14:paraId="7936711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89DAA4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399D8F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025ECB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9F66ED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2,753</w:t>
            </w:r>
          </w:p>
        </w:tc>
      </w:tr>
      <w:tr w:rsidR="005958CD" w:rsidRPr="00704BD4" w14:paraId="746D3F2E" w14:textId="77777777" w:rsidTr="00C52D24">
        <w:trPr>
          <w:trHeight w:val="156"/>
          <w:jc w:val="center"/>
        </w:trPr>
        <w:tc>
          <w:tcPr>
            <w:tcW w:w="3798" w:type="dxa"/>
            <w:shd w:val="clear" w:color="auto" w:fill="auto"/>
            <w:vAlign w:val="center"/>
          </w:tcPr>
          <w:p w14:paraId="2D5BE06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Gungahlin District Tennis Centre - Design</w:t>
            </w:r>
          </w:p>
        </w:tc>
        <w:tc>
          <w:tcPr>
            <w:tcW w:w="850" w:type="dxa"/>
            <w:shd w:val="clear" w:color="auto" w:fill="auto"/>
          </w:tcPr>
          <w:p w14:paraId="38BDC82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488</w:t>
            </w:r>
          </w:p>
        </w:tc>
        <w:tc>
          <w:tcPr>
            <w:tcW w:w="850" w:type="dxa"/>
            <w:shd w:val="clear" w:color="auto" w:fill="auto"/>
          </w:tcPr>
          <w:p w14:paraId="63B48B7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056FB0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3E9B24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77695376"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EB3D7DF"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488</w:t>
            </w:r>
          </w:p>
        </w:tc>
      </w:tr>
      <w:tr w:rsidR="005958CD" w:rsidRPr="00704BD4" w14:paraId="2DB1CBB9" w14:textId="77777777" w:rsidTr="00C52D24">
        <w:trPr>
          <w:trHeight w:val="156"/>
          <w:jc w:val="center"/>
        </w:trPr>
        <w:tc>
          <w:tcPr>
            <w:tcW w:w="3798" w:type="dxa"/>
            <w:shd w:val="clear" w:color="auto" w:fill="auto"/>
            <w:vAlign w:val="center"/>
          </w:tcPr>
          <w:p w14:paraId="1E1DB84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ICT equipment purchase funding</w:t>
            </w:r>
          </w:p>
        </w:tc>
        <w:tc>
          <w:tcPr>
            <w:tcW w:w="850" w:type="dxa"/>
            <w:shd w:val="clear" w:color="auto" w:fill="auto"/>
          </w:tcPr>
          <w:p w14:paraId="753268D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9ED923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A0E4CB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1A236C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71BC3B6"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1,000</w:t>
            </w:r>
          </w:p>
        </w:tc>
        <w:tc>
          <w:tcPr>
            <w:tcW w:w="1020" w:type="dxa"/>
            <w:shd w:val="clear" w:color="auto" w:fill="auto"/>
          </w:tcPr>
          <w:p w14:paraId="3F2FF40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1,000</w:t>
            </w:r>
          </w:p>
        </w:tc>
      </w:tr>
      <w:tr w:rsidR="005958CD" w:rsidRPr="00704BD4" w14:paraId="6DF63BC3" w14:textId="77777777" w:rsidTr="00C52D24">
        <w:trPr>
          <w:trHeight w:val="156"/>
          <w:jc w:val="center"/>
        </w:trPr>
        <w:tc>
          <w:tcPr>
            <w:tcW w:w="3798" w:type="dxa"/>
            <w:shd w:val="clear" w:color="auto" w:fill="auto"/>
            <w:vAlign w:val="center"/>
          </w:tcPr>
          <w:p w14:paraId="18E1328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Improving Road Safety - Traffic camera adjudication system upgrades</w:t>
            </w:r>
          </w:p>
        </w:tc>
        <w:tc>
          <w:tcPr>
            <w:tcW w:w="850" w:type="dxa"/>
            <w:shd w:val="clear" w:color="auto" w:fill="auto"/>
          </w:tcPr>
          <w:p w14:paraId="125B3E7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31</w:t>
            </w:r>
          </w:p>
        </w:tc>
        <w:tc>
          <w:tcPr>
            <w:tcW w:w="850" w:type="dxa"/>
            <w:shd w:val="clear" w:color="auto" w:fill="auto"/>
          </w:tcPr>
          <w:p w14:paraId="5178B05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E11507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948F02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E31B28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399CA63"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31</w:t>
            </w:r>
          </w:p>
        </w:tc>
      </w:tr>
      <w:tr w:rsidR="005958CD" w:rsidRPr="00704BD4" w14:paraId="68CAE2D7" w14:textId="77777777" w:rsidTr="00C52D24">
        <w:trPr>
          <w:trHeight w:val="156"/>
          <w:jc w:val="center"/>
        </w:trPr>
        <w:tc>
          <w:tcPr>
            <w:tcW w:w="3798" w:type="dxa"/>
            <w:shd w:val="clear" w:color="auto" w:fill="auto"/>
            <w:vAlign w:val="center"/>
          </w:tcPr>
          <w:p w14:paraId="1A5F952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Learning Management System</w:t>
            </w:r>
          </w:p>
        </w:tc>
        <w:tc>
          <w:tcPr>
            <w:tcW w:w="850" w:type="dxa"/>
            <w:shd w:val="clear" w:color="auto" w:fill="auto"/>
          </w:tcPr>
          <w:p w14:paraId="5FEA205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313</w:t>
            </w:r>
          </w:p>
        </w:tc>
        <w:tc>
          <w:tcPr>
            <w:tcW w:w="850" w:type="dxa"/>
            <w:shd w:val="clear" w:color="auto" w:fill="auto"/>
          </w:tcPr>
          <w:p w14:paraId="33E73FE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98C929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0E13BE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BC39622"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9637D4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313</w:t>
            </w:r>
          </w:p>
        </w:tc>
      </w:tr>
      <w:tr w:rsidR="005958CD" w:rsidRPr="00704BD4" w14:paraId="5167DBAB" w14:textId="77777777" w:rsidTr="00C52D24">
        <w:trPr>
          <w:trHeight w:val="156"/>
          <w:jc w:val="center"/>
        </w:trPr>
        <w:tc>
          <w:tcPr>
            <w:tcW w:w="3798" w:type="dxa"/>
            <w:shd w:val="clear" w:color="auto" w:fill="auto"/>
            <w:vAlign w:val="center"/>
          </w:tcPr>
          <w:p w14:paraId="4A6D3336"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Local Roads and Community Infrastructure (Cth Contribution)</w:t>
            </w:r>
          </w:p>
        </w:tc>
        <w:tc>
          <w:tcPr>
            <w:tcW w:w="850" w:type="dxa"/>
            <w:shd w:val="clear" w:color="auto" w:fill="auto"/>
          </w:tcPr>
          <w:p w14:paraId="5A52880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6,336</w:t>
            </w:r>
          </w:p>
        </w:tc>
        <w:tc>
          <w:tcPr>
            <w:tcW w:w="850" w:type="dxa"/>
            <w:shd w:val="clear" w:color="auto" w:fill="auto"/>
          </w:tcPr>
          <w:p w14:paraId="2B39D74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6,889</w:t>
            </w:r>
          </w:p>
        </w:tc>
        <w:tc>
          <w:tcPr>
            <w:tcW w:w="850" w:type="dxa"/>
            <w:shd w:val="clear" w:color="auto" w:fill="auto"/>
          </w:tcPr>
          <w:p w14:paraId="65048AF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A55280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2FEEB5F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3C7C1E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13,225</w:t>
            </w:r>
          </w:p>
        </w:tc>
      </w:tr>
      <w:tr w:rsidR="005958CD" w:rsidRPr="00704BD4" w14:paraId="33564481" w14:textId="77777777" w:rsidTr="00C52D24">
        <w:trPr>
          <w:trHeight w:val="156"/>
          <w:jc w:val="center"/>
        </w:trPr>
        <w:tc>
          <w:tcPr>
            <w:tcW w:w="3798" w:type="dxa"/>
            <w:shd w:val="clear" w:color="auto" w:fill="auto"/>
            <w:vAlign w:val="center"/>
          </w:tcPr>
          <w:p w14:paraId="1863140D"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Meeting future ACT Government accommodation needs</w:t>
            </w:r>
          </w:p>
        </w:tc>
        <w:tc>
          <w:tcPr>
            <w:tcW w:w="850" w:type="dxa"/>
            <w:shd w:val="clear" w:color="auto" w:fill="auto"/>
          </w:tcPr>
          <w:p w14:paraId="2C0503E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4,540</w:t>
            </w:r>
          </w:p>
        </w:tc>
        <w:tc>
          <w:tcPr>
            <w:tcW w:w="850" w:type="dxa"/>
            <w:shd w:val="clear" w:color="auto" w:fill="auto"/>
          </w:tcPr>
          <w:p w14:paraId="57736BD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17,814</w:t>
            </w:r>
          </w:p>
        </w:tc>
        <w:tc>
          <w:tcPr>
            <w:tcW w:w="850" w:type="dxa"/>
            <w:shd w:val="clear" w:color="auto" w:fill="auto"/>
          </w:tcPr>
          <w:p w14:paraId="01FCF6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0861C2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3F296E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C93F62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22,354</w:t>
            </w:r>
          </w:p>
        </w:tc>
      </w:tr>
      <w:tr w:rsidR="005958CD" w:rsidRPr="00704BD4" w14:paraId="5EF6568F" w14:textId="77777777" w:rsidTr="00C52D24">
        <w:trPr>
          <w:trHeight w:val="156"/>
          <w:jc w:val="center"/>
        </w:trPr>
        <w:tc>
          <w:tcPr>
            <w:tcW w:w="3798" w:type="dxa"/>
            <w:shd w:val="clear" w:color="auto" w:fill="auto"/>
            <w:vAlign w:val="center"/>
          </w:tcPr>
          <w:p w14:paraId="0F8ECDA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and better jobs - Data analytics for smarter policy</w:t>
            </w:r>
          </w:p>
        </w:tc>
        <w:tc>
          <w:tcPr>
            <w:tcW w:w="850" w:type="dxa"/>
            <w:shd w:val="clear" w:color="auto" w:fill="auto"/>
          </w:tcPr>
          <w:p w14:paraId="7474296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347</w:t>
            </w:r>
          </w:p>
        </w:tc>
        <w:tc>
          <w:tcPr>
            <w:tcW w:w="850" w:type="dxa"/>
            <w:shd w:val="clear" w:color="auto" w:fill="auto"/>
          </w:tcPr>
          <w:p w14:paraId="276534E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0AC402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B2568F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5389517"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6BC402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347</w:t>
            </w:r>
          </w:p>
        </w:tc>
      </w:tr>
      <w:tr w:rsidR="005958CD" w:rsidRPr="00704BD4" w14:paraId="429B2C3D" w14:textId="77777777" w:rsidTr="00C52D24">
        <w:trPr>
          <w:trHeight w:val="156"/>
          <w:jc w:val="center"/>
        </w:trPr>
        <w:tc>
          <w:tcPr>
            <w:tcW w:w="3798" w:type="dxa"/>
            <w:shd w:val="clear" w:color="auto" w:fill="auto"/>
            <w:vAlign w:val="center"/>
          </w:tcPr>
          <w:p w14:paraId="2B639AD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and better jobs - Expanding Belconnen Arts Centre</w:t>
            </w:r>
          </w:p>
        </w:tc>
        <w:tc>
          <w:tcPr>
            <w:tcW w:w="850" w:type="dxa"/>
            <w:shd w:val="clear" w:color="auto" w:fill="auto"/>
          </w:tcPr>
          <w:p w14:paraId="273823B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624</w:t>
            </w:r>
          </w:p>
        </w:tc>
        <w:tc>
          <w:tcPr>
            <w:tcW w:w="850" w:type="dxa"/>
            <w:shd w:val="clear" w:color="auto" w:fill="auto"/>
          </w:tcPr>
          <w:p w14:paraId="2FBEF5C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BE6B18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C35354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04A99B9"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8F82473"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624</w:t>
            </w:r>
          </w:p>
        </w:tc>
      </w:tr>
      <w:tr w:rsidR="005958CD" w:rsidRPr="00704BD4" w14:paraId="2B5EABB8" w14:textId="77777777" w:rsidTr="002C0E51">
        <w:trPr>
          <w:trHeight w:val="156"/>
          <w:jc w:val="center"/>
        </w:trPr>
        <w:tc>
          <w:tcPr>
            <w:tcW w:w="3798" w:type="dxa"/>
            <w:shd w:val="clear" w:color="auto" w:fill="auto"/>
            <w:vAlign w:val="center"/>
          </w:tcPr>
          <w:p w14:paraId="55FCFF8B"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and better jobs - Modernising government ICT infrastructure</w:t>
            </w:r>
          </w:p>
        </w:tc>
        <w:tc>
          <w:tcPr>
            <w:tcW w:w="850" w:type="dxa"/>
            <w:shd w:val="clear" w:color="auto" w:fill="auto"/>
          </w:tcPr>
          <w:p w14:paraId="65E45A1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2,698</w:t>
            </w:r>
          </w:p>
        </w:tc>
        <w:tc>
          <w:tcPr>
            <w:tcW w:w="850" w:type="dxa"/>
            <w:shd w:val="clear" w:color="auto" w:fill="auto"/>
          </w:tcPr>
          <w:p w14:paraId="046172C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97D4C9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6F0AA0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9B6BE15"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2A6FDAE"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2,698</w:t>
            </w:r>
          </w:p>
        </w:tc>
      </w:tr>
      <w:tr w:rsidR="005958CD" w:rsidRPr="00704BD4" w14:paraId="78690631" w14:textId="77777777" w:rsidTr="002C0E51">
        <w:trPr>
          <w:trHeight w:val="156"/>
          <w:jc w:val="center"/>
        </w:trPr>
        <w:tc>
          <w:tcPr>
            <w:tcW w:w="3798" w:type="dxa"/>
            <w:shd w:val="clear" w:color="auto" w:fill="auto"/>
            <w:vAlign w:val="center"/>
          </w:tcPr>
          <w:p w14:paraId="69EE6B76"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lastRenderedPageBreak/>
              <w:t>More facilities for Stromlo Forest Park</w:t>
            </w:r>
          </w:p>
        </w:tc>
        <w:tc>
          <w:tcPr>
            <w:tcW w:w="850" w:type="dxa"/>
            <w:shd w:val="clear" w:color="auto" w:fill="auto"/>
          </w:tcPr>
          <w:p w14:paraId="7A9D81D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114</w:t>
            </w:r>
          </w:p>
        </w:tc>
        <w:tc>
          <w:tcPr>
            <w:tcW w:w="850" w:type="dxa"/>
            <w:shd w:val="clear" w:color="auto" w:fill="auto"/>
          </w:tcPr>
          <w:p w14:paraId="078B8F4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004F6E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980E0C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03BD223"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1F96A2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114</w:t>
            </w:r>
          </w:p>
        </w:tc>
      </w:tr>
      <w:tr w:rsidR="005958CD" w:rsidRPr="00704BD4" w14:paraId="6E927D01" w14:textId="77777777" w:rsidTr="002C0E51">
        <w:trPr>
          <w:trHeight w:val="156"/>
          <w:jc w:val="center"/>
        </w:trPr>
        <w:tc>
          <w:tcPr>
            <w:tcW w:w="3798" w:type="dxa"/>
            <w:shd w:val="clear" w:color="auto" w:fill="auto"/>
            <w:vAlign w:val="center"/>
          </w:tcPr>
          <w:p w14:paraId="701F8B52"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Better arts facilities</w:t>
            </w:r>
          </w:p>
        </w:tc>
        <w:tc>
          <w:tcPr>
            <w:tcW w:w="850" w:type="dxa"/>
            <w:shd w:val="clear" w:color="auto" w:fill="auto"/>
          </w:tcPr>
          <w:p w14:paraId="0530BD0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68</w:t>
            </w:r>
          </w:p>
        </w:tc>
        <w:tc>
          <w:tcPr>
            <w:tcW w:w="850" w:type="dxa"/>
            <w:shd w:val="clear" w:color="auto" w:fill="auto"/>
          </w:tcPr>
          <w:p w14:paraId="39CF9EB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D0893A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D15E20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B8C4D4E"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07E766F"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68</w:t>
            </w:r>
          </w:p>
        </w:tc>
      </w:tr>
      <w:tr w:rsidR="005958CD" w:rsidRPr="00704BD4" w14:paraId="1E9510FC" w14:textId="77777777" w:rsidTr="00C52D24">
        <w:trPr>
          <w:trHeight w:val="156"/>
          <w:jc w:val="center"/>
        </w:trPr>
        <w:tc>
          <w:tcPr>
            <w:tcW w:w="3798" w:type="dxa"/>
            <w:shd w:val="clear" w:color="auto" w:fill="auto"/>
            <w:vAlign w:val="center"/>
          </w:tcPr>
          <w:p w14:paraId="04D272C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Better facilities for Manuka Oval</w:t>
            </w:r>
          </w:p>
        </w:tc>
        <w:tc>
          <w:tcPr>
            <w:tcW w:w="850" w:type="dxa"/>
            <w:shd w:val="clear" w:color="auto" w:fill="auto"/>
          </w:tcPr>
          <w:p w14:paraId="188AB11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320</w:t>
            </w:r>
          </w:p>
        </w:tc>
        <w:tc>
          <w:tcPr>
            <w:tcW w:w="850" w:type="dxa"/>
            <w:shd w:val="clear" w:color="auto" w:fill="auto"/>
          </w:tcPr>
          <w:p w14:paraId="1BB85C9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AC46D7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CA81D9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883D58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4A3E50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320</w:t>
            </w:r>
          </w:p>
        </w:tc>
      </w:tr>
      <w:tr w:rsidR="005958CD" w:rsidRPr="00704BD4" w14:paraId="16FA9802" w14:textId="77777777" w:rsidTr="00C52D24">
        <w:trPr>
          <w:trHeight w:val="156"/>
          <w:jc w:val="center"/>
        </w:trPr>
        <w:tc>
          <w:tcPr>
            <w:tcW w:w="3798" w:type="dxa"/>
            <w:shd w:val="clear" w:color="auto" w:fill="auto"/>
            <w:vAlign w:val="center"/>
          </w:tcPr>
          <w:p w14:paraId="57B9612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Government facilities upgrade</w:t>
            </w:r>
          </w:p>
        </w:tc>
        <w:tc>
          <w:tcPr>
            <w:tcW w:w="850" w:type="dxa"/>
            <w:shd w:val="clear" w:color="auto" w:fill="auto"/>
          </w:tcPr>
          <w:p w14:paraId="7DD1B5B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245</w:t>
            </w:r>
          </w:p>
        </w:tc>
        <w:tc>
          <w:tcPr>
            <w:tcW w:w="850" w:type="dxa"/>
            <w:shd w:val="clear" w:color="auto" w:fill="auto"/>
          </w:tcPr>
          <w:p w14:paraId="71351A6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D43A5A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736103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018079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4E6D809"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245</w:t>
            </w:r>
          </w:p>
        </w:tc>
      </w:tr>
      <w:tr w:rsidR="005958CD" w:rsidRPr="00704BD4" w14:paraId="5B680A97" w14:textId="77777777" w:rsidTr="00C52D24">
        <w:trPr>
          <w:trHeight w:val="156"/>
          <w:jc w:val="center"/>
        </w:trPr>
        <w:tc>
          <w:tcPr>
            <w:tcW w:w="3798" w:type="dxa"/>
            <w:shd w:val="clear" w:color="auto" w:fill="auto"/>
            <w:vAlign w:val="center"/>
          </w:tcPr>
          <w:p w14:paraId="26A63176"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New Canberra Theatre Complex - Early planning</w:t>
            </w:r>
          </w:p>
        </w:tc>
        <w:tc>
          <w:tcPr>
            <w:tcW w:w="850" w:type="dxa"/>
            <w:shd w:val="clear" w:color="auto" w:fill="auto"/>
          </w:tcPr>
          <w:p w14:paraId="50C4403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70</w:t>
            </w:r>
          </w:p>
        </w:tc>
        <w:tc>
          <w:tcPr>
            <w:tcW w:w="850" w:type="dxa"/>
            <w:shd w:val="clear" w:color="auto" w:fill="auto"/>
          </w:tcPr>
          <w:p w14:paraId="13DFD78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D5CC25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A9965F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29E8A791"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D71376C"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70</w:t>
            </w:r>
          </w:p>
        </w:tc>
      </w:tr>
      <w:tr w:rsidR="005958CD" w:rsidRPr="00704BD4" w14:paraId="2D1274C9" w14:textId="77777777" w:rsidTr="00C52D24">
        <w:trPr>
          <w:trHeight w:val="156"/>
          <w:jc w:val="center"/>
        </w:trPr>
        <w:tc>
          <w:tcPr>
            <w:tcW w:w="3798" w:type="dxa"/>
            <w:shd w:val="clear" w:color="auto" w:fill="auto"/>
            <w:vAlign w:val="center"/>
          </w:tcPr>
          <w:p w14:paraId="416B335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services for our suburbs - Upgrading the Old Kingston Bus Depot</w:t>
            </w:r>
          </w:p>
        </w:tc>
        <w:tc>
          <w:tcPr>
            <w:tcW w:w="850" w:type="dxa"/>
            <w:shd w:val="clear" w:color="auto" w:fill="auto"/>
          </w:tcPr>
          <w:p w14:paraId="489CC34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755</w:t>
            </w:r>
          </w:p>
        </w:tc>
        <w:tc>
          <w:tcPr>
            <w:tcW w:w="850" w:type="dxa"/>
            <w:shd w:val="clear" w:color="auto" w:fill="auto"/>
          </w:tcPr>
          <w:p w14:paraId="40FC699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E6C785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2506B7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2372B8A"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98E244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755</w:t>
            </w:r>
          </w:p>
        </w:tc>
      </w:tr>
      <w:tr w:rsidR="005958CD" w:rsidRPr="00704BD4" w14:paraId="0D357326" w14:textId="77777777" w:rsidTr="00C52D24">
        <w:trPr>
          <w:trHeight w:val="156"/>
          <w:jc w:val="center"/>
        </w:trPr>
        <w:tc>
          <w:tcPr>
            <w:tcW w:w="3798" w:type="dxa"/>
            <w:shd w:val="clear" w:color="auto" w:fill="auto"/>
            <w:vAlign w:val="center"/>
          </w:tcPr>
          <w:p w14:paraId="3817175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Moving delivery of more community services online</w:t>
            </w:r>
          </w:p>
        </w:tc>
        <w:tc>
          <w:tcPr>
            <w:tcW w:w="850" w:type="dxa"/>
            <w:shd w:val="clear" w:color="auto" w:fill="auto"/>
          </w:tcPr>
          <w:p w14:paraId="68E63F2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2,068</w:t>
            </w:r>
          </w:p>
        </w:tc>
        <w:tc>
          <w:tcPr>
            <w:tcW w:w="850" w:type="dxa"/>
            <w:shd w:val="clear" w:color="auto" w:fill="auto"/>
          </w:tcPr>
          <w:p w14:paraId="641205B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2,900</w:t>
            </w:r>
          </w:p>
        </w:tc>
        <w:tc>
          <w:tcPr>
            <w:tcW w:w="850" w:type="dxa"/>
            <w:shd w:val="clear" w:color="auto" w:fill="auto"/>
          </w:tcPr>
          <w:p w14:paraId="22717CE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6D1210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FEBE599"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7D40E4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4,968</w:t>
            </w:r>
          </w:p>
        </w:tc>
      </w:tr>
      <w:tr w:rsidR="005958CD" w:rsidRPr="00704BD4" w14:paraId="6C77FC3A" w14:textId="77777777" w:rsidTr="00C52D24">
        <w:trPr>
          <w:trHeight w:val="156"/>
          <w:jc w:val="center"/>
        </w:trPr>
        <w:tc>
          <w:tcPr>
            <w:tcW w:w="3798" w:type="dxa"/>
            <w:shd w:val="clear" w:color="auto" w:fill="auto"/>
            <w:vAlign w:val="center"/>
          </w:tcPr>
          <w:p w14:paraId="568F1DB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Office Accommodation</w:t>
            </w:r>
          </w:p>
        </w:tc>
        <w:tc>
          <w:tcPr>
            <w:tcW w:w="850" w:type="dxa"/>
            <w:shd w:val="clear" w:color="auto" w:fill="auto"/>
          </w:tcPr>
          <w:p w14:paraId="4B74F0E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604B3A9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w:t>
            </w:r>
          </w:p>
        </w:tc>
        <w:tc>
          <w:tcPr>
            <w:tcW w:w="850" w:type="dxa"/>
            <w:shd w:val="clear" w:color="auto" w:fill="auto"/>
          </w:tcPr>
          <w:p w14:paraId="411491A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w:t>
            </w:r>
          </w:p>
        </w:tc>
        <w:tc>
          <w:tcPr>
            <w:tcW w:w="850" w:type="dxa"/>
            <w:shd w:val="clear" w:color="auto" w:fill="auto"/>
          </w:tcPr>
          <w:p w14:paraId="4D2537E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500</w:t>
            </w:r>
          </w:p>
        </w:tc>
        <w:tc>
          <w:tcPr>
            <w:tcW w:w="850" w:type="dxa"/>
          </w:tcPr>
          <w:p w14:paraId="27DE1FD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500</w:t>
            </w:r>
          </w:p>
        </w:tc>
        <w:tc>
          <w:tcPr>
            <w:tcW w:w="1020" w:type="dxa"/>
            <w:shd w:val="clear" w:color="auto" w:fill="auto"/>
          </w:tcPr>
          <w:p w14:paraId="0F773D5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2,000</w:t>
            </w:r>
          </w:p>
        </w:tc>
      </w:tr>
      <w:tr w:rsidR="005958CD" w:rsidRPr="00704BD4" w14:paraId="270960C4" w14:textId="77777777" w:rsidTr="00C52D24">
        <w:trPr>
          <w:trHeight w:val="156"/>
          <w:jc w:val="center"/>
        </w:trPr>
        <w:tc>
          <w:tcPr>
            <w:tcW w:w="3798" w:type="dxa"/>
            <w:shd w:val="clear" w:color="auto" w:fill="auto"/>
            <w:vAlign w:val="center"/>
          </w:tcPr>
          <w:p w14:paraId="521438ED"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Planning for a permanent home for Dragon Boating</w:t>
            </w:r>
          </w:p>
        </w:tc>
        <w:tc>
          <w:tcPr>
            <w:tcW w:w="850" w:type="dxa"/>
            <w:shd w:val="clear" w:color="auto" w:fill="auto"/>
          </w:tcPr>
          <w:p w14:paraId="6CD8BFA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390</w:t>
            </w:r>
          </w:p>
        </w:tc>
        <w:tc>
          <w:tcPr>
            <w:tcW w:w="850" w:type="dxa"/>
            <w:shd w:val="clear" w:color="auto" w:fill="auto"/>
          </w:tcPr>
          <w:p w14:paraId="523E390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81F5C1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61D03A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221C59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4A69E0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390</w:t>
            </w:r>
          </w:p>
        </w:tc>
      </w:tr>
      <w:tr w:rsidR="005958CD" w:rsidRPr="00704BD4" w14:paraId="2568F745" w14:textId="77777777" w:rsidTr="00C52D24">
        <w:trPr>
          <w:trHeight w:val="156"/>
          <w:jc w:val="center"/>
        </w:trPr>
        <w:tc>
          <w:tcPr>
            <w:tcW w:w="3798" w:type="dxa"/>
            <w:shd w:val="clear" w:color="auto" w:fill="auto"/>
            <w:vAlign w:val="center"/>
          </w:tcPr>
          <w:p w14:paraId="2DD1FA19"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Replacing the Human Resources Information Management System</w:t>
            </w:r>
          </w:p>
        </w:tc>
        <w:tc>
          <w:tcPr>
            <w:tcW w:w="850" w:type="dxa"/>
            <w:shd w:val="clear" w:color="auto" w:fill="auto"/>
          </w:tcPr>
          <w:p w14:paraId="6B74621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12,928</w:t>
            </w:r>
          </w:p>
        </w:tc>
        <w:tc>
          <w:tcPr>
            <w:tcW w:w="850" w:type="dxa"/>
            <w:shd w:val="clear" w:color="auto" w:fill="auto"/>
          </w:tcPr>
          <w:p w14:paraId="6AE380A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4CBED1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E52BA5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16C427B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E33D46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12,928</w:t>
            </w:r>
          </w:p>
        </w:tc>
      </w:tr>
      <w:tr w:rsidR="005958CD" w:rsidRPr="00704BD4" w14:paraId="3F25CE35" w14:textId="77777777" w:rsidTr="00C52D24">
        <w:trPr>
          <w:trHeight w:val="156"/>
          <w:jc w:val="center"/>
        </w:trPr>
        <w:tc>
          <w:tcPr>
            <w:tcW w:w="3798" w:type="dxa"/>
            <w:shd w:val="clear" w:color="auto" w:fill="auto"/>
            <w:vAlign w:val="center"/>
          </w:tcPr>
          <w:p w14:paraId="46E2E935"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Smarter Regulation - Red tape reduction</w:t>
            </w:r>
          </w:p>
        </w:tc>
        <w:tc>
          <w:tcPr>
            <w:tcW w:w="850" w:type="dxa"/>
            <w:shd w:val="clear" w:color="auto" w:fill="auto"/>
          </w:tcPr>
          <w:p w14:paraId="0A19799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198</w:t>
            </w:r>
          </w:p>
        </w:tc>
        <w:tc>
          <w:tcPr>
            <w:tcW w:w="850" w:type="dxa"/>
            <w:shd w:val="clear" w:color="auto" w:fill="auto"/>
          </w:tcPr>
          <w:p w14:paraId="0E5B29F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A65CFD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EE2F5D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3FD522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8458C5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198</w:t>
            </w:r>
          </w:p>
        </w:tc>
      </w:tr>
      <w:tr w:rsidR="005958CD" w:rsidRPr="00704BD4" w14:paraId="1A6F314B" w14:textId="77777777" w:rsidTr="00C52D24">
        <w:trPr>
          <w:trHeight w:val="156"/>
          <w:jc w:val="center"/>
        </w:trPr>
        <w:tc>
          <w:tcPr>
            <w:tcW w:w="3798" w:type="dxa"/>
            <w:shd w:val="clear" w:color="auto" w:fill="auto"/>
            <w:vAlign w:val="center"/>
          </w:tcPr>
          <w:p w14:paraId="2864909C"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Upgrading cyber security responses</w:t>
            </w:r>
          </w:p>
        </w:tc>
        <w:tc>
          <w:tcPr>
            <w:tcW w:w="850" w:type="dxa"/>
            <w:shd w:val="clear" w:color="auto" w:fill="auto"/>
          </w:tcPr>
          <w:p w14:paraId="350C83D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273</w:t>
            </w:r>
          </w:p>
        </w:tc>
        <w:tc>
          <w:tcPr>
            <w:tcW w:w="850" w:type="dxa"/>
            <w:shd w:val="clear" w:color="auto" w:fill="auto"/>
          </w:tcPr>
          <w:p w14:paraId="3C2AC0C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F32347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413661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074138C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C2D219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273</w:t>
            </w:r>
          </w:p>
        </w:tc>
      </w:tr>
      <w:tr w:rsidR="005958CD" w:rsidRPr="00704BD4" w14:paraId="2EE08BF6" w14:textId="77777777" w:rsidTr="00C52D24">
        <w:trPr>
          <w:trHeight w:val="156"/>
          <w:jc w:val="center"/>
        </w:trPr>
        <w:tc>
          <w:tcPr>
            <w:tcW w:w="3798" w:type="dxa"/>
            <w:shd w:val="clear" w:color="auto" w:fill="auto"/>
            <w:vAlign w:val="center"/>
          </w:tcPr>
          <w:p w14:paraId="36C2D8F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Upgrading local arts facilities</w:t>
            </w:r>
          </w:p>
        </w:tc>
        <w:tc>
          <w:tcPr>
            <w:tcW w:w="850" w:type="dxa"/>
            <w:shd w:val="clear" w:color="auto" w:fill="auto"/>
          </w:tcPr>
          <w:p w14:paraId="6C0B84C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643</w:t>
            </w:r>
          </w:p>
        </w:tc>
        <w:tc>
          <w:tcPr>
            <w:tcW w:w="850" w:type="dxa"/>
            <w:shd w:val="clear" w:color="auto" w:fill="auto"/>
          </w:tcPr>
          <w:p w14:paraId="10F2A85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643</w:t>
            </w:r>
          </w:p>
        </w:tc>
        <w:tc>
          <w:tcPr>
            <w:tcW w:w="850" w:type="dxa"/>
            <w:shd w:val="clear" w:color="auto" w:fill="auto"/>
          </w:tcPr>
          <w:p w14:paraId="4830821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7FBBBE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F65011C"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0E867B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1,286</w:t>
            </w:r>
          </w:p>
        </w:tc>
      </w:tr>
      <w:tr w:rsidR="005958CD" w:rsidRPr="00704BD4" w14:paraId="23687BDC" w14:textId="77777777" w:rsidTr="00C52D24">
        <w:trPr>
          <w:trHeight w:val="156"/>
          <w:jc w:val="center"/>
        </w:trPr>
        <w:tc>
          <w:tcPr>
            <w:tcW w:w="3798" w:type="dxa"/>
            <w:shd w:val="clear" w:color="auto" w:fill="auto"/>
            <w:vAlign w:val="center"/>
          </w:tcPr>
          <w:p w14:paraId="77662F16"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Upgrading local community centres</w:t>
            </w:r>
          </w:p>
        </w:tc>
        <w:tc>
          <w:tcPr>
            <w:tcW w:w="850" w:type="dxa"/>
            <w:shd w:val="clear" w:color="auto" w:fill="auto"/>
          </w:tcPr>
          <w:p w14:paraId="26294D3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463</w:t>
            </w:r>
          </w:p>
        </w:tc>
        <w:tc>
          <w:tcPr>
            <w:tcW w:w="850" w:type="dxa"/>
            <w:shd w:val="clear" w:color="auto" w:fill="auto"/>
          </w:tcPr>
          <w:p w14:paraId="1983F1F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300</w:t>
            </w:r>
          </w:p>
        </w:tc>
        <w:tc>
          <w:tcPr>
            <w:tcW w:w="850" w:type="dxa"/>
            <w:shd w:val="clear" w:color="auto" w:fill="auto"/>
          </w:tcPr>
          <w:p w14:paraId="75E5CF3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C4C60CF"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92A8C3C"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052CBFD"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763</w:t>
            </w:r>
          </w:p>
        </w:tc>
      </w:tr>
      <w:tr w:rsidR="005958CD" w:rsidRPr="00704BD4" w14:paraId="237E63EC" w14:textId="77777777" w:rsidTr="00C52D24">
        <w:trPr>
          <w:trHeight w:val="156"/>
          <w:jc w:val="center"/>
        </w:trPr>
        <w:tc>
          <w:tcPr>
            <w:tcW w:w="3798" w:type="dxa"/>
            <w:shd w:val="clear" w:color="auto" w:fill="auto"/>
            <w:vAlign w:val="center"/>
          </w:tcPr>
          <w:p w14:paraId="7A645D51"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775CE7AE"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46,220</w:t>
            </w:r>
          </w:p>
        </w:tc>
        <w:tc>
          <w:tcPr>
            <w:tcW w:w="850" w:type="dxa"/>
            <w:shd w:val="clear" w:color="auto" w:fill="auto"/>
          </w:tcPr>
          <w:p w14:paraId="4230F6C5"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40,596</w:t>
            </w:r>
          </w:p>
        </w:tc>
        <w:tc>
          <w:tcPr>
            <w:tcW w:w="850" w:type="dxa"/>
            <w:shd w:val="clear" w:color="auto" w:fill="auto"/>
          </w:tcPr>
          <w:p w14:paraId="6B77C772"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7,660</w:t>
            </w:r>
          </w:p>
        </w:tc>
        <w:tc>
          <w:tcPr>
            <w:tcW w:w="850" w:type="dxa"/>
            <w:shd w:val="clear" w:color="auto" w:fill="auto"/>
          </w:tcPr>
          <w:p w14:paraId="6D2B3F1F"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500</w:t>
            </w:r>
          </w:p>
        </w:tc>
        <w:tc>
          <w:tcPr>
            <w:tcW w:w="850" w:type="dxa"/>
          </w:tcPr>
          <w:p w14:paraId="2F2178E1"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1,500</w:t>
            </w:r>
          </w:p>
        </w:tc>
        <w:tc>
          <w:tcPr>
            <w:tcW w:w="1020" w:type="dxa"/>
            <w:shd w:val="clear" w:color="auto" w:fill="auto"/>
          </w:tcPr>
          <w:p w14:paraId="322729E1"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96,476</w:t>
            </w:r>
          </w:p>
        </w:tc>
      </w:tr>
      <w:tr w:rsidR="005958CD" w:rsidRPr="00704BD4" w14:paraId="67B8B3D7" w14:textId="77777777" w:rsidTr="00C52D24">
        <w:trPr>
          <w:trHeight w:val="156"/>
          <w:jc w:val="center"/>
        </w:trPr>
        <w:tc>
          <w:tcPr>
            <w:tcW w:w="3798" w:type="dxa"/>
            <w:shd w:val="clear" w:color="auto" w:fill="auto"/>
            <w:vAlign w:val="center"/>
          </w:tcPr>
          <w:p w14:paraId="42CC1DA4"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City Renewal Authority</w:t>
            </w:r>
          </w:p>
        </w:tc>
        <w:tc>
          <w:tcPr>
            <w:tcW w:w="850" w:type="dxa"/>
            <w:shd w:val="clear" w:color="auto" w:fill="auto"/>
          </w:tcPr>
          <w:p w14:paraId="2B99EC4E"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4B0B2A00"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06572EA6"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59A55851"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3739F63D"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45A861B2"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4133F4CF" w14:textId="77777777" w:rsidTr="00C52D24">
        <w:trPr>
          <w:trHeight w:val="156"/>
          <w:jc w:val="center"/>
        </w:trPr>
        <w:tc>
          <w:tcPr>
            <w:tcW w:w="3798" w:type="dxa"/>
            <w:shd w:val="clear" w:color="auto" w:fill="auto"/>
            <w:vAlign w:val="center"/>
          </w:tcPr>
          <w:p w14:paraId="33D8389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Building a better city - Canberra's lakeside</w:t>
            </w:r>
          </w:p>
        </w:tc>
        <w:tc>
          <w:tcPr>
            <w:tcW w:w="850" w:type="dxa"/>
            <w:shd w:val="clear" w:color="auto" w:fill="auto"/>
          </w:tcPr>
          <w:p w14:paraId="08FED70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10,194</w:t>
            </w:r>
          </w:p>
        </w:tc>
        <w:tc>
          <w:tcPr>
            <w:tcW w:w="850" w:type="dxa"/>
            <w:shd w:val="clear" w:color="auto" w:fill="auto"/>
          </w:tcPr>
          <w:p w14:paraId="338B5AB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3,690</w:t>
            </w:r>
          </w:p>
        </w:tc>
        <w:tc>
          <w:tcPr>
            <w:tcW w:w="850" w:type="dxa"/>
            <w:shd w:val="clear" w:color="auto" w:fill="auto"/>
          </w:tcPr>
          <w:p w14:paraId="0424FDE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2,000</w:t>
            </w:r>
          </w:p>
        </w:tc>
        <w:tc>
          <w:tcPr>
            <w:tcW w:w="850" w:type="dxa"/>
            <w:shd w:val="clear" w:color="auto" w:fill="auto"/>
          </w:tcPr>
          <w:p w14:paraId="1A2D0FF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DCB0F90"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220D91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15,884</w:t>
            </w:r>
          </w:p>
        </w:tc>
      </w:tr>
      <w:tr w:rsidR="005958CD" w:rsidRPr="00704BD4" w14:paraId="6961BBE5" w14:textId="77777777" w:rsidTr="00C52D24">
        <w:trPr>
          <w:trHeight w:val="156"/>
          <w:jc w:val="center"/>
        </w:trPr>
        <w:tc>
          <w:tcPr>
            <w:tcW w:w="3798" w:type="dxa"/>
            <w:shd w:val="clear" w:color="auto" w:fill="auto"/>
            <w:vAlign w:val="center"/>
          </w:tcPr>
          <w:p w14:paraId="0143734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Building a better city - City precinct improvements</w:t>
            </w:r>
          </w:p>
        </w:tc>
        <w:tc>
          <w:tcPr>
            <w:tcW w:w="850" w:type="dxa"/>
            <w:shd w:val="clear" w:color="auto" w:fill="auto"/>
          </w:tcPr>
          <w:p w14:paraId="13AB5A7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385</w:t>
            </w:r>
          </w:p>
        </w:tc>
        <w:tc>
          <w:tcPr>
            <w:tcW w:w="850" w:type="dxa"/>
            <w:shd w:val="clear" w:color="auto" w:fill="auto"/>
          </w:tcPr>
          <w:p w14:paraId="2FBA6CF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DF3D82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EB80EC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61B7F68"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7F3A730"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385</w:t>
            </w:r>
          </w:p>
        </w:tc>
      </w:tr>
      <w:tr w:rsidR="005958CD" w:rsidRPr="00704BD4" w14:paraId="2F770BCE" w14:textId="77777777" w:rsidTr="00C52D24">
        <w:trPr>
          <w:trHeight w:val="156"/>
          <w:jc w:val="center"/>
        </w:trPr>
        <w:tc>
          <w:tcPr>
            <w:tcW w:w="3798" w:type="dxa"/>
            <w:shd w:val="clear" w:color="auto" w:fill="auto"/>
            <w:vAlign w:val="center"/>
          </w:tcPr>
          <w:p w14:paraId="657229C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Local Roads Community Infrastructure Program</w:t>
            </w:r>
          </w:p>
        </w:tc>
        <w:tc>
          <w:tcPr>
            <w:tcW w:w="850" w:type="dxa"/>
            <w:shd w:val="clear" w:color="auto" w:fill="auto"/>
          </w:tcPr>
          <w:p w14:paraId="67B91B6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709</w:t>
            </w:r>
          </w:p>
        </w:tc>
        <w:tc>
          <w:tcPr>
            <w:tcW w:w="850" w:type="dxa"/>
            <w:shd w:val="clear" w:color="auto" w:fill="auto"/>
          </w:tcPr>
          <w:p w14:paraId="435DC23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EEFC85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FE572B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06ED0D7"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64E9356"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709</w:t>
            </w:r>
          </w:p>
        </w:tc>
      </w:tr>
      <w:tr w:rsidR="005958CD" w:rsidRPr="00704BD4" w14:paraId="6BB12AEA" w14:textId="77777777" w:rsidTr="00C52D24">
        <w:trPr>
          <w:trHeight w:val="156"/>
          <w:jc w:val="center"/>
        </w:trPr>
        <w:tc>
          <w:tcPr>
            <w:tcW w:w="3798" w:type="dxa"/>
            <w:shd w:val="clear" w:color="auto" w:fill="auto"/>
            <w:vAlign w:val="center"/>
          </w:tcPr>
          <w:p w14:paraId="050CB535"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City Renewal Precinct activation projects</w:t>
            </w:r>
          </w:p>
        </w:tc>
        <w:tc>
          <w:tcPr>
            <w:tcW w:w="850" w:type="dxa"/>
            <w:shd w:val="clear" w:color="auto" w:fill="auto"/>
          </w:tcPr>
          <w:p w14:paraId="53905DC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935</w:t>
            </w:r>
          </w:p>
        </w:tc>
        <w:tc>
          <w:tcPr>
            <w:tcW w:w="850" w:type="dxa"/>
            <w:shd w:val="clear" w:color="auto" w:fill="auto"/>
          </w:tcPr>
          <w:p w14:paraId="646AD65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252</w:t>
            </w:r>
          </w:p>
        </w:tc>
        <w:tc>
          <w:tcPr>
            <w:tcW w:w="850" w:type="dxa"/>
            <w:shd w:val="clear" w:color="auto" w:fill="auto"/>
          </w:tcPr>
          <w:p w14:paraId="71ACA34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593</w:t>
            </w:r>
          </w:p>
        </w:tc>
        <w:tc>
          <w:tcPr>
            <w:tcW w:w="850" w:type="dxa"/>
            <w:shd w:val="clear" w:color="auto" w:fill="auto"/>
          </w:tcPr>
          <w:p w14:paraId="07011AC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06C6C67"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A8782C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1,780</w:t>
            </w:r>
          </w:p>
        </w:tc>
      </w:tr>
      <w:tr w:rsidR="005958CD" w:rsidRPr="00704BD4" w14:paraId="6ADCB295" w14:textId="77777777" w:rsidTr="00C52D24">
        <w:trPr>
          <w:trHeight w:val="156"/>
          <w:jc w:val="center"/>
        </w:trPr>
        <w:tc>
          <w:tcPr>
            <w:tcW w:w="3798" w:type="dxa"/>
            <w:shd w:val="clear" w:color="auto" w:fill="auto"/>
            <w:vAlign w:val="center"/>
          </w:tcPr>
          <w:p w14:paraId="06C8414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Renewing Canberra's City heart</w:t>
            </w:r>
          </w:p>
        </w:tc>
        <w:tc>
          <w:tcPr>
            <w:tcW w:w="850" w:type="dxa"/>
            <w:shd w:val="clear" w:color="auto" w:fill="auto"/>
          </w:tcPr>
          <w:p w14:paraId="4B7E0F3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3,690</w:t>
            </w:r>
          </w:p>
        </w:tc>
        <w:tc>
          <w:tcPr>
            <w:tcW w:w="850" w:type="dxa"/>
            <w:shd w:val="clear" w:color="auto" w:fill="auto"/>
          </w:tcPr>
          <w:p w14:paraId="3E19E467"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11,388</w:t>
            </w:r>
          </w:p>
        </w:tc>
        <w:tc>
          <w:tcPr>
            <w:tcW w:w="850" w:type="dxa"/>
            <w:shd w:val="clear" w:color="auto" w:fill="auto"/>
          </w:tcPr>
          <w:p w14:paraId="025C2B3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3,158</w:t>
            </w:r>
          </w:p>
        </w:tc>
        <w:tc>
          <w:tcPr>
            <w:tcW w:w="850" w:type="dxa"/>
            <w:shd w:val="clear" w:color="auto" w:fill="auto"/>
          </w:tcPr>
          <w:p w14:paraId="24F1E699"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F282F5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3ADBA9B"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18,236</w:t>
            </w:r>
          </w:p>
        </w:tc>
      </w:tr>
      <w:tr w:rsidR="005958CD" w:rsidRPr="00704BD4" w14:paraId="3E96C1D7" w14:textId="77777777" w:rsidTr="00C52D24">
        <w:trPr>
          <w:trHeight w:val="156"/>
          <w:jc w:val="center"/>
        </w:trPr>
        <w:tc>
          <w:tcPr>
            <w:tcW w:w="3798" w:type="dxa"/>
            <w:shd w:val="clear" w:color="auto" w:fill="auto"/>
            <w:vAlign w:val="center"/>
          </w:tcPr>
          <w:p w14:paraId="2FBBFC16"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59C29881"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15,913</w:t>
            </w:r>
          </w:p>
        </w:tc>
        <w:tc>
          <w:tcPr>
            <w:tcW w:w="850" w:type="dxa"/>
            <w:shd w:val="clear" w:color="auto" w:fill="auto"/>
          </w:tcPr>
          <w:p w14:paraId="196175C4"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15,330</w:t>
            </w:r>
          </w:p>
        </w:tc>
        <w:tc>
          <w:tcPr>
            <w:tcW w:w="850" w:type="dxa"/>
            <w:shd w:val="clear" w:color="auto" w:fill="auto"/>
          </w:tcPr>
          <w:p w14:paraId="4AEF9F11"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5,751</w:t>
            </w:r>
          </w:p>
        </w:tc>
        <w:tc>
          <w:tcPr>
            <w:tcW w:w="850" w:type="dxa"/>
            <w:shd w:val="clear" w:color="auto" w:fill="auto"/>
          </w:tcPr>
          <w:p w14:paraId="65B63839"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tcPr>
          <w:p w14:paraId="1A97D5E0"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0</w:t>
            </w:r>
          </w:p>
        </w:tc>
        <w:tc>
          <w:tcPr>
            <w:tcW w:w="1020" w:type="dxa"/>
            <w:shd w:val="clear" w:color="auto" w:fill="auto"/>
          </w:tcPr>
          <w:p w14:paraId="4DF4ACD2"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36,994</w:t>
            </w:r>
          </w:p>
        </w:tc>
      </w:tr>
      <w:tr w:rsidR="005958CD" w:rsidRPr="00704BD4" w14:paraId="15C40856" w14:textId="77777777" w:rsidTr="00C52D24">
        <w:trPr>
          <w:trHeight w:val="156"/>
          <w:jc w:val="center"/>
        </w:trPr>
        <w:tc>
          <w:tcPr>
            <w:tcW w:w="3798" w:type="dxa"/>
            <w:shd w:val="clear" w:color="auto" w:fill="auto"/>
            <w:vAlign w:val="center"/>
          </w:tcPr>
          <w:p w14:paraId="38972EDF"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b/>
                <w:bCs/>
                <w:sz w:val="18"/>
                <w:szCs w:val="18"/>
                <w:lang w:eastAsia="en-AU"/>
              </w:rPr>
              <w:t>Community Services Directorate</w:t>
            </w:r>
          </w:p>
        </w:tc>
        <w:tc>
          <w:tcPr>
            <w:tcW w:w="850" w:type="dxa"/>
            <w:shd w:val="clear" w:color="auto" w:fill="auto"/>
          </w:tcPr>
          <w:p w14:paraId="1AEDEBB8"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3478A8FE"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13F7E620"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shd w:val="clear" w:color="auto" w:fill="auto"/>
          </w:tcPr>
          <w:p w14:paraId="284428E7" w14:textId="77777777" w:rsidR="005958CD" w:rsidRPr="00704BD4" w:rsidRDefault="005958CD" w:rsidP="00C52D24">
            <w:pPr>
              <w:pStyle w:val="Btablefigureunbold"/>
              <w:rPr>
                <w:rFonts w:eastAsia="Times New Roman" w:cs="Calibri"/>
                <w:b/>
                <w:color w:val="472D8C"/>
                <w:sz w:val="18"/>
                <w:szCs w:val="18"/>
                <w:lang w:eastAsia="en-AU"/>
              </w:rPr>
            </w:pPr>
          </w:p>
        </w:tc>
        <w:tc>
          <w:tcPr>
            <w:tcW w:w="850" w:type="dxa"/>
          </w:tcPr>
          <w:p w14:paraId="59E1E023" w14:textId="77777777" w:rsidR="005958CD" w:rsidRPr="00704BD4" w:rsidRDefault="005958CD" w:rsidP="00C52D24">
            <w:pPr>
              <w:pStyle w:val="BTableHeadingRowRightAligned"/>
              <w:rPr>
                <w:rFonts w:eastAsia="Times New Roman" w:cs="Calibri"/>
                <w:b w:val="0"/>
                <w:bCs/>
                <w:color w:val="472D8C"/>
                <w:sz w:val="18"/>
                <w:szCs w:val="18"/>
                <w:lang w:eastAsia="en-AU"/>
              </w:rPr>
            </w:pPr>
          </w:p>
        </w:tc>
        <w:tc>
          <w:tcPr>
            <w:tcW w:w="1020" w:type="dxa"/>
            <w:shd w:val="clear" w:color="auto" w:fill="auto"/>
          </w:tcPr>
          <w:p w14:paraId="49607DB9" w14:textId="77777777" w:rsidR="005958CD" w:rsidRPr="00704BD4" w:rsidRDefault="005958CD" w:rsidP="00C52D24">
            <w:pPr>
              <w:pStyle w:val="BTableHeadingRowRightAligned"/>
              <w:rPr>
                <w:rFonts w:eastAsia="Times New Roman" w:cs="Calibri"/>
                <w:color w:val="472D8C"/>
                <w:sz w:val="18"/>
                <w:szCs w:val="18"/>
                <w:lang w:eastAsia="en-AU"/>
              </w:rPr>
            </w:pPr>
          </w:p>
        </w:tc>
      </w:tr>
      <w:tr w:rsidR="005958CD" w:rsidRPr="00704BD4" w14:paraId="2AA59ED1" w14:textId="77777777" w:rsidTr="00C52D24">
        <w:trPr>
          <w:trHeight w:val="156"/>
          <w:jc w:val="center"/>
        </w:trPr>
        <w:tc>
          <w:tcPr>
            <w:tcW w:w="3798" w:type="dxa"/>
            <w:shd w:val="clear" w:color="auto" w:fill="auto"/>
            <w:vAlign w:val="center"/>
          </w:tcPr>
          <w:p w14:paraId="1C8094D3"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Building facilities for Gugan Gulwan Youth Aboriginal Corporation</w:t>
            </w:r>
          </w:p>
        </w:tc>
        <w:tc>
          <w:tcPr>
            <w:tcW w:w="850" w:type="dxa"/>
            <w:shd w:val="clear" w:color="auto" w:fill="auto"/>
          </w:tcPr>
          <w:p w14:paraId="0BDA245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497</w:t>
            </w:r>
          </w:p>
        </w:tc>
        <w:tc>
          <w:tcPr>
            <w:tcW w:w="850" w:type="dxa"/>
            <w:shd w:val="clear" w:color="auto" w:fill="auto"/>
          </w:tcPr>
          <w:p w14:paraId="4AB1E91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647E103"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E8FF8C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4477EB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5D655C8"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497</w:t>
            </w:r>
          </w:p>
        </w:tc>
      </w:tr>
      <w:tr w:rsidR="005958CD" w:rsidRPr="00704BD4" w14:paraId="16FF5F4D" w14:textId="77777777" w:rsidTr="00C52D24">
        <w:trPr>
          <w:trHeight w:val="156"/>
          <w:jc w:val="center"/>
        </w:trPr>
        <w:tc>
          <w:tcPr>
            <w:tcW w:w="3798" w:type="dxa"/>
            <w:shd w:val="clear" w:color="auto" w:fill="auto"/>
            <w:vAlign w:val="center"/>
          </w:tcPr>
          <w:p w14:paraId="2ECA848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Child and Youth Record Information System completion</w:t>
            </w:r>
          </w:p>
        </w:tc>
        <w:tc>
          <w:tcPr>
            <w:tcW w:w="850" w:type="dxa"/>
            <w:shd w:val="clear" w:color="auto" w:fill="auto"/>
          </w:tcPr>
          <w:p w14:paraId="2A4A14C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602</w:t>
            </w:r>
          </w:p>
        </w:tc>
        <w:tc>
          <w:tcPr>
            <w:tcW w:w="850" w:type="dxa"/>
            <w:shd w:val="clear" w:color="auto" w:fill="auto"/>
          </w:tcPr>
          <w:p w14:paraId="770B7D1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ECBC0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39A6437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A7774E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3CC12F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602</w:t>
            </w:r>
          </w:p>
        </w:tc>
      </w:tr>
      <w:tr w:rsidR="005958CD" w:rsidRPr="00704BD4" w14:paraId="4494D60B" w14:textId="77777777" w:rsidTr="00C52D24">
        <w:trPr>
          <w:trHeight w:val="156"/>
          <w:jc w:val="center"/>
        </w:trPr>
        <w:tc>
          <w:tcPr>
            <w:tcW w:w="3798" w:type="dxa"/>
            <w:shd w:val="clear" w:color="auto" w:fill="auto"/>
            <w:vAlign w:val="center"/>
          </w:tcPr>
          <w:p w14:paraId="5DF7C5D7"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Data System to support Death Review</w:t>
            </w:r>
          </w:p>
        </w:tc>
        <w:tc>
          <w:tcPr>
            <w:tcW w:w="850" w:type="dxa"/>
            <w:shd w:val="clear" w:color="auto" w:fill="auto"/>
          </w:tcPr>
          <w:p w14:paraId="056DC42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200</w:t>
            </w:r>
          </w:p>
        </w:tc>
        <w:tc>
          <w:tcPr>
            <w:tcW w:w="850" w:type="dxa"/>
            <w:shd w:val="clear" w:color="auto" w:fill="auto"/>
          </w:tcPr>
          <w:p w14:paraId="5F0A564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A9D647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323442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2AFA64BC"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2F74EBF"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200</w:t>
            </w:r>
          </w:p>
        </w:tc>
      </w:tr>
      <w:tr w:rsidR="005958CD" w:rsidRPr="00704BD4" w14:paraId="5F4D6EBE" w14:textId="77777777" w:rsidTr="00C52D24">
        <w:trPr>
          <w:trHeight w:val="156"/>
          <w:jc w:val="center"/>
        </w:trPr>
        <w:tc>
          <w:tcPr>
            <w:tcW w:w="3798" w:type="dxa"/>
            <w:shd w:val="clear" w:color="auto" w:fill="auto"/>
            <w:vAlign w:val="center"/>
          </w:tcPr>
          <w:p w14:paraId="1CE449FA"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 xml:space="preserve">Maintaining systems supporting practice </w:t>
            </w:r>
          </w:p>
        </w:tc>
        <w:tc>
          <w:tcPr>
            <w:tcW w:w="850" w:type="dxa"/>
            <w:shd w:val="clear" w:color="auto" w:fill="auto"/>
          </w:tcPr>
          <w:p w14:paraId="7CF6B77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797</w:t>
            </w:r>
          </w:p>
        </w:tc>
        <w:tc>
          <w:tcPr>
            <w:tcW w:w="850" w:type="dxa"/>
            <w:shd w:val="clear" w:color="auto" w:fill="auto"/>
          </w:tcPr>
          <w:p w14:paraId="1FE91A3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C9E61B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3170E0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6831CDB"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EF6DB7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797</w:t>
            </w:r>
          </w:p>
        </w:tc>
      </w:tr>
      <w:tr w:rsidR="005958CD" w:rsidRPr="00704BD4" w14:paraId="50C93327" w14:textId="77777777" w:rsidTr="00C52D24">
        <w:trPr>
          <w:trHeight w:val="156"/>
          <w:jc w:val="center"/>
        </w:trPr>
        <w:tc>
          <w:tcPr>
            <w:tcW w:w="3798" w:type="dxa"/>
            <w:shd w:val="clear" w:color="auto" w:fill="auto"/>
            <w:vAlign w:val="center"/>
          </w:tcPr>
          <w:p w14:paraId="389E500E"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Moving delivery of more community services online</w:t>
            </w:r>
          </w:p>
        </w:tc>
        <w:tc>
          <w:tcPr>
            <w:tcW w:w="850" w:type="dxa"/>
            <w:shd w:val="clear" w:color="auto" w:fill="auto"/>
          </w:tcPr>
          <w:p w14:paraId="2C720B8B"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1,185</w:t>
            </w:r>
          </w:p>
        </w:tc>
        <w:tc>
          <w:tcPr>
            <w:tcW w:w="850" w:type="dxa"/>
            <w:shd w:val="clear" w:color="auto" w:fill="auto"/>
          </w:tcPr>
          <w:p w14:paraId="2E31A0E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0F6636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474F798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4EF6CC9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D14C4A7"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1,185</w:t>
            </w:r>
          </w:p>
        </w:tc>
      </w:tr>
      <w:tr w:rsidR="005958CD" w:rsidRPr="00704BD4" w14:paraId="31713D3D" w14:textId="77777777" w:rsidTr="00C52D24">
        <w:trPr>
          <w:trHeight w:val="156"/>
          <w:jc w:val="center"/>
        </w:trPr>
        <w:tc>
          <w:tcPr>
            <w:tcW w:w="3798" w:type="dxa"/>
            <w:shd w:val="clear" w:color="auto" w:fill="auto"/>
            <w:vAlign w:val="center"/>
          </w:tcPr>
          <w:p w14:paraId="51BC3C01"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Senior Practitioner Information Management System</w:t>
            </w:r>
          </w:p>
        </w:tc>
        <w:tc>
          <w:tcPr>
            <w:tcW w:w="850" w:type="dxa"/>
            <w:shd w:val="clear" w:color="auto" w:fill="auto"/>
          </w:tcPr>
          <w:p w14:paraId="3D56CE3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18</w:t>
            </w:r>
          </w:p>
        </w:tc>
        <w:tc>
          <w:tcPr>
            <w:tcW w:w="850" w:type="dxa"/>
            <w:shd w:val="clear" w:color="auto" w:fill="auto"/>
          </w:tcPr>
          <w:p w14:paraId="4632551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3F670C1"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70504E1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3D0A81D"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6CE3FC6"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18</w:t>
            </w:r>
          </w:p>
        </w:tc>
      </w:tr>
      <w:tr w:rsidR="005958CD" w:rsidRPr="00704BD4" w14:paraId="52A26610" w14:textId="77777777" w:rsidTr="00C52D24">
        <w:trPr>
          <w:trHeight w:val="156"/>
          <w:jc w:val="center"/>
        </w:trPr>
        <w:tc>
          <w:tcPr>
            <w:tcW w:w="3798" w:type="dxa"/>
            <w:shd w:val="clear" w:color="auto" w:fill="auto"/>
            <w:vAlign w:val="center"/>
          </w:tcPr>
          <w:p w14:paraId="60470A60"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Strengthening specialist capacity at Bimberi Youth Justice Centre</w:t>
            </w:r>
          </w:p>
        </w:tc>
        <w:tc>
          <w:tcPr>
            <w:tcW w:w="850" w:type="dxa"/>
            <w:shd w:val="clear" w:color="auto" w:fill="auto"/>
          </w:tcPr>
          <w:p w14:paraId="2065EE14"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3</w:t>
            </w:r>
          </w:p>
        </w:tc>
        <w:tc>
          <w:tcPr>
            <w:tcW w:w="850" w:type="dxa"/>
            <w:shd w:val="clear" w:color="auto" w:fill="auto"/>
          </w:tcPr>
          <w:p w14:paraId="016B29A5"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7295126"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571AC6BE"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3947453F"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E38585A"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3</w:t>
            </w:r>
          </w:p>
        </w:tc>
      </w:tr>
      <w:tr w:rsidR="005958CD" w:rsidRPr="00704BD4" w14:paraId="584AB3EA" w14:textId="77777777" w:rsidTr="00C52D24">
        <w:trPr>
          <w:trHeight w:val="156"/>
          <w:jc w:val="center"/>
        </w:trPr>
        <w:tc>
          <w:tcPr>
            <w:tcW w:w="3798" w:type="dxa"/>
            <w:shd w:val="clear" w:color="auto" w:fill="auto"/>
            <w:vAlign w:val="center"/>
          </w:tcPr>
          <w:p w14:paraId="3B3246E9"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12D71CFB"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3,302</w:t>
            </w:r>
          </w:p>
        </w:tc>
        <w:tc>
          <w:tcPr>
            <w:tcW w:w="850" w:type="dxa"/>
            <w:shd w:val="clear" w:color="auto" w:fill="auto"/>
          </w:tcPr>
          <w:p w14:paraId="617F95D5"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shd w:val="clear" w:color="auto" w:fill="auto"/>
          </w:tcPr>
          <w:p w14:paraId="76A4059C"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shd w:val="clear" w:color="auto" w:fill="auto"/>
          </w:tcPr>
          <w:p w14:paraId="0D782DD5"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tcPr>
          <w:p w14:paraId="5682F71B"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0</w:t>
            </w:r>
          </w:p>
        </w:tc>
        <w:tc>
          <w:tcPr>
            <w:tcW w:w="1020" w:type="dxa"/>
            <w:shd w:val="clear" w:color="auto" w:fill="auto"/>
          </w:tcPr>
          <w:p w14:paraId="794E9F85"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3,302</w:t>
            </w:r>
          </w:p>
        </w:tc>
      </w:tr>
      <w:tr w:rsidR="005958CD" w:rsidRPr="00704BD4" w14:paraId="23BBC744" w14:textId="77777777" w:rsidTr="00C52D24">
        <w:trPr>
          <w:trHeight w:val="156"/>
          <w:jc w:val="center"/>
        </w:trPr>
        <w:tc>
          <w:tcPr>
            <w:tcW w:w="3798" w:type="dxa"/>
            <w:shd w:val="clear" w:color="auto" w:fill="auto"/>
            <w:vAlign w:val="center"/>
          </w:tcPr>
          <w:p w14:paraId="44E508ED"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Cultural Facilities Corporation</w:t>
            </w:r>
          </w:p>
        </w:tc>
        <w:tc>
          <w:tcPr>
            <w:tcW w:w="850" w:type="dxa"/>
            <w:shd w:val="clear" w:color="auto" w:fill="auto"/>
          </w:tcPr>
          <w:p w14:paraId="21943BAC" w14:textId="77777777" w:rsidR="005958CD" w:rsidRPr="00704BD4" w:rsidRDefault="005958CD" w:rsidP="00C52D24">
            <w:pPr>
              <w:pStyle w:val="Btablefigureunbold"/>
              <w:rPr>
                <w:rFonts w:eastAsia="Times New Roman" w:cs="Calibri"/>
                <w:b/>
                <w:bCs/>
                <w:color w:val="472D8C"/>
                <w:sz w:val="18"/>
                <w:szCs w:val="18"/>
                <w:lang w:eastAsia="en-AU"/>
              </w:rPr>
            </w:pPr>
          </w:p>
        </w:tc>
        <w:tc>
          <w:tcPr>
            <w:tcW w:w="850" w:type="dxa"/>
            <w:shd w:val="clear" w:color="auto" w:fill="auto"/>
          </w:tcPr>
          <w:p w14:paraId="4EC20B94" w14:textId="77777777" w:rsidR="005958CD" w:rsidRPr="00704BD4" w:rsidRDefault="005958CD" w:rsidP="00C52D24">
            <w:pPr>
              <w:pStyle w:val="Btablefigureunbold"/>
              <w:rPr>
                <w:rFonts w:eastAsia="Times New Roman" w:cs="Calibri"/>
                <w:b/>
                <w:bCs/>
                <w:color w:val="472D8C"/>
                <w:sz w:val="18"/>
                <w:szCs w:val="18"/>
                <w:lang w:eastAsia="en-AU"/>
              </w:rPr>
            </w:pPr>
          </w:p>
        </w:tc>
        <w:tc>
          <w:tcPr>
            <w:tcW w:w="850" w:type="dxa"/>
            <w:shd w:val="clear" w:color="auto" w:fill="auto"/>
          </w:tcPr>
          <w:p w14:paraId="0542FB4B" w14:textId="77777777" w:rsidR="005958CD" w:rsidRPr="00704BD4" w:rsidRDefault="005958CD" w:rsidP="00C52D24">
            <w:pPr>
              <w:pStyle w:val="Btablefigureunbold"/>
              <w:rPr>
                <w:rFonts w:eastAsia="Times New Roman" w:cs="Calibri"/>
                <w:b/>
                <w:bCs/>
                <w:color w:val="472D8C"/>
                <w:sz w:val="18"/>
                <w:szCs w:val="18"/>
                <w:lang w:eastAsia="en-AU"/>
              </w:rPr>
            </w:pPr>
          </w:p>
        </w:tc>
        <w:tc>
          <w:tcPr>
            <w:tcW w:w="850" w:type="dxa"/>
            <w:shd w:val="clear" w:color="auto" w:fill="auto"/>
          </w:tcPr>
          <w:p w14:paraId="75AF2D81" w14:textId="77777777" w:rsidR="005958CD" w:rsidRPr="00704BD4" w:rsidRDefault="005958CD" w:rsidP="00C52D24">
            <w:pPr>
              <w:pStyle w:val="Btablefigureunbold"/>
              <w:rPr>
                <w:rFonts w:eastAsia="Times New Roman" w:cs="Calibri"/>
                <w:b/>
                <w:bCs/>
                <w:color w:val="472D8C"/>
                <w:sz w:val="18"/>
                <w:szCs w:val="18"/>
                <w:lang w:eastAsia="en-AU"/>
              </w:rPr>
            </w:pPr>
          </w:p>
        </w:tc>
        <w:tc>
          <w:tcPr>
            <w:tcW w:w="850" w:type="dxa"/>
          </w:tcPr>
          <w:p w14:paraId="5C71B615" w14:textId="77777777" w:rsidR="005958CD" w:rsidRPr="00704BD4" w:rsidRDefault="005958CD" w:rsidP="00C52D24">
            <w:pPr>
              <w:pStyle w:val="BTableHeadingRowRightAligned"/>
              <w:rPr>
                <w:rFonts w:eastAsia="Times New Roman" w:cs="Calibri"/>
                <w:bCs/>
                <w:color w:val="472D8C"/>
                <w:sz w:val="18"/>
                <w:szCs w:val="18"/>
                <w:lang w:eastAsia="en-AU"/>
              </w:rPr>
            </w:pPr>
          </w:p>
        </w:tc>
        <w:tc>
          <w:tcPr>
            <w:tcW w:w="1020" w:type="dxa"/>
            <w:shd w:val="clear" w:color="auto" w:fill="auto"/>
          </w:tcPr>
          <w:p w14:paraId="1163262A" w14:textId="77777777" w:rsidR="005958CD" w:rsidRPr="00704BD4" w:rsidRDefault="005958CD" w:rsidP="00C52D24">
            <w:pPr>
              <w:pStyle w:val="BTableHeadingRowRightAligned"/>
              <w:rPr>
                <w:rFonts w:eastAsia="Times New Roman" w:cs="Calibri"/>
                <w:bCs/>
                <w:color w:val="472D8C"/>
                <w:sz w:val="18"/>
                <w:szCs w:val="18"/>
                <w:lang w:eastAsia="en-AU"/>
              </w:rPr>
            </w:pPr>
          </w:p>
        </w:tc>
      </w:tr>
      <w:tr w:rsidR="005958CD" w:rsidRPr="00704BD4" w14:paraId="5AC39F6A" w14:textId="77777777" w:rsidTr="00C52D24">
        <w:trPr>
          <w:trHeight w:val="156"/>
          <w:jc w:val="center"/>
        </w:trPr>
        <w:tc>
          <w:tcPr>
            <w:tcW w:w="3798" w:type="dxa"/>
            <w:shd w:val="clear" w:color="auto" w:fill="auto"/>
            <w:vAlign w:val="center"/>
          </w:tcPr>
          <w:p w14:paraId="75D84368"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More jobs for our growing city - Upgrading the Canberra Theatre Centre</w:t>
            </w:r>
          </w:p>
        </w:tc>
        <w:tc>
          <w:tcPr>
            <w:tcW w:w="850" w:type="dxa"/>
            <w:shd w:val="clear" w:color="auto" w:fill="auto"/>
          </w:tcPr>
          <w:p w14:paraId="049EE67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110</w:t>
            </w:r>
          </w:p>
        </w:tc>
        <w:tc>
          <w:tcPr>
            <w:tcW w:w="850" w:type="dxa"/>
            <w:shd w:val="clear" w:color="auto" w:fill="auto"/>
          </w:tcPr>
          <w:p w14:paraId="5EFC3C78"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0DA8AE4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1B317AE2"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5443FB54"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F0DAD71"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110</w:t>
            </w:r>
          </w:p>
        </w:tc>
      </w:tr>
      <w:tr w:rsidR="005958CD" w:rsidRPr="00704BD4" w14:paraId="53F6557C" w14:textId="77777777" w:rsidTr="00C52D24">
        <w:trPr>
          <w:trHeight w:val="156"/>
          <w:jc w:val="center"/>
        </w:trPr>
        <w:tc>
          <w:tcPr>
            <w:tcW w:w="3798" w:type="dxa"/>
            <w:shd w:val="clear" w:color="auto" w:fill="auto"/>
            <w:vAlign w:val="center"/>
          </w:tcPr>
          <w:p w14:paraId="1DC79DC5" w14:textId="77777777" w:rsidR="005958CD" w:rsidRPr="00704BD4" w:rsidRDefault="005958CD" w:rsidP="00C52D24">
            <w:pPr>
              <w:pStyle w:val="BTabletext"/>
              <w:rPr>
                <w:rFonts w:eastAsia="Times New Roman" w:cs="Calibri"/>
                <w:b/>
                <w:color w:val="472D8C"/>
                <w:sz w:val="18"/>
                <w:szCs w:val="18"/>
                <w:lang w:eastAsia="en-AU"/>
              </w:rPr>
            </w:pPr>
            <w:r w:rsidRPr="00704BD4">
              <w:rPr>
                <w:rFonts w:eastAsia="Times New Roman" w:cs="Calibri"/>
                <w:sz w:val="18"/>
                <w:szCs w:val="18"/>
                <w:lang w:eastAsia="en-AU"/>
              </w:rPr>
              <w:t>Upgrading Lanyon Homestead</w:t>
            </w:r>
          </w:p>
        </w:tc>
        <w:tc>
          <w:tcPr>
            <w:tcW w:w="850" w:type="dxa"/>
            <w:shd w:val="clear" w:color="auto" w:fill="auto"/>
          </w:tcPr>
          <w:p w14:paraId="0DFC5680"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988</w:t>
            </w:r>
          </w:p>
        </w:tc>
        <w:tc>
          <w:tcPr>
            <w:tcW w:w="850" w:type="dxa"/>
            <w:shd w:val="clear" w:color="auto" w:fill="auto"/>
          </w:tcPr>
          <w:p w14:paraId="248F2E5D"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1,621</w:t>
            </w:r>
          </w:p>
        </w:tc>
        <w:tc>
          <w:tcPr>
            <w:tcW w:w="850" w:type="dxa"/>
            <w:shd w:val="clear" w:color="auto" w:fill="auto"/>
          </w:tcPr>
          <w:p w14:paraId="23F272AA"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shd w:val="clear" w:color="auto" w:fill="auto"/>
          </w:tcPr>
          <w:p w14:paraId="2725A52C" w14:textId="77777777" w:rsidR="005958CD" w:rsidRPr="00704BD4" w:rsidRDefault="005958CD" w:rsidP="00C52D24">
            <w:pPr>
              <w:pStyle w:val="Btablefigureunbold"/>
              <w:rPr>
                <w:rFonts w:eastAsia="Times New Roman" w:cs="Calibri"/>
                <w:b/>
                <w:color w:val="472D8C"/>
                <w:sz w:val="18"/>
                <w:szCs w:val="18"/>
                <w:lang w:eastAsia="en-AU"/>
              </w:rPr>
            </w:pPr>
            <w:r w:rsidRPr="00704BD4">
              <w:rPr>
                <w:rFonts w:eastAsia="Times New Roman" w:cs="Calibri"/>
                <w:sz w:val="18"/>
                <w:szCs w:val="18"/>
                <w:lang w:eastAsia="en-AU"/>
              </w:rPr>
              <w:t>0</w:t>
            </w:r>
          </w:p>
        </w:tc>
        <w:tc>
          <w:tcPr>
            <w:tcW w:w="850" w:type="dxa"/>
          </w:tcPr>
          <w:p w14:paraId="6A3E5269" w14:textId="77777777" w:rsidR="005958CD" w:rsidRPr="00704BD4" w:rsidRDefault="005958CD" w:rsidP="00C52D24">
            <w:pPr>
              <w:pStyle w:val="BTableHeadingRowRightAligned"/>
              <w:rPr>
                <w:rFonts w:eastAsia="Times New Roman" w:cs="Calibri"/>
                <w:b w:val="0"/>
                <w:bCs/>
                <w:color w:val="472D8C"/>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3EC86A5" w14:textId="77777777" w:rsidR="005958CD" w:rsidRPr="00704BD4" w:rsidRDefault="005958CD" w:rsidP="00C52D24">
            <w:pPr>
              <w:pStyle w:val="BTableHeadingRowRightAligned"/>
              <w:rPr>
                <w:rFonts w:eastAsia="Times New Roman" w:cs="Calibri"/>
                <w:color w:val="472D8C"/>
                <w:sz w:val="18"/>
                <w:szCs w:val="18"/>
                <w:lang w:eastAsia="en-AU"/>
              </w:rPr>
            </w:pPr>
            <w:r w:rsidRPr="00704BD4">
              <w:rPr>
                <w:rFonts w:eastAsia="Times New Roman" w:cs="Calibri"/>
                <w:sz w:val="18"/>
                <w:szCs w:val="18"/>
                <w:lang w:eastAsia="en-AU"/>
              </w:rPr>
              <w:t>2,609</w:t>
            </w:r>
          </w:p>
        </w:tc>
      </w:tr>
      <w:tr w:rsidR="005958CD" w:rsidRPr="00704BD4" w14:paraId="25C8BBC6" w14:textId="77777777" w:rsidTr="00C52D24">
        <w:trPr>
          <w:trHeight w:val="156"/>
          <w:jc w:val="center"/>
        </w:trPr>
        <w:tc>
          <w:tcPr>
            <w:tcW w:w="3798" w:type="dxa"/>
            <w:shd w:val="clear" w:color="auto" w:fill="auto"/>
            <w:vAlign w:val="center"/>
          </w:tcPr>
          <w:p w14:paraId="2C3A6577"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575363E4"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1,098</w:t>
            </w:r>
          </w:p>
        </w:tc>
        <w:tc>
          <w:tcPr>
            <w:tcW w:w="850" w:type="dxa"/>
            <w:shd w:val="clear" w:color="auto" w:fill="auto"/>
          </w:tcPr>
          <w:p w14:paraId="352BFD9E"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1,621</w:t>
            </w:r>
          </w:p>
        </w:tc>
        <w:tc>
          <w:tcPr>
            <w:tcW w:w="850" w:type="dxa"/>
            <w:shd w:val="clear" w:color="auto" w:fill="auto"/>
          </w:tcPr>
          <w:p w14:paraId="73AD5D6D"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shd w:val="clear" w:color="auto" w:fill="auto"/>
          </w:tcPr>
          <w:p w14:paraId="5CE6264B"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sz w:val="18"/>
                <w:szCs w:val="18"/>
                <w:lang w:eastAsia="en-AU"/>
              </w:rPr>
              <w:t>0</w:t>
            </w:r>
          </w:p>
        </w:tc>
        <w:tc>
          <w:tcPr>
            <w:tcW w:w="850" w:type="dxa"/>
          </w:tcPr>
          <w:p w14:paraId="0457E34A"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0</w:t>
            </w:r>
          </w:p>
        </w:tc>
        <w:tc>
          <w:tcPr>
            <w:tcW w:w="1020" w:type="dxa"/>
            <w:shd w:val="clear" w:color="auto" w:fill="auto"/>
          </w:tcPr>
          <w:p w14:paraId="3AB751C5"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sz w:val="18"/>
                <w:szCs w:val="18"/>
                <w:lang w:eastAsia="en-AU"/>
              </w:rPr>
              <w:t>2,719</w:t>
            </w:r>
          </w:p>
        </w:tc>
      </w:tr>
      <w:tr w:rsidR="005958CD" w:rsidRPr="00704BD4" w14:paraId="28B01AEB" w14:textId="77777777" w:rsidTr="00C52D24">
        <w:trPr>
          <w:trHeight w:val="156"/>
          <w:jc w:val="center"/>
        </w:trPr>
        <w:tc>
          <w:tcPr>
            <w:tcW w:w="3798" w:type="dxa"/>
            <w:shd w:val="clear" w:color="auto" w:fill="auto"/>
            <w:vAlign w:val="center"/>
          </w:tcPr>
          <w:p w14:paraId="20D8602A" w14:textId="77777777" w:rsidR="005958CD" w:rsidRPr="00704BD4" w:rsidRDefault="005958CD" w:rsidP="00C52D24">
            <w:pPr>
              <w:pStyle w:val="BTabletext"/>
              <w:rPr>
                <w:b/>
                <w:color w:val="472D8C"/>
                <w:sz w:val="18"/>
                <w:szCs w:val="18"/>
              </w:rPr>
            </w:pPr>
            <w:r w:rsidRPr="00704BD4">
              <w:rPr>
                <w:rFonts w:eastAsia="Times New Roman" w:cs="Calibri"/>
                <w:b/>
                <w:bCs/>
                <w:sz w:val="18"/>
                <w:szCs w:val="18"/>
                <w:lang w:eastAsia="en-AU"/>
              </w:rPr>
              <w:t>Education Directorate</w:t>
            </w:r>
          </w:p>
        </w:tc>
        <w:tc>
          <w:tcPr>
            <w:tcW w:w="850" w:type="dxa"/>
            <w:shd w:val="clear" w:color="auto" w:fill="auto"/>
          </w:tcPr>
          <w:p w14:paraId="27EDFECE" w14:textId="77777777" w:rsidR="005958CD" w:rsidRPr="00704BD4" w:rsidRDefault="005958CD" w:rsidP="00C52D24">
            <w:pPr>
              <w:pStyle w:val="Btablefigureunbold"/>
              <w:rPr>
                <w:b/>
                <w:color w:val="472D8C"/>
                <w:sz w:val="18"/>
                <w:szCs w:val="18"/>
              </w:rPr>
            </w:pPr>
          </w:p>
        </w:tc>
        <w:tc>
          <w:tcPr>
            <w:tcW w:w="850" w:type="dxa"/>
            <w:shd w:val="clear" w:color="auto" w:fill="auto"/>
          </w:tcPr>
          <w:p w14:paraId="7054EC9D" w14:textId="77777777" w:rsidR="005958CD" w:rsidRPr="00704BD4" w:rsidRDefault="005958CD" w:rsidP="00C52D24">
            <w:pPr>
              <w:pStyle w:val="Btablefigureunbold"/>
              <w:rPr>
                <w:b/>
                <w:color w:val="472D8C"/>
                <w:sz w:val="18"/>
                <w:szCs w:val="18"/>
              </w:rPr>
            </w:pPr>
          </w:p>
        </w:tc>
        <w:tc>
          <w:tcPr>
            <w:tcW w:w="850" w:type="dxa"/>
            <w:shd w:val="clear" w:color="auto" w:fill="auto"/>
          </w:tcPr>
          <w:p w14:paraId="050643B1" w14:textId="77777777" w:rsidR="005958CD" w:rsidRPr="00704BD4" w:rsidRDefault="005958CD" w:rsidP="00C52D24">
            <w:pPr>
              <w:pStyle w:val="Btablefigureunbold"/>
              <w:rPr>
                <w:b/>
                <w:color w:val="472D8C"/>
                <w:sz w:val="18"/>
                <w:szCs w:val="18"/>
              </w:rPr>
            </w:pPr>
          </w:p>
        </w:tc>
        <w:tc>
          <w:tcPr>
            <w:tcW w:w="850" w:type="dxa"/>
            <w:shd w:val="clear" w:color="auto" w:fill="auto"/>
          </w:tcPr>
          <w:p w14:paraId="5C5F8C21" w14:textId="77777777" w:rsidR="005958CD" w:rsidRPr="00704BD4" w:rsidRDefault="005958CD" w:rsidP="00C52D24">
            <w:pPr>
              <w:pStyle w:val="Btablefigureunbold"/>
              <w:rPr>
                <w:b/>
                <w:color w:val="472D8C"/>
                <w:sz w:val="18"/>
                <w:szCs w:val="18"/>
              </w:rPr>
            </w:pPr>
          </w:p>
        </w:tc>
        <w:tc>
          <w:tcPr>
            <w:tcW w:w="850" w:type="dxa"/>
          </w:tcPr>
          <w:p w14:paraId="588FBBFB" w14:textId="77777777" w:rsidR="005958CD" w:rsidRPr="00704BD4" w:rsidRDefault="005958CD" w:rsidP="00C52D24">
            <w:pPr>
              <w:pStyle w:val="BTableHeadingRowRightAligned"/>
              <w:rPr>
                <w:b w:val="0"/>
                <w:bCs/>
                <w:color w:val="472D8C"/>
                <w:sz w:val="18"/>
                <w:szCs w:val="18"/>
              </w:rPr>
            </w:pPr>
          </w:p>
        </w:tc>
        <w:tc>
          <w:tcPr>
            <w:tcW w:w="1020" w:type="dxa"/>
            <w:shd w:val="clear" w:color="auto" w:fill="auto"/>
          </w:tcPr>
          <w:p w14:paraId="1D2B7EE7" w14:textId="77777777" w:rsidR="005958CD" w:rsidRPr="00704BD4" w:rsidRDefault="005958CD" w:rsidP="00C52D24">
            <w:pPr>
              <w:pStyle w:val="BTableHeadingRowRightAligned"/>
              <w:rPr>
                <w:color w:val="472D8C"/>
                <w:sz w:val="18"/>
                <w:szCs w:val="18"/>
              </w:rPr>
            </w:pPr>
          </w:p>
        </w:tc>
      </w:tr>
      <w:tr w:rsidR="005958CD" w:rsidRPr="00704BD4" w14:paraId="777AA1FA" w14:textId="77777777" w:rsidTr="00C52D24">
        <w:trPr>
          <w:trHeight w:val="156"/>
          <w:jc w:val="center"/>
        </w:trPr>
        <w:tc>
          <w:tcPr>
            <w:tcW w:w="3798" w:type="dxa"/>
            <w:shd w:val="clear" w:color="auto" w:fill="auto"/>
            <w:vAlign w:val="center"/>
          </w:tcPr>
          <w:p w14:paraId="0705694A" w14:textId="77777777" w:rsidR="005958CD" w:rsidRPr="00704BD4" w:rsidRDefault="005958CD" w:rsidP="00C52D24">
            <w:pPr>
              <w:pStyle w:val="BTabletext"/>
              <w:rPr>
                <w:sz w:val="18"/>
                <w:szCs w:val="18"/>
              </w:rPr>
            </w:pPr>
            <w:r w:rsidRPr="00704BD4">
              <w:rPr>
                <w:rFonts w:eastAsia="Times New Roman" w:cs="Calibri"/>
                <w:sz w:val="18"/>
                <w:szCs w:val="18"/>
                <w:lang w:eastAsia="en-AU"/>
              </w:rPr>
              <w:t>Planning for Canberra’s Future School Needs</w:t>
            </w:r>
          </w:p>
        </w:tc>
        <w:tc>
          <w:tcPr>
            <w:tcW w:w="850" w:type="dxa"/>
            <w:shd w:val="clear" w:color="auto" w:fill="auto"/>
          </w:tcPr>
          <w:p w14:paraId="75A4ED0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55</w:t>
            </w:r>
          </w:p>
        </w:tc>
        <w:tc>
          <w:tcPr>
            <w:tcW w:w="850" w:type="dxa"/>
            <w:shd w:val="clear" w:color="auto" w:fill="auto"/>
          </w:tcPr>
          <w:p w14:paraId="5326521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028959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FFEF1F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2961242"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24761AB"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55</w:t>
            </w:r>
          </w:p>
        </w:tc>
      </w:tr>
      <w:tr w:rsidR="005958CD" w:rsidRPr="00704BD4" w14:paraId="5FED3CCA" w14:textId="77777777" w:rsidTr="00C52D24">
        <w:trPr>
          <w:trHeight w:val="156"/>
          <w:jc w:val="center"/>
        </w:trPr>
        <w:tc>
          <w:tcPr>
            <w:tcW w:w="3798" w:type="dxa"/>
            <w:shd w:val="clear" w:color="auto" w:fill="auto"/>
            <w:vAlign w:val="center"/>
          </w:tcPr>
          <w:p w14:paraId="36A4F140" w14:textId="77777777" w:rsidR="005958CD" w:rsidRPr="00704BD4" w:rsidRDefault="005958CD" w:rsidP="00C52D24">
            <w:pPr>
              <w:pStyle w:val="BTabletext"/>
              <w:rPr>
                <w:sz w:val="18"/>
                <w:szCs w:val="18"/>
              </w:rPr>
            </w:pPr>
            <w:r w:rsidRPr="00704BD4">
              <w:rPr>
                <w:rFonts w:eastAsia="Times New Roman" w:cs="Calibri"/>
                <w:sz w:val="18"/>
                <w:szCs w:val="18"/>
                <w:lang w:eastAsia="en-AU"/>
              </w:rPr>
              <w:t>Amaroo School Senior Campus expansion</w:t>
            </w:r>
          </w:p>
        </w:tc>
        <w:tc>
          <w:tcPr>
            <w:tcW w:w="850" w:type="dxa"/>
            <w:shd w:val="clear" w:color="auto" w:fill="auto"/>
          </w:tcPr>
          <w:p w14:paraId="70C800C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8,480</w:t>
            </w:r>
          </w:p>
        </w:tc>
        <w:tc>
          <w:tcPr>
            <w:tcW w:w="850" w:type="dxa"/>
            <w:shd w:val="clear" w:color="auto" w:fill="auto"/>
          </w:tcPr>
          <w:p w14:paraId="43D3055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3,550</w:t>
            </w:r>
          </w:p>
        </w:tc>
        <w:tc>
          <w:tcPr>
            <w:tcW w:w="850" w:type="dxa"/>
            <w:shd w:val="clear" w:color="auto" w:fill="auto"/>
          </w:tcPr>
          <w:p w14:paraId="1181EC2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04D311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C611D8A"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4B71D55"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12,030</w:t>
            </w:r>
          </w:p>
        </w:tc>
      </w:tr>
      <w:tr w:rsidR="005958CD" w:rsidRPr="00704BD4" w14:paraId="6D40147B" w14:textId="77777777" w:rsidTr="00C52D24">
        <w:trPr>
          <w:trHeight w:val="156"/>
          <w:jc w:val="center"/>
        </w:trPr>
        <w:tc>
          <w:tcPr>
            <w:tcW w:w="3798" w:type="dxa"/>
            <w:shd w:val="clear" w:color="auto" w:fill="auto"/>
            <w:vAlign w:val="center"/>
          </w:tcPr>
          <w:p w14:paraId="2B41F557" w14:textId="77777777" w:rsidR="005958CD" w:rsidRPr="00704BD4" w:rsidRDefault="005958CD" w:rsidP="00C52D24">
            <w:pPr>
              <w:pStyle w:val="BTabletext"/>
              <w:rPr>
                <w:sz w:val="18"/>
                <w:szCs w:val="18"/>
              </w:rPr>
            </w:pPr>
            <w:r w:rsidRPr="00704BD4">
              <w:rPr>
                <w:rFonts w:eastAsia="Times New Roman" w:cs="Calibri"/>
                <w:sz w:val="18"/>
                <w:szCs w:val="18"/>
                <w:lang w:eastAsia="en-AU"/>
              </w:rPr>
              <w:t>Better schools for our kids - Expanding schools in Gungahlin</w:t>
            </w:r>
          </w:p>
        </w:tc>
        <w:tc>
          <w:tcPr>
            <w:tcW w:w="850" w:type="dxa"/>
            <w:shd w:val="clear" w:color="auto" w:fill="auto"/>
          </w:tcPr>
          <w:p w14:paraId="1C6DC9E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3,364</w:t>
            </w:r>
          </w:p>
        </w:tc>
        <w:tc>
          <w:tcPr>
            <w:tcW w:w="850" w:type="dxa"/>
            <w:shd w:val="clear" w:color="auto" w:fill="auto"/>
          </w:tcPr>
          <w:p w14:paraId="3AE828D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774A71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13ADA0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59CBDD4B"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7CF56567"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3,364</w:t>
            </w:r>
          </w:p>
        </w:tc>
      </w:tr>
      <w:tr w:rsidR="005958CD" w:rsidRPr="00704BD4" w14:paraId="32877240" w14:textId="77777777" w:rsidTr="00C52D24">
        <w:trPr>
          <w:trHeight w:val="156"/>
          <w:jc w:val="center"/>
        </w:trPr>
        <w:tc>
          <w:tcPr>
            <w:tcW w:w="3798" w:type="dxa"/>
            <w:shd w:val="clear" w:color="auto" w:fill="auto"/>
            <w:vAlign w:val="center"/>
          </w:tcPr>
          <w:p w14:paraId="4E5E9A75" w14:textId="77777777" w:rsidR="005958CD" w:rsidRPr="00704BD4" w:rsidRDefault="005958CD" w:rsidP="00C52D24">
            <w:pPr>
              <w:pStyle w:val="BTabletext"/>
              <w:rPr>
                <w:sz w:val="18"/>
                <w:szCs w:val="18"/>
              </w:rPr>
            </w:pPr>
            <w:r w:rsidRPr="00704BD4">
              <w:rPr>
                <w:rFonts w:eastAsia="Times New Roman" w:cs="Calibri"/>
                <w:sz w:val="18"/>
                <w:szCs w:val="18"/>
                <w:lang w:eastAsia="en-AU"/>
              </w:rPr>
              <w:t>Better schools for our kids - Technology-enabled learning</w:t>
            </w:r>
          </w:p>
        </w:tc>
        <w:tc>
          <w:tcPr>
            <w:tcW w:w="850" w:type="dxa"/>
            <w:shd w:val="clear" w:color="auto" w:fill="auto"/>
          </w:tcPr>
          <w:p w14:paraId="1E586A6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4,967</w:t>
            </w:r>
          </w:p>
        </w:tc>
        <w:tc>
          <w:tcPr>
            <w:tcW w:w="850" w:type="dxa"/>
            <w:shd w:val="clear" w:color="auto" w:fill="auto"/>
          </w:tcPr>
          <w:p w14:paraId="40F59F9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9F959D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DF7BCE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417E908"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45380F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4,967</w:t>
            </w:r>
          </w:p>
        </w:tc>
      </w:tr>
      <w:tr w:rsidR="005958CD" w:rsidRPr="00704BD4" w14:paraId="438C0BED" w14:textId="77777777" w:rsidTr="00C52D24">
        <w:trPr>
          <w:trHeight w:val="156"/>
          <w:jc w:val="center"/>
        </w:trPr>
        <w:tc>
          <w:tcPr>
            <w:tcW w:w="3798" w:type="dxa"/>
            <w:shd w:val="clear" w:color="auto" w:fill="auto"/>
            <w:vAlign w:val="center"/>
          </w:tcPr>
          <w:p w14:paraId="1136D805" w14:textId="77777777" w:rsidR="005958CD" w:rsidRPr="00704BD4" w:rsidRDefault="005958CD" w:rsidP="00C52D24">
            <w:pPr>
              <w:pStyle w:val="BTabletext"/>
              <w:rPr>
                <w:sz w:val="18"/>
                <w:szCs w:val="18"/>
              </w:rPr>
            </w:pPr>
            <w:r w:rsidRPr="00704BD4">
              <w:rPr>
                <w:rFonts w:eastAsia="Times New Roman" w:cs="Calibri"/>
                <w:sz w:val="18"/>
                <w:szCs w:val="18"/>
                <w:lang w:eastAsia="en-AU"/>
              </w:rPr>
              <w:t>Delivering a new primary school at Throsby</w:t>
            </w:r>
          </w:p>
        </w:tc>
        <w:tc>
          <w:tcPr>
            <w:tcW w:w="850" w:type="dxa"/>
            <w:shd w:val="clear" w:color="auto" w:fill="auto"/>
          </w:tcPr>
          <w:p w14:paraId="0009F85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17,000</w:t>
            </w:r>
          </w:p>
        </w:tc>
        <w:tc>
          <w:tcPr>
            <w:tcW w:w="850" w:type="dxa"/>
            <w:shd w:val="clear" w:color="auto" w:fill="auto"/>
          </w:tcPr>
          <w:p w14:paraId="1988976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9,881</w:t>
            </w:r>
          </w:p>
        </w:tc>
        <w:tc>
          <w:tcPr>
            <w:tcW w:w="850" w:type="dxa"/>
            <w:shd w:val="clear" w:color="auto" w:fill="auto"/>
          </w:tcPr>
          <w:p w14:paraId="2825A2B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500</w:t>
            </w:r>
          </w:p>
        </w:tc>
        <w:tc>
          <w:tcPr>
            <w:tcW w:w="850" w:type="dxa"/>
            <w:shd w:val="clear" w:color="auto" w:fill="auto"/>
          </w:tcPr>
          <w:p w14:paraId="46E0FD0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4056D68C"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5E7181C3"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27,381</w:t>
            </w:r>
          </w:p>
        </w:tc>
      </w:tr>
      <w:tr w:rsidR="005958CD" w:rsidRPr="00704BD4" w14:paraId="40A6AA57" w14:textId="77777777" w:rsidTr="002C0E51">
        <w:trPr>
          <w:trHeight w:val="156"/>
          <w:jc w:val="center"/>
        </w:trPr>
        <w:tc>
          <w:tcPr>
            <w:tcW w:w="3798" w:type="dxa"/>
            <w:shd w:val="clear" w:color="auto" w:fill="auto"/>
            <w:vAlign w:val="center"/>
          </w:tcPr>
          <w:p w14:paraId="6EB26720" w14:textId="77777777" w:rsidR="005958CD" w:rsidRPr="00704BD4" w:rsidRDefault="005958CD" w:rsidP="00C52D24">
            <w:pPr>
              <w:pStyle w:val="BTabletext"/>
              <w:rPr>
                <w:sz w:val="18"/>
                <w:szCs w:val="18"/>
              </w:rPr>
            </w:pPr>
            <w:r w:rsidRPr="00704BD4">
              <w:rPr>
                <w:rFonts w:eastAsia="Times New Roman" w:cs="Calibri"/>
                <w:sz w:val="18"/>
                <w:szCs w:val="18"/>
                <w:lang w:eastAsia="en-AU"/>
              </w:rPr>
              <w:t>Delivering energy-efficient heating upgrades for ACT public schools</w:t>
            </w:r>
          </w:p>
        </w:tc>
        <w:tc>
          <w:tcPr>
            <w:tcW w:w="850" w:type="dxa"/>
            <w:shd w:val="clear" w:color="auto" w:fill="auto"/>
          </w:tcPr>
          <w:p w14:paraId="4D2B234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3,989</w:t>
            </w:r>
          </w:p>
        </w:tc>
        <w:tc>
          <w:tcPr>
            <w:tcW w:w="850" w:type="dxa"/>
            <w:shd w:val="clear" w:color="auto" w:fill="auto"/>
          </w:tcPr>
          <w:p w14:paraId="0AF4F69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9,901</w:t>
            </w:r>
          </w:p>
        </w:tc>
        <w:tc>
          <w:tcPr>
            <w:tcW w:w="850" w:type="dxa"/>
            <w:shd w:val="clear" w:color="auto" w:fill="auto"/>
          </w:tcPr>
          <w:p w14:paraId="72A4E79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B55FC9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CC86AF2"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5FBBBF4C"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13,890</w:t>
            </w:r>
          </w:p>
        </w:tc>
      </w:tr>
      <w:tr w:rsidR="005958CD" w:rsidRPr="00704BD4" w14:paraId="4FA505D8" w14:textId="77777777" w:rsidTr="002C0E51">
        <w:trPr>
          <w:trHeight w:val="156"/>
          <w:jc w:val="center"/>
        </w:trPr>
        <w:tc>
          <w:tcPr>
            <w:tcW w:w="3798" w:type="dxa"/>
            <w:shd w:val="clear" w:color="auto" w:fill="auto"/>
            <w:vAlign w:val="center"/>
          </w:tcPr>
          <w:p w14:paraId="54E19C61" w14:textId="77777777" w:rsidR="005958CD" w:rsidRPr="00704BD4" w:rsidRDefault="005958CD" w:rsidP="00C52D24">
            <w:pPr>
              <w:pStyle w:val="BTabletext"/>
              <w:rPr>
                <w:sz w:val="18"/>
                <w:szCs w:val="18"/>
              </w:rPr>
            </w:pPr>
            <w:r w:rsidRPr="00704BD4">
              <w:rPr>
                <w:rFonts w:eastAsia="Times New Roman" w:cs="Calibri"/>
                <w:sz w:val="18"/>
                <w:szCs w:val="18"/>
                <w:lang w:eastAsia="en-AU"/>
              </w:rPr>
              <w:lastRenderedPageBreak/>
              <w:t>Delivering secure local jobs for school cleaners</w:t>
            </w:r>
          </w:p>
        </w:tc>
        <w:tc>
          <w:tcPr>
            <w:tcW w:w="850" w:type="dxa"/>
            <w:shd w:val="clear" w:color="auto" w:fill="auto"/>
          </w:tcPr>
          <w:p w14:paraId="6E3907B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292</w:t>
            </w:r>
          </w:p>
        </w:tc>
        <w:tc>
          <w:tcPr>
            <w:tcW w:w="850" w:type="dxa"/>
            <w:shd w:val="clear" w:color="auto" w:fill="auto"/>
          </w:tcPr>
          <w:p w14:paraId="1CEA909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DBA9E4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B57731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54E83803"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BB9BD6E"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292</w:t>
            </w:r>
          </w:p>
        </w:tc>
      </w:tr>
      <w:tr w:rsidR="005958CD" w:rsidRPr="00704BD4" w14:paraId="4F837329" w14:textId="77777777" w:rsidTr="002C0E51">
        <w:trPr>
          <w:trHeight w:val="156"/>
          <w:jc w:val="center"/>
        </w:trPr>
        <w:tc>
          <w:tcPr>
            <w:tcW w:w="3798" w:type="dxa"/>
            <w:shd w:val="clear" w:color="auto" w:fill="auto"/>
            <w:vAlign w:val="center"/>
          </w:tcPr>
          <w:p w14:paraId="08DE0411" w14:textId="77777777" w:rsidR="005958CD" w:rsidRPr="00704BD4" w:rsidRDefault="005958CD" w:rsidP="00C52D24">
            <w:pPr>
              <w:pStyle w:val="BTabletext"/>
              <w:rPr>
                <w:sz w:val="18"/>
                <w:szCs w:val="18"/>
              </w:rPr>
            </w:pPr>
            <w:r w:rsidRPr="00704BD4">
              <w:rPr>
                <w:rFonts w:eastAsia="Times New Roman" w:cs="Calibri"/>
                <w:sz w:val="18"/>
                <w:szCs w:val="18"/>
                <w:lang w:eastAsia="en-AU"/>
              </w:rPr>
              <w:t>East Gungahlin High School</w:t>
            </w:r>
          </w:p>
        </w:tc>
        <w:tc>
          <w:tcPr>
            <w:tcW w:w="850" w:type="dxa"/>
            <w:shd w:val="clear" w:color="auto" w:fill="auto"/>
          </w:tcPr>
          <w:p w14:paraId="484EB66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7,000</w:t>
            </w:r>
          </w:p>
        </w:tc>
        <w:tc>
          <w:tcPr>
            <w:tcW w:w="850" w:type="dxa"/>
            <w:shd w:val="clear" w:color="auto" w:fill="auto"/>
          </w:tcPr>
          <w:p w14:paraId="0EB93A8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59,067</w:t>
            </w:r>
          </w:p>
        </w:tc>
        <w:tc>
          <w:tcPr>
            <w:tcW w:w="850" w:type="dxa"/>
            <w:shd w:val="clear" w:color="auto" w:fill="auto"/>
          </w:tcPr>
          <w:p w14:paraId="730833F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18,641</w:t>
            </w:r>
          </w:p>
        </w:tc>
        <w:tc>
          <w:tcPr>
            <w:tcW w:w="850" w:type="dxa"/>
            <w:shd w:val="clear" w:color="auto" w:fill="auto"/>
          </w:tcPr>
          <w:p w14:paraId="1CBDCD5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387C4BC4"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3737606"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84,708</w:t>
            </w:r>
          </w:p>
        </w:tc>
      </w:tr>
      <w:tr w:rsidR="005958CD" w:rsidRPr="00704BD4" w14:paraId="2FF5083C" w14:textId="77777777" w:rsidTr="00C52D24">
        <w:trPr>
          <w:trHeight w:val="156"/>
          <w:jc w:val="center"/>
        </w:trPr>
        <w:tc>
          <w:tcPr>
            <w:tcW w:w="3798" w:type="dxa"/>
            <w:shd w:val="clear" w:color="auto" w:fill="auto"/>
            <w:vAlign w:val="center"/>
          </w:tcPr>
          <w:p w14:paraId="00E5C178" w14:textId="77777777" w:rsidR="005958CD" w:rsidRPr="00704BD4" w:rsidRDefault="005958CD" w:rsidP="00C52D24">
            <w:pPr>
              <w:pStyle w:val="BTabletext"/>
              <w:rPr>
                <w:sz w:val="18"/>
                <w:szCs w:val="18"/>
              </w:rPr>
            </w:pPr>
            <w:r w:rsidRPr="00704BD4">
              <w:rPr>
                <w:rFonts w:eastAsia="Times New Roman" w:cs="Calibri"/>
                <w:sz w:val="18"/>
                <w:szCs w:val="18"/>
                <w:lang w:eastAsia="en-AU"/>
              </w:rPr>
              <w:t>Expanded facilities for Gungahlin College</w:t>
            </w:r>
          </w:p>
        </w:tc>
        <w:tc>
          <w:tcPr>
            <w:tcW w:w="850" w:type="dxa"/>
            <w:shd w:val="clear" w:color="auto" w:fill="auto"/>
          </w:tcPr>
          <w:p w14:paraId="093BB65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w:t>
            </w:r>
          </w:p>
        </w:tc>
        <w:tc>
          <w:tcPr>
            <w:tcW w:w="850" w:type="dxa"/>
            <w:shd w:val="clear" w:color="auto" w:fill="auto"/>
          </w:tcPr>
          <w:p w14:paraId="52CF05B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B1B283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BE2A95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1871CB1"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07645A9E"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7</w:t>
            </w:r>
          </w:p>
        </w:tc>
      </w:tr>
      <w:tr w:rsidR="005958CD" w:rsidRPr="00704BD4" w14:paraId="1075486E" w14:textId="77777777" w:rsidTr="00C52D24">
        <w:trPr>
          <w:trHeight w:val="156"/>
          <w:jc w:val="center"/>
        </w:trPr>
        <w:tc>
          <w:tcPr>
            <w:tcW w:w="3798" w:type="dxa"/>
            <w:shd w:val="clear" w:color="auto" w:fill="auto"/>
            <w:vAlign w:val="center"/>
          </w:tcPr>
          <w:p w14:paraId="6649BF69" w14:textId="77777777" w:rsidR="005958CD" w:rsidRPr="00704BD4" w:rsidRDefault="005958CD" w:rsidP="00C52D24">
            <w:pPr>
              <w:pStyle w:val="BTabletext"/>
              <w:rPr>
                <w:sz w:val="18"/>
                <w:szCs w:val="18"/>
              </w:rPr>
            </w:pPr>
            <w:r w:rsidRPr="00704BD4">
              <w:rPr>
                <w:rFonts w:eastAsia="Times New Roman" w:cs="Calibri"/>
                <w:sz w:val="18"/>
                <w:szCs w:val="18"/>
                <w:lang w:eastAsia="en-AU"/>
              </w:rPr>
              <w:t>Expanding Franklin Early Childhood School</w:t>
            </w:r>
          </w:p>
        </w:tc>
        <w:tc>
          <w:tcPr>
            <w:tcW w:w="850" w:type="dxa"/>
            <w:shd w:val="clear" w:color="auto" w:fill="auto"/>
          </w:tcPr>
          <w:p w14:paraId="3641024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10,000</w:t>
            </w:r>
          </w:p>
        </w:tc>
        <w:tc>
          <w:tcPr>
            <w:tcW w:w="850" w:type="dxa"/>
            <w:shd w:val="clear" w:color="auto" w:fill="auto"/>
          </w:tcPr>
          <w:p w14:paraId="77011D2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4,190</w:t>
            </w:r>
          </w:p>
        </w:tc>
        <w:tc>
          <w:tcPr>
            <w:tcW w:w="850" w:type="dxa"/>
            <w:shd w:val="clear" w:color="auto" w:fill="auto"/>
          </w:tcPr>
          <w:p w14:paraId="00C9612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8A1D1B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2F82A1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0572640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14,190</w:t>
            </w:r>
          </w:p>
        </w:tc>
      </w:tr>
      <w:tr w:rsidR="005958CD" w:rsidRPr="00704BD4" w14:paraId="482429E2" w14:textId="77777777" w:rsidTr="00C52D24">
        <w:trPr>
          <w:trHeight w:val="156"/>
          <w:jc w:val="center"/>
        </w:trPr>
        <w:tc>
          <w:tcPr>
            <w:tcW w:w="3798" w:type="dxa"/>
            <w:shd w:val="clear" w:color="auto" w:fill="auto"/>
            <w:vAlign w:val="center"/>
          </w:tcPr>
          <w:p w14:paraId="7E68582C" w14:textId="77777777" w:rsidR="005958CD" w:rsidRPr="00704BD4" w:rsidRDefault="005958CD" w:rsidP="00C52D24">
            <w:pPr>
              <w:pStyle w:val="BTabletext"/>
              <w:rPr>
                <w:sz w:val="18"/>
                <w:szCs w:val="18"/>
              </w:rPr>
            </w:pPr>
            <w:r w:rsidRPr="00704BD4">
              <w:rPr>
                <w:rFonts w:eastAsia="Times New Roman" w:cs="Calibri"/>
                <w:sz w:val="18"/>
                <w:szCs w:val="18"/>
                <w:lang w:eastAsia="en-AU"/>
              </w:rPr>
              <w:t>Modular Learning Centres</w:t>
            </w:r>
          </w:p>
        </w:tc>
        <w:tc>
          <w:tcPr>
            <w:tcW w:w="850" w:type="dxa"/>
            <w:shd w:val="clear" w:color="auto" w:fill="auto"/>
          </w:tcPr>
          <w:p w14:paraId="040B981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4,204</w:t>
            </w:r>
          </w:p>
        </w:tc>
        <w:tc>
          <w:tcPr>
            <w:tcW w:w="850" w:type="dxa"/>
            <w:shd w:val="clear" w:color="auto" w:fill="auto"/>
          </w:tcPr>
          <w:p w14:paraId="4BD6959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23525D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BF938C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33038F9F"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AA99E21"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4,204</w:t>
            </w:r>
          </w:p>
        </w:tc>
      </w:tr>
      <w:tr w:rsidR="005958CD" w:rsidRPr="00704BD4" w14:paraId="3F18B421" w14:textId="77777777" w:rsidTr="00C52D24">
        <w:trPr>
          <w:trHeight w:val="156"/>
          <w:jc w:val="center"/>
        </w:trPr>
        <w:tc>
          <w:tcPr>
            <w:tcW w:w="3798" w:type="dxa"/>
            <w:shd w:val="clear" w:color="auto" w:fill="auto"/>
            <w:vAlign w:val="center"/>
          </w:tcPr>
          <w:p w14:paraId="2E67B166"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places for students at Gold Creek School’s senior campus</w:t>
            </w:r>
          </w:p>
        </w:tc>
        <w:tc>
          <w:tcPr>
            <w:tcW w:w="850" w:type="dxa"/>
            <w:shd w:val="clear" w:color="auto" w:fill="auto"/>
          </w:tcPr>
          <w:p w14:paraId="5B0D57E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3,678</w:t>
            </w:r>
          </w:p>
        </w:tc>
        <w:tc>
          <w:tcPr>
            <w:tcW w:w="850" w:type="dxa"/>
            <w:shd w:val="clear" w:color="auto" w:fill="auto"/>
          </w:tcPr>
          <w:p w14:paraId="29F29F4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1,898</w:t>
            </w:r>
          </w:p>
        </w:tc>
        <w:tc>
          <w:tcPr>
            <w:tcW w:w="850" w:type="dxa"/>
            <w:shd w:val="clear" w:color="auto" w:fill="auto"/>
          </w:tcPr>
          <w:p w14:paraId="5BD41BA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336122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7C649593"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9CB1606"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5,576</w:t>
            </w:r>
          </w:p>
        </w:tc>
      </w:tr>
      <w:tr w:rsidR="005958CD" w:rsidRPr="00704BD4" w14:paraId="17C50042" w14:textId="77777777" w:rsidTr="00C52D24">
        <w:trPr>
          <w:trHeight w:val="156"/>
          <w:jc w:val="center"/>
        </w:trPr>
        <w:tc>
          <w:tcPr>
            <w:tcW w:w="3798" w:type="dxa"/>
            <w:shd w:val="clear" w:color="auto" w:fill="auto"/>
            <w:vAlign w:val="center"/>
          </w:tcPr>
          <w:p w14:paraId="31C3288F"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places for students at northside schools</w:t>
            </w:r>
          </w:p>
        </w:tc>
        <w:tc>
          <w:tcPr>
            <w:tcW w:w="850" w:type="dxa"/>
            <w:shd w:val="clear" w:color="auto" w:fill="auto"/>
          </w:tcPr>
          <w:p w14:paraId="26F7D63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704</w:t>
            </w:r>
          </w:p>
        </w:tc>
        <w:tc>
          <w:tcPr>
            <w:tcW w:w="850" w:type="dxa"/>
            <w:shd w:val="clear" w:color="auto" w:fill="auto"/>
          </w:tcPr>
          <w:p w14:paraId="0CE27EF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2,453</w:t>
            </w:r>
          </w:p>
        </w:tc>
        <w:tc>
          <w:tcPr>
            <w:tcW w:w="850" w:type="dxa"/>
            <w:shd w:val="clear" w:color="auto" w:fill="auto"/>
          </w:tcPr>
          <w:p w14:paraId="682C671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A7B0BF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2D879259"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450624F7"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3,157</w:t>
            </w:r>
          </w:p>
        </w:tc>
      </w:tr>
      <w:tr w:rsidR="005958CD" w:rsidRPr="00704BD4" w14:paraId="26021487" w14:textId="77777777" w:rsidTr="00C52D24">
        <w:trPr>
          <w:trHeight w:val="156"/>
          <w:jc w:val="center"/>
        </w:trPr>
        <w:tc>
          <w:tcPr>
            <w:tcW w:w="3798" w:type="dxa"/>
            <w:shd w:val="clear" w:color="auto" w:fill="auto"/>
            <w:vAlign w:val="center"/>
          </w:tcPr>
          <w:p w14:paraId="7BA7A65C"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schools, better schools - Upgrading Campbell Primary School</w:t>
            </w:r>
          </w:p>
        </w:tc>
        <w:tc>
          <w:tcPr>
            <w:tcW w:w="850" w:type="dxa"/>
            <w:shd w:val="clear" w:color="auto" w:fill="auto"/>
          </w:tcPr>
          <w:p w14:paraId="69A6151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10,819</w:t>
            </w:r>
          </w:p>
        </w:tc>
        <w:tc>
          <w:tcPr>
            <w:tcW w:w="850" w:type="dxa"/>
            <w:shd w:val="clear" w:color="auto" w:fill="auto"/>
          </w:tcPr>
          <w:p w14:paraId="23836B4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3,512</w:t>
            </w:r>
          </w:p>
        </w:tc>
        <w:tc>
          <w:tcPr>
            <w:tcW w:w="850" w:type="dxa"/>
            <w:shd w:val="clear" w:color="auto" w:fill="auto"/>
          </w:tcPr>
          <w:p w14:paraId="03B7091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FE474B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A5EADFB"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D4548AE"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14,331</w:t>
            </w:r>
          </w:p>
        </w:tc>
      </w:tr>
      <w:tr w:rsidR="005958CD" w:rsidRPr="00704BD4" w14:paraId="5117B104" w14:textId="77777777" w:rsidTr="00C52D24">
        <w:trPr>
          <w:trHeight w:val="156"/>
          <w:jc w:val="center"/>
        </w:trPr>
        <w:tc>
          <w:tcPr>
            <w:tcW w:w="3798" w:type="dxa"/>
            <w:shd w:val="clear" w:color="auto" w:fill="auto"/>
            <w:vAlign w:val="center"/>
          </w:tcPr>
          <w:p w14:paraId="38DA464D"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schools, better schools - Delivering Molonglo P-10</w:t>
            </w:r>
          </w:p>
        </w:tc>
        <w:tc>
          <w:tcPr>
            <w:tcW w:w="850" w:type="dxa"/>
            <w:shd w:val="clear" w:color="auto" w:fill="auto"/>
          </w:tcPr>
          <w:p w14:paraId="28C7C7D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14,000</w:t>
            </w:r>
          </w:p>
        </w:tc>
        <w:tc>
          <w:tcPr>
            <w:tcW w:w="850" w:type="dxa"/>
            <w:shd w:val="clear" w:color="auto" w:fill="auto"/>
          </w:tcPr>
          <w:p w14:paraId="134A9B7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40</w:t>
            </w:r>
          </w:p>
        </w:tc>
        <w:tc>
          <w:tcPr>
            <w:tcW w:w="850" w:type="dxa"/>
            <w:shd w:val="clear" w:color="auto" w:fill="auto"/>
          </w:tcPr>
          <w:p w14:paraId="3039D5B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5C929B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151657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AAD3003"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14,040</w:t>
            </w:r>
          </w:p>
        </w:tc>
      </w:tr>
      <w:tr w:rsidR="005958CD" w:rsidRPr="00704BD4" w14:paraId="53E2FBC3" w14:textId="77777777" w:rsidTr="00C52D24">
        <w:trPr>
          <w:trHeight w:val="156"/>
          <w:jc w:val="center"/>
        </w:trPr>
        <w:tc>
          <w:tcPr>
            <w:tcW w:w="3798" w:type="dxa"/>
            <w:shd w:val="clear" w:color="auto" w:fill="auto"/>
            <w:vAlign w:val="center"/>
          </w:tcPr>
          <w:p w14:paraId="14EEC833"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schools, better schools - More places at Gungahlin schools</w:t>
            </w:r>
          </w:p>
        </w:tc>
        <w:tc>
          <w:tcPr>
            <w:tcW w:w="850" w:type="dxa"/>
            <w:shd w:val="clear" w:color="auto" w:fill="auto"/>
          </w:tcPr>
          <w:p w14:paraId="2783115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1,967</w:t>
            </w:r>
          </w:p>
        </w:tc>
        <w:tc>
          <w:tcPr>
            <w:tcW w:w="850" w:type="dxa"/>
            <w:shd w:val="clear" w:color="auto" w:fill="auto"/>
          </w:tcPr>
          <w:p w14:paraId="6A3BFA2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9F8D76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A6C627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2B0A0CC1"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B98117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1,967</w:t>
            </w:r>
          </w:p>
        </w:tc>
      </w:tr>
      <w:tr w:rsidR="005958CD" w:rsidRPr="00704BD4" w14:paraId="11C8E799" w14:textId="77777777" w:rsidTr="00C52D24">
        <w:trPr>
          <w:trHeight w:val="156"/>
          <w:jc w:val="center"/>
        </w:trPr>
        <w:tc>
          <w:tcPr>
            <w:tcW w:w="3798" w:type="dxa"/>
            <w:shd w:val="clear" w:color="auto" w:fill="auto"/>
            <w:vAlign w:val="center"/>
          </w:tcPr>
          <w:p w14:paraId="45E15982"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schools, better schools - Narrabundah College redevelopment - Early planning and design</w:t>
            </w:r>
          </w:p>
        </w:tc>
        <w:tc>
          <w:tcPr>
            <w:tcW w:w="850" w:type="dxa"/>
            <w:shd w:val="clear" w:color="auto" w:fill="auto"/>
          </w:tcPr>
          <w:p w14:paraId="713398C1"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430</w:t>
            </w:r>
          </w:p>
        </w:tc>
        <w:tc>
          <w:tcPr>
            <w:tcW w:w="850" w:type="dxa"/>
            <w:shd w:val="clear" w:color="auto" w:fill="auto"/>
          </w:tcPr>
          <w:p w14:paraId="63781DB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219148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73656F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2AB3113B"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2A8D38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430</w:t>
            </w:r>
          </w:p>
        </w:tc>
      </w:tr>
      <w:tr w:rsidR="005958CD" w:rsidRPr="00704BD4" w14:paraId="7E4734DE" w14:textId="77777777" w:rsidTr="00C52D24">
        <w:trPr>
          <w:trHeight w:val="156"/>
          <w:jc w:val="center"/>
        </w:trPr>
        <w:tc>
          <w:tcPr>
            <w:tcW w:w="3798" w:type="dxa"/>
            <w:shd w:val="clear" w:color="auto" w:fill="auto"/>
            <w:vAlign w:val="center"/>
          </w:tcPr>
          <w:p w14:paraId="63699978"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schools, better schools - Roof replacement program</w:t>
            </w:r>
          </w:p>
        </w:tc>
        <w:tc>
          <w:tcPr>
            <w:tcW w:w="850" w:type="dxa"/>
            <w:shd w:val="clear" w:color="auto" w:fill="auto"/>
          </w:tcPr>
          <w:p w14:paraId="653175F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2,708</w:t>
            </w:r>
          </w:p>
        </w:tc>
        <w:tc>
          <w:tcPr>
            <w:tcW w:w="850" w:type="dxa"/>
            <w:shd w:val="clear" w:color="auto" w:fill="auto"/>
          </w:tcPr>
          <w:p w14:paraId="3587A21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500</w:t>
            </w:r>
          </w:p>
        </w:tc>
        <w:tc>
          <w:tcPr>
            <w:tcW w:w="850" w:type="dxa"/>
            <w:shd w:val="clear" w:color="auto" w:fill="auto"/>
          </w:tcPr>
          <w:p w14:paraId="2F61C431"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4B046F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9A06B26"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A3B415B"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3,208</w:t>
            </w:r>
          </w:p>
        </w:tc>
      </w:tr>
      <w:tr w:rsidR="005958CD" w:rsidRPr="00704BD4" w14:paraId="6A5EC599" w14:textId="77777777" w:rsidTr="00C52D24">
        <w:trPr>
          <w:trHeight w:val="156"/>
          <w:jc w:val="center"/>
        </w:trPr>
        <w:tc>
          <w:tcPr>
            <w:tcW w:w="3798" w:type="dxa"/>
            <w:shd w:val="clear" w:color="auto" w:fill="auto"/>
            <w:vAlign w:val="center"/>
          </w:tcPr>
          <w:p w14:paraId="0CC42FAC" w14:textId="77777777" w:rsidR="005958CD" w:rsidRPr="00704BD4" w:rsidRDefault="005958CD" w:rsidP="00C52D24">
            <w:pPr>
              <w:pStyle w:val="BTabletext"/>
              <w:rPr>
                <w:sz w:val="18"/>
                <w:szCs w:val="18"/>
              </w:rPr>
            </w:pPr>
            <w:r w:rsidRPr="00704BD4">
              <w:rPr>
                <w:rFonts w:eastAsia="Times New Roman" w:cs="Calibri"/>
                <w:sz w:val="18"/>
                <w:szCs w:val="18"/>
                <w:lang w:eastAsia="en-AU"/>
              </w:rPr>
              <w:t>School Staffing Integrated Management System (Design)</w:t>
            </w:r>
          </w:p>
        </w:tc>
        <w:tc>
          <w:tcPr>
            <w:tcW w:w="850" w:type="dxa"/>
            <w:shd w:val="clear" w:color="auto" w:fill="auto"/>
          </w:tcPr>
          <w:p w14:paraId="5D65993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42</w:t>
            </w:r>
          </w:p>
        </w:tc>
        <w:tc>
          <w:tcPr>
            <w:tcW w:w="850" w:type="dxa"/>
            <w:shd w:val="clear" w:color="auto" w:fill="auto"/>
          </w:tcPr>
          <w:p w14:paraId="1DB4F5D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247AE1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2EE8DA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24BD560D"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0E9AF96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42</w:t>
            </w:r>
          </w:p>
        </w:tc>
      </w:tr>
      <w:tr w:rsidR="005958CD" w:rsidRPr="00704BD4" w14:paraId="3AAA141F" w14:textId="77777777" w:rsidTr="00C52D24">
        <w:trPr>
          <w:trHeight w:val="156"/>
          <w:jc w:val="center"/>
        </w:trPr>
        <w:tc>
          <w:tcPr>
            <w:tcW w:w="3798" w:type="dxa"/>
            <w:shd w:val="clear" w:color="auto" w:fill="auto"/>
            <w:vAlign w:val="center"/>
          </w:tcPr>
          <w:p w14:paraId="50CF6EF9" w14:textId="77777777" w:rsidR="005958CD" w:rsidRPr="00704BD4" w:rsidRDefault="005958CD" w:rsidP="00C52D24">
            <w:pPr>
              <w:pStyle w:val="BTabletext"/>
              <w:rPr>
                <w:sz w:val="18"/>
                <w:szCs w:val="18"/>
              </w:rPr>
            </w:pPr>
            <w:r w:rsidRPr="00704BD4">
              <w:rPr>
                <w:rFonts w:eastAsia="Times New Roman" w:cs="Calibri"/>
                <w:sz w:val="18"/>
                <w:szCs w:val="18"/>
                <w:lang w:eastAsia="en-AU"/>
              </w:rPr>
              <w:t>Schools for our growing city - North Gungahlin High School</w:t>
            </w:r>
          </w:p>
        </w:tc>
        <w:tc>
          <w:tcPr>
            <w:tcW w:w="850" w:type="dxa"/>
            <w:shd w:val="clear" w:color="auto" w:fill="auto"/>
          </w:tcPr>
          <w:p w14:paraId="40E131F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170</w:t>
            </w:r>
          </w:p>
        </w:tc>
        <w:tc>
          <w:tcPr>
            <w:tcW w:w="850" w:type="dxa"/>
            <w:shd w:val="clear" w:color="auto" w:fill="auto"/>
          </w:tcPr>
          <w:p w14:paraId="1A4736C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1,680</w:t>
            </w:r>
          </w:p>
        </w:tc>
        <w:tc>
          <w:tcPr>
            <w:tcW w:w="850" w:type="dxa"/>
            <w:shd w:val="clear" w:color="auto" w:fill="auto"/>
          </w:tcPr>
          <w:p w14:paraId="390CA2B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4CC2CF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7E4CBD5"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F6C5949"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1,850</w:t>
            </w:r>
          </w:p>
        </w:tc>
      </w:tr>
      <w:tr w:rsidR="005958CD" w:rsidRPr="00704BD4" w14:paraId="220B779D" w14:textId="77777777" w:rsidTr="00C52D24">
        <w:trPr>
          <w:trHeight w:val="156"/>
          <w:jc w:val="center"/>
        </w:trPr>
        <w:tc>
          <w:tcPr>
            <w:tcW w:w="3798" w:type="dxa"/>
            <w:shd w:val="clear" w:color="auto" w:fill="auto"/>
            <w:vAlign w:val="center"/>
          </w:tcPr>
          <w:p w14:paraId="29D2B17F" w14:textId="77777777" w:rsidR="005958CD" w:rsidRPr="00704BD4" w:rsidRDefault="005958CD" w:rsidP="00C52D24">
            <w:pPr>
              <w:pStyle w:val="BTabletext"/>
              <w:rPr>
                <w:sz w:val="18"/>
                <w:szCs w:val="18"/>
              </w:rPr>
            </w:pPr>
            <w:r w:rsidRPr="00704BD4">
              <w:rPr>
                <w:rFonts w:eastAsia="Times New Roman" w:cs="Calibri"/>
                <w:sz w:val="18"/>
                <w:szCs w:val="18"/>
                <w:lang w:eastAsia="en-AU"/>
              </w:rPr>
              <w:t>Schools for our growing city - North Gungahlin Primary School capacity</w:t>
            </w:r>
          </w:p>
        </w:tc>
        <w:tc>
          <w:tcPr>
            <w:tcW w:w="850" w:type="dxa"/>
            <w:shd w:val="clear" w:color="auto" w:fill="auto"/>
          </w:tcPr>
          <w:p w14:paraId="12F00C8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138</w:t>
            </w:r>
          </w:p>
        </w:tc>
        <w:tc>
          <w:tcPr>
            <w:tcW w:w="850" w:type="dxa"/>
            <w:shd w:val="clear" w:color="auto" w:fill="auto"/>
          </w:tcPr>
          <w:p w14:paraId="1E1CB9F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662</w:t>
            </w:r>
          </w:p>
        </w:tc>
        <w:tc>
          <w:tcPr>
            <w:tcW w:w="850" w:type="dxa"/>
            <w:shd w:val="clear" w:color="auto" w:fill="auto"/>
          </w:tcPr>
          <w:p w14:paraId="4F17BB7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C7F593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C8E411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862D17D"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800</w:t>
            </w:r>
          </w:p>
        </w:tc>
      </w:tr>
      <w:tr w:rsidR="005958CD" w:rsidRPr="00704BD4" w14:paraId="11E91742" w14:textId="77777777" w:rsidTr="00C52D24">
        <w:trPr>
          <w:trHeight w:val="156"/>
          <w:jc w:val="center"/>
        </w:trPr>
        <w:tc>
          <w:tcPr>
            <w:tcW w:w="3798" w:type="dxa"/>
            <w:shd w:val="clear" w:color="auto" w:fill="auto"/>
            <w:vAlign w:val="center"/>
          </w:tcPr>
          <w:p w14:paraId="2CF8754A" w14:textId="77777777" w:rsidR="005958CD" w:rsidRPr="00704BD4" w:rsidRDefault="005958CD" w:rsidP="00C52D24">
            <w:pPr>
              <w:pStyle w:val="BTabletext"/>
              <w:rPr>
                <w:sz w:val="18"/>
                <w:szCs w:val="18"/>
              </w:rPr>
            </w:pPr>
            <w:r w:rsidRPr="00704BD4">
              <w:rPr>
                <w:rFonts w:eastAsia="Times New Roman" w:cs="Calibri"/>
                <w:sz w:val="18"/>
                <w:szCs w:val="18"/>
                <w:lang w:eastAsia="en-AU"/>
              </w:rPr>
              <w:t>Schools for the Future - North Gungahlin and Molonglo</w:t>
            </w:r>
          </w:p>
        </w:tc>
        <w:tc>
          <w:tcPr>
            <w:tcW w:w="850" w:type="dxa"/>
            <w:shd w:val="clear" w:color="auto" w:fill="auto"/>
          </w:tcPr>
          <w:p w14:paraId="52B854A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12</w:t>
            </w:r>
          </w:p>
        </w:tc>
        <w:tc>
          <w:tcPr>
            <w:tcW w:w="850" w:type="dxa"/>
            <w:shd w:val="clear" w:color="auto" w:fill="auto"/>
          </w:tcPr>
          <w:p w14:paraId="04944A1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7E9EE8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4716D8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3E842A9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F61B1A6"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12</w:t>
            </w:r>
          </w:p>
        </w:tc>
      </w:tr>
      <w:tr w:rsidR="005958CD" w:rsidRPr="00704BD4" w14:paraId="52A0D313" w14:textId="77777777" w:rsidTr="00C52D24">
        <w:trPr>
          <w:trHeight w:val="156"/>
          <w:jc w:val="center"/>
        </w:trPr>
        <w:tc>
          <w:tcPr>
            <w:tcW w:w="3798" w:type="dxa"/>
            <w:shd w:val="clear" w:color="auto" w:fill="auto"/>
            <w:vAlign w:val="center"/>
          </w:tcPr>
          <w:p w14:paraId="362DEC75" w14:textId="77777777" w:rsidR="005958CD" w:rsidRPr="00704BD4" w:rsidRDefault="005958CD" w:rsidP="00C52D24">
            <w:pPr>
              <w:pStyle w:val="BTabletext"/>
              <w:rPr>
                <w:sz w:val="18"/>
                <w:szCs w:val="18"/>
              </w:rPr>
            </w:pPr>
            <w:r w:rsidRPr="00704BD4">
              <w:rPr>
                <w:rFonts w:eastAsia="Times New Roman" w:cs="Calibri"/>
                <w:sz w:val="18"/>
                <w:szCs w:val="18"/>
                <w:lang w:eastAsia="en-AU"/>
              </w:rPr>
              <w:t>Supporting our School System - Improving ICT</w:t>
            </w:r>
          </w:p>
        </w:tc>
        <w:tc>
          <w:tcPr>
            <w:tcW w:w="850" w:type="dxa"/>
            <w:shd w:val="clear" w:color="auto" w:fill="auto"/>
          </w:tcPr>
          <w:p w14:paraId="1AD5282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7,796</w:t>
            </w:r>
          </w:p>
        </w:tc>
        <w:tc>
          <w:tcPr>
            <w:tcW w:w="850" w:type="dxa"/>
            <w:shd w:val="clear" w:color="auto" w:fill="auto"/>
          </w:tcPr>
          <w:p w14:paraId="7E7276B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6,034</w:t>
            </w:r>
          </w:p>
        </w:tc>
        <w:tc>
          <w:tcPr>
            <w:tcW w:w="850" w:type="dxa"/>
            <w:shd w:val="clear" w:color="auto" w:fill="auto"/>
          </w:tcPr>
          <w:p w14:paraId="084087A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6,197</w:t>
            </w:r>
          </w:p>
        </w:tc>
        <w:tc>
          <w:tcPr>
            <w:tcW w:w="850" w:type="dxa"/>
            <w:shd w:val="clear" w:color="auto" w:fill="auto"/>
          </w:tcPr>
          <w:p w14:paraId="2EA09DE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6,321</w:t>
            </w:r>
          </w:p>
        </w:tc>
        <w:tc>
          <w:tcPr>
            <w:tcW w:w="850" w:type="dxa"/>
          </w:tcPr>
          <w:p w14:paraId="62D5B1E1"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6,447</w:t>
            </w:r>
          </w:p>
        </w:tc>
        <w:tc>
          <w:tcPr>
            <w:tcW w:w="1020" w:type="dxa"/>
            <w:shd w:val="clear" w:color="auto" w:fill="auto"/>
          </w:tcPr>
          <w:p w14:paraId="3B15E93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32,795</w:t>
            </w:r>
          </w:p>
        </w:tc>
      </w:tr>
      <w:tr w:rsidR="005958CD" w:rsidRPr="00704BD4" w14:paraId="6C07D443" w14:textId="77777777" w:rsidTr="00C52D24">
        <w:trPr>
          <w:trHeight w:val="156"/>
          <w:jc w:val="center"/>
        </w:trPr>
        <w:tc>
          <w:tcPr>
            <w:tcW w:w="3798" w:type="dxa"/>
            <w:shd w:val="clear" w:color="auto" w:fill="auto"/>
            <w:vAlign w:val="center"/>
          </w:tcPr>
          <w:p w14:paraId="7ECE4F8C" w14:textId="77777777" w:rsidR="005958CD" w:rsidRPr="00704BD4" w:rsidRDefault="005958CD" w:rsidP="00C52D24">
            <w:pPr>
              <w:pStyle w:val="BTabletext"/>
              <w:rPr>
                <w:b/>
                <w:bCs/>
                <w:sz w:val="18"/>
                <w:szCs w:val="18"/>
              </w:rPr>
            </w:pPr>
            <w:r w:rsidRPr="00704BD4">
              <w:rPr>
                <w:rFonts w:eastAsia="Times New Roman" w:cs="Calibri"/>
                <w:b/>
                <w:bCs/>
                <w:sz w:val="18"/>
                <w:szCs w:val="18"/>
                <w:lang w:eastAsia="en-AU"/>
              </w:rPr>
              <w:t>Total</w:t>
            </w:r>
          </w:p>
        </w:tc>
        <w:tc>
          <w:tcPr>
            <w:tcW w:w="850" w:type="dxa"/>
            <w:shd w:val="clear" w:color="auto" w:fill="auto"/>
          </w:tcPr>
          <w:p w14:paraId="4BCEB149"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101,822</w:t>
            </w:r>
          </w:p>
        </w:tc>
        <w:tc>
          <w:tcPr>
            <w:tcW w:w="850" w:type="dxa"/>
            <w:shd w:val="clear" w:color="auto" w:fill="auto"/>
          </w:tcPr>
          <w:p w14:paraId="53740813"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103,368</w:t>
            </w:r>
          </w:p>
        </w:tc>
        <w:tc>
          <w:tcPr>
            <w:tcW w:w="850" w:type="dxa"/>
            <w:shd w:val="clear" w:color="auto" w:fill="auto"/>
          </w:tcPr>
          <w:p w14:paraId="2566907A"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25,338</w:t>
            </w:r>
          </w:p>
        </w:tc>
        <w:tc>
          <w:tcPr>
            <w:tcW w:w="850" w:type="dxa"/>
            <w:shd w:val="clear" w:color="auto" w:fill="auto"/>
          </w:tcPr>
          <w:p w14:paraId="6AC16E69"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6,321</w:t>
            </w:r>
          </w:p>
        </w:tc>
        <w:tc>
          <w:tcPr>
            <w:tcW w:w="850" w:type="dxa"/>
          </w:tcPr>
          <w:p w14:paraId="19B5A709"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6,447</w:t>
            </w:r>
          </w:p>
        </w:tc>
        <w:tc>
          <w:tcPr>
            <w:tcW w:w="1020" w:type="dxa"/>
            <w:shd w:val="clear" w:color="auto" w:fill="auto"/>
          </w:tcPr>
          <w:p w14:paraId="68D5C58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243,296</w:t>
            </w:r>
          </w:p>
        </w:tc>
      </w:tr>
      <w:tr w:rsidR="005958CD" w:rsidRPr="00704BD4" w14:paraId="40172C91" w14:textId="77777777" w:rsidTr="00C52D24">
        <w:trPr>
          <w:trHeight w:val="156"/>
          <w:jc w:val="center"/>
        </w:trPr>
        <w:tc>
          <w:tcPr>
            <w:tcW w:w="3798" w:type="dxa"/>
            <w:shd w:val="clear" w:color="auto" w:fill="auto"/>
            <w:vAlign w:val="center"/>
          </w:tcPr>
          <w:p w14:paraId="0366F0BA" w14:textId="77777777" w:rsidR="005958CD" w:rsidRPr="00704BD4" w:rsidRDefault="005958CD" w:rsidP="00C52D24">
            <w:pPr>
              <w:pStyle w:val="BTabletext"/>
              <w:ind w:left="0" w:firstLine="0"/>
              <w:rPr>
                <w:sz w:val="18"/>
                <w:szCs w:val="18"/>
              </w:rPr>
            </w:pPr>
            <w:r w:rsidRPr="00704BD4">
              <w:rPr>
                <w:rFonts w:eastAsia="Times New Roman" w:cs="Calibri"/>
                <w:b/>
                <w:bCs/>
                <w:sz w:val="18"/>
                <w:szCs w:val="18"/>
                <w:lang w:eastAsia="en-AU"/>
              </w:rPr>
              <w:t>Environment, Planning and Sustainable Development Directorate</w:t>
            </w:r>
          </w:p>
        </w:tc>
        <w:tc>
          <w:tcPr>
            <w:tcW w:w="850" w:type="dxa"/>
            <w:shd w:val="clear" w:color="auto" w:fill="auto"/>
          </w:tcPr>
          <w:p w14:paraId="1F2DAFB8" w14:textId="77777777" w:rsidR="005958CD" w:rsidRPr="00704BD4" w:rsidRDefault="005958CD" w:rsidP="00C52D24">
            <w:pPr>
              <w:pStyle w:val="Btablefigureunbold"/>
              <w:rPr>
                <w:sz w:val="18"/>
                <w:szCs w:val="18"/>
              </w:rPr>
            </w:pPr>
          </w:p>
        </w:tc>
        <w:tc>
          <w:tcPr>
            <w:tcW w:w="850" w:type="dxa"/>
            <w:shd w:val="clear" w:color="auto" w:fill="auto"/>
          </w:tcPr>
          <w:p w14:paraId="36BAD666" w14:textId="77777777" w:rsidR="005958CD" w:rsidRPr="00704BD4" w:rsidRDefault="005958CD" w:rsidP="00C52D24">
            <w:pPr>
              <w:pStyle w:val="Btablefigureunbold"/>
              <w:rPr>
                <w:sz w:val="18"/>
                <w:szCs w:val="18"/>
              </w:rPr>
            </w:pPr>
          </w:p>
        </w:tc>
        <w:tc>
          <w:tcPr>
            <w:tcW w:w="850" w:type="dxa"/>
            <w:shd w:val="clear" w:color="auto" w:fill="auto"/>
          </w:tcPr>
          <w:p w14:paraId="38BFD581" w14:textId="77777777" w:rsidR="005958CD" w:rsidRPr="00704BD4" w:rsidRDefault="005958CD" w:rsidP="00C52D24">
            <w:pPr>
              <w:pStyle w:val="Btablefigureunbold"/>
              <w:rPr>
                <w:sz w:val="18"/>
                <w:szCs w:val="18"/>
              </w:rPr>
            </w:pPr>
          </w:p>
        </w:tc>
        <w:tc>
          <w:tcPr>
            <w:tcW w:w="850" w:type="dxa"/>
            <w:shd w:val="clear" w:color="auto" w:fill="auto"/>
          </w:tcPr>
          <w:p w14:paraId="326E9686" w14:textId="77777777" w:rsidR="005958CD" w:rsidRPr="00704BD4" w:rsidRDefault="005958CD" w:rsidP="00C52D24">
            <w:pPr>
              <w:pStyle w:val="Btablefigureunbold"/>
              <w:rPr>
                <w:sz w:val="18"/>
                <w:szCs w:val="18"/>
              </w:rPr>
            </w:pPr>
          </w:p>
        </w:tc>
        <w:tc>
          <w:tcPr>
            <w:tcW w:w="850" w:type="dxa"/>
          </w:tcPr>
          <w:p w14:paraId="5791524B" w14:textId="77777777" w:rsidR="005958CD" w:rsidRPr="00704BD4" w:rsidRDefault="005958CD" w:rsidP="00C52D24">
            <w:pPr>
              <w:pStyle w:val="BTableHeadingRowRightAligned"/>
              <w:rPr>
                <w:b w:val="0"/>
                <w:bCs/>
                <w:sz w:val="18"/>
                <w:szCs w:val="18"/>
              </w:rPr>
            </w:pPr>
          </w:p>
        </w:tc>
        <w:tc>
          <w:tcPr>
            <w:tcW w:w="1020" w:type="dxa"/>
            <w:shd w:val="clear" w:color="auto" w:fill="auto"/>
          </w:tcPr>
          <w:p w14:paraId="7D0EE940" w14:textId="77777777" w:rsidR="005958CD" w:rsidRPr="00704BD4" w:rsidRDefault="005958CD" w:rsidP="00C52D24">
            <w:pPr>
              <w:pStyle w:val="BTableHeadingRowRightAligned"/>
              <w:rPr>
                <w:sz w:val="18"/>
                <w:szCs w:val="18"/>
              </w:rPr>
            </w:pPr>
          </w:p>
        </w:tc>
      </w:tr>
      <w:tr w:rsidR="005958CD" w:rsidRPr="00704BD4" w14:paraId="7465730D" w14:textId="77777777" w:rsidTr="00C52D24">
        <w:trPr>
          <w:trHeight w:val="156"/>
          <w:jc w:val="center"/>
        </w:trPr>
        <w:tc>
          <w:tcPr>
            <w:tcW w:w="3798" w:type="dxa"/>
            <w:shd w:val="clear" w:color="auto" w:fill="auto"/>
            <w:vAlign w:val="center"/>
          </w:tcPr>
          <w:p w14:paraId="54159B4E" w14:textId="77777777" w:rsidR="005958CD" w:rsidRPr="00704BD4" w:rsidRDefault="005958CD" w:rsidP="00C52D24">
            <w:pPr>
              <w:pStyle w:val="BTabletext"/>
              <w:rPr>
                <w:sz w:val="18"/>
                <w:szCs w:val="18"/>
              </w:rPr>
            </w:pPr>
            <w:r w:rsidRPr="00704BD4">
              <w:rPr>
                <w:rFonts w:eastAsia="Times New Roman" w:cs="Calibri"/>
                <w:sz w:val="18"/>
                <w:szCs w:val="18"/>
                <w:lang w:eastAsia="en-AU"/>
              </w:rPr>
              <w:t>Caring for our Environment - Improving species and habitat protection</w:t>
            </w:r>
          </w:p>
        </w:tc>
        <w:tc>
          <w:tcPr>
            <w:tcW w:w="850" w:type="dxa"/>
            <w:shd w:val="clear" w:color="auto" w:fill="auto"/>
          </w:tcPr>
          <w:p w14:paraId="5BF3D70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72</w:t>
            </w:r>
          </w:p>
        </w:tc>
        <w:tc>
          <w:tcPr>
            <w:tcW w:w="850" w:type="dxa"/>
            <w:shd w:val="clear" w:color="auto" w:fill="auto"/>
          </w:tcPr>
          <w:p w14:paraId="348C08C5"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B394B6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00D8B9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2B151D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79C5B3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72</w:t>
            </w:r>
          </w:p>
        </w:tc>
      </w:tr>
      <w:tr w:rsidR="005958CD" w:rsidRPr="00704BD4" w14:paraId="4F15EC85" w14:textId="77777777" w:rsidTr="00C52D24">
        <w:trPr>
          <w:trHeight w:val="156"/>
          <w:jc w:val="center"/>
        </w:trPr>
        <w:tc>
          <w:tcPr>
            <w:tcW w:w="3798" w:type="dxa"/>
            <w:shd w:val="clear" w:color="auto" w:fill="auto"/>
            <w:vAlign w:val="center"/>
          </w:tcPr>
          <w:p w14:paraId="72FBB188" w14:textId="77777777" w:rsidR="005958CD" w:rsidRPr="00704BD4" w:rsidRDefault="005958CD" w:rsidP="00C52D24">
            <w:pPr>
              <w:pStyle w:val="BTabletext"/>
              <w:rPr>
                <w:sz w:val="18"/>
                <w:szCs w:val="18"/>
              </w:rPr>
            </w:pPr>
            <w:r w:rsidRPr="00704BD4">
              <w:rPr>
                <w:rFonts w:eastAsia="Times New Roman" w:cs="Calibri"/>
                <w:sz w:val="18"/>
                <w:szCs w:val="18"/>
                <w:lang w:eastAsia="en-AU"/>
              </w:rPr>
              <w:t>Clean Catchments, Clean Waterways</w:t>
            </w:r>
          </w:p>
        </w:tc>
        <w:tc>
          <w:tcPr>
            <w:tcW w:w="850" w:type="dxa"/>
            <w:shd w:val="clear" w:color="auto" w:fill="auto"/>
          </w:tcPr>
          <w:p w14:paraId="3CD6995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1,192</w:t>
            </w:r>
          </w:p>
        </w:tc>
        <w:tc>
          <w:tcPr>
            <w:tcW w:w="850" w:type="dxa"/>
            <w:shd w:val="clear" w:color="auto" w:fill="auto"/>
          </w:tcPr>
          <w:p w14:paraId="0FC50D2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596384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EF9F4F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6370378"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578CC95D"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1,192</w:t>
            </w:r>
          </w:p>
        </w:tc>
      </w:tr>
      <w:tr w:rsidR="005958CD" w:rsidRPr="00704BD4" w14:paraId="2DC955BD" w14:textId="77777777" w:rsidTr="00C52D24">
        <w:trPr>
          <w:trHeight w:val="156"/>
          <w:jc w:val="center"/>
        </w:trPr>
        <w:tc>
          <w:tcPr>
            <w:tcW w:w="3798" w:type="dxa"/>
            <w:shd w:val="clear" w:color="auto" w:fill="auto"/>
            <w:vAlign w:val="center"/>
          </w:tcPr>
          <w:p w14:paraId="171F8E33" w14:textId="77777777" w:rsidR="005958CD" w:rsidRPr="00704BD4" w:rsidRDefault="005958CD" w:rsidP="00C52D24">
            <w:pPr>
              <w:pStyle w:val="BTabletext"/>
              <w:rPr>
                <w:sz w:val="18"/>
                <w:szCs w:val="18"/>
              </w:rPr>
            </w:pPr>
            <w:r w:rsidRPr="00704BD4">
              <w:rPr>
                <w:rFonts w:eastAsia="Times New Roman" w:cs="Calibri"/>
                <w:sz w:val="18"/>
                <w:szCs w:val="18"/>
                <w:lang w:eastAsia="en-AU"/>
              </w:rPr>
              <w:t>Combating Climate Change - Zero emissions vehicles</w:t>
            </w:r>
          </w:p>
        </w:tc>
        <w:tc>
          <w:tcPr>
            <w:tcW w:w="850" w:type="dxa"/>
            <w:shd w:val="clear" w:color="auto" w:fill="auto"/>
          </w:tcPr>
          <w:p w14:paraId="309EF2E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186</w:t>
            </w:r>
          </w:p>
        </w:tc>
        <w:tc>
          <w:tcPr>
            <w:tcW w:w="850" w:type="dxa"/>
            <w:shd w:val="clear" w:color="auto" w:fill="auto"/>
          </w:tcPr>
          <w:p w14:paraId="5CD845A1"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FF40B8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06C06C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4B4DB393"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7EEEE4B8"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186</w:t>
            </w:r>
          </w:p>
        </w:tc>
      </w:tr>
      <w:tr w:rsidR="005958CD" w:rsidRPr="00704BD4" w14:paraId="73FF57AB" w14:textId="77777777" w:rsidTr="00C52D24">
        <w:trPr>
          <w:trHeight w:val="156"/>
          <w:jc w:val="center"/>
        </w:trPr>
        <w:tc>
          <w:tcPr>
            <w:tcW w:w="3798" w:type="dxa"/>
            <w:shd w:val="clear" w:color="auto" w:fill="auto"/>
            <w:vAlign w:val="center"/>
          </w:tcPr>
          <w:p w14:paraId="1FEB06E8" w14:textId="77777777" w:rsidR="005958CD" w:rsidRPr="00704BD4" w:rsidRDefault="005958CD" w:rsidP="00C52D24">
            <w:pPr>
              <w:pStyle w:val="BTabletext"/>
              <w:rPr>
                <w:sz w:val="18"/>
                <w:szCs w:val="18"/>
              </w:rPr>
            </w:pPr>
            <w:r w:rsidRPr="00704BD4">
              <w:rPr>
                <w:rFonts w:eastAsia="Times New Roman" w:cs="Calibri"/>
                <w:sz w:val="18"/>
                <w:szCs w:val="18"/>
                <w:lang w:eastAsia="en-AU"/>
              </w:rPr>
              <w:t>Delivering better community facilities for Woden Town Centre</w:t>
            </w:r>
          </w:p>
        </w:tc>
        <w:tc>
          <w:tcPr>
            <w:tcW w:w="850" w:type="dxa"/>
            <w:shd w:val="clear" w:color="auto" w:fill="auto"/>
          </w:tcPr>
          <w:p w14:paraId="1674C48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1,075</w:t>
            </w:r>
          </w:p>
        </w:tc>
        <w:tc>
          <w:tcPr>
            <w:tcW w:w="850" w:type="dxa"/>
            <w:shd w:val="clear" w:color="auto" w:fill="auto"/>
          </w:tcPr>
          <w:p w14:paraId="18A5400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694ED4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A5ECBB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51BA74BD"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791D4C26"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1,075</w:t>
            </w:r>
          </w:p>
        </w:tc>
      </w:tr>
      <w:tr w:rsidR="005958CD" w:rsidRPr="00704BD4" w14:paraId="6A030FC1" w14:textId="77777777" w:rsidTr="00C52D24">
        <w:trPr>
          <w:trHeight w:val="156"/>
          <w:jc w:val="center"/>
        </w:trPr>
        <w:tc>
          <w:tcPr>
            <w:tcW w:w="3798" w:type="dxa"/>
            <w:shd w:val="clear" w:color="auto" w:fill="auto"/>
            <w:vAlign w:val="center"/>
          </w:tcPr>
          <w:p w14:paraId="25D343B8" w14:textId="77777777" w:rsidR="005958CD" w:rsidRPr="00704BD4" w:rsidRDefault="005958CD" w:rsidP="00C52D24">
            <w:pPr>
              <w:pStyle w:val="BTabletext"/>
              <w:rPr>
                <w:sz w:val="18"/>
                <w:szCs w:val="18"/>
              </w:rPr>
            </w:pPr>
            <w:r w:rsidRPr="00704BD4">
              <w:rPr>
                <w:rFonts w:eastAsia="Times New Roman" w:cs="Calibri"/>
                <w:sz w:val="18"/>
                <w:szCs w:val="18"/>
                <w:lang w:eastAsia="en-AU"/>
              </w:rPr>
              <w:t>Feasibility and infrastructure planning for future Molonglo land releases</w:t>
            </w:r>
          </w:p>
        </w:tc>
        <w:tc>
          <w:tcPr>
            <w:tcW w:w="850" w:type="dxa"/>
            <w:shd w:val="clear" w:color="auto" w:fill="auto"/>
          </w:tcPr>
          <w:p w14:paraId="34D9A26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854</w:t>
            </w:r>
          </w:p>
        </w:tc>
        <w:tc>
          <w:tcPr>
            <w:tcW w:w="850" w:type="dxa"/>
            <w:shd w:val="clear" w:color="auto" w:fill="auto"/>
          </w:tcPr>
          <w:p w14:paraId="1C389BA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2B8BCD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430ABF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A42F1BD"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540978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854</w:t>
            </w:r>
          </w:p>
        </w:tc>
      </w:tr>
      <w:tr w:rsidR="005958CD" w:rsidRPr="00704BD4" w14:paraId="216C14F8" w14:textId="77777777" w:rsidTr="00C52D24">
        <w:trPr>
          <w:trHeight w:val="156"/>
          <w:jc w:val="center"/>
        </w:trPr>
        <w:tc>
          <w:tcPr>
            <w:tcW w:w="3798" w:type="dxa"/>
            <w:shd w:val="clear" w:color="auto" w:fill="auto"/>
            <w:vAlign w:val="center"/>
          </w:tcPr>
          <w:p w14:paraId="128051E8" w14:textId="77777777" w:rsidR="005958CD" w:rsidRPr="00704BD4" w:rsidRDefault="005958CD" w:rsidP="00C52D24">
            <w:pPr>
              <w:pStyle w:val="BTabletext"/>
              <w:rPr>
                <w:sz w:val="18"/>
                <w:szCs w:val="18"/>
              </w:rPr>
            </w:pPr>
            <w:r w:rsidRPr="00704BD4">
              <w:rPr>
                <w:rFonts w:eastAsia="Times New Roman" w:cs="Calibri"/>
                <w:sz w:val="18"/>
                <w:szCs w:val="18"/>
                <w:lang w:eastAsia="en-AU"/>
              </w:rPr>
              <w:t>Fishing and camping facilities program</w:t>
            </w:r>
          </w:p>
        </w:tc>
        <w:tc>
          <w:tcPr>
            <w:tcW w:w="850" w:type="dxa"/>
            <w:shd w:val="clear" w:color="auto" w:fill="auto"/>
          </w:tcPr>
          <w:p w14:paraId="5FD2EF3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151</w:t>
            </w:r>
          </w:p>
        </w:tc>
        <w:tc>
          <w:tcPr>
            <w:tcW w:w="850" w:type="dxa"/>
            <w:shd w:val="clear" w:color="auto" w:fill="auto"/>
          </w:tcPr>
          <w:p w14:paraId="3A31260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71</w:t>
            </w:r>
          </w:p>
        </w:tc>
        <w:tc>
          <w:tcPr>
            <w:tcW w:w="850" w:type="dxa"/>
            <w:shd w:val="clear" w:color="auto" w:fill="auto"/>
          </w:tcPr>
          <w:p w14:paraId="0A8D4BE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9A51FC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7EC0E6BD"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4960CB82"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222</w:t>
            </w:r>
          </w:p>
        </w:tc>
      </w:tr>
      <w:tr w:rsidR="005958CD" w:rsidRPr="00704BD4" w14:paraId="513580B0" w14:textId="77777777" w:rsidTr="00C52D24">
        <w:trPr>
          <w:trHeight w:val="156"/>
          <w:jc w:val="center"/>
        </w:trPr>
        <w:tc>
          <w:tcPr>
            <w:tcW w:w="3798" w:type="dxa"/>
            <w:shd w:val="clear" w:color="auto" w:fill="auto"/>
            <w:vAlign w:val="center"/>
          </w:tcPr>
          <w:p w14:paraId="4A6D204C" w14:textId="77777777" w:rsidR="005958CD" w:rsidRPr="00704BD4" w:rsidRDefault="005958CD" w:rsidP="00C52D24">
            <w:pPr>
              <w:pStyle w:val="BTabletext"/>
              <w:rPr>
                <w:sz w:val="18"/>
                <w:szCs w:val="18"/>
              </w:rPr>
            </w:pPr>
            <w:r w:rsidRPr="00704BD4">
              <w:rPr>
                <w:rFonts w:eastAsia="Times New Roman" w:cs="Calibri"/>
                <w:sz w:val="18"/>
                <w:szCs w:val="18"/>
                <w:lang w:eastAsia="en-AU"/>
              </w:rPr>
              <w:t>Improving online lodgement for development applications</w:t>
            </w:r>
          </w:p>
        </w:tc>
        <w:tc>
          <w:tcPr>
            <w:tcW w:w="850" w:type="dxa"/>
            <w:shd w:val="clear" w:color="auto" w:fill="auto"/>
          </w:tcPr>
          <w:p w14:paraId="577CD1E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600</w:t>
            </w:r>
          </w:p>
        </w:tc>
        <w:tc>
          <w:tcPr>
            <w:tcW w:w="850" w:type="dxa"/>
            <w:shd w:val="clear" w:color="auto" w:fill="auto"/>
          </w:tcPr>
          <w:p w14:paraId="6A8DAA5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7CDA001"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68027A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7D7CCFC1"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383B2CE1"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600</w:t>
            </w:r>
          </w:p>
        </w:tc>
      </w:tr>
      <w:tr w:rsidR="005958CD" w:rsidRPr="00704BD4" w14:paraId="76374946" w14:textId="77777777" w:rsidTr="00C52D24">
        <w:trPr>
          <w:trHeight w:val="156"/>
          <w:jc w:val="center"/>
        </w:trPr>
        <w:tc>
          <w:tcPr>
            <w:tcW w:w="3798" w:type="dxa"/>
            <w:shd w:val="clear" w:color="auto" w:fill="auto"/>
            <w:vAlign w:val="center"/>
          </w:tcPr>
          <w:p w14:paraId="0C96CEAF" w14:textId="77777777" w:rsidR="005958CD" w:rsidRPr="00704BD4" w:rsidRDefault="005958CD" w:rsidP="00C52D24">
            <w:pPr>
              <w:pStyle w:val="BTabletext"/>
              <w:rPr>
                <w:sz w:val="18"/>
                <w:szCs w:val="18"/>
              </w:rPr>
            </w:pPr>
            <w:r w:rsidRPr="00704BD4">
              <w:rPr>
                <w:rFonts w:eastAsia="Times New Roman" w:cs="Calibri"/>
                <w:sz w:val="18"/>
                <w:szCs w:val="18"/>
                <w:lang w:eastAsia="en-AU"/>
              </w:rPr>
              <w:t>Improving water quality in Lake Tuggeranong</w:t>
            </w:r>
          </w:p>
        </w:tc>
        <w:tc>
          <w:tcPr>
            <w:tcW w:w="850" w:type="dxa"/>
            <w:shd w:val="clear" w:color="auto" w:fill="auto"/>
          </w:tcPr>
          <w:p w14:paraId="1083D4E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571</w:t>
            </w:r>
          </w:p>
        </w:tc>
        <w:tc>
          <w:tcPr>
            <w:tcW w:w="850" w:type="dxa"/>
            <w:shd w:val="clear" w:color="auto" w:fill="auto"/>
          </w:tcPr>
          <w:p w14:paraId="2C8ABC9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215</w:t>
            </w:r>
          </w:p>
        </w:tc>
        <w:tc>
          <w:tcPr>
            <w:tcW w:w="850" w:type="dxa"/>
            <w:shd w:val="clear" w:color="auto" w:fill="auto"/>
          </w:tcPr>
          <w:p w14:paraId="6172BD0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09CBC31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9090121"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97D47C6"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786</w:t>
            </w:r>
          </w:p>
        </w:tc>
      </w:tr>
      <w:tr w:rsidR="005958CD" w:rsidRPr="00704BD4" w14:paraId="545784D8" w14:textId="77777777" w:rsidTr="00C52D24">
        <w:trPr>
          <w:trHeight w:val="156"/>
          <w:jc w:val="center"/>
        </w:trPr>
        <w:tc>
          <w:tcPr>
            <w:tcW w:w="3798" w:type="dxa"/>
            <w:shd w:val="clear" w:color="auto" w:fill="auto"/>
            <w:vAlign w:val="center"/>
          </w:tcPr>
          <w:p w14:paraId="4202F42C"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jobs for our growing city - Delivering a new nature reserve in the Molonglo Valley - NES plan implementation - Stage 3</w:t>
            </w:r>
          </w:p>
        </w:tc>
        <w:tc>
          <w:tcPr>
            <w:tcW w:w="850" w:type="dxa"/>
            <w:shd w:val="clear" w:color="auto" w:fill="auto"/>
          </w:tcPr>
          <w:p w14:paraId="065E0BA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523</w:t>
            </w:r>
          </w:p>
        </w:tc>
        <w:tc>
          <w:tcPr>
            <w:tcW w:w="850" w:type="dxa"/>
            <w:shd w:val="clear" w:color="auto" w:fill="auto"/>
          </w:tcPr>
          <w:p w14:paraId="60F122E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DD5356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76EE52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4599AC7"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4C939211"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523</w:t>
            </w:r>
          </w:p>
        </w:tc>
      </w:tr>
      <w:tr w:rsidR="005958CD" w:rsidRPr="00704BD4" w14:paraId="21D402AF" w14:textId="77777777" w:rsidTr="00C52D24">
        <w:trPr>
          <w:trHeight w:val="156"/>
          <w:jc w:val="center"/>
        </w:trPr>
        <w:tc>
          <w:tcPr>
            <w:tcW w:w="3798" w:type="dxa"/>
            <w:shd w:val="clear" w:color="auto" w:fill="auto"/>
            <w:vAlign w:val="center"/>
          </w:tcPr>
          <w:p w14:paraId="3C90372C" w14:textId="77777777" w:rsidR="005958CD" w:rsidRPr="00704BD4" w:rsidRDefault="005958CD" w:rsidP="00C52D24">
            <w:pPr>
              <w:pStyle w:val="BTabletext"/>
              <w:rPr>
                <w:sz w:val="18"/>
                <w:szCs w:val="18"/>
              </w:rPr>
            </w:pPr>
            <w:r w:rsidRPr="00704BD4">
              <w:rPr>
                <w:rFonts w:eastAsia="Times New Roman" w:cs="Calibri"/>
                <w:sz w:val="18"/>
                <w:szCs w:val="18"/>
                <w:lang w:eastAsia="en-AU"/>
              </w:rPr>
              <w:t>More jobs for our growing city - Ecotourism Woodlands Learning Centre</w:t>
            </w:r>
          </w:p>
        </w:tc>
        <w:tc>
          <w:tcPr>
            <w:tcW w:w="850" w:type="dxa"/>
            <w:shd w:val="clear" w:color="auto" w:fill="auto"/>
          </w:tcPr>
          <w:p w14:paraId="03A1719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210</w:t>
            </w:r>
          </w:p>
        </w:tc>
        <w:tc>
          <w:tcPr>
            <w:tcW w:w="850" w:type="dxa"/>
            <w:shd w:val="clear" w:color="auto" w:fill="auto"/>
          </w:tcPr>
          <w:p w14:paraId="6390A40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EF23E8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E5640B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7DFCE392"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69B3626E"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210</w:t>
            </w:r>
          </w:p>
        </w:tc>
      </w:tr>
      <w:tr w:rsidR="005958CD" w:rsidRPr="00704BD4" w14:paraId="3360C167" w14:textId="77777777" w:rsidTr="00C52D24">
        <w:trPr>
          <w:trHeight w:val="156"/>
          <w:jc w:val="center"/>
        </w:trPr>
        <w:tc>
          <w:tcPr>
            <w:tcW w:w="3798" w:type="dxa"/>
            <w:shd w:val="clear" w:color="auto" w:fill="auto"/>
            <w:vAlign w:val="center"/>
          </w:tcPr>
          <w:p w14:paraId="5D77BC8E" w14:textId="77777777" w:rsidR="005958CD" w:rsidRPr="00704BD4" w:rsidRDefault="005958CD" w:rsidP="00C52D24">
            <w:pPr>
              <w:pStyle w:val="BTabletext"/>
              <w:rPr>
                <w:sz w:val="18"/>
                <w:szCs w:val="18"/>
              </w:rPr>
            </w:pPr>
            <w:r w:rsidRPr="00704BD4">
              <w:rPr>
                <w:rFonts w:eastAsia="Times New Roman" w:cs="Calibri"/>
                <w:sz w:val="18"/>
                <w:szCs w:val="18"/>
                <w:lang w:eastAsia="en-AU"/>
              </w:rPr>
              <w:t>Protecting endangered species</w:t>
            </w:r>
          </w:p>
        </w:tc>
        <w:tc>
          <w:tcPr>
            <w:tcW w:w="850" w:type="dxa"/>
            <w:shd w:val="clear" w:color="auto" w:fill="auto"/>
          </w:tcPr>
          <w:p w14:paraId="55896A4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255</w:t>
            </w:r>
          </w:p>
        </w:tc>
        <w:tc>
          <w:tcPr>
            <w:tcW w:w="850" w:type="dxa"/>
            <w:shd w:val="clear" w:color="auto" w:fill="auto"/>
          </w:tcPr>
          <w:p w14:paraId="13BF05B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24A910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1AB5E3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464A2A30"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64154D9"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255</w:t>
            </w:r>
          </w:p>
        </w:tc>
      </w:tr>
      <w:tr w:rsidR="005958CD" w:rsidRPr="00704BD4" w14:paraId="5DE7E45C" w14:textId="77777777" w:rsidTr="00C52D24">
        <w:trPr>
          <w:trHeight w:val="156"/>
          <w:jc w:val="center"/>
        </w:trPr>
        <w:tc>
          <w:tcPr>
            <w:tcW w:w="3798" w:type="dxa"/>
            <w:shd w:val="clear" w:color="auto" w:fill="auto"/>
            <w:vAlign w:val="center"/>
          </w:tcPr>
          <w:p w14:paraId="21E86B94" w14:textId="77777777" w:rsidR="005958CD" w:rsidRPr="00704BD4" w:rsidRDefault="005958CD" w:rsidP="00C52D24">
            <w:pPr>
              <w:pStyle w:val="BTabletext"/>
              <w:rPr>
                <w:sz w:val="18"/>
                <w:szCs w:val="18"/>
              </w:rPr>
            </w:pPr>
            <w:r w:rsidRPr="00704BD4">
              <w:rPr>
                <w:rFonts w:eastAsia="Times New Roman" w:cs="Calibri"/>
                <w:sz w:val="18"/>
                <w:szCs w:val="18"/>
                <w:lang w:eastAsia="en-AU"/>
              </w:rPr>
              <w:t>Protecting grasslands and conservation areas</w:t>
            </w:r>
          </w:p>
        </w:tc>
        <w:tc>
          <w:tcPr>
            <w:tcW w:w="850" w:type="dxa"/>
            <w:shd w:val="clear" w:color="auto" w:fill="auto"/>
          </w:tcPr>
          <w:p w14:paraId="6C73DA7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270</w:t>
            </w:r>
          </w:p>
        </w:tc>
        <w:tc>
          <w:tcPr>
            <w:tcW w:w="850" w:type="dxa"/>
            <w:shd w:val="clear" w:color="auto" w:fill="auto"/>
          </w:tcPr>
          <w:p w14:paraId="3390EEE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A2B094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01013C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43D3A677"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9A5EFA9"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270</w:t>
            </w:r>
          </w:p>
        </w:tc>
      </w:tr>
      <w:tr w:rsidR="005958CD" w:rsidRPr="00704BD4" w14:paraId="2F039D5E" w14:textId="77777777" w:rsidTr="00C52D24">
        <w:trPr>
          <w:trHeight w:val="156"/>
          <w:jc w:val="center"/>
        </w:trPr>
        <w:tc>
          <w:tcPr>
            <w:tcW w:w="3798" w:type="dxa"/>
            <w:shd w:val="clear" w:color="auto" w:fill="auto"/>
            <w:vAlign w:val="center"/>
          </w:tcPr>
          <w:p w14:paraId="24307F94" w14:textId="77777777" w:rsidR="005958CD" w:rsidRPr="00704BD4" w:rsidRDefault="005958CD" w:rsidP="00C52D24">
            <w:pPr>
              <w:pStyle w:val="BTabletext"/>
              <w:rPr>
                <w:sz w:val="18"/>
                <w:szCs w:val="18"/>
              </w:rPr>
            </w:pPr>
            <w:r w:rsidRPr="00704BD4">
              <w:rPr>
                <w:rFonts w:eastAsia="Times New Roman" w:cs="Calibri"/>
                <w:sz w:val="18"/>
                <w:szCs w:val="18"/>
                <w:lang w:eastAsia="en-AU"/>
              </w:rPr>
              <w:t>Remediating the former Molonglo sewerage treatment facility</w:t>
            </w:r>
          </w:p>
        </w:tc>
        <w:tc>
          <w:tcPr>
            <w:tcW w:w="850" w:type="dxa"/>
            <w:shd w:val="clear" w:color="auto" w:fill="auto"/>
          </w:tcPr>
          <w:p w14:paraId="739B28A7"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1,413</w:t>
            </w:r>
          </w:p>
        </w:tc>
        <w:tc>
          <w:tcPr>
            <w:tcW w:w="850" w:type="dxa"/>
            <w:shd w:val="clear" w:color="auto" w:fill="auto"/>
          </w:tcPr>
          <w:p w14:paraId="2273915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200</w:t>
            </w:r>
          </w:p>
        </w:tc>
        <w:tc>
          <w:tcPr>
            <w:tcW w:w="850" w:type="dxa"/>
            <w:shd w:val="clear" w:color="auto" w:fill="auto"/>
          </w:tcPr>
          <w:p w14:paraId="469BAE6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D7F035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CB094A5"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4D436EE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1,613</w:t>
            </w:r>
          </w:p>
        </w:tc>
      </w:tr>
      <w:tr w:rsidR="005958CD" w:rsidRPr="00704BD4" w14:paraId="5007A02E" w14:textId="77777777" w:rsidTr="00C52D24">
        <w:trPr>
          <w:trHeight w:val="156"/>
          <w:jc w:val="center"/>
        </w:trPr>
        <w:tc>
          <w:tcPr>
            <w:tcW w:w="3798" w:type="dxa"/>
            <w:shd w:val="clear" w:color="auto" w:fill="auto"/>
            <w:vAlign w:val="center"/>
          </w:tcPr>
          <w:p w14:paraId="38B8F11F" w14:textId="77777777" w:rsidR="005958CD" w:rsidRPr="00704BD4" w:rsidRDefault="005958CD" w:rsidP="00C52D24">
            <w:pPr>
              <w:pStyle w:val="BTabletext"/>
              <w:rPr>
                <w:sz w:val="18"/>
                <w:szCs w:val="18"/>
              </w:rPr>
            </w:pPr>
            <w:r w:rsidRPr="00704BD4">
              <w:rPr>
                <w:rFonts w:eastAsia="Times New Roman" w:cs="Calibri"/>
                <w:sz w:val="18"/>
                <w:szCs w:val="18"/>
                <w:lang w:eastAsia="en-AU"/>
              </w:rPr>
              <w:t>Replacing ACT Parks and Conservation Services radios</w:t>
            </w:r>
          </w:p>
        </w:tc>
        <w:tc>
          <w:tcPr>
            <w:tcW w:w="850" w:type="dxa"/>
            <w:shd w:val="clear" w:color="auto" w:fill="auto"/>
          </w:tcPr>
          <w:p w14:paraId="2A07012A"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40</w:t>
            </w:r>
          </w:p>
        </w:tc>
        <w:tc>
          <w:tcPr>
            <w:tcW w:w="850" w:type="dxa"/>
            <w:shd w:val="clear" w:color="auto" w:fill="auto"/>
          </w:tcPr>
          <w:p w14:paraId="69C465F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E89DB41"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9AD0A8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7E78D20C"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7C1F18CE"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40</w:t>
            </w:r>
          </w:p>
        </w:tc>
      </w:tr>
      <w:tr w:rsidR="005958CD" w:rsidRPr="00704BD4" w14:paraId="4A1061F9" w14:textId="77777777" w:rsidTr="00C52D24">
        <w:trPr>
          <w:trHeight w:val="156"/>
          <w:jc w:val="center"/>
        </w:trPr>
        <w:tc>
          <w:tcPr>
            <w:tcW w:w="3798" w:type="dxa"/>
            <w:shd w:val="clear" w:color="auto" w:fill="auto"/>
            <w:vAlign w:val="center"/>
          </w:tcPr>
          <w:p w14:paraId="4F98DC9A" w14:textId="77777777" w:rsidR="005958CD" w:rsidRPr="00704BD4" w:rsidRDefault="005958CD" w:rsidP="00C52D24">
            <w:pPr>
              <w:pStyle w:val="BTabletext"/>
              <w:rPr>
                <w:sz w:val="18"/>
                <w:szCs w:val="18"/>
              </w:rPr>
            </w:pPr>
            <w:r w:rsidRPr="00704BD4">
              <w:rPr>
                <w:rFonts w:eastAsia="Times New Roman" w:cs="Calibri"/>
                <w:sz w:val="18"/>
                <w:szCs w:val="18"/>
                <w:lang w:eastAsia="en-AU"/>
              </w:rPr>
              <w:t>Replanting the Ingledene Forest</w:t>
            </w:r>
          </w:p>
        </w:tc>
        <w:tc>
          <w:tcPr>
            <w:tcW w:w="850" w:type="dxa"/>
            <w:shd w:val="clear" w:color="auto" w:fill="auto"/>
          </w:tcPr>
          <w:p w14:paraId="3653DC4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794</w:t>
            </w:r>
          </w:p>
        </w:tc>
        <w:tc>
          <w:tcPr>
            <w:tcW w:w="850" w:type="dxa"/>
            <w:shd w:val="clear" w:color="auto" w:fill="auto"/>
          </w:tcPr>
          <w:p w14:paraId="4A35A16C"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414</w:t>
            </w:r>
          </w:p>
        </w:tc>
        <w:tc>
          <w:tcPr>
            <w:tcW w:w="850" w:type="dxa"/>
            <w:shd w:val="clear" w:color="auto" w:fill="auto"/>
          </w:tcPr>
          <w:p w14:paraId="067E9716"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176DB3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07C4BDFA"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21B8D000"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1,208</w:t>
            </w:r>
          </w:p>
        </w:tc>
      </w:tr>
      <w:tr w:rsidR="005958CD" w:rsidRPr="00704BD4" w14:paraId="324F7BDE" w14:textId="77777777" w:rsidTr="002C0E51">
        <w:trPr>
          <w:trHeight w:val="156"/>
          <w:jc w:val="center"/>
        </w:trPr>
        <w:tc>
          <w:tcPr>
            <w:tcW w:w="3798" w:type="dxa"/>
            <w:shd w:val="clear" w:color="auto" w:fill="auto"/>
            <w:vAlign w:val="center"/>
          </w:tcPr>
          <w:p w14:paraId="718B5C5B" w14:textId="77777777" w:rsidR="005958CD" w:rsidRPr="00704BD4" w:rsidRDefault="005958CD" w:rsidP="00C52D24">
            <w:pPr>
              <w:pStyle w:val="BTabletext"/>
              <w:rPr>
                <w:sz w:val="18"/>
                <w:szCs w:val="18"/>
              </w:rPr>
            </w:pPr>
            <w:r w:rsidRPr="00704BD4">
              <w:rPr>
                <w:rFonts w:eastAsia="Times New Roman" w:cs="Calibri"/>
                <w:sz w:val="18"/>
                <w:szCs w:val="18"/>
                <w:lang w:eastAsia="en-AU"/>
              </w:rPr>
              <w:t>Scoping for East Lake urban renewal</w:t>
            </w:r>
          </w:p>
        </w:tc>
        <w:tc>
          <w:tcPr>
            <w:tcW w:w="850" w:type="dxa"/>
            <w:shd w:val="clear" w:color="auto" w:fill="auto"/>
          </w:tcPr>
          <w:p w14:paraId="0A62F32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30</w:t>
            </w:r>
          </w:p>
        </w:tc>
        <w:tc>
          <w:tcPr>
            <w:tcW w:w="850" w:type="dxa"/>
            <w:shd w:val="clear" w:color="auto" w:fill="auto"/>
          </w:tcPr>
          <w:p w14:paraId="11175F8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8B7E27B"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517863D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29C3E07"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0F04481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30</w:t>
            </w:r>
          </w:p>
        </w:tc>
      </w:tr>
      <w:tr w:rsidR="005958CD" w:rsidRPr="00704BD4" w14:paraId="1BC8DA82" w14:textId="77777777" w:rsidTr="002C0E51">
        <w:trPr>
          <w:trHeight w:val="156"/>
          <w:jc w:val="center"/>
        </w:trPr>
        <w:tc>
          <w:tcPr>
            <w:tcW w:w="3798" w:type="dxa"/>
            <w:shd w:val="clear" w:color="auto" w:fill="auto"/>
            <w:vAlign w:val="center"/>
          </w:tcPr>
          <w:p w14:paraId="2E4FCCBD" w14:textId="77777777" w:rsidR="005958CD" w:rsidRPr="00704BD4" w:rsidRDefault="005958CD" w:rsidP="00C52D24">
            <w:pPr>
              <w:pStyle w:val="BTabletext"/>
              <w:rPr>
                <w:sz w:val="18"/>
                <w:szCs w:val="18"/>
              </w:rPr>
            </w:pPr>
            <w:r w:rsidRPr="00704BD4">
              <w:rPr>
                <w:rFonts w:eastAsia="Times New Roman" w:cs="Calibri"/>
                <w:sz w:val="18"/>
                <w:szCs w:val="18"/>
                <w:lang w:eastAsia="en-AU"/>
              </w:rPr>
              <w:t>Securing Electricity Supply in the ACT - Second supply network</w:t>
            </w:r>
          </w:p>
        </w:tc>
        <w:tc>
          <w:tcPr>
            <w:tcW w:w="850" w:type="dxa"/>
            <w:shd w:val="clear" w:color="auto" w:fill="auto"/>
          </w:tcPr>
          <w:p w14:paraId="466E476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30</w:t>
            </w:r>
          </w:p>
        </w:tc>
        <w:tc>
          <w:tcPr>
            <w:tcW w:w="850" w:type="dxa"/>
            <w:shd w:val="clear" w:color="auto" w:fill="auto"/>
          </w:tcPr>
          <w:p w14:paraId="0FB50A1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F51C504"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6EFFF30E"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6C1C60A9"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7B527E9"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30</w:t>
            </w:r>
          </w:p>
        </w:tc>
      </w:tr>
      <w:tr w:rsidR="005958CD" w:rsidRPr="00704BD4" w14:paraId="1546FA39" w14:textId="77777777" w:rsidTr="002C0E51">
        <w:trPr>
          <w:trHeight w:val="156"/>
          <w:jc w:val="center"/>
        </w:trPr>
        <w:tc>
          <w:tcPr>
            <w:tcW w:w="3798" w:type="dxa"/>
            <w:shd w:val="clear" w:color="auto" w:fill="auto"/>
            <w:vAlign w:val="center"/>
          </w:tcPr>
          <w:p w14:paraId="03735DEF" w14:textId="77777777" w:rsidR="005958CD" w:rsidRPr="00704BD4" w:rsidRDefault="005958CD" w:rsidP="00C52D24">
            <w:pPr>
              <w:pStyle w:val="BTabletext"/>
              <w:rPr>
                <w:sz w:val="18"/>
                <w:szCs w:val="18"/>
              </w:rPr>
            </w:pPr>
            <w:r w:rsidRPr="00704BD4">
              <w:rPr>
                <w:rFonts w:eastAsia="Times New Roman" w:cs="Calibri"/>
                <w:sz w:val="18"/>
                <w:szCs w:val="18"/>
                <w:lang w:eastAsia="en-AU"/>
              </w:rPr>
              <w:lastRenderedPageBreak/>
              <w:t>Supporting our heritage - Funding for the National Trust and upgrading the Heritage Council database and website</w:t>
            </w:r>
          </w:p>
        </w:tc>
        <w:tc>
          <w:tcPr>
            <w:tcW w:w="850" w:type="dxa"/>
            <w:shd w:val="clear" w:color="auto" w:fill="auto"/>
          </w:tcPr>
          <w:p w14:paraId="7BE74FD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253</w:t>
            </w:r>
          </w:p>
        </w:tc>
        <w:tc>
          <w:tcPr>
            <w:tcW w:w="850" w:type="dxa"/>
            <w:shd w:val="clear" w:color="auto" w:fill="auto"/>
          </w:tcPr>
          <w:p w14:paraId="73EF103F"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247</w:t>
            </w:r>
          </w:p>
        </w:tc>
        <w:tc>
          <w:tcPr>
            <w:tcW w:w="850" w:type="dxa"/>
            <w:shd w:val="clear" w:color="auto" w:fill="auto"/>
          </w:tcPr>
          <w:p w14:paraId="354F279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38AF8D1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41C3DFFA"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2745E01"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500</w:t>
            </w:r>
          </w:p>
        </w:tc>
      </w:tr>
      <w:tr w:rsidR="005958CD" w:rsidRPr="00704BD4" w14:paraId="0F1C7F8C" w14:textId="77777777" w:rsidTr="00C52D24">
        <w:trPr>
          <w:trHeight w:val="156"/>
          <w:jc w:val="center"/>
        </w:trPr>
        <w:tc>
          <w:tcPr>
            <w:tcW w:w="3798" w:type="dxa"/>
            <w:shd w:val="clear" w:color="auto" w:fill="auto"/>
            <w:vAlign w:val="center"/>
          </w:tcPr>
          <w:p w14:paraId="5EFA167A" w14:textId="77777777" w:rsidR="005958CD" w:rsidRPr="00704BD4" w:rsidRDefault="005958CD" w:rsidP="00C52D24">
            <w:pPr>
              <w:pStyle w:val="BTabletext"/>
              <w:rPr>
                <w:sz w:val="18"/>
                <w:szCs w:val="18"/>
              </w:rPr>
            </w:pPr>
            <w:r w:rsidRPr="00704BD4">
              <w:rPr>
                <w:rFonts w:eastAsia="Times New Roman" w:cs="Calibri"/>
                <w:sz w:val="18"/>
                <w:szCs w:val="18"/>
                <w:lang w:eastAsia="en-AU"/>
              </w:rPr>
              <w:t>Sustainable rural water use and infrastructure program</w:t>
            </w:r>
          </w:p>
        </w:tc>
        <w:tc>
          <w:tcPr>
            <w:tcW w:w="850" w:type="dxa"/>
            <w:shd w:val="clear" w:color="auto" w:fill="auto"/>
          </w:tcPr>
          <w:p w14:paraId="3B3D21E2"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300</w:t>
            </w:r>
          </w:p>
        </w:tc>
        <w:tc>
          <w:tcPr>
            <w:tcW w:w="850" w:type="dxa"/>
            <w:shd w:val="clear" w:color="auto" w:fill="auto"/>
          </w:tcPr>
          <w:p w14:paraId="3349B39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2D7B958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79251910"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F3F68A9"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5E9ED9F5"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300</w:t>
            </w:r>
          </w:p>
        </w:tc>
      </w:tr>
      <w:tr w:rsidR="005958CD" w:rsidRPr="00704BD4" w14:paraId="1964F5ED" w14:textId="77777777" w:rsidTr="00C52D24">
        <w:trPr>
          <w:trHeight w:val="156"/>
          <w:jc w:val="center"/>
        </w:trPr>
        <w:tc>
          <w:tcPr>
            <w:tcW w:w="3798" w:type="dxa"/>
            <w:shd w:val="clear" w:color="auto" w:fill="auto"/>
            <w:vAlign w:val="center"/>
          </w:tcPr>
          <w:p w14:paraId="5355D4C8" w14:textId="77777777" w:rsidR="005958CD" w:rsidRPr="00704BD4" w:rsidRDefault="005958CD" w:rsidP="00C52D24">
            <w:pPr>
              <w:pStyle w:val="BTabletext"/>
              <w:rPr>
                <w:b/>
                <w:bCs/>
                <w:sz w:val="18"/>
                <w:szCs w:val="18"/>
              </w:rPr>
            </w:pPr>
            <w:r w:rsidRPr="00704BD4">
              <w:rPr>
                <w:rFonts w:eastAsia="Times New Roman" w:cs="Calibri"/>
                <w:b/>
                <w:bCs/>
                <w:sz w:val="18"/>
                <w:szCs w:val="18"/>
                <w:lang w:eastAsia="en-AU"/>
              </w:rPr>
              <w:t>Total</w:t>
            </w:r>
          </w:p>
        </w:tc>
        <w:tc>
          <w:tcPr>
            <w:tcW w:w="850" w:type="dxa"/>
            <w:shd w:val="clear" w:color="auto" w:fill="auto"/>
          </w:tcPr>
          <w:p w14:paraId="1ED0DBF8"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8,819</w:t>
            </w:r>
          </w:p>
        </w:tc>
        <w:tc>
          <w:tcPr>
            <w:tcW w:w="850" w:type="dxa"/>
            <w:shd w:val="clear" w:color="auto" w:fill="auto"/>
          </w:tcPr>
          <w:p w14:paraId="4D936E5E"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1,147</w:t>
            </w:r>
          </w:p>
        </w:tc>
        <w:tc>
          <w:tcPr>
            <w:tcW w:w="850" w:type="dxa"/>
            <w:shd w:val="clear" w:color="auto" w:fill="auto"/>
          </w:tcPr>
          <w:p w14:paraId="2BFDEB9C"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0</w:t>
            </w:r>
          </w:p>
        </w:tc>
        <w:tc>
          <w:tcPr>
            <w:tcW w:w="850" w:type="dxa"/>
            <w:shd w:val="clear" w:color="auto" w:fill="auto"/>
          </w:tcPr>
          <w:p w14:paraId="474482E2" w14:textId="77777777" w:rsidR="005958CD" w:rsidRPr="00704BD4" w:rsidRDefault="005958CD" w:rsidP="00C52D24">
            <w:pPr>
              <w:pStyle w:val="Btablefigureunbold"/>
              <w:rPr>
                <w:b/>
                <w:sz w:val="18"/>
                <w:szCs w:val="18"/>
              </w:rPr>
            </w:pPr>
            <w:r w:rsidRPr="00704BD4">
              <w:rPr>
                <w:rFonts w:eastAsia="Times New Roman" w:cs="Calibri"/>
                <w:b/>
                <w:sz w:val="18"/>
                <w:szCs w:val="18"/>
                <w:lang w:eastAsia="en-AU"/>
              </w:rPr>
              <w:t>0</w:t>
            </w:r>
          </w:p>
        </w:tc>
        <w:tc>
          <w:tcPr>
            <w:tcW w:w="850" w:type="dxa"/>
          </w:tcPr>
          <w:p w14:paraId="2A5DEF52"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0</w:t>
            </w:r>
          </w:p>
        </w:tc>
        <w:tc>
          <w:tcPr>
            <w:tcW w:w="1020" w:type="dxa"/>
            <w:shd w:val="clear" w:color="auto" w:fill="auto"/>
          </w:tcPr>
          <w:p w14:paraId="70B2E0BF"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9,966</w:t>
            </w:r>
          </w:p>
        </w:tc>
      </w:tr>
      <w:tr w:rsidR="005958CD" w:rsidRPr="00704BD4" w14:paraId="12057852" w14:textId="77777777" w:rsidTr="00C52D24">
        <w:trPr>
          <w:trHeight w:val="156"/>
          <w:jc w:val="center"/>
        </w:trPr>
        <w:tc>
          <w:tcPr>
            <w:tcW w:w="3798" w:type="dxa"/>
            <w:shd w:val="clear" w:color="auto" w:fill="auto"/>
            <w:vAlign w:val="center"/>
          </w:tcPr>
          <w:p w14:paraId="513B465C" w14:textId="77777777" w:rsidR="005958CD" w:rsidRPr="00704BD4" w:rsidRDefault="005958CD" w:rsidP="00C52D24">
            <w:pPr>
              <w:pStyle w:val="BTabletext"/>
              <w:rPr>
                <w:sz w:val="18"/>
                <w:szCs w:val="18"/>
              </w:rPr>
            </w:pPr>
            <w:r w:rsidRPr="00704BD4">
              <w:rPr>
                <w:rFonts w:eastAsia="Times New Roman" w:cs="Calibri"/>
                <w:b/>
                <w:bCs/>
                <w:sz w:val="18"/>
                <w:szCs w:val="18"/>
                <w:lang w:eastAsia="en-AU"/>
              </w:rPr>
              <w:t>Housing ACT</w:t>
            </w:r>
          </w:p>
        </w:tc>
        <w:tc>
          <w:tcPr>
            <w:tcW w:w="850" w:type="dxa"/>
            <w:shd w:val="clear" w:color="auto" w:fill="auto"/>
          </w:tcPr>
          <w:p w14:paraId="6A071947" w14:textId="77777777" w:rsidR="005958CD" w:rsidRPr="00704BD4" w:rsidRDefault="005958CD" w:rsidP="00C52D24">
            <w:pPr>
              <w:pStyle w:val="Btablefigureunbold"/>
              <w:rPr>
                <w:sz w:val="18"/>
                <w:szCs w:val="18"/>
              </w:rPr>
            </w:pPr>
          </w:p>
        </w:tc>
        <w:tc>
          <w:tcPr>
            <w:tcW w:w="850" w:type="dxa"/>
            <w:shd w:val="clear" w:color="auto" w:fill="auto"/>
          </w:tcPr>
          <w:p w14:paraId="2D619B2D" w14:textId="77777777" w:rsidR="005958CD" w:rsidRPr="00704BD4" w:rsidRDefault="005958CD" w:rsidP="00C52D24">
            <w:pPr>
              <w:pStyle w:val="Btablefigureunbold"/>
              <w:rPr>
                <w:sz w:val="18"/>
                <w:szCs w:val="18"/>
              </w:rPr>
            </w:pPr>
          </w:p>
        </w:tc>
        <w:tc>
          <w:tcPr>
            <w:tcW w:w="850" w:type="dxa"/>
            <w:shd w:val="clear" w:color="auto" w:fill="auto"/>
          </w:tcPr>
          <w:p w14:paraId="148AD3C9" w14:textId="77777777" w:rsidR="005958CD" w:rsidRPr="00704BD4" w:rsidRDefault="005958CD" w:rsidP="00C52D24">
            <w:pPr>
              <w:pStyle w:val="Btablefigureunbold"/>
              <w:rPr>
                <w:sz w:val="18"/>
                <w:szCs w:val="18"/>
              </w:rPr>
            </w:pPr>
          </w:p>
        </w:tc>
        <w:tc>
          <w:tcPr>
            <w:tcW w:w="850" w:type="dxa"/>
            <w:shd w:val="clear" w:color="auto" w:fill="auto"/>
          </w:tcPr>
          <w:p w14:paraId="2CEB6F9B" w14:textId="77777777" w:rsidR="005958CD" w:rsidRPr="00704BD4" w:rsidRDefault="005958CD" w:rsidP="00C52D24">
            <w:pPr>
              <w:pStyle w:val="Btablefigureunbold"/>
              <w:rPr>
                <w:sz w:val="18"/>
                <w:szCs w:val="18"/>
              </w:rPr>
            </w:pPr>
          </w:p>
        </w:tc>
        <w:tc>
          <w:tcPr>
            <w:tcW w:w="850" w:type="dxa"/>
          </w:tcPr>
          <w:p w14:paraId="5F255FE1" w14:textId="77777777" w:rsidR="005958CD" w:rsidRPr="00704BD4" w:rsidRDefault="005958CD" w:rsidP="00C52D24">
            <w:pPr>
              <w:pStyle w:val="BTableHeadingRowRightAligned"/>
              <w:rPr>
                <w:b w:val="0"/>
                <w:bCs/>
                <w:sz w:val="18"/>
                <w:szCs w:val="18"/>
              </w:rPr>
            </w:pPr>
          </w:p>
        </w:tc>
        <w:tc>
          <w:tcPr>
            <w:tcW w:w="1020" w:type="dxa"/>
            <w:shd w:val="clear" w:color="auto" w:fill="auto"/>
          </w:tcPr>
          <w:p w14:paraId="37DC1B06" w14:textId="77777777" w:rsidR="005958CD" w:rsidRPr="00704BD4" w:rsidRDefault="005958CD" w:rsidP="00C52D24">
            <w:pPr>
              <w:pStyle w:val="BTableHeadingRowRightAligned"/>
              <w:rPr>
                <w:sz w:val="18"/>
                <w:szCs w:val="18"/>
              </w:rPr>
            </w:pPr>
          </w:p>
        </w:tc>
      </w:tr>
      <w:tr w:rsidR="005958CD" w:rsidRPr="00704BD4" w14:paraId="02CB77A5" w14:textId="77777777" w:rsidTr="00C52D24">
        <w:trPr>
          <w:trHeight w:val="156"/>
          <w:jc w:val="center"/>
        </w:trPr>
        <w:tc>
          <w:tcPr>
            <w:tcW w:w="3798" w:type="dxa"/>
            <w:shd w:val="clear" w:color="auto" w:fill="auto"/>
            <w:vAlign w:val="center"/>
          </w:tcPr>
          <w:p w14:paraId="76E58BAC" w14:textId="77777777" w:rsidR="005958CD" w:rsidRPr="00704BD4" w:rsidRDefault="005958CD" w:rsidP="00C52D24">
            <w:pPr>
              <w:pStyle w:val="BTabletext"/>
              <w:rPr>
                <w:sz w:val="18"/>
                <w:szCs w:val="18"/>
              </w:rPr>
            </w:pPr>
            <w:r w:rsidRPr="00704BD4">
              <w:rPr>
                <w:rFonts w:eastAsia="Times New Roman" w:cs="Calibri"/>
                <w:sz w:val="18"/>
                <w:szCs w:val="18"/>
                <w:lang w:eastAsia="en-AU"/>
              </w:rPr>
              <w:t>Better healthcare for a growing community - More mental health accommodation</w:t>
            </w:r>
          </w:p>
        </w:tc>
        <w:tc>
          <w:tcPr>
            <w:tcW w:w="850" w:type="dxa"/>
            <w:shd w:val="clear" w:color="auto" w:fill="auto"/>
          </w:tcPr>
          <w:p w14:paraId="5F2C33ED"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398</w:t>
            </w:r>
          </w:p>
        </w:tc>
        <w:tc>
          <w:tcPr>
            <w:tcW w:w="850" w:type="dxa"/>
            <w:shd w:val="clear" w:color="auto" w:fill="auto"/>
          </w:tcPr>
          <w:p w14:paraId="3DD10169"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162FEBB8"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shd w:val="clear" w:color="auto" w:fill="auto"/>
          </w:tcPr>
          <w:p w14:paraId="4772ABC3" w14:textId="77777777" w:rsidR="005958CD" w:rsidRPr="00704BD4" w:rsidRDefault="005958CD" w:rsidP="00C52D24">
            <w:pPr>
              <w:pStyle w:val="Btablefigureunbold"/>
              <w:rPr>
                <w:sz w:val="18"/>
                <w:szCs w:val="18"/>
              </w:rPr>
            </w:pPr>
            <w:r w:rsidRPr="00704BD4">
              <w:rPr>
                <w:rFonts w:eastAsia="Times New Roman" w:cs="Calibri"/>
                <w:sz w:val="18"/>
                <w:szCs w:val="18"/>
                <w:lang w:eastAsia="en-AU"/>
              </w:rPr>
              <w:t>0</w:t>
            </w:r>
          </w:p>
        </w:tc>
        <w:tc>
          <w:tcPr>
            <w:tcW w:w="850" w:type="dxa"/>
          </w:tcPr>
          <w:p w14:paraId="15344158" w14:textId="77777777" w:rsidR="005958CD" w:rsidRPr="00704BD4" w:rsidRDefault="005958CD" w:rsidP="00C52D24">
            <w:pPr>
              <w:pStyle w:val="BTableHeadingRowRightAligned"/>
              <w:rPr>
                <w:b w:val="0"/>
                <w:bCs/>
                <w:sz w:val="18"/>
                <w:szCs w:val="18"/>
              </w:rPr>
            </w:pPr>
            <w:r w:rsidRPr="00704BD4">
              <w:rPr>
                <w:rFonts w:eastAsia="Times New Roman" w:cs="Calibri"/>
                <w:b w:val="0"/>
                <w:bCs/>
                <w:sz w:val="18"/>
                <w:szCs w:val="18"/>
                <w:lang w:eastAsia="en-AU"/>
              </w:rPr>
              <w:t>0</w:t>
            </w:r>
          </w:p>
        </w:tc>
        <w:tc>
          <w:tcPr>
            <w:tcW w:w="1020" w:type="dxa"/>
            <w:shd w:val="clear" w:color="auto" w:fill="auto"/>
          </w:tcPr>
          <w:p w14:paraId="10BB76DB" w14:textId="77777777" w:rsidR="005958CD" w:rsidRPr="00704BD4" w:rsidRDefault="005958CD" w:rsidP="00C52D24">
            <w:pPr>
              <w:pStyle w:val="BTableHeadingRowRightAligned"/>
              <w:rPr>
                <w:sz w:val="18"/>
                <w:szCs w:val="18"/>
              </w:rPr>
            </w:pPr>
            <w:r w:rsidRPr="00704BD4">
              <w:rPr>
                <w:rFonts w:eastAsia="Times New Roman" w:cs="Calibri"/>
                <w:sz w:val="18"/>
                <w:szCs w:val="18"/>
                <w:lang w:eastAsia="en-AU"/>
              </w:rPr>
              <w:t>398</w:t>
            </w:r>
          </w:p>
        </w:tc>
      </w:tr>
      <w:tr w:rsidR="005958CD" w:rsidRPr="00704BD4" w14:paraId="4F149BB6" w14:textId="77777777" w:rsidTr="00C52D24">
        <w:trPr>
          <w:trHeight w:val="156"/>
          <w:jc w:val="center"/>
        </w:trPr>
        <w:tc>
          <w:tcPr>
            <w:tcW w:w="3798" w:type="dxa"/>
            <w:shd w:val="clear" w:color="auto" w:fill="auto"/>
            <w:vAlign w:val="center"/>
          </w:tcPr>
          <w:p w14:paraId="52B99E6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Community and Social Housing and National Affordable Housing Agreement funding</w:t>
            </w:r>
          </w:p>
        </w:tc>
        <w:tc>
          <w:tcPr>
            <w:tcW w:w="850" w:type="dxa"/>
            <w:shd w:val="clear" w:color="auto" w:fill="auto"/>
          </w:tcPr>
          <w:p w14:paraId="35FDB3E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shd w:val="clear" w:color="auto" w:fill="auto"/>
          </w:tcPr>
          <w:p w14:paraId="60EA718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shd w:val="clear" w:color="auto" w:fill="auto"/>
          </w:tcPr>
          <w:p w14:paraId="1D129AD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shd w:val="clear" w:color="auto" w:fill="auto"/>
          </w:tcPr>
          <w:p w14:paraId="6DCA1C0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tcPr>
          <w:p w14:paraId="7DA29CD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5,000</w:t>
            </w:r>
          </w:p>
        </w:tc>
        <w:tc>
          <w:tcPr>
            <w:tcW w:w="1020" w:type="dxa"/>
            <w:shd w:val="clear" w:color="auto" w:fill="auto"/>
          </w:tcPr>
          <w:p w14:paraId="62681C5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25,000</w:t>
            </w:r>
          </w:p>
        </w:tc>
      </w:tr>
      <w:tr w:rsidR="005958CD" w:rsidRPr="00704BD4" w14:paraId="6AA310A7" w14:textId="77777777" w:rsidTr="00C52D24">
        <w:trPr>
          <w:trHeight w:val="156"/>
          <w:jc w:val="center"/>
        </w:trPr>
        <w:tc>
          <w:tcPr>
            <w:tcW w:w="3798" w:type="dxa"/>
            <w:shd w:val="clear" w:color="auto" w:fill="auto"/>
            <w:vAlign w:val="center"/>
          </w:tcPr>
          <w:p w14:paraId="64A667F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Maintenance and upgrade program for Social Housing</w:t>
            </w:r>
          </w:p>
        </w:tc>
        <w:tc>
          <w:tcPr>
            <w:tcW w:w="850" w:type="dxa"/>
            <w:shd w:val="clear" w:color="auto" w:fill="auto"/>
          </w:tcPr>
          <w:p w14:paraId="5EF02AB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7,600</w:t>
            </w:r>
          </w:p>
        </w:tc>
        <w:tc>
          <w:tcPr>
            <w:tcW w:w="850" w:type="dxa"/>
            <w:shd w:val="clear" w:color="auto" w:fill="auto"/>
          </w:tcPr>
          <w:p w14:paraId="3EA3146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152AB8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B8B3A6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74C4B8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4FA1FC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7,600</w:t>
            </w:r>
          </w:p>
        </w:tc>
      </w:tr>
      <w:tr w:rsidR="005958CD" w:rsidRPr="00704BD4" w14:paraId="1AA83B7E" w14:textId="77777777" w:rsidTr="00C52D24">
        <w:trPr>
          <w:trHeight w:val="156"/>
          <w:jc w:val="center"/>
        </w:trPr>
        <w:tc>
          <w:tcPr>
            <w:tcW w:w="3798" w:type="dxa"/>
            <w:shd w:val="clear" w:color="auto" w:fill="auto"/>
            <w:vAlign w:val="center"/>
          </w:tcPr>
          <w:p w14:paraId="0CC2C95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Improved energy efficiency for public housing</w:t>
            </w:r>
          </w:p>
        </w:tc>
        <w:tc>
          <w:tcPr>
            <w:tcW w:w="850" w:type="dxa"/>
            <w:shd w:val="clear" w:color="auto" w:fill="auto"/>
          </w:tcPr>
          <w:p w14:paraId="27B1B21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70</w:t>
            </w:r>
          </w:p>
        </w:tc>
        <w:tc>
          <w:tcPr>
            <w:tcW w:w="850" w:type="dxa"/>
            <w:shd w:val="clear" w:color="auto" w:fill="auto"/>
          </w:tcPr>
          <w:p w14:paraId="670A06C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6B1F14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3812DF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DCD576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99E582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70</w:t>
            </w:r>
          </w:p>
        </w:tc>
      </w:tr>
      <w:tr w:rsidR="005958CD" w:rsidRPr="00704BD4" w14:paraId="7CB92418" w14:textId="77777777" w:rsidTr="00C52D24">
        <w:trPr>
          <w:trHeight w:val="156"/>
          <w:jc w:val="center"/>
        </w:trPr>
        <w:tc>
          <w:tcPr>
            <w:tcW w:w="3798" w:type="dxa"/>
            <w:shd w:val="clear" w:color="auto" w:fill="auto"/>
            <w:vAlign w:val="center"/>
          </w:tcPr>
          <w:p w14:paraId="42FEFF27"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support for families and inclusion - Better housing for Aboriginal and Torres Strait Islander older people</w:t>
            </w:r>
          </w:p>
        </w:tc>
        <w:tc>
          <w:tcPr>
            <w:tcW w:w="850" w:type="dxa"/>
            <w:shd w:val="clear" w:color="auto" w:fill="auto"/>
          </w:tcPr>
          <w:p w14:paraId="4B8F65B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1,665</w:t>
            </w:r>
          </w:p>
        </w:tc>
        <w:tc>
          <w:tcPr>
            <w:tcW w:w="850" w:type="dxa"/>
            <w:shd w:val="clear" w:color="auto" w:fill="auto"/>
          </w:tcPr>
          <w:p w14:paraId="573E028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0F5031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28351D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2E81E9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DEB737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1,665</w:t>
            </w:r>
          </w:p>
        </w:tc>
      </w:tr>
      <w:tr w:rsidR="005958CD" w:rsidRPr="00704BD4" w14:paraId="3DB87BDE" w14:textId="77777777" w:rsidTr="00C52D24">
        <w:trPr>
          <w:trHeight w:val="156"/>
          <w:jc w:val="center"/>
        </w:trPr>
        <w:tc>
          <w:tcPr>
            <w:tcW w:w="3798" w:type="dxa"/>
            <w:shd w:val="clear" w:color="auto" w:fill="auto"/>
            <w:vAlign w:val="center"/>
          </w:tcPr>
          <w:p w14:paraId="65AAAFC4"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Reducing homelessness by delivering another Common Ground</w:t>
            </w:r>
          </w:p>
        </w:tc>
        <w:tc>
          <w:tcPr>
            <w:tcW w:w="850" w:type="dxa"/>
            <w:shd w:val="clear" w:color="auto" w:fill="auto"/>
          </w:tcPr>
          <w:p w14:paraId="6025E69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19,055</w:t>
            </w:r>
          </w:p>
        </w:tc>
        <w:tc>
          <w:tcPr>
            <w:tcW w:w="850" w:type="dxa"/>
            <w:shd w:val="clear" w:color="auto" w:fill="auto"/>
          </w:tcPr>
          <w:p w14:paraId="290B25E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BB94DC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EEAB79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D92214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A14742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19,055</w:t>
            </w:r>
          </w:p>
        </w:tc>
      </w:tr>
      <w:tr w:rsidR="005958CD" w:rsidRPr="00704BD4" w14:paraId="5C06ECA2" w14:textId="77777777" w:rsidTr="00C52D24">
        <w:trPr>
          <w:trHeight w:val="156"/>
          <w:jc w:val="center"/>
        </w:trPr>
        <w:tc>
          <w:tcPr>
            <w:tcW w:w="3798" w:type="dxa"/>
            <w:shd w:val="clear" w:color="auto" w:fill="auto"/>
            <w:vAlign w:val="center"/>
          </w:tcPr>
          <w:p w14:paraId="6974D7F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428E73FA"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33,788</w:t>
            </w:r>
          </w:p>
        </w:tc>
        <w:tc>
          <w:tcPr>
            <w:tcW w:w="850" w:type="dxa"/>
            <w:shd w:val="clear" w:color="auto" w:fill="auto"/>
          </w:tcPr>
          <w:p w14:paraId="6E0415B5"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5,000</w:t>
            </w:r>
          </w:p>
        </w:tc>
        <w:tc>
          <w:tcPr>
            <w:tcW w:w="850" w:type="dxa"/>
            <w:shd w:val="clear" w:color="auto" w:fill="auto"/>
          </w:tcPr>
          <w:p w14:paraId="2DC1C36E"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5,000</w:t>
            </w:r>
          </w:p>
        </w:tc>
        <w:tc>
          <w:tcPr>
            <w:tcW w:w="850" w:type="dxa"/>
            <w:shd w:val="clear" w:color="auto" w:fill="auto"/>
          </w:tcPr>
          <w:p w14:paraId="7D732468"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5,000</w:t>
            </w:r>
          </w:p>
        </w:tc>
        <w:tc>
          <w:tcPr>
            <w:tcW w:w="850" w:type="dxa"/>
          </w:tcPr>
          <w:p w14:paraId="454894A1"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5,000</w:t>
            </w:r>
          </w:p>
        </w:tc>
        <w:tc>
          <w:tcPr>
            <w:tcW w:w="1020" w:type="dxa"/>
            <w:shd w:val="clear" w:color="auto" w:fill="auto"/>
          </w:tcPr>
          <w:p w14:paraId="0C7ABF3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53,788</w:t>
            </w:r>
          </w:p>
        </w:tc>
      </w:tr>
      <w:tr w:rsidR="005958CD" w:rsidRPr="00704BD4" w14:paraId="7C9990C3" w14:textId="77777777" w:rsidTr="00C52D24">
        <w:trPr>
          <w:trHeight w:val="156"/>
          <w:jc w:val="center"/>
        </w:trPr>
        <w:tc>
          <w:tcPr>
            <w:tcW w:w="3798" w:type="dxa"/>
            <w:shd w:val="clear" w:color="auto" w:fill="auto"/>
            <w:vAlign w:val="center"/>
          </w:tcPr>
          <w:p w14:paraId="10B0F78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Justice and Community Safety Directorate</w:t>
            </w:r>
          </w:p>
        </w:tc>
        <w:tc>
          <w:tcPr>
            <w:tcW w:w="850" w:type="dxa"/>
            <w:shd w:val="clear" w:color="auto" w:fill="auto"/>
          </w:tcPr>
          <w:p w14:paraId="701455AC"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72795B4"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24A6FBB9"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3513C02D" w14:textId="77777777" w:rsidR="005958CD" w:rsidRPr="00704BD4" w:rsidRDefault="005958CD" w:rsidP="00C52D24">
            <w:pPr>
              <w:pStyle w:val="Btablefigureunbold"/>
              <w:rPr>
                <w:rFonts w:eastAsia="Times New Roman" w:cs="Calibri"/>
                <w:b/>
                <w:bCs/>
                <w:sz w:val="18"/>
                <w:szCs w:val="18"/>
                <w:lang w:eastAsia="en-AU"/>
              </w:rPr>
            </w:pPr>
          </w:p>
        </w:tc>
        <w:tc>
          <w:tcPr>
            <w:tcW w:w="850" w:type="dxa"/>
          </w:tcPr>
          <w:p w14:paraId="51C03B43" w14:textId="77777777" w:rsidR="005958CD" w:rsidRPr="00704BD4" w:rsidRDefault="005958CD" w:rsidP="00C52D24">
            <w:pPr>
              <w:pStyle w:val="BTableHeadingRowRightAligned"/>
              <w:rPr>
                <w:rFonts w:eastAsia="Times New Roman" w:cs="Calibri"/>
                <w:b w:val="0"/>
                <w:bCs/>
                <w:sz w:val="18"/>
                <w:szCs w:val="18"/>
                <w:lang w:eastAsia="en-AU"/>
              </w:rPr>
            </w:pPr>
          </w:p>
        </w:tc>
        <w:tc>
          <w:tcPr>
            <w:tcW w:w="1020" w:type="dxa"/>
            <w:shd w:val="clear" w:color="auto" w:fill="auto"/>
          </w:tcPr>
          <w:p w14:paraId="56AE6D07" w14:textId="77777777" w:rsidR="005958CD" w:rsidRPr="00704BD4" w:rsidRDefault="005958CD" w:rsidP="00C52D24">
            <w:pPr>
              <w:pStyle w:val="BTableHeadingRowRightAligned"/>
              <w:rPr>
                <w:rFonts w:eastAsia="Times New Roman" w:cs="Calibri"/>
                <w:sz w:val="18"/>
                <w:szCs w:val="18"/>
                <w:lang w:eastAsia="en-AU"/>
              </w:rPr>
            </w:pPr>
          </w:p>
        </w:tc>
      </w:tr>
      <w:tr w:rsidR="005958CD" w:rsidRPr="00704BD4" w14:paraId="7F7A529C" w14:textId="77777777" w:rsidTr="00C52D24">
        <w:trPr>
          <w:trHeight w:val="156"/>
          <w:jc w:val="center"/>
        </w:trPr>
        <w:tc>
          <w:tcPr>
            <w:tcW w:w="3798" w:type="dxa"/>
            <w:shd w:val="clear" w:color="auto" w:fill="auto"/>
            <w:vAlign w:val="center"/>
          </w:tcPr>
          <w:p w14:paraId="2A53864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ACT Corrective Services - Information management</w:t>
            </w:r>
          </w:p>
        </w:tc>
        <w:tc>
          <w:tcPr>
            <w:tcW w:w="850" w:type="dxa"/>
            <w:shd w:val="clear" w:color="auto" w:fill="auto"/>
          </w:tcPr>
          <w:p w14:paraId="6152E19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2,145</w:t>
            </w:r>
          </w:p>
        </w:tc>
        <w:tc>
          <w:tcPr>
            <w:tcW w:w="850" w:type="dxa"/>
            <w:shd w:val="clear" w:color="auto" w:fill="auto"/>
          </w:tcPr>
          <w:p w14:paraId="43A5B74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775BD1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AE41D6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C49EB6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AD81A6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2,145</w:t>
            </w:r>
          </w:p>
        </w:tc>
      </w:tr>
      <w:tr w:rsidR="005958CD" w:rsidRPr="00704BD4" w14:paraId="77F6945C" w14:textId="77777777" w:rsidTr="00C52D24">
        <w:trPr>
          <w:trHeight w:val="156"/>
          <w:jc w:val="center"/>
        </w:trPr>
        <w:tc>
          <w:tcPr>
            <w:tcW w:w="3798" w:type="dxa"/>
            <w:shd w:val="clear" w:color="auto" w:fill="auto"/>
            <w:vAlign w:val="center"/>
          </w:tcPr>
          <w:p w14:paraId="12C01F7D"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ACT Legislation Register Replacement</w:t>
            </w:r>
          </w:p>
        </w:tc>
        <w:tc>
          <w:tcPr>
            <w:tcW w:w="850" w:type="dxa"/>
            <w:shd w:val="clear" w:color="auto" w:fill="auto"/>
          </w:tcPr>
          <w:p w14:paraId="6F84B8C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100</w:t>
            </w:r>
          </w:p>
        </w:tc>
        <w:tc>
          <w:tcPr>
            <w:tcW w:w="850" w:type="dxa"/>
            <w:shd w:val="clear" w:color="auto" w:fill="auto"/>
          </w:tcPr>
          <w:p w14:paraId="51B1973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503DD3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0499F6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37617C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247A03F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100</w:t>
            </w:r>
          </w:p>
        </w:tc>
      </w:tr>
      <w:tr w:rsidR="005958CD" w:rsidRPr="00704BD4" w14:paraId="3AFD0058" w14:textId="77777777" w:rsidTr="00C52D24">
        <w:trPr>
          <w:trHeight w:val="156"/>
          <w:jc w:val="center"/>
        </w:trPr>
        <w:tc>
          <w:tcPr>
            <w:tcW w:w="3798" w:type="dxa"/>
            <w:shd w:val="clear" w:color="auto" w:fill="auto"/>
            <w:vAlign w:val="center"/>
          </w:tcPr>
          <w:p w14:paraId="49A67CC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Alexander Maconochie Centre Detainee industries and activities enforcement project</w:t>
            </w:r>
          </w:p>
        </w:tc>
        <w:tc>
          <w:tcPr>
            <w:tcW w:w="850" w:type="dxa"/>
            <w:shd w:val="clear" w:color="auto" w:fill="auto"/>
          </w:tcPr>
          <w:p w14:paraId="130D420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116</w:t>
            </w:r>
          </w:p>
        </w:tc>
        <w:tc>
          <w:tcPr>
            <w:tcW w:w="850" w:type="dxa"/>
            <w:shd w:val="clear" w:color="auto" w:fill="auto"/>
          </w:tcPr>
          <w:p w14:paraId="7EAB8DD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66D55E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B84A4C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AB252C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61EE9D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116</w:t>
            </w:r>
          </w:p>
        </w:tc>
      </w:tr>
      <w:tr w:rsidR="005958CD" w:rsidRPr="00704BD4" w14:paraId="1FAE98E3" w14:textId="77777777" w:rsidTr="00C52D24">
        <w:trPr>
          <w:trHeight w:val="156"/>
          <w:jc w:val="center"/>
        </w:trPr>
        <w:tc>
          <w:tcPr>
            <w:tcW w:w="3798" w:type="dxa"/>
            <w:shd w:val="clear" w:color="auto" w:fill="auto"/>
            <w:vAlign w:val="center"/>
          </w:tcPr>
          <w:p w14:paraId="17030EC2"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Government - Human Rights Commission digital capability</w:t>
            </w:r>
          </w:p>
        </w:tc>
        <w:tc>
          <w:tcPr>
            <w:tcW w:w="850" w:type="dxa"/>
            <w:shd w:val="clear" w:color="auto" w:fill="auto"/>
          </w:tcPr>
          <w:p w14:paraId="6B59D35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78</w:t>
            </w:r>
          </w:p>
        </w:tc>
        <w:tc>
          <w:tcPr>
            <w:tcW w:w="850" w:type="dxa"/>
            <w:shd w:val="clear" w:color="auto" w:fill="auto"/>
          </w:tcPr>
          <w:p w14:paraId="700D602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C2FD21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19BFFF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8B8973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C8E71C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78</w:t>
            </w:r>
          </w:p>
        </w:tc>
      </w:tr>
      <w:tr w:rsidR="005958CD" w:rsidRPr="00704BD4" w14:paraId="6CDA0C73" w14:textId="77777777" w:rsidTr="00C52D24">
        <w:trPr>
          <w:trHeight w:val="156"/>
          <w:jc w:val="center"/>
        </w:trPr>
        <w:tc>
          <w:tcPr>
            <w:tcW w:w="3798" w:type="dxa"/>
            <w:shd w:val="clear" w:color="auto" w:fill="auto"/>
            <w:vAlign w:val="center"/>
          </w:tcPr>
          <w:p w14:paraId="082BF08B"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Government - New Jury Management System</w:t>
            </w:r>
          </w:p>
        </w:tc>
        <w:tc>
          <w:tcPr>
            <w:tcW w:w="850" w:type="dxa"/>
            <w:shd w:val="clear" w:color="auto" w:fill="auto"/>
          </w:tcPr>
          <w:p w14:paraId="18B7C13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409</w:t>
            </w:r>
          </w:p>
        </w:tc>
        <w:tc>
          <w:tcPr>
            <w:tcW w:w="850" w:type="dxa"/>
            <w:shd w:val="clear" w:color="auto" w:fill="auto"/>
          </w:tcPr>
          <w:p w14:paraId="5C7B2D3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C82B4E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D63E46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C3E2A7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37EF27E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409</w:t>
            </w:r>
          </w:p>
        </w:tc>
      </w:tr>
      <w:tr w:rsidR="005958CD" w:rsidRPr="00704BD4" w14:paraId="086021FE" w14:textId="77777777" w:rsidTr="00C52D24">
        <w:trPr>
          <w:trHeight w:val="156"/>
          <w:jc w:val="center"/>
        </w:trPr>
        <w:tc>
          <w:tcPr>
            <w:tcW w:w="3798" w:type="dxa"/>
            <w:shd w:val="clear" w:color="auto" w:fill="auto"/>
            <w:vAlign w:val="center"/>
          </w:tcPr>
          <w:p w14:paraId="041C819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support when it matters - Integrating the Winnunga Model of Care to Indigenous detainees in the Alexander Maconochie Centre</w:t>
            </w:r>
          </w:p>
        </w:tc>
        <w:tc>
          <w:tcPr>
            <w:tcW w:w="850" w:type="dxa"/>
            <w:shd w:val="clear" w:color="auto" w:fill="auto"/>
          </w:tcPr>
          <w:p w14:paraId="54A3D08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110</w:t>
            </w:r>
          </w:p>
        </w:tc>
        <w:tc>
          <w:tcPr>
            <w:tcW w:w="850" w:type="dxa"/>
            <w:shd w:val="clear" w:color="auto" w:fill="auto"/>
          </w:tcPr>
          <w:p w14:paraId="2B8382A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F379ED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3D6D44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39AD75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0644619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110</w:t>
            </w:r>
          </w:p>
        </w:tc>
      </w:tr>
      <w:tr w:rsidR="005958CD" w:rsidRPr="00704BD4" w14:paraId="5C1B3E37" w14:textId="77777777" w:rsidTr="00C52D24">
        <w:trPr>
          <w:trHeight w:val="156"/>
          <w:jc w:val="center"/>
        </w:trPr>
        <w:tc>
          <w:tcPr>
            <w:tcW w:w="3798" w:type="dxa"/>
            <w:shd w:val="clear" w:color="auto" w:fill="auto"/>
            <w:vAlign w:val="center"/>
          </w:tcPr>
          <w:p w14:paraId="6B04BBB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support when it matters - More frontline firefighters - Second crew at Ainslie station</w:t>
            </w:r>
          </w:p>
        </w:tc>
        <w:tc>
          <w:tcPr>
            <w:tcW w:w="850" w:type="dxa"/>
            <w:shd w:val="clear" w:color="auto" w:fill="auto"/>
          </w:tcPr>
          <w:p w14:paraId="2FA2C01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541</w:t>
            </w:r>
          </w:p>
        </w:tc>
        <w:tc>
          <w:tcPr>
            <w:tcW w:w="850" w:type="dxa"/>
            <w:shd w:val="clear" w:color="auto" w:fill="auto"/>
          </w:tcPr>
          <w:p w14:paraId="11AFED0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524E1A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2F0F79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158343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FD8680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541</w:t>
            </w:r>
          </w:p>
        </w:tc>
      </w:tr>
      <w:tr w:rsidR="005958CD" w:rsidRPr="00704BD4" w14:paraId="538BB28E" w14:textId="77777777" w:rsidTr="00C52D24">
        <w:trPr>
          <w:trHeight w:val="156"/>
          <w:jc w:val="center"/>
        </w:trPr>
        <w:tc>
          <w:tcPr>
            <w:tcW w:w="3798" w:type="dxa"/>
            <w:shd w:val="clear" w:color="auto" w:fill="auto"/>
            <w:vAlign w:val="center"/>
          </w:tcPr>
          <w:p w14:paraId="1C2E990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Boosting Equipment for the ACT Emergency Services Agency</w:t>
            </w:r>
          </w:p>
        </w:tc>
        <w:tc>
          <w:tcPr>
            <w:tcW w:w="850" w:type="dxa"/>
            <w:shd w:val="clear" w:color="auto" w:fill="auto"/>
          </w:tcPr>
          <w:p w14:paraId="42B15B3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1,228</w:t>
            </w:r>
          </w:p>
        </w:tc>
        <w:tc>
          <w:tcPr>
            <w:tcW w:w="850" w:type="dxa"/>
            <w:shd w:val="clear" w:color="auto" w:fill="auto"/>
          </w:tcPr>
          <w:p w14:paraId="290607C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76453B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EECCD8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D958E6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5D8507D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1,228</w:t>
            </w:r>
          </w:p>
        </w:tc>
      </w:tr>
      <w:tr w:rsidR="005958CD" w:rsidRPr="00704BD4" w14:paraId="63453150" w14:textId="77777777" w:rsidTr="00C52D24">
        <w:trPr>
          <w:trHeight w:val="156"/>
          <w:jc w:val="center"/>
        </w:trPr>
        <w:tc>
          <w:tcPr>
            <w:tcW w:w="3798" w:type="dxa"/>
            <w:shd w:val="clear" w:color="auto" w:fill="auto"/>
            <w:vAlign w:val="center"/>
          </w:tcPr>
          <w:p w14:paraId="314DC26F"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Boosting police for a growing city</w:t>
            </w:r>
          </w:p>
        </w:tc>
        <w:tc>
          <w:tcPr>
            <w:tcW w:w="850" w:type="dxa"/>
            <w:shd w:val="clear" w:color="auto" w:fill="auto"/>
          </w:tcPr>
          <w:p w14:paraId="0F28F5C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13</w:t>
            </w:r>
          </w:p>
        </w:tc>
        <w:tc>
          <w:tcPr>
            <w:tcW w:w="850" w:type="dxa"/>
            <w:shd w:val="clear" w:color="auto" w:fill="auto"/>
          </w:tcPr>
          <w:p w14:paraId="316A1B9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EB0C46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E6B496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4EBF82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0B9B638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13</w:t>
            </w:r>
          </w:p>
        </w:tc>
      </w:tr>
      <w:tr w:rsidR="005958CD" w:rsidRPr="00704BD4" w14:paraId="4A70E72E" w14:textId="77777777" w:rsidTr="00C52D24">
        <w:trPr>
          <w:trHeight w:val="156"/>
          <w:jc w:val="center"/>
        </w:trPr>
        <w:tc>
          <w:tcPr>
            <w:tcW w:w="3798" w:type="dxa"/>
            <w:shd w:val="clear" w:color="auto" w:fill="auto"/>
            <w:vAlign w:val="center"/>
          </w:tcPr>
          <w:p w14:paraId="7081C80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Contraband Detection and Intelligence Solution</w:t>
            </w:r>
          </w:p>
        </w:tc>
        <w:tc>
          <w:tcPr>
            <w:tcW w:w="850" w:type="dxa"/>
            <w:shd w:val="clear" w:color="auto" w:fill="auto"/>
          </w:tcPr>
          <w:p w14:paraId="3DE3284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604</w:t>
            </w:r>
          </w:p>
        </w:tc>
        <w:tc>
          <w:tcPr>
            <w:tcW w:w="850" w:type="dxa"/>
            <w:shd w:val="clear" w:color="auto" w:fill="auto"/>
          </w:tcPr>
          <w:p w14:paraId="4E8C278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1D5E8D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6528F2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84A4ED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5BF641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604</w:t>
            </w:r>
          </w:p>
        </w:tc>
      </w:tr>
      <w:tr w:rsidR="005958CD" w:rsidRPr="00704BD4" w14:paraId="4777B684" w14:textId="77777777" w:rsidTr="00C52D24">
        <w:trPr>
          <w:trHeight w:val="156"/>
          <w:jc w:val="center"/>
        </w:trPr>
        <w:tc>
          <w:tcPr>
            <w:tcW w:w="3798" w:type="dxa"/>
            <w:shd w:val="clear" w:color="auto" w:fill="auto"/>
            <w:vAlign w:val="center"/>
          </w:tcPr>
          <w:p w14:paraId="6861BB88"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Courts Public Private Partnership</w:t>
            </w:r>
          </w:p>
        </w:tc>
        <w:tc>
          <w:tcPr>
            <w:tcW w:w="850" w:type="dxa"/>
            <w:shd w:val="clear" w:color="auto" w:fill="auto"/>
          </w:tcPr>
          <w:p w14:paraId="086438D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712</w:t>
            </w:r>
          </w:p>
        </w:tc>
        <w:tc>
          <w:tcPr>
            <w:tcW w:w="850" w:type="dxa"/>
            <w:shd w:val="clear" w:color="auto" w:fill="auto"/>
          </w:tcPr>
          <w:p w14:paraId="07E60B5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F4DE40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A315E6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2FE321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0CD44C1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712</w:t>
            </w:r>
          </w:p>
        </w:tc>
      </w:tr>
      <w:tr w:rsidR="005958CD" w:rsidRPr="00704BD4" w14:paraId="3B28D7E9" w14:textId="77777777" w:rsidTr="00C52D24">
        <w:trPr>
          <w:trHeight w:val="156"/>
          <w:jc w:val="center"/>
        </w:trPr>
        <w:tc>
          <w:tcPr>
            <w:tcW w:w="3798" w:type="dxa"/>
            <w:shd w:val="clear" w:color="auto" w:fill="auto"/>
            <w:vAlign w:val="center"/>
          </w:tcPr>
          <w:p w14:paraId="56A1CD9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Creating a Reintegration Centre to support pathways out of the justice system</w:t>
            </w:r>
          </w:p>
        </w:tc>
        <w:tc>
          <w:tcPr>
            <w:tcW w:w="850" w:type="dxa"/>
            <w:shd w:val="clear" w:color="auto" w:fill="auto"/>
          </w:tcPr>
          <w:p w14:paraId="185888A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57</w:t>
            </w:r>
          </w:p>
        </w:tc>
        <w:tc>
          <w:tcPr>
            <w:tcW w:w="850" w:type="dxa"/>
            <w:shd w:val="clear" w:color="auto" w:fill="auto"/>
          </w:tcPr>
          <w:p w14:paraId="177E1E2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C5737D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9075C5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A6DAEB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CD4CF7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57</w:t>
            </w:r>
          </w:p>
        </w:tc>
      </w:tr>
      <w:tr w:rsidR="005958CD" w:rsidRPr="00704BD4" w14:paraId="4DBE506C" w14:textId="77777777" w:rsidTr="00C52D24">
        <w:trPr>
          <w:trHeight w:val="156"/>
          <w:jc w:val="center"/>
        </w:trPr>
        <w:tc>
          <w:tcPr>
            <w:tcW w:w="3798" w:type="dxa"/>
            <w:shd w:val="clear" w:color="auto" w:fill="auto"/>
            <w:vAlign w:val="center"/>
          </w:tcPr>
          <w:p w14:paraId="28EFD5E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Delivering better facilities for ACT Policing</w:t>
            </w:r>
          </w:p>
        </w:tc>
        <w:tc>
          <w:tcPr>
            <w:tcW w:w="850" w:type="dxa"/>
            <w:shd w:val="clear" w:color="auto" w:fill="auto"/>
          </w:tcPr>
          <w:p w14:paraId="13ED7A4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1,100</w:t>
            </w:r>
          </w:p>
        </w:tc>
        <w:tc>
          <w:tcPr>
            <w:tcW w:w="850" w:type="dxa"/>
            <w:shd w:val="clear" w:color="auto" w:fill="auto"/>
          </w:tcPr>
          <w:p w14:paraId="18789F3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4,374</w:t>
            </w:r>
          </w:p>
        </w:tc>
        <w:tc>
          <w:tcPr>
            <w:tcW w:w="850" w:type="dxa"/>
            <w:shd w:val="clear" w:color="auto" w:fill="auto"/>
          </w:tcPr>
          <w:p w14:paraId="66815F1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1,650</w:t>
            </w:r>
          </w:p>
        </w:tc>
        <w:tc>
          <w:tcPr>
            <w:tcW w:w="850" w:type="dxa"/>
            <w:shd w:val="clear" w:color="auto" w:fill="auto"/>
          </w:tcPr>
          <w:p w14:paraId="0C28F7B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AB376C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1E0879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7,124</w:t>
            </w:r>
          </w:p>
        </w:tc>
      </w:tr>
      <w:tr w:rsidR="005958CD" w:rsidRPr="00704BD4" w14:paraId="792BA6A1" w14:textId="77777777" w:rsidTr="00C52D24">
        <w:trPr>
          <w:trHeight w:val="156"/>
          <w:jc w:val="center"/>
        </w:trPr>
        <w:tc>
          <w:tcPr>
            <w:tcW w:w="3798" w:type="dxa"/>
            <w:shd w:val="clear" w:color="auto" w:fill="auto"/>
            <w:vAlign w:val="center"/>
          </w:tcPr>
          <w:p w14:paraId="19200B4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Digital Canberra - New digital radio communication system</w:t>
            </w:r>
          </w:p>
        </w:tc>
        <w:tc>
          <w:tcPr>
            <w:tcW w:w="850" w:type="dxa"/>
            <w:shd w:val="clear" w:color="auto" w:fill="auto"/>
          </w:tcPr>
          <w:p w14:paraId="7D5DD75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38</w:t>
            </w:r>
          </w:p>
        </w:tc>
        <w:tc>
          <w:tcPr>
            <w:tcW w:w="850" w:type="dxa"/>
            <w:shd w:val="clear" w:color="auto" w:fill="auto"/>
          </w:tcPr>
          <w:p w14:paraId="141C27E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733EBB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DE7802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52D72B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B961EE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38</w:t>
            </w:r>
          </w:p>
        </w:tc>
      </w:tr>
      <w:tr w:rsidR="005958CD" w:rsidRPr="00704BD4" w14:paraId="57C4DE7C" w14:textId="77777777" w:rsidTr="00C52D24">
        <w:trPr>
          <w:trHeight w:val="156"/>
          <w:jc w:val="center"/>
        </w:trPr>
        <w:tc>
          <w:tcPr>
            <w:tcW w:w="3798" w:type="dxa"/>
            <w:shd w:val="clear" w:color="auto" w:fill="auto"/>
            <w:vAlign w:val="center"/>
          </w:tcPr>
          <w:p w14:paraId="1AA4694C"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Emergency Services Agency Station Upgrade and Relocation - Aranda Station</w:t>
            </w:r>
          </w:p>
        </w:tc>
        <w:tc>
          <w:tcPr>
            <w:tcW w:w="850" w:type="dxa"/>
            <w:shd w:val="clear" w:color="auto" w:fill="auto"/>
          </w:tcPr>
          <w:p w14:paraId="3068575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85</w:t>
            </w:r>
          </w:p>
        </w:tc>
        <w:tc>
          <w:tcPr>
            <w:tcW w:w="850" w:type="dxa"/>
            <w:shd w:val="clear" w:color="auto" w:fill="auto"/>
          </w:tcPr>
          <w:p w14:paraId="2DEC3A9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A90885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5CBA1D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00C70F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856DF6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85</w:t>
            </w:r>
          </w:p>
        </w:tc>
      </w:tr>
      <w:tr w:rsidR="005958CD" w:rsidRPr="00704BD4" w14:paraId="2ECA5C1D" w14:textId="77777777" w:rsidTr="00C52D24">
        <w:trPr>
          <w:trHeight w:val="156"/>
          <w:jc w:val="center"/>
        </w:trPr>
        <w:tc>
          <w:tcPr>
            <w:tcW w:w="3798" w:type="dxa"/>
            <w:shd w:val="clear" w:color="auto" w:fill="auto"/>
            <w:vAlign w:val="center"/>
          </w:tcPr>
          <w:p w14:paraId="36982F1D"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Emergency Services Agency Critical ICT Investment</w:t>
            </w:r>
          </w:p>
        </w:tc>
        <w:tc>
          <w:tcPr>
            <w:tcW w:w="850" w:type="dxa"/>
            <w:shd w:val="clear" w:color="auto" w:fill="auto"/>
          </w:tcPr>
          <w:p w14:paraId="07542CE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510</w:t>
            </w:r>
          </w:p>
        </w:tc>
        <w:tc>
          <w:tcPr>
            <w:tcW w:w="850" w:type="dxa"/>
            <w:shd w:val="clear" w:color="auto" w:fill="auto"/>
          </w:tcPr>
          <w:p w14:paraId="434A4FD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4E5A30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8AB242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897786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5F3387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510</w:t>
            </w:r>
          </w:p>
        </w:tc>
      </w:tr>
      <w:tr w:rsidR="005958CD" w:rsidRPr="00704BD4" w14:paraId="78313B47" w14:textId="77777777" w:rsidTr="00C52D24">
        <w:trPr>
          <w:trHeight w:val="156"/>
          <w:jc w:val="center"/>
        </w:trPr>
        <w:tc>
          <w:tcPr>
            <w:tcW w:w="3798" w:type="dxa"/>
            <w:shd w:val="clear" w:color="auto" w:fill="auto"/>
            <w:vAlign w:val="center"/>
          </w:tcPr>
          <w:p w14:paraId="243C9C6E"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ESA - Station Relocation and Upgrade - Phase 2 due diligence</w:t>
            </w:r>
          </w:p>
        </w:tc>
        <w:tc>
          <w:tcPr>
            <w:tcW w:w="850" w:type="dxa"/>
            <w:shd w:val="clear" w:color="auto" w:fill="auto"/>
          </w:tcPr>
          <w:p w14:paraId="4449DDE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257</w:t>
            </w:r>
          </w:p>
        </w:tc>
        <w:tc>
          <w:tcPr>
            <w:tcW w:w="850" w:type="dxa"/>
            <w:shd w:val="clear" w:color="auto" w:fill="auto"/>
          </w:tcPr>
          <w:p w14:paraId="60D3051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A772E3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9345B7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8A6485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3E30FB9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257</w:t>
            </w:r>
          </w:p>
        </w:tc>
      </w:tr>
      <w:tr w:rsidR="005958CD" w:rsidRPr="00704BD4" w14:paraId="08309EA7" w14:textId="77777777" w:rsidTr="00C52D24">
        <w:trPr>
          <w:trHeight w:val="156"/>
          <w:jc w:val="center"/>
        </w:trPr>
        <w:tc>
          <w:tcPr>
            <w:tcW w:w="3798" w:type="dxa"/>
            <w:shd w:val="clear" w:color="auto" w:fill="auto"/>
            <w:vAlign w:val="center"/>
          </w:tcPr>
          <w:p w14:paraId="13BC080F"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ESA Urban Search and Rescue and Chemical, Biological, Radiological and Nuclear Equipment Replacement</w:t>
            </w:r>
          </w:p>
        </w:tc>
        <w:tc>
          <w:tcPr>
            <w:tcW w:w="850" w:type="dxa"/>
            <w:shd w:val="clear" w:color="auto" w:fill="auto"/>
          </w:tcPr>
          <w:p w14:paraId="2F8DE54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311</w:t>
            </w:r>
          </w:p>
        </w:tc>
        <w:tc>
          <w:tcPr>
            <w:tcW w:w="850" w:type="dxa"/>
            <w:shd w:val="clear" w:color="auto" w:fill="auto"/>
          </w:tcPr>
          <w:p w14:paraId="71A135E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111</w:t>
            </w:r>
          </w:p>
        </w:tc>
        <w:tc>
          <w:tcPr>
            <w:tcW w:w="850" w:type="dxa"/>
            <w:shd w:val="clear" w:color="auto" w:fill="auto"/>
          </w:tcPr>
          <w:p w14:paraId="509E7ED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111</w:t>
            </w:r>
          </w:p>
        </w:tc>
        <w:tc>
          <w:tcPr>
            <w:tcW w:w="850" w:type="dxa"/>
            <w:shd w:val="clear" w:color="auto" w:fill="auto"/>
          </w:tcPr>
          <w:p w14:paraId="6B75E64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111</w:t>
            </w:r>
          </w:p>
        </w:tc>
        <w:tc>
          <w:tcPr>
            <w:tcW w:w="850" w:type="dxa"/>
          </w:tcPr>
          <w:p w14:paraId="25105DF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111</w:t>
            </w:r>
          </w:p>
        </w:tc>
        <w:tc>
          <w:tcPr>
            <w:tcW w:w="1020" w:type="dxa"/>
            <w:shd w:val="clear" w:color="auto" w:fill="auto"/>
          </w:tcPr>
          <w:p w14:paraId="7FF2298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755</w:t>
            </w:r>
          </w:p>
        </w:tc>
      </w:tr>
      <w:tr w:rsidR="005958CD" w:rsidRPr="00704BD4" w14:paraId="16FF4CB9" w14:textId="77777777" w:rsidTr="00C52D24">
        <w:trPr>
          <w:trHeight w:val="156"/>
          <w:jc w:val="center"/>
        </w:trPr>
        <w:tc>
          <w:tcPr>
            <w:tcW w:w="3798" w:type="dxa"/>
            <w:shd w:val="clear" w:color="auto" w:fill="auto"/>
            <w:vAlign w:val="center"/>
          </w:tcPr>
          <w:p w14:paraId="4C432889"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ESA Vehicle Replacement Program</w:t>
            </w:r>
          </w:p>
        </w:tc>
        <w:tc>
          <w:tcPr>
            <w:tcW w:w="850" w:type="dxa"/>
            <w:shd w:val="clear" w:color="auto" w:fill="auto"/>
          </w:tcPr>
          <w:p w14:paraId="4776EEA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7,658</w:t>
            </w:r>
          </w:p>
        </w:tc>
        <w:tc>
          <w:tcPr>
            <w:tcW w:w="850" w:type="dxa"/>
            <w:shd w:val="clear" w:color="auto" w:fill="auto"/>
          </w:tcPr>
          <w:p w14:paraId="38AD6EA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07BDB0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926</w:t>
            </w:r>
          </w:p>
        </w:tc>
        <w:tc>
          <w:tcPr>
            <w:tcW w:w="850" w:type="dxa"/>
            <w:shd w:val="clear" w:color="auto" w:fill="auto"/>
          </w:tcPr>
          <w:p w14:paraId="5A8EA93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2,011</w:t>
            </w:r>
          </w:p>
        </w:tc>
        <w:tc>
          <w:tcPr>
            <w:tcW w:w="850" w:type="dxa"/>
          </w:tcPr>
          <w:p w14:paraId="2DFF28D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30CF2D0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10,595</w:t>
            </w:r>
          </w:p>
        </w:tc>
      </w:tr>
      <w:tr w:rsidR="005958CD" w:rsidRPr="00704BD4" w14:paraId="1D28915F" w14:textId="77777777" w:rsidTr="002C0E51">
        <w:trPr>
          <w:trHeight w:val="156"/>
          <w:jc w:val="center"/>
        </w:trPr>
        <w:tc>
          <w:tcPr>
            <w:tcW w:w="3798" w:type="dxa"/>
            <w:shd w:val="clear" w:color="auto" w:fill="auto"/>
            <w:vAlign w:val="center"/>
          </w:tcPr>
          <w:p w14:paraId="5B2F0D41"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Management and remediation of firefighting substances at the stations</w:t>
            </w:r>
          </w:p>
        </w:tc>
        <w:tc>
          <w:tcPr>
            <w:tcW w:w="850" w:type="dxa"/>
            <w:shd w:val="clear" w:color="auto" w:fill="auto"/>
          </w:tcPr>
          <w:p w14:paraId="371C4B5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1,292</w:t>
            </w:r>
          </w:p>
        </w:tc>
        <w:tc>
          <w:tcPr>
            <w:tcW w:w="850" w:type="dxa"/>
            <w:shd w:val="clear" w:color="auto" w:fill="auto"/>
          </w:tcPr>
          <w:p w14:paraId="5383CC9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797</w:t>
            </w:r>
          </w:p>
        </w:tc>
        <w:tc>
          <w:tcPr>
            <w:tcW w:w="850" w:type="dxa"/>
            <w:shd w:val="clear" w:color="auto" w:fill="auto"/>
          </w:tcPr>
          <w:p w14:paraId="024D3B6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7EC201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897744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555F1C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2,089</w:t>
            </w:r>
          </w:p>
        </w:tc>
      </w:tr>
      <w:tr w:rsidR="005958CD" w:rsidRPr="00704BD4" w14:paraId="6BB41EEE" w14:textId="77777777" w:rsidTr="002C0E51">
        <w:trPr>
          <w:trHeight w:val="156"/>
          <w:jc w:val="center"/>
        </w:trPr>
        <w:tc>
          <w:tcPr>
            <w:tcW w:w="3798" w:type="dxa"/>
            <w:shd w:val="clear" w:color="auto" w:fill="auto"/>
            <w:vAlign w:val="center"/>
          </w:tcPr>
          <w:p w14:paraId="385DA09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ACT Fire and Rescue Staff and Construction of Acton Station</w:t>
            </w:r>
          </w:p>
        </w:tc>
        <w:tc>
          <w:tcPr>
            <w:tcW w:w="850" w:type="dxa"/>
            <w:shd w:val="clear" w:color="auto" w:fill="auto"/>
          </w:tcPr>
          <w:p w14:paraId="7AE6615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1,312</w:t>
            </w:r>
          </w:p>
        </w:tc>
        <w:tc>
          <w:tcPr>
            <w:tcW w:w="850" w:type="dxa"/>
            <w:shd w:val="clear" w:color="auto" w:fill="auto"/>
          </w:tcPr>
          <w:p w14:paraId="7332734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15,641</w:t>
            </w:r>
          </w:p>
        </w:tc>
        <w:tc>
          <w:tcPr>
            <w:tcW w:w="850" w:type="dxa"/>
            <w:shd w:val="clear" w:color="auto" w:fill="auto"/>
          </w:tcPr>
          <w:p w14:paraId="717CFE5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23,444</w:t>
            </w:r>
          </w:p>
        </w:tc>
        <w:tc>
          <w:tcPr>
            <w:tcW w:w="850" w:type="dxa"/>
            <w:shd w:val="clear" w:color="auto" w:fill="auto"/>
          </w:tcPr>
          <w:p w14:paraId="633685E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DBBEC9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D6F8E5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40,397</w:t>
            </w:r>
          </w:p>
        </w:tc>
      </w:tr>
      <w:tr w:rsidR="005958CD" w:rsidRPr="00704BD4" w14:paraId="7E1CF316" w14:textId="77777777" w:rsidTr="002C0E51">
        <w:trPr>
          <w:trHeight w:val="156"/>
          <w:jc w:val="center"/>
        </w:trPr>
        <w:tc>
          <w:tcPr>
            <w:tcW w:w="3798" w:type="dxa"/>
            <w:shd w:val="clear" w:color="auto" w:fill="auto"/>
            <w:vAlign w:val="center"/>
          </w:tcPr>
          <w:p w14:paraId="78137862"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lastRenderedPageBreak/>
              <w:t>More services for our suburbs - Enhancing our bushfire preparedness</w:t>
            </w:r>
          </w:p>
        </w:tc>
        <w:tc>
          <w:tcPr>
            <w:tcW w:w="850" w:type="dxa"/>
            <w:shd w:val="clear" w:color="auto" w:fill="auto"/>
          </w:tcPr>
          <w:p w14:paraId="1DFE456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141</w:t>
            </w:r>
          </w:p>
        </w:tc>
        <w:tc>
          <w:tcPr>
            <w:tcW w:w="850" w:type="dxa"/>
            <w:shd w:val="clear" w:color="auto" w:fill="auto"/>
          </w:tcPr>
          <w:p w14:paraId="3EB97FB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D65A6F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FC3F60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BC2345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45F110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141</w:t>
            </w:r>
          </w:p>
        </w:tc>
      </w:tr>
      <w:tr w:rsidR="005958CD" w:rsidRPr="00704BD4" w14:paraId="586E8259" w14:textId="77777777" w:rsidTr="00C52D24">
        <w:trPr>
          <w:trHeight w:val="156"/>
          <w:jc w:val="center"/>
        </w:trPr>
        <w:tc>
          <w:tcPr>
            <w:tcW w:w="3798" w:type="dxa"/>
            <w:shd w:val="clear" w:color="auto" w:fill="auto"/>
            <w:vAlign w:val="center"/>
          </w:tcPr>
          <w:p w14:paraId="37A6800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services for our suburbs - More paramedics and ambulances</w:t>
            </w:r>
          </w:p>
        </w:tc>
        <w:tc>
          <w:tcPr>
            <w:tcW w:w="850" w:type="dxa"/>
            <w:shd w:val="clear" w:color="auto" w:fill="auto"/>
          </w:tcPr>
          <w:p w14:paraId="0989D80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32</w:t>
            </w:r>
          </w:p>
        </w:tc>
        <w:tc>
          <w:tcPr>
            <w:tcW w:w="850" w:type="dxa"/>
            <w:shd w:val="clear" w:color="auto" w:fill="auto"/>
          </w:tcPr>
          <w:p w14:paraId="083104F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B99618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6408A4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504E19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750237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32</w:t>
            </w:r>
          </w:p>
        </w:tc>
      </w:tr>
      <w:tr w:rsidR="005958CD" w:rsidRPr="00704BD4" w14:paraId="5F0E7FB4" w14:textId="77777777" w:rsidTr="00C52D24">
        <w:trPr>
          <w:trHeight w:val="156"/>
          <w:jc w:val="center"/>
        </w:trPr>
        <w:tc>
          <w:tcPr>
            <w:tcW w:w="3798" w:type="dxa"/>
            <w:shd w:val="clear" w:color="auto" w:fill="auto"/>
            <w:vAlign w:val="center"/>
          </w:tcPr>
          <w:p w14:paraId="228B67A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Better resourcing for the Alexander Maconochie Centre</w:t>
            </w:r>
          </w:p>
        </w:tc>
        <w:tc>
          <w:tcPr>
            <w:tcW w:w="850" w:type="dxa"/>
            <w:shd w:val="clear" w:color="auto" w:fill="auto"/>
          </w:tcPr>
          <w:p w14:paraId="5913300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1,125</w:t>
            </w:r>
          </w:p>
        </w:tc>
        <w:tc>
          <w:tcPr>
            <w:tcW w:w="850" w:type="dxa"/>
            <w:shd w:val="clear" w:color="auto" w:fill="auto"/>
          </w:tcPr>
          <w:p w14:paraId="5027552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FFA079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601161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2B8ACE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31CEA14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1,125</w:t>
            </w:r>
          </w:p>
        </w:tc>
      </w:tr>
      <w:tr w:rsidR="005958CD" w:rsidRPr="00704BD4" w14:paraId="461A4D40" w14:textId="77777777" w:rsidTr="00C52D24">
        <w:trPr>
          <w:trHeight w:val="156"/>
          <w:jc w:val="center"/>
        </w:trPr>
        <w:tc>
          <w:tcPr>
            <w:tcW w:w="3798" w:type="dxa"/>
            <w:shd w:val="clear" w:color="auto" w:fill="auto"/>
            <w:vAlign w:val="center"/>
          </w:tcPr>
          <w:p w14:paraId="4A4604D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Commencing operations of the Drug and Alcohol Court</w:t>
            </w:r>
          </w:p>
        </w:tc>
        <w:tc>
          <w:tcPr>
            <w:tcW w:w="850" w:type="dxa"/>
            <w:shd w:val="clear" w:color="auto" w:fill="auto"/>
          </w:tcPr>
          <w:p w14:paraId="7B348DE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591</w:t>
            </w:r>
          </w:p>
        </w:tc>
        <w:tc>
          <w:tcPr>
            <w:tcW w:w="850" w:type="dxa"/>
            <w:shd w:val="clear" w:color="auto" w:fill="auto"/>
          </w:tcPr>
          <w:p w14:paraId="2A3418E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BAB3A4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2E81ED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DF3346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62D622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591</w:t>
            </w:r>
          </w:p>
        </w:tc>
      </w:tr>
      <w:tr w:rsidR="005958CD" w:rsidRPr="00704BD4" w14:paraId="021973CE" w14:textId="77777777" w:rsidTr="00C52D24">
        <w:trPr>
          <w:trHeight w:val="156"/>
          <w:jc w:val="center"/>
        </w:trPr>
        <w:tc>
          <w:tcPr>
            <w:tcW w:w="3798" w:type="dxa"/>
            <w:shd w:val="clear" w:color="auto" w:fill="auto"/>
            <w:vAlign w:val="center"/>
          </w:tcPr>
          <w:p w14:paraId="7A12722E"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Design and planning for the Alexander Maconochie Transitional Release Centre expansion</w:t>
            </w:r>
          </w:p>
        </w:tc>
        <w:tc>
          <w:tcPr>
            <w:tcW w:w="850" w:type="dxa"/>
            <w:shd w:val="clear" w:color="auto" w:fill="auto"/>
          </w:tcPr>
          <w:p w14:paraId="30B3381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w:t>
            </w:r>
          </w:p>
        </w:tc>
        <w:tc>
          <w:tcPr>
            <w:tcW w:w="850" w:type="dxa"/>
            <w:shd w:val="clear" w:color="auto" w:fill="auto"/>
          </w:tcPr>
          <w:p w14:paraId="667A804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497DBB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0D3DC1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AAFEA9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9C7D3E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w:t>
            </w:r>
          </w:p>
        </w:tc>
      </w:tr>
      <w:tr w:rsidR="005958CD" w:rsidRPr="00704BD4" w14:paraId="1129874C" w14:textId="77777777" w:rsidTr="00C52D24">
        <w:trPr>
          <w:trHeight w:val="156"/>
          <w:jc w:val="center"/>
        </w:trPr>
        <w:tc>
          <w:tcPr>
            <w:tcW w:w="3798" w:type="dxa"/>
            <w:shd w:val="clear" w:color="auto" w:fill="auto"/>
            <w:vAlign w:val="center"/>
          </w:tcPr>
          <w:p w14:paraId="257C578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Keeping Canberrans safe in public places</w:t>
            </w:r>
          </w:p>
        </w:tc>
        <w:tc>
          <w:tcPr>
            <w:tcW w:w="850" w:type="dxa"/>
            <w:shd w:val="clear" w:color="auto" w:fill="auto"/>
          </w:tcPr>
          <w:p w14:paraId="2E3626D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187</w:t>
            </w:r>
          </w:p>
        </w:tc>
        <w:tc>
          <w:tcPr>
            <w:tcW w:w="850" w:type="dxa"/>
            <w:shd w:val="clear" w:color="auto" w:fill="auto"/>
          </w:tcPr>
          <w:p w14:paraId="6E7CE65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89C6D9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42534A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2622C7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5B4F6D8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187</w:t>
            </w:r>
          </w:p>
        </w:tc>
      </w:tr>
      <w:tr w:rsidR="005958CD" w:rsidRPr="00704BD4" w14:paraId="557FA39B" w14:textId="77777777" w:rsidTr="00C52D24">
        <w:trPr>
          <w:trHeight w:val="156"/>
          <w:jc w:val="center"/>
        </w:trPr>
        <w:tc>
          <w:tcPr>
            <w:tcW w:w="3798" w:type="dxa"/>
            <w:shd w:val="clear" w:color="auto" w:fill="auto"/>
            <w:vAlign w:val="center"/>
          </w:tcPr>
          <w:p w14:paraId="01382B61"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More resources for the Director of Public Prosecutions</w:t>
            </w:r>
          </w:p>
        </w:tc>
        <w:tc>
          <w:tcPr>
            <w:tcW w:w="850" w:type="dxa"/>
            <w:shd w:val="clear" w:color="auto" w:fill="auto"/>
          </w:tcPr>
          <w:p w14:paraId="62E4E7A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35</w:t>
            </w:r>
          </w:p>
        </w:tc>
        <w:tc>
          <w:tcPr>
            <w:tcW w:w="850" w:type="dxa"/>
            <w:shd w:val="clear" w:color="auto" w:fill="auto"/>
          </w:tcPr>
          <w:p w14:paraId="0296D89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FFFFAA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A3F1AA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1ED741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3D8C96B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35</w:t>
            </w:r>
          </w:p>
        </w:tc>
      </w:tr>
      <w:tr w:rsidR="005958CD" w:rsidRPr="00704BD4" w14:paraId="4CDB3D4E" w14:textId="77777777" w:rsidTr="00C52D24">
        <w:trPr>
          <w:trHeight w:val="156"/>
          <w:jc w:val="center"/>
        </w:trPr>
        <w:tc>
          <w:tcPr>
            <w:tcW w:w="3798" w:type="dxa"/>
            <w:shd w:val="clear" w:color="auto" w:fill="auto"/>
            <w:vAlign w:val="center"/>
          </w:tcPr>
          <w:p w14:paraId="1CB44E13"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New aerial pumper for ACT Fire and Rescue</w:t>
            </w:r>
          </w:p>
        </w:tc>
        <w:tc>
          <w:tcPr>
            <w:tcW w:w="850" w:type="dxa"/>
            <w:shd w:val="clear" w:color="auto" w:fill="auto"/>
          </w:tcPr>
          <w:p w14:paraId="4C23DD6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187</w:t>
            </w:r>
          </w:p>
        </w:tc>
        <w:tc>
          <w:tcPr>
            <w:tcW w:w="850" w:type="dxa"/>
            <w:shd w:val="clear" w:color="auto" w:fill="auto"/>
          </w:tcPr>
          <w:p w14:paraId="16F2BD7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95A9B3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402C21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8DDA0B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096A44B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187</w:t>
            </w:r>
          </w:p>
        </w:tc>
      </w:tr>
      <w:tr w:rsidR="005958CD" w:rsidRPr="00704BD4" w14:paraId="0FE3E142" w14:textId="77777777" w:rsidTr="00C52D24">
        <w:trPr>
          <w:trHeight w:val="156"/>
          <w:jc w:val="center"/>
        </w:trPr>
        <w:tc>
          <w:tcPr>
            <w:tcW w:w="3798" w:type="dxa"/>
            <w:shd w:val="clear" w:color="auto" w:fill="auto"/>
            <w:vAlign w:val="center"/>
          </w:tcPr>
          <w:p w14:paraId="11CBB9D9"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More support for families and inclusion - Providing safe alternatives to remand</w:t>
            </w:r>
          </w:p>
        </w:tc>
        <w:tc>
          <w:tcPr>
            <w:tcW w:w="850" w:type="dxa"/>
            <w:shd w:val="clear" w:color="auto" w:fill="auto"/>
          </w:tcPr>
          <w:p w14:paraId="4FA56B8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187</w:t>
            </w:r>
          </w:p>
        </w:tc>
        <w:tc>
          <w:tcPr>
            <w:tcW w:w="850" w:type="dxa"/>
            <w:shd w:val="clear" w:color="auto" w:fill="auto"/>
          </w:tcPr>
          <w:p w14:paraId="181A447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2C1C58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EC3914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FA9245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26E3E56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187</w:t>
            </w:r>
          </w:p>
        </w:tc>
      </w:tr>
      <w:tr w:rsidR="005958CD" w:rsidRPr="00704BD4" w14:paraId="5DD458C4" w14:textId="77777777" w:rsidTr="00C52D24">
        <w:trPr>
          <w:trHeight w:val="156"/>
          <w:jc w:val="center"/>
        </w:trPr>
        <w:tc>
          <w:tcPr>
            <w:tcW w:w="3798" w:type="dxa"/>
            <w:shd w:val="clear" w:color="auto" w:fill="auto"/>
            <w:vAlign w:val="center"/>
          </w:tcPr>
          <w:p w14:paraId="34454FBC"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New stations for ACT Ambulance Service and ACT Fire and Rescue</w:t>
            </w:r>
          </w:p>
        </w:tc>
        <w:tc>
          <w:tcPr>
            <w:tcW w:w="850" w:type="dxa"/>
            <w:shd w:val="clear" w:color="auto" w:fill="auto"/>
          </w:tcPr>
          <w:p w14:paraId="62109FF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431</w:t>
            </w:r>
          </w:p>
        </w:tc>
        <w:tc>
          <w:tcPr>
            <w:tcW w:w="850" w:type="dxa"/>
            <w:shd w:val="clear" w:color="auto" w:fill="auto"/>
          </w:tcPr>
          <w:p w14:paraId="32D570D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156C51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8D3ED2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53DDD4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215F3DD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431</w:t>
            </w:r>
          </w:p>
        </w:tc>
      </w:tr>
      <w:tr w:rsidR="005958CD" w:rsidRPr="00704BD4" w14:paraId="2ECF4A28" w14:textId="77777777" w:rsidTr="00C52D24">
        <w:trPr>
          <w:trHeight w:val="156"/>
          <w:jc w:val="center"/>
        </w:trPr>
        <w:tc>
          <w:tcPr>
            <w:tcW w:w="3798" w:type="dxa"/>
            <w:shd w:val="clear" w:color="auto" w:fill="auto"/>
            <w:vAlign w:val="center"/>
          </w:tcPr>
          <w:p w14:paraId="365E341D"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Relocating ACT Policing's Traffic Operations Centre</w:t>
            </w:r>
          </w:p>
        </w:tc>
        <w:tc>
          <w:tcPr>
            <w:tcW w:w="850" w:type="dxa"/>
            <w:shd w:val="clear" w:color="auto" w:fill="auto"/>
          </w:tcPr>
          <w:p w14:paraId="57021F5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5,820</w:t>
            </w:r>
          </w:p>
        </w:tc>
        <w:tc>
          <w:tcPr>
            <w:tcW w:w="850" w:type="dxa"/>
            <w:shd w:val="clear" w:color="auto" w:fill="auto"/>
          </w:tcPr>
          <w:p w14:paraId="077A230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1,220</w:t>
            </w:r>
          </w:p>
        </w:tc>
        <w:tc>
          <w:tcPr>
            <w:tcW w:w="850" w:type="dxa"/>
            <w:shd w:val="clear" w:color="auto" w:fill="auto"/>
          </w:tcPr>
          <w:p w14:paraId="739EA12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79843C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76E275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77E888A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7,040</w:t>
            </w:r>
          </w:p>
        </w:tc>
      </w:tr>
      <w:tr w:rsidR="005958CD" w:rsidRPr="00704BD4" w14:paraId="19D27AA9" w14:textId="77777777" w:rsidTr="00C52D24">
        <w:trPr>
          <w:trHeight w:val="156"/>
          <w:jc w:val="center"/>
        </w:trPr>
        <w:tc>
          <w:tcPr>
            <w:tcW w:w="3798" w:type="dxa"/>
            <w:shd w:val="clear" w:color="auto" w:fill="auto"/>
            <w:vAlign w:val="center"/>
          </w:tcPr>
          <w:p w14:paraId="615CB22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Strategic accommodation study for Policing</w:t>
            </w:r>
          </w:p>
        </w:tc>
        <w:tc>
          <w:tcPr>
            <w:tcW w:w="850" w:type="dxa"/>
            <w:shd w:val="clear" w:color="auto" w:fill="auto"/>
          </w:tcPr>
          <w:p w14:paraId="3C2A6E6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126</w:t>
            </w:r>
          </w:p>
        </w:tc>
        <w:tc>
          <w:tcPr>
            <w:tcW w:w="850" w:type="dxa"/>
            <w:shd w:val="clear" w:color="auto" w:fill="auto"/>
          </w:tcPr>
          <w:p w14:paraId="42DA847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419A12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64824A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8B3833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29BEDA8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126</w:t>
            </w:r>
          </w:p>
        </w:tc>
      </w:tr>
      <w:tr w:rsidR="005958CD" w:rsidRPr="00704BD4" w14:paraId="5C6A4EDB" w14:textId="77777777" w:rsidTr="00C52D24">
        <w:trPr>
          <w:trHeight w:val="156"/>
          <w:jc w:val="center"/>
        </w:trPr>
        <w:tc>
          <w:tcPr>
            <w:tcW w:w="3798" w:type="dxa"/>
            <w:shd w:val="clear" w:color="auto" w:fill="auto"/>
            <w:vAlign w:val="center"/>
          </w:tcPr>
          <w:p w14:paraId="3AB86469"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Strengthening Emergency Services - Territory Radio Network upgrade - Phases 2 and 3</w:t>
            </w:r>
          </w:p>
        </w:tc>
        <w:tc>
          <w:tcPr>
            <w:tcW w:w="850" w:type="dxa"/>
            <w:shd w:val="clear" w:color="auto" w:fill="auto"/>
          </w:tcPr>
          <w:p w14:paraId="4EF0E0C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452</w:t>
            </w:r>
          </w:p>
        </w:tc>
        <w:tc>
          <w:tcPr>
            <w:tcW w:w="850" w:type="dxa"/>
            <w:shd w:val="clear" w:color="auto" w:fill="auto"/>
          </w:tcPr>
          <w:p w14:paraId="09EBAA2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0EA6F2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CB8249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F603F0C"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1A5F7DD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452</w:t>
            </w:r>
          </w:p>
        </w:tc>
      </w:tr>
      <w:tr w:rsidR="005958CD" w:rsidRPr="00704BD4" w14:paraId="5E6AD981" w14:textId="77777777" w:rsidTr="00C52D24">
        <w:trPr>
          <w:trHeight w:val="156"/>
          <w:jc w:val="center"/>
        </w:trPr>
        <w:tc>
          <w:tcPr>
            <w:tcW w:w="3798" w:type="dxa"/>
            <w:shd w:val="clear" w:color="auto" w:fill="auto"/>
            <w:vAlign w:val="center"/>
          </w:tcPr>
          <w:p w14:paraId="75600D88"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Upgrading ACT Policing facilities</w:t>
            </w:r>
          </w:p>
        </w:tc>
        <w:tc>
          <w:tcPr>
            <w:tcW w:w="850" w:type="dxa"/>
            <w:shd w:val="clear" w:color="auto" w:fill="auto"/>
          </w:tcPr>
          <w:p w14:paraId="00F422C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150</w:t>
            </w:r>
          </w:p>
        </w:tc>
        <w:tc>
          <w:tcPr>
            <w:tcW w:w="850" w:type="dxa"/>
            <w:shd w:val="clear" w:color="auto" w:fill="auto"/>
          </w:tcPr>
          <w:p w14:paraId="30E6F64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781B37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5CDD24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407BB6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27AE226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150</w:t>
            </w:r>
          </w:p>
        </w:tc>
      </w:tr>
      <w:tr w:rsidR="005958CD" w:rsidRPr="00704BD4" w14:paraId="72D356C3" w14:textId="77777777" w:rsidTr="00C52D24">
        <w:trPr>
          <w:trHeight w:val="156"/>
          <w:jc w:val="center"/>
        </w:trPr>
        <w:tc>
          <w:tcPr>
            <w:tcW w:w="3798" w:type="dxa"/>
            <w:shd w:val="clear" w:color="auto" w:fill="auto"/>
            <w:vAlign w:val="center"/>
          </w:tcPr>
          <w:p w14:paraId="44270F0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Upgrading essential services at the Alexander Maconochie Centre</w:t>
            </w:r>
          </w:p>
        </w:tc>
        <w:tc>
          <w:tcPr>
            <w:tcW w:w="850" w:type="dxa"/>
            <w:shd w:val="clear" w:color="auto" w:fill="auto"/>
          </w:tcPr>
          <w:p w14:paraId="2977EE8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3,122</w:t>
            </w:r>
          </w:p>
        </w:tc>
        <w:tc>
          <w:tcPr>
            <w:tcW w:w="850" w:type="dxa"/>
            <w:shd w:val="clear" w:color="auto" w:fill="auto"/>
          </w:tcPr>
          <w:p w14:paraId="7906CEB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2,700</w:t>
            </w:r>
          </w:p>
        </w:tc>
        <w:tc>
          <w:tcPr>
            <w:tcW w:w="850" w:type="dxa"/>
            <w:shd w:val="clear" w:color="auto" w:fill="auto"/>
          </w:tcPr>
          <w:p w14:paraId="15343CB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00AC97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08DEE96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6AAC660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5,822</w:t>
            </w:r>
          </w:p>
        </w:tc>
      </w:tr>
      <w:tr w:rsidR="005958CD" w:rsidRPr="00704BD4" w14:paraId="668682C2" w14:textId="77777777" w:rsidTr="00C52D24">
        <w:trPr>
          <w:trHeight w:val="156"/>
          <w:jc w:val="center"/>
        </w:trPr>
        <w:tc>
          <w:tcPr>
            <w:tcW w:w="3798" w:type="dxa"/>
            <w:shd w:val="clear" w:color="auto" w:fill="auto"/>
            <w:vAlign w:val="center"/>
          </w:tcPr>
          <w:p w14:paraId="30B45B78"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Upgrading the ACT State Emergency Service’s Majura Unit facility</w:t>
            </w:r>
          </w:p>
        </w:tc>
        <w:tc>
          <w:tcPr>
            <w:tcW w:w="850" w:type="dxa"/>
            <w:shd w:val="clear" w:color="auto" w:fill="auto"/>
          </w:tcPr>
          <w:p w14:paraId="1225E25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24</w:t>
            </w:r>
          </w:p>
        </w:tc>
        <w:tc>
          <w:tcPr>
            <w:tcW w:w="850" w:type="dxa"/>
            <w:shd w:val="clear" w:color="auto" w:fill="auto"/>
          </w:tcPr>
          <w:p w14:paraId="5268CB9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1,513</w:t>
            </w:r>
          </w:p>
        </w:tc>
        <w:tc>
          <w:tcPr>
            <w:tcW w:w="850" w:type="dxa"/>
            <w:shd w:val="clear" w:color="auto" w:fill="auto"/>
          </w:tcPr>
          <w:p w14:paraId="1958461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A85A41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3F4E7F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sz w:val="18"/>
                <w:szCs w:val="18"/>
                <w:lang w:eastAsia="en-AU"/>
              </w:rPr>
              <w:t>0</w:t>
            </w:r>
          </w:p>
        </w:tc>
        <w:tc>
          <w:tcPr>
            <w:tcW w:w="1020" w:type="dxa"/>
            <w:shd w:val="clear" w:color="auto" w:fill="auto"/>
          </w:tcPr>
          <w:p w14:paraId="0574A26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1,537</w:t>
            </w:r>
          </w:p>
        </w:tc>
      </w:tr>
      <w:tr w:rsidR="005958CD" w:rsidRPr="00704BD4" w14:paraId="383C55FF" w14:textId="77777777" w:rsidTr="00C52D24">
        <w:trPr>
          <w:trHeight w:val="156"/>
          <w:jc w:val="center"/>
        </w:trPr>
        <w:tc>
          <w:tcPr>
            <w:tcW w:w="3798" w:type="dxa"/>
            <w:shd w:val="clear" w:color="auto" w:fill="auto"/>
            <w:vAlign w:val="center"/>
          </w:tcPr>
          <w:p w14:paraId="515341A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020AF3E6"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31,291</w:t>
            </w:r>
          </w:p>
        </w:tc>
        <w:tc>
          <w:tcPr>
            <w:tcW w:w="850" w:type="dxa"/>
            <w:shd w:val="clear" w:color="auto" w:fill="auto"/>
          </w:tcPr>
          <w:p w14:paraId="793B698F"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26,356</w:t>
            </w:r>
          </w:p>
        </w:tc>
        <w:tc>
          <w:tcPr>
            <w:tcW w:w="850" w:type="dxa"/>
            <w:shd w:val="clear" w:color="auto" w:fill="auto"/>
          </w:tcPr>
          <w:p w14:paraId="774D9D31"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26,131</w:t>
            </w:r>
          </w:p>
        </w:tc>
        <w:tc>
          <w:tcPr>
            <w:tcW w:w="850" w:type="dxa"/>
            <w:shd w:val="clear" w:color="auto" w:fill="auto"/>
          </w:tcPr>
          <w:p w14:paraId="77945683"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2,122</w:t>
            </w:r>
          </w:p>
        </w:tc>
        <w:tc>
          <w:tcPr>
            <w:tcW w:w="850" w:type="dxa"/>
          </w:tcPr>
          <w:p w14:paraId="10C7C73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111</w:t>
            </w:r>
          </w:p>
        </w:tc>
        <w:tc>
          <w:tcPr>
            <w:tcW w:w="1020" w:type="dxa"/>
            <w:shd w:val="clear" w:color="auto" w:fill="auto"/>
          </w:tcPr>
          <w:p w14:paraId="5B326AE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86,011</w:t>
            </w:r>
          </w:p>
        </w:tc>
      </w:tr>
      <w:tr w:rsidR="005958CD" w:rsidRPr="00704BD4" w14:paraId="5FA5888F" w14:textId="77777777" w:rsidTr="00C52D24">
        <w:trPr>
          <w:trHeight w:val="156"/>
          <w:jc w:val="center"/>
        </w:trPr>
        <w:tc>
          <w:tcPr>
            <w:tcW w:w="3798" w:type="dxa"/>
            <w:shd w:val="clear" w:color="auto" w:fill="auto"/>
            <w:vAlign w:val="center"/>
          </w:tcPr>
          <w:p w14:paraId="7DBBD9F2"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Major Projects Canberra</w:t>
            </w:r>
          </w:p>
        </w:tc>
        <w:tc>
          <w:tcPr>
            <w:tcW w:w="850" w:type="dxa"/>
            <w:shd w:val="clear" w:color="auto" w:fill="auto"/>
          </w:tcPr>
          <w:p w14:paraId="2AA50F9A"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195455FF"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373E350"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1FE45F70" w14:textId="77777777" w:rsidR="005958CD" w:rsidRPr="00704BD4" w:rsidRDefault="005958CD" w:rsidP="00C52D24">
            <w:pPr>
              <w:pStyle w:val="Btablefigureunbold"/>
              <w:rPr>
                <w:rFonts w:eastAsia="Times New Roman" w:cs="Calibri"/>
                <w:b/>
                <w:bCs/>
                <w:sz w:val="18"/>
                <w:szCs w:val="18"/>
                <w:lang w:eastAsia="en-AU"/>
              </w:rPr>
            </w:pPr>
          </w:p>
        </w:tc>
        <w:tc>
          <w:tcPr>
            <w:tcW w:w="850" w:type="dxa"/>
          </w:tcPr>
          <w:p w14:paraId="172E0A55" w14:textId="77777777" w:rsidR="005958CD" w:rsidRPr="00704BD4" w:rsidRDefault="005958CD" w:rsidP="00C52D24">
            <w:pPr>
              <w:pStyle w:val="BTableHeadingRowRightAligned"/>
              <w:rPr>
                <w:rFonts w:eastAsia="Times New Roman" w:cs="Calibri"/>
                <w:b w:val="0"/>
                <w:bCs/>
                <w:sz w:val="18"/>
                <w:szCs w:val="18"/>
                <w:lang w:eastAsia="en-AU"/>
              </w:rPr>
            </w:pPr>
          </w:p>
        </w:tc>
        <w:tc>
          <w:tcPr>
            <w:tcW w:w="1020" w:type="dxa"/>
            <w:shd w:val="clear" w:color="auto" w:fill="auto"/>
          </w:tcPr>
          <w:p w14:paraId="5C4F0CA9" w14:textId="77777777" w:rsidR="005958CD" w:rsidRPr="00704BD4" w:rsidRDefault="005958CD" w:rsidP="00C52D24">
            <w:pPr>
              <w:pStyle w:val="BTableHeadingRowRightAligned"/>
              <w:rPr>
                <w:rFonts w:eastAsia="Times New Roman" w:cs="Calibri"/>
                <w:sz w:val="18"/>
                <w:szCs w:val="18"/>
                <w:lang w:eastAsia="en-AU"/>
              </w:rPr>
            </w:pPr>
          </w:p>
        </w:tc>
      </w:tr>
      <w:tr w:rsidR="005958CD" w:rsidRPr="00704BD4" w14:paraId="4DD1E8BD" w14:textId="77777777" w:rsidTr="00C52D24">
        <w:trPr>
          <w:trHeight w:val="156"/>
          <w:jc w:val="center"/>
        </w:trPr>
        <w:tc>
          <w:tcPr>
            <w:tcW w:w="3798" w:type="dxa"/>
            <w:shd w:val="clear" w:color="auto" w:fill="auto"/>
            <w:vAlign w:val="center"/>
          </w:tcPr>
          <w:p w14:paraId="6C74B5A1"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Canberra Light Rail - New Mitchell Light Rail stop</w:t>
            </w:r>
          </w:p>
        </w:tc>
        <w:tc>
          <w:tcPr>
            <w:tcW w:w="850" w:type="dxa"/>
            <w:shd w:val="clear" w:color="auto" w:fill="auto"/>
          </w:tcPr>
          <w:p w14:paraId="5468DFF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2,070</w:t>
            </w:r>
          </w:p>
        </w:tc>
        <w:tc>
          <w:tcPr>
            <w:tcW w:w="850" w:type="dxa"/>
            <w:shd w:val="clear" w:color="auto" w:fill="auto"/>
          </w:tcPr>
          <w:p w14:paraId="5664F7F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A88EA5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193B76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AEF6DC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E53BEF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2,070</w:t>
            </w:r>
          </w:p>
        </w:tc>
      </w:tr>
      <w:tr w:rsidR="005958CD" w:rsidRPr="00704BD4" w14:paraId="53DA034B" w14:textId="77777777" w:rsidTr="00C52D24">
        <w:trPr>
          <w:trHeight w:val="156"/>
          <w:jc w:val="center"/>
        </w:trPr>
        <w:tc>
          <w:tcPr>
            <w:tcW w:w="3798" w:type="dxa"/>
            <w:shd w:val="clear" w:color="auto" w:fill="auto"/>
            <w:vAlign w:val="center"/>
          </w:tcPr>
          <w:p w14:paraId="08DA80CB"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CIT Woden Campus and Bus Interchange</w:t>
            </w:r>
          </w:p>
        </w:tc>
        <w:tc>
          <w:tcPr>
            <w:tcW w:w="850" w:type="dxa"/>
            <w:shd w:val="clear" w:color="auto" w:fill="auto"/>
          </w:tcPr>
          <w:p w14:paraId="418B8EF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40,000</w:t>
            </w:r>
          </w:p>
        </w:tc>
        <w:tc>
          <w:tcPr>
            <w:tcW w:w="850" w:type="dxa"/>
            <w:shd w:val="clear" w:color="auto" w:fill="auto"/>
          </w:tcPr>
          <w:p w14:paraId="21F85B7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93,310</w:t>
            </w:r>
          </w:p>
        </w:tc>
        <w:tc>
          <w:tcPr>
            <w:tcW w:w="850" w:type="dxa"/>
            <w:shd w:val="clear" w:color="auto" w:fill="auto"/>
          </w:tcPr>
          <w:p w14:paraId="4FD8E35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117,688</w:t>
            </w:r>
          </w:p>
        </w:tc>
        <w:tc>
          <w:tcPr>
            <w:tcW w:w="850" w:type="dxa"/>
            <w:shd w:val="clear" w:color="auto" w:fill="auto"/>
          </w:tcPr>
          <w:p w14:paraId="4E96E3B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30,186</w:t>
            </w:r>
          </w:p>
        </w:tc>
        <w:tc>
          <w:tcPr>
            <w:tcW w:w="850" w:type="dxa"/>
          </w:tcPr>
          <w:p w14:paraId="0DAAAC2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79B821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281,184</w:t>
            </w:r>
          </w:p>
        </w:tc>
      </w:tr>
      <w:tr w:rsidR="005958CD" w:rsidRPr="00704BD4" w14:paraId="0FEDAEE1" w14:textId="77777777" w:rsidTr="00C52D24">
        <w:trPr>
          <w:trHeight w:val="156"/>
          <w:jc w:val="center"/>
        </w:trPr>
        <w:tc>
          <w:tcPr>
            <w:tcW w:w="3798" w:type="dxa"/>
            <w:shd w:val="clear" w:color="auto" w:fill="auto"/>
            <w:vAlign w:val="center"/>
          </w:tcPr>
          <w:p w14:paraId="6DBD3FC4"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Cladding Rectification - ACT Government owned buildings</w:t>
            </w:r>
          </w:p>
        </w:tc>
        <w:tc>
          <w:tcPr>
            <w:tcW w:w="850" w:type="dxa"/>
            <w:shd w:val="clear" w:color="auto" w:fill="auto"/>
          </w:tcPr>
          <w:p w14:paraId="1044352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7,053</w:t>
            </w:r>
          </w:p>
        </w:tc>
        <w:tc>
          <w:tcPr>
            <w:tcW w:w="850" w:type="dxa"/>
            <w:shd w:val="clear" w:color="auto" w:fill="auto"/>
          </w:tcPr>
          <w:p w14:paraId="23B7987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7,483</w:t>
            </w:r>
          </w:p>
        </w:tc>
        <w:tc>
          <w:tcPr>
            <w:tcW w:w="850" w:type="dxa"/>
            <w:shd w:val="clear" w:color="auto" w:fill="auto"/>
          </w:tcPr>
          <w:p w14:paraId="556201A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BE5278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12A15B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68F3B9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14,536</w:t>
            </w:r>
          </w:p>
        </w:tc>
      </w:tr>
      <w:tr w:rsidR="005958CD" w:rsidRPr="00704BD4" w14:paraId="47DE4613" w14:textId="77777777" w:rsidTr="00C52D24">
        <w:trPr>
          <w:trHeight w:val="156"/>
          <w:jc w:val="center"/>
        </w:trPr>
        <w:tc>
          <w:tcPr>
            <w:tcW w:w="3798" w:type="dxa"/>
            <w:shd w:val="clear" w:color="auto" w:fill="auto"/>
            <w:vAlign w:val="center"/>
          </w:tcPr>
          <w:p w14:paraId="2C5AA8DC"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Delivering the Canberra Hospital Expansion</w:t>
            </w:r>
          </w:p>
        </w:tc>
        <w:tc>
          <w:tcPr>
            <w:tcW w:w="850" w:type="dxa"/>
            <w:shd w:val="clear" w:color="auto" w:fill="auto"/>
          </w:tcPr>
          <w:p w14:paraId="2D0CBF7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76,958</w:t>
            </w:r>
          </w:p>
        </w:tc>
        <w:tc>
          <w:tcPr>
            <w:tcW w:w="850" w:type="dxa"/>
            <w:shd w:val="clear" w:color="auto" w:fill="auto"/>
          </w:tcPr>
          <w:p w14:paraId="5D19ECE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240,192</w:t>
            </w:r>
          </w:p>
        </w:tc>
        <w:tc>
          <w:tcPr>
            <w:tcW w:w="850" w:type="dxa"/>
            <w:shd w:val="clear" w:color="auto" w:fill="auto"/>
          </w:tcPr>
          <w:p w14:paraId="46A24E5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214,907</w:t>
            </w:r>
          </w:p>
        </w:tc>
        <w:tc>
          <w:tcPr>
            <w:tcW w:w="850" w:type="dxa"/>
            <w:shd w:val="clear" w:color="auto" w:fill="auto"/>
          </w:tcPr>
          <w:p w14:paraId="5BA4DD3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16,949</w:t>
            </w:r>
          </w:p>
        </w:tc>
        <w:tc>
          <w:tcPr>
            <w:tcW w:w="850" w:type="dxa"/>
          </w:tcPr>
          <w:p w14:paraId="5EC8416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381065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549,006</w:t>
            </w:r>
          </w:p>
        </w:tc>
      </w:tr>
      <w:tr w:rsidR="005958CD" w:rsidRPr="00704BD4" w14:paraId="726BA022" w14:textId="77777777" w:rsidTr="00C52D24">
        <w:trPr>
          <w:trHeight w:val="156"/>
          <w:jc w:val="center"/>
        </w:trPr>
        <w:tc>
          <w:tcPr>
            <w:tcW w:w="3798" w:type="dxa"/>
            <w:shd w:val="clear" w:color="auto" w:fill="auto"/>
            <w:vAlign w:val="center"/>
          </w:tcPr>
          <w:p w14:paraId="35331F65"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Light Rail Stage 2 and associated enabling works (including raising London Circuit)</w:t>
            </w:r>
          </w:p>
        </w:tc>
        <w:tc>
          <w:tcPr>
            <w:tcW w:w="850" w:type="dxa"/>
            <w:shd w:val="clear" w:color="auto" w:fill="auto"/>
          </w:tcPr>
          <w:p w14:paraId="05482D07" w14:textId="77777777" w:rsidR="005958CD" w:rsidRPr="00704BD4" w:rsidRDefault="005958CD" w:rsidP="00C52D24">
            <w:pPr>
              <w:pStyle w:val="Btablefigureunbold"/>
              <w:rPr>
                <w:rFonts w:eastAsia="Times New Roman" w:cs="Calibri"/>
                <w:bCs/>
                <w:sz w:val="18"/>
                <w:szCs w:val="18"/>
                <w:lang w:eastAsia="en-AU"/>
              </w:rPr>
            </w:pPr>
            <w:r w:rsidRPr="00704BD4">
              <w:rPr>
                <w:rFonts w:eastAsia="Times New Roman" w:cs="Calibri"/>
                <w:bCs/>
                <w:sz w:val="18"/>
                <w:szCs w:val="18"/>
                <w:lang w:eastAsia="en-AU"/>
              </w:rPr>
              <w:t>43,228</w:t>
            </w:r>
          </w:p>
        </w:tc>
        <w:tc>
          <w:tcPr>
            <w:tcW w:w="850" w:type="dxa"/>
            <w:shd w:val="clear" w:color="auto" w:fill="auto"/>
          </w:tcPr>
          <w:p w14:paraId="3CF41606" w14:textId="77777777" w:rsidR="005958CD" w:rsidRPr="00704BD4" w:rsidRDefault="005958CD" w:rsidP="00C52D24">
            <w:pPr>
              <w:pStyle w:val="Btablefigureunbold"/>
              <w:rPr>
                <w:rFonts w:eastAsia="Times New Roman" w:cs="Calibri"/>
                <w:bCs/>
                <w:sz w:val="18"/>
                <w:szCs w:val="18"/>
                <w:lang w:eastAsia="en-AU"/>
              </w:rPr>
            </w:pPr>
            <w:r w:rsidRPr="00704BD4">
              <w:rPr>
                <w:rFonts w:eastAsia="Times New Roman" w:cs="Calibri"/>
                <w:bCs/>
                <w:sz w:val="18"/>
                <w:szCs w:val="18"/>
                <w:lang w:eastAsia="en-AU"/>
              </w:rPr>
              <w:t>2,000</w:t>
            </w:r>
          </w:p>
        </w:tc>
        <w:tc>
          <w:tcPr>
            <w:tcW w:w="850" w:type="dxa"/>
            <w:shd w:val="clear" w:color="auto" w:fill="auto"/>
          </w:tcPr>
          <w:p w14:paraId="7AFDABA8" w14:textId="77777777" w:rsidR="005958CD" w:rsidRPr="00704BD4" w:rsidRDefault="005958CD" w:rsidP="00C52D24">
            <w:pPr>
              <w:pStyle w:val="Btablefigureunbold"/>
              <w:rPr>
                <w:rFonts w:eastAsia="Times New Roman" w:cs="Calibri"/>
                <w:bCs/>
                <w:sz w:val="18"/>
                <w:szCs w:val="18"/>
                <w:lang w:eastAsia="en-AU"/>
              </w:rPr>
            </w:pPr>
            <w:r w:rsidRPr="00704BD4">
              <w:rPr>
                <w:rFonts w:eastAsia="Times New Roman" w:cs="Calibri"/>
                <w:bCs/>
                <w:sz w:val="18"/>
                <w:szCs w:val="18"/>
                <w:lang w:eastAsia="en-AU"/>
              </w:rPr>
              <w:t>0</w:t>
            </w:r>
          </w:p>
        </w:tc>
        <w:tc>
          <w:tcPr>
            <w:tcW w:w="850" w:type="dxa"/>
            <w:shd w:val="clear" w:color="auto" w:fill="auto"/>
          </w:tcPr>
          <w:p w14:paraId="70AF572C" w14:textId="77777777" w:rsidR="005958CD" w:rsidRPr="00704BD4" w:rsidRDefault="005958CD" w:rsidP="00C52D24">
            <w:pPr>
              <w:pStyle w:val="Btablefigureunbold"/>
              <w:rPr>
                <w:rFonts w:eastAsia="Times New Roman" w:cs="Calibri"/>
                <w:bCs/>
                <w:sz w:val="18"/>
                <w:szCs w:val="18"/>
                <w:lang w:eastAsia="en-AU"/>
              </w:rPr>
            </w:pPr>
            <w:r w:rsidRPr="00704BD4">
              <w:rPr>
                <w:rFonts w:eastAsia="Times New Roman" w:cs="Calibri"/>
                <w:bCs/>
                <w:sz w:val="18"/>
                <w:szCs w:val="18"/>
                <w:lang w:eastAsia="en-AU"/>
              </w:rPr>
              <w:t>0</w:t>
            </w:r>
          </w:p>
        </w:tc>
        <w:tc>
          <w:tcPr>
            <w:tcW w:w="850" w:type="dxa"/>
          </w:tcPr>
          <w:p w14:paraId="11B018A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BAEF7F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45,228</w:t>
            </w:r>
          </w:p>
        </w:tc>
      </w:tr>
      <w:tr w:rsidR="005958CD" w:rsidRPr="00704BD4" w14:paraId="7CEE5220" w14:textId="77777777" w:rsidTr="00C52D24">
        <w:trPr>
          <w:trHeight w:val="156"/>
          <w:jc w:val="center"/>
        </w:trPr>
        <w:tc>
          <w:tcPr>
            <w:tcW w:w="3798" w:type="dxa"/>
            <w:shd w:val="clear" w:color="auto" w:fill="auto"/>
            <w:vAlign w:val="center"/>
          </w:tcPr>
          <w:p w14:paraId="25EB3DA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4CA8E88A"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169,309</w:t>
            </w:r>
          </w:p>
        </w:tc>
        <w:tc>
          <w:tcPr>
            <w:tcW w:w="850" w:type="dxa"/>
            <w:shd w:val="clear" w:color="auto" w:fill="auto"/>
          </w:tcPr>
          <w:p w14:paraId="06EDCACE"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342,985</w:t>
            </w:r>
          </w:p>
        </w:tc>
        <w:tc>
          <w:tcPr>
            <w:tcW w:w="850" w:type="dxa"/>
            <w:shd w:val="clear" w:color="auto" w:fill="auto"/>
          </w:tcPr>
          <w:p w14:paraId="6B89FE0D"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332,595</w:t>
            </w:r>
          </w:p>
        </w:tc>
        <w:tc>
          <w:tcPr>
            <w:tcW w:w="850" w:type="dxa"/>
            <w:shd w:val="clear" w:color="auto" w:fill="auto"/>
          </w:tcPr>
          <w:p w14:paraId="27E421EC"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47,135</w:t>
            </w:r>
          </w:p>
        </w:tc>
        <w:tc>
          <w:tcPr>
            <w:tcW w:w="850" w:type="dxa"/>
          </w:tcPr>
          <w:p w14:paraId="75F6357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0</w:t>
            </w:r>
          </w:p>
        </w:tc>
        <w:tc>
          <w:tcPr>
            <w:tcW w:w="1020" w:type="dxa"/>
            <w:shd w:val="clear" w:color="auto" w:fill="auto"/>
          </w:tcPr>
          <w:p w14:paraId="016E3B8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892,024</w:t>
            </w:r>
          </w:p>
        </w:tc>
      </w:tr>
      <w:tr w:rsidR="005958CD" w:rsidRPr="00704BD4" w14:paraId="506BF396" w14:textId="77777777" w:rsidTr="00C52D24">
        <w:trPr>
          <w:trHeight w:val="156"/>
          <w:jc w:val="center"/>
        </w:trPr>
        <w:tc>
          <w:tcPr>
            <w:tcW w:w="3798" w:type="dxa"/>
            <w:shd w:val="clear" w:color="auto" w:fill="auto"/>
            <w:vAlign w:val="center"/>
          </w:tcPr>
          <w:p w14:paraId="5DD19CA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Office of the Legislative Assembly</w:t>
            </w:r>
          </w:p>
        </w:tc>
        <w:tc>
          <w:tcPr>
            <w:tcW w:w="850" w:type="dxa"/>
            <w:shd w:val="clear" w:color="auto" w:fill="auto"/>
          </w:tcPr>
          <w:p w14:paraId="4D735775"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CEF0476"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88AFE5A"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674CBA94" w14:textId="77777777" w:rsidR="005958CD" w:rsidRPr="00704BD4" w:rsidRDefault="005958CD" w:rsidP="00C52D24">
            <w:pPr>
              <w:pStyle w:val="Btablefigureunbold"/>
              <w:rPr>
                <w:rFonts w:eastAsia="Times New Roman" w:cs="Calibri"/>
                <w:b/>
                <w:bCs/>
                <w:sz w:val="18"/>
                <w:szCs w:val="18"/>
                <w:lang w:eastAsia="en-AU"/>
              </w:rPr>
            </w:pPr>
          </w:p>
        </w:tc>
        <w:tc>
          <w:tcPr>
            <w:tcW w:w="850" w:type="dxa"/>
          </w:tcPr>
          <w:p w14:paraId="059EB196" w14:textId="77777777" w:rsidR="005958CD" w:rsidRPr="00704BD4" w:rsidRDefault="005958CD" w:rsidP="00C52D24">
            <w:pPr>
              <w:pStyle w:val="BTableHeadingRowRightAligned"/>
              <w:rPr>
                <w:rFonts w:eastAsia="Times New Roman" w:cs="Calibri"/>
                <w:b w:val="0"/>
                <w:bCs/>
                <w:sz w:val="18"/>
                <w:szCs w:val="18"/>
                <w:lang w:eastAsia="en-AU"/>
              </w:rPr>
            </w:pPr>
          </w:p>
        </w:tc>
        <w:tc>
          <w:tcPr>
            <w:tcW w:w="1020" w:type="dxa"/>
            <w:shd w:val="clear" w:color="auto" w:fill="auto"/>
          </w:tcPr>
          <w:p w14:paraId="340F7799" w14:textId="77777777" w:rsidR="005958CD" w:rsidRPr="00704BD4" w:rsidRDefault="005958CD" w:rsidP="00C52D24">
            <w:pPr>
              <w:pStyle w:val="BTableHeadingRowRightAligned"/>
              <w:rPr>
                <w:rFonts w:eastAsia="Times New Roman" w:cs="Calibri"/>
                <w:sz w:val="18"/>
                <w:szCs w:val="18"/>
                <w:lang w:eastAsia="en-AU"/>
              </w:rPr>
            </w:pPr>
          </w:p>
        </w:tc>
      </w:tr>
      <w:tr w:rsidR="005958CD" w:rsidRPr="00704BD4" w14:paraId="37B5AE60" w14:textId="77777777" w:rsidTr="00C52D24">
        <w:trPr>
          <w:trHeight w:val="156"/>
          <w:jc w:val="center"/>
        </w:trPr>
        <w:tc>
          <w:tcPr>
            <w:tcW w:w="3798" w:type="dxa"/>
            <w:shd w:val="clear" w:color="auto" w:fill="auto"/>
            <w:vAlign w:val="center"/>
          </w:tcPr>
          <w:p w14:paraId="586C9483"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Capital Funding for Legislative Assembly library</w:t>
            </w:r>
          </w:p>
        </w:tc>
        <w:tc>
          <w:tcPr>
            <w:tcW w:w="850" w:type="dxa"/>
            <w:shd w:val="clear" w:color="auto" w:fill="auto"/>
          </w:tcPr>
          <w:p w14:paraId="588A495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w:t>
            </w:r>
          </w:p>
        </w:tc>
        <w:tc>
          <w:tcPr>
            <w:tcW w:w="850" w:type="dxa"/>
            <w:shd w:val="clear" w:color="auto" w:fill="auto"/>
          </w:tcPr>
          <w:p w14:paraId="4C2B9F9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w:t>
            </w:r>
          </w:p>
        </w:tc>
        <w:tc>
          <w:tcPr>
            <w:tcW w:w="850" w:type="dxa"/>
            <w:shd w:val="clear" w:color="auto" w:fill="auto"/>
          </w:tcPr>
          <w:p w14:paraId="409529C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w:t>
            </w:r>
          </w:p>
        </w:tc>
        <w:tc>
          <w:tcPr>
            <w:tcW w:w="850" w:type="dxa"/>
            <w:shd w:val="clear" w:color="auto" w:fill="auto"/>
          </w:tcPr>
          <w:p w14:paraId="3571C38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w:t>
            </w:r>
          </w:p>
        </w:tc>
        <w:tc>
          <w:tcPr>
            <w:tcW w:w="850" w:type="dxa"/>
          </w:tcPr>
          <w:p w14:paraId="6866663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5</w:t>
            </w:r>
          </w:p>
        </w:tc>
        <w:tc>
          <w:tcPr>
            <w:tcW w:w="1020" w:type="dxa"/>
            <w:shd w:val="clear" w:color="auto" w:fill="auto"/>
          </w:tcPr>
          <w:p w14:paraId="3B6BF57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25</w:t>
            </w:r>
          </w:p>
        </w:tc>
      </w:tr>
      <w:tr w:rsidR="005958CD" w:rsidRPr="00704BD4" w14:paraId="4F1D4D93" w14:textId="77777777" w:rsidTr="00C52D24">
        <w:trPr>
          <w:trHeight w:val="156"/>
          <w:jc w:val="center"/>
        </w:trPr>
        <w:tc>
          <w:tcPr>
            <w:tcW w:w="3798" w:type="dxa"/>
            <w:shd w:val="clear" w:color="auto" w:fill="auto"/>
            <w:vAlign w:val="center"/>
          </w:tcPr>
          <w:p w14:paraId="4FEF7D4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Building a better city - Legislative Assembly artwork</w:t>
            </w:r>
          </w:p>
        </w:tc>
        <w:tc>
          <w:tcPr>
            <w:tcW w:w="850" w:type="dxa"/>
            <w:shd w:val="clear" w:color="auto" w:fill="auto"/>
          </w:tcPr>
          <w:p w14:paraId="31A5F5E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w:t>
            </w:r>
          </w:p>
        </w:tc>
        <w:tc>
          <w:tcPr>
            <w:tcW w:w="850" w:type="dxa"/>
            <w:shd w:val="clear" w:color="auto" w:fill="auto"/>
          </w:tcPr>
          <w:p w14:paraId="46D80C2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w:t>
            </w:r>
          </w:p>
        </w:tc>
        <w:tc>
          <w:tcPr>
            <w:tcW w:w="850" w:type="dxa"/>
            <w:shd w:val="clear" w:color="auto" w:fill="auto"/>
          </w:tcPr>
          <w:p w14:paraId="69569DC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w:t>
            </w:r>
          </w:p>
        </w:tc>
        <w:tc>
          <w:tcPr>
            <w:tcW w:w="850" w:type="dxa"/>
            <w:shd w:val="clear" w:color="auto" w:fill="auto"/>
          </w:tcPr>
          <w:p w14:paraId="3AEF362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w:t>
            </w:r>
          </w:p>
        </w:tc>
        <w:tc>
          <w:tcPr>
            <w:tcW w:w="850" w:type="dxa"/>
          </w:tcPr>
          <w:p w14:paraId="05FC663C"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30</w:t>
            </w:r>
          </w:p>
        </w:tc>
        <w:tc>
          <w:tcPr>
            <w:tcW w:w="1020" w:type="dxa"/>
            <w:shd w:val="clear" w:color="auto" w:fill="auto"/>
          </w:tcPr>
          <w:p w14:paraId="3EEAC1E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150</w:t>
            </w:r>
          </w:p>
        </w:tc>
      </w:tr>
      <w:tr w:rsidR="005958CD" w:rsidRPr="00704BD4" w14:paraId="752A8EB2" w14:textId="77777777" w:rsidTr="00C52D24">
        <w:trPr>
          <w:trHeight w:val="156"/>
          <w:jc w:val="center"/>
        </w:trPr>
        <w:tc>
          <w:tcPr>
            <w:tcW w:w="3798" w:type="dxa"/>
            <w:shd w:val="clear" w:color="auto" w:fill="auto"/>
            <w:vAlign w:val="center"/>
          </w:tcPr>
          <w:p w14:paraId="3235E302"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shd w:val="clear" w:color="auto" w:fill="auto"/>
          </w:tcPr>
          <w:p w14:paraId="58529F10"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35</w:t>
            </w:r>
          </w:p>
        </w:tc>
        <w:tc>
          <w:tcPr>
            <w:tcW w:w="850" w:type="dxa"/>
            <w:shd w:val="clear" w:color="auto" w:fill="auto"/>
          </w:tcPr>
          <w:p w14:paraId="74AD12C2"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35</w:t>
            </w:r>
          </w:p>
        </w:tc>
        <w:tc>
          <w:tcPr>
            <w:tcW w:w="850" w:type="dxa"/>
            <w:shd w:val="clear" w:color="auto" w:fill="auto"/>
          </w:tcPr>
          <w:p w14:paraId="2EB59689"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35</w:t>
            </w:r>
          </w:p>
        </w:tc>
        <w:tc>
          <w:tcPr>
            <w:tcW w:w="850" w:type="dxa"/>
            <w:shd w:val="clear" w:color="auto" w:fill="auto"/>
          </w:tcPr>
          <w:p w14:paraId="075CDB91"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35</w:t>
            </w:r>
          </w:p>
        </w:tc>
        <w:tc>
          <w:tcPr>
            <w:tcW w:w="850" w:type="dxa"/>
          </w:tcPr>
          <w:p w14:paraId="105FFC5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35</w:t>
            </w:r>
          </w:p>
        </w:tc>
        <w:tc>
          <w:tcPr>
            <w:tcW w:w="1020" w:type="dxa"/>
            <w:shd w:val="clear" w:color="auto" w:fill="auto"/>
          </w:tcPr>
          <w:p w14:paraId="4D5FF44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175</w:t>
            </w:r>
          </w:p>
        </w:tc>
      </w:tr>
      <w:tr w:rsidR="005958CD" w:rsidRPr="00704BD4" w14:paraId="77742130" w14:textId="77777777" w:rsidTr="00C52D24">
        <w:trPr>
          <w:trHeight w:val="156"/>
          <w:jc w:val="center"/>
        </w:trPr>
        <w:tc>
          <w:tcPr>
            <w:tcW w:w="3798" w:type="dxa"/>
            <w:shd w:val="clear" w:color="auto" w:fill="auto"/>
            <w:vAlign w:val="center"/>
          </w:tcPr>
          <w:p w14:paraId="7CB13321" w14:textId="77777777" w:rsidR="005958CD" w:rsidRPr="00704BD4" w:rsidRDefault="005958CD" w:rsidP="00C52D24">
            <w:pPr>
              <w:pStyle w:val="Btabletextbold"/>
              <w:rPr>
                <w:sz w:val="18"/>
                <w:szCs w:val="18"/>
                <w:lang w:eastAsia="en-AU"/>
              </w:rPr>
            </w:pPr>
            <w:r w:rsidRPr="00704BD4">
              <w:rPr>
                <w:sz w:val="18"/>
                <w:szCs w:val="18"/>
                <w:lang w:eastAsia="en-AU"/>
              </w:rPr>
              <w:t>Transport Canberra and City Services Directorate</w:t>
            </w:r>
          </w:p>
        </w:tc>
        <w:tc>
          <w:tcPr>
            <w:tcW w:w="850" w:type="dxa"/>
            <w:shd w:val="clear" w:color="auto" w:fill="auto"/>
          </w:tcPr>
          <w:p w14:paraId="35036B8E"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F41F615"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008A791F" w14:textId="77777777" w:rsidR="005958CD" w:rsidRPr="00704BD4" w:rsidRDefault="005958CD" w:rsidP="00C52D24">
            <w:pPr>
              <w:pStyle w:val="Btablefigureunbold"/>
              <w:rPr>
                <w:rFonts w:eastAsia="Times New Roman" w:cs="Calibri"/>
                <w:b/>
                <w:bCs/>
                <w:sz w:val="18"/>
                <w:szCs w:val="18"/>
                <w:lang w:eastAsia="en-AU"/>
              </w:rPr>
            </w:pPr>
          </w:p>
        </w:tc>
        <w:tc>
          <w:tcPr>
            <w:tcW w:w="850" w:type="dxa"/>
            <w:shd w:val="clear" w:color="auto" w:fill="auto"/>
          </w:tcPr>
          <w:p w14:paraId="5B55468B" w14:textId="77777777" w:rsidR="005958CD" w:rsidRPr="00704BD4" w:rsidRDefault="005958CD" w:rsidP="00C52D24">
            <w:pPr>
              <w:pStyle w:val="Btablefigureunbold"/>
              <w:rPr>
                <w:rFonts w:eastAsia="Times New Roman" w:cs="Calibri"/>
                <w:b/>
                <w:bCs/>
                <w:sz w:val="18"/>
                <w:szCs w:val="18"/>
                <w:lang w:eastAsia="en-AU"/>
              </w:rPr>
            </w:pPr>
          </w:p>
        </w:tc>
        <w:tc>
          <w:tcPr>
            <w:tcW w:w="850" w:type="dxa"/>
          </w:tcPr>
          <w:p w14:paraId="718029BF" w14:textId="77777777" w:rsidR="005958CD" w:rsidRPr="00704BD4" w:rsidRDefault="005958CD" w:rsidP="00C52D24">
            <w:pPr>
              <w:pStyle w:val="BTableHeadingRowRightAligned"/>
              <w:rPr>
                <w:rFonts w:eastAsia="Times New Roman" w:cs="Calibri"/>
                <w:b w:val="0"/>
                <w:bCs/>
                <w:sz w:val="18"/>
                <w:szCs w:val="18"/>
                <w:lang w:eastAsia="en-AU"/>
              </w:rPr>
            </w:pPr>
          </w:p>
        </w:tc>
        <w:tc>
          <w:tcPr>
            <w:tcW w:w="1020" w:type="dxa"/>
            <w:shd w:val="clear" w:color="auto" w:fill="auto"/>
          </w:tcPr>
          <w:p w14:paraId="5CCE753A" w14:textId="77777777" w:rsidR="005958CD" w:rsidRPr="00704BD4" w:rsidRDefault="005958CD" w:rsidP="00C52D24">
            <w:pPr>
              <w:pStyle w:val="BTableHeadingRowRightAligned"/>
              <w:rPr>
                <w:rFonts w:eastAsia="Times New Roman" w:cs="Calibri"/>
                <w:sz w:val="18"/>
                <w:szCs w:val="18"/>
                <w:lang w:eastAsia="en-AU"/>
              </w:rPr>
            </w:pPr>
          </w:p>
        </w:tc>
      </w:tr>
      <w:tr w:rsidR="005958CD" w:rsidRPr="00704BD4" w14:paraId="504C48DA" w14:textId="77777777" w:rsidTr="00C52D24">
        <w:trPr>
          <w:trHeight w:val="156"/>
          <w:jc w:val="center"/>
        </w:trPr>
        <w:tc>
          <w:tcPr>
            <w:tcW w:w="3798" w:type="dxa"/>
            <w:shd w:val="clear" w:color="auto" w:fill="auto"/>
            <w:vAlign w:val="center"/>
          </w:tcPr>
          <w:p w14:paraId="3D2A169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Athllon Drive duplication</w:t>
            </w:r>
          </w:p>
        </w:tc>
        <w:tc>
          <w:tcPr>
            <w:tcW w:w="850" w:type="dxa"/>
            <w:shd w:val="clear" w:color="auto" w:fill="auto"/>
          </w:tcPr>
          <w:p w14:paraId="12B164E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1,299</w:t>
            </w:r>
          </w:p>
        </w:tc>
        <w:tc>
          <w:tcPr>
            <w:tcW w:w="850" w:type="dxa"/>
            <w:shd w:val="clear" w:color="auto" w:fill="auto"/>
          </w:tcPr>
          <w:p w14:paraId="3A79387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3,500</w:t>
            </w:r>
          </w:p>
        </w:tc>
        <w:tc>
          <w:tcPr>
            <w:tcW w:w="850" w:type="dxa"/>
            <w:shd w:val="clear" w:color="auto" w:fill="auto"/>
          </w:tcPr>
          <w:p w14:paraId="5778877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5F2F18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4295C9B"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D26A7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4,799</w:t>
            </w:r>
          </w:p>
        </w:tc>
      </w:tr>
      <w:tr w:rsidR="005958CD" w:rsidRPr="00704BD4" w14:paraId="76FDA1D5" w14:textId="77777777" w:rsidTr="00C52D24">
        <w:trPr>
          <w:trHeight w:val="156"/>
          <w:jc w:val="center"/>
        </w:trPr>
        <w:tc>
          <w:tcPr>
            <w:tcW w:w="3798" w:type="dxa"/>
            <w:shd w:val="clear" w:color="auto" w:fill="auto"/>
            <w:vAlign w:val="center"/>
          </w:tcPr>
          <w:p w14:paraId="1993AE5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buses to support the new bus network</w:t>
            </w:r>
          </w:p>
        </w:tc>
        <w:tc>
          <w:tcPr>
            <w:tcW w:w="850" w:type="dxa"/>
            <w:shd w:val="clear" w:color="auto" w:fill="auto"/>
          </w:tcPr>
          <w:p w14:paraId="5192E1B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19,810</w:t>
            </w:r>
          </w:p>
        </w:tc>
        <w:tc>
          <w:tcPr>
            <w:tcW w:w="850" w:type="dxa"/>
            <w:shd w:val="clear" w:color="auto" w:fill="auto"/>
          </w:tcPr>
          <w:p w14:paraId="0AEB161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17,700</w:t>
            </w:r>
          </w:p>
        </w:tc>
        <w:tc>
          <w:tcPr>
            <w:tcW w:w="850" w:type="dxa"/>
            <w:shd w:val="clear" w:color="auto" w:fill="auto"/>
          </w:tcPr>
          <w:p w14:paraId="77BAF83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AD17F5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20E33B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5E400C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37,510</w:t>
            </w:r>
          </w:p>
        </w:tc>
      </w:tr>
      <w:tr w:rsidR="005958CD" w:rsidRPr="00704BD4" w14:paraId="0D2971EC" w14:textId="77777777" w:rsidTr="00C52D24">
        <w:trPr>
          <w:trHeight w:val="156"/>
          <w:jc w:val="center"/>
        </w:trPr>
        <w:tc>
          <w:tcPr>
            <w:tcW w:w="3798" w:type="dxa"/>
            <w:shd w:val="clear" w:color="auto" w:fill="auto"/>
            <w:vAlign w:val="center"/>
          </w:tcPr>
          <w:p w14:paraId="7B3671A5"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connecting Belconnen and Gungahlin (ACT Contribution)</w:t>
            </w:r>
          </w:p>
        </w:tc>
        <w:tc>
          <w:tcPr>
            <w:tcW w:w="850" w:type="dxa"/>
            <w:shd w:val="clear" w:color="auto" w:fill="auto"/>
          </w:tcPr>
          <w:p w14:paraId="72B2BE2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774</w:t>
            </w:r>
          </w:p>
        </w:tc>
        <w:tc>
          <w:tcPr>
            <w:tcW w:w="850" w:type="dxa"/>
            <w:shd w:val="clear" w:color="auto" w:fill="auto"/>
          </w:tcPr>
          <w:p w14:paraId="4E35B7B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14,000</w:t>
            </w:r>
          </w:p>
        </w:tc>
        <w:tc>
          <w:tcPr>
            <w:tcW w:w="850" w:type="dxa"/>
            <w:shd w:val="clear" w:color="auto" w:fill="auto"/>
          </w:tcPr>
          <w:p w14:paraId="7DD576F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5,000</w:t>
            </w:r>
          </w:p>
        </w:tc>
        <w:tc>
          <w:tcPr>
            <w:tcW w:w="850" w:type="dxa"/>
            <w:shd w:val="clear" w:color="auto" w:fill="auto"/>
          </w:tcPr>
          <w:p w14:paraId="0142B8C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7B68CD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14708C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19,774</w:t>
            </w:r>
          </w:p>
        </w:tc>
      </w:tr>
      <w:tr w:rsidR="005958CD" w:rsidRPr="00704BD4" w14:paraId="417FA761" w14:textId="77777777" w:rsidTr="00C52D24">
        <w:trPr>
          <w:trHeight w:val="156"/>
          <w:jc w:val="center"/>
        </w:trPr>
        <w:tc>
          <w:tcPr>
            <w:tcW w:w="3798" w:type="dxa"/>
            <w:shd w:val="clear" w:color="auto" w:fill="auto"/>
            <w:vAlign w:val="center"/>
          </w:tcPr>
          <w:p w14:paraId="0A042F39"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connecting Belconnen and Gungahlin (Cth Contribution)</w:t>
            </w:r>
          </w:p>
        </w:tc>
        <w:tc>
          <w:tcPr>
            <w:tcW w:w="850" w:type="dxa"/>
            <w:shd w:val="clear" w:color="auto" w:fill="auto"/>
          </w:tcPr>
          <w:p w14:paraId="5D9451E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10,000</w:t>
            </w:r>
          </w:p>
        </w:tc>
        <w:tc>
          <w:tcPr>
            <w:tcW w:w="850" w:type="dxa"/>
            <w:shd w:val="clear" w:color="auto" w:fill="auto"/>
          </w:tcPr>
          <w:p w14:paraId="1E18087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10,000</w:t>
            </w:r>
          </w:p>
        </w:tc>
        <w:tc>
          <w:tcPr>
            <w:tcW w:w="850" w:type="dxa"/>
            <w:shd w:val="clear" w:color="auto" w:fill="auto"/>
          </w:tcPr>
          <w:p w14:paraId="1B0920A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837AB8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ABCE8C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C3A3E9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20,000</w:t>
            </w:r>
          </w:p>
        </w:tc>
      </w:tr>
      <w:tr w:rsidR="005958CD" w:rsidRPr="00704BD4" w14:paraId="7B75655B" w14:textId="77777777" w:rsidTr="002C0E51">
        <w:trPr>
          <w:trHeight w:val="156"/>
          <w:jc w:val="center"/>
        </w:trPr>
        <w:tc>
          <w:tcPr>
            <w:tcW w:w="3798" w:type="dxa"/>
            <w:shd w:val="clear" w:color="auto" w:fill="auto"/>
            <w:vAlign w:val="center"/>
          </w:tcPr>
          <w:p w14:paraId="5945187E"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Customer Service - Improving online platforms</w:t>
            </w:r>
          </w:p>
        </w:tc>
        <w:tc>
          <w:tcPr>
            <w:tcW w:w="850" w:type="dxa"/>
            <w:shd w:val="clear" w:color="auto" w:fill="auto"/>
          </w:tcPr>
          <w:p w14:paraId="4AC974F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3,777</w:t>
            </w:r>
          </w:p>
        </w:tc>
        <w:tc>
          <w:tcPr>
            <w:tcW w:w="850" w:type="dxa"/>
            <w:shd w:val="clear" w:color="auto" w:fill="auto"/>
          </w:tcPr>
          <w:p w14:paraId="2D98DD6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136</w:t>
            </w:r>
          </w:p>
        </w:tc>
        <w:tc>
          <w:tcPr>
            <w:tcW w:w="850" w:type="dxa"/>
            <w:shd w:val="clear" w:color="auto" w:fill="auto"/>
          </w:tcPr>
          <w:p w14:paraId="5C71AE2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033C95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2DBF018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3A9FDA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3,913</w:t>
            </w:r>
          </w:p>
        </w:tc>
      </w:tr>
      <w:tr w:rsidR="005958CD" w:rsidRPr="00704BD4" w14:paraId="54F61B40" w14:textId="77777777" w:rsidTr="002C0E51">
        <w:trPr>
          <w:trHeight w:val="156"/>
          <w:jc w:val="center"/>
        </w:trPr>
        <w:tc>
          <w:tcPr>
            <w:tcW w:w="3798" w:type="dxa"/>
            <w:shd w:val="clear" w:color="auto" w:fill="auto"/>
            <w:vAlign w:val="center"/>
          </w:tcPr>
          <w:p w14:paraId="61BE44E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Intersections - Delivering our election commitments</w:t>
            </w:r>
          </w:p>
        </w:tc>
        <w:tc>
          <w:tcPr>
            <w:tcW w:w="850" w:type="dxa"/>
            <w:shd w:val="clear" w:color="auto" w:fill="auto"/>
          </w:tcPr>
          <w:p w14:paraId="5B661AA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1,474</w:t>
            </w:r>
          </w:p>
        </w:tc>
        <w:tc>
          <w:tcPr>
            <w:tcW w:w="850" w:type="dxa"/>
            <w:shd w:val="clear" w:color="auto" w:fill="auto"/>
          </w:tcPr>
          <w:p w14:paraId="771A20A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3,450</w:t>
            </w:r>
          </w:p>
        </w:tc>
        <w:tc>
          <w:tcPr>
            <w:tcW w:w="850" w:type="dxa"/>
            <w:shd w:val="clear" w:color="auto" w:fill="auto"/>
          </w:tcPr>
          <w:p w14:paraId="4062D32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50</w:t>
            </w:r>
          </w:p>
        </w:tc>
        <w:tc>
          <w:tcPr>
            <w:tcW w:w="850" w:type="dxa"/>
            <w:shd w:val="clear" w:color="auto" w:fill="auto"/>
          </w:tcPr>
          <w:p w14:paraId="2A4A383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C5C25D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623C2D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4,974</w:t>
            </w:r>
          </w:p>
        </w:tc>
      </w:tr>
      <w:tr w:rsidR="005958CD" w:rsidRPr="00704BD4" w14:paraId="77B94C36" w14:textId="77777777" w:rsidTr="002C0E51">
        <w:trPr>
          <w:trHeight w:val="156"/>
          <w:jc w:val="center"/>
        </w:trPr>
        <w:tc>
          <w:tcPr>
            <w:tcW w:w="3798" w:type="dxa"/>
            <w:shd w:val="clear" w:color="auto" w:fill="auto"/>
            <w:vAlign w:val="center"/>
          </w:tcPr>
          <w:p w14:paraId="0080572C"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lastRenderedPageBreak/>
              <w:t>Better public transport infrastructure for Canberra</w:t>
            </w:r>
          </w:p>
        </w:tc>
        <w:tc>
          <w:tcPr>
            <w:tcW w:w="850" w:type="dxa"/>
            <w:shd w:val="clear" w:color="auto" w:fill="auto"/>
          </w:tcPr>
          <w:p w14:paraId="569CDC3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674</w:t>
            </w:r>
          </w:p>
        </w:tc>
        <w:tc>
          <w:tcPr>
            <w:tcW w:w="850" w:type="dxa"/>
            <w:shd w:val="clear" w:color="auto" w:fill="auto"/>
          </w:tcPr>
          <w:p w14:paraId="5AB8404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985FDF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46CCC5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CE7F6C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9F2191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674</w:t>
            </w:r>
          </w:p>
        </w:tc>
      </w:tr>
      <w:tr w:rsidR="005958CD" w:rsidRPr="00704BD4" w14:paraId="4E50C9BE" w14:textId="77777777" w:rsidTr="00C52D24">
        <w:trPr>
          <w:trHeight w:val="156"/>
          <w:jc w:val="center"/>
        </w:trPr>
        <w:tc>
          <w:tcPr>
            <w:tcW w:w="3798" w:type="dxa"/>
            <w:shd w:val="clear" w:color="auto" w:fill="auto"/>
            <w:vAlign w:val="center"/>
          </w:tcPr>
          <w:p w14:paraId="1AADB10D"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Roads for Belconnen - Aikman Drive duplication</w:t>
            </w:r>
          </w:p>
        </w:tc>
        <w:tc>
          <w:tcPr>
            <w:tcW w:w="850" w:type="dxa"/>
            <w:shd w:val="clear" w:color="auto" w:fill="auto"/>
          </w:tcPr>
          <w:p w14:paraId="146DF5E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179</w:t>
            </w:r>
          </w:p>
        </w:tc>
        <w:tc>
          <w:tcPr>
            <w:tcW w:w="850" w:type="dxa"/>
            <w:shd w:val="clear" w:color="auto" w:fill="auto"/>
          </w:tcPr>
          <w:p w14:paraId="597F388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0A90AF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0171AE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16FA99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3CB037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179</w:t>
            </w:r>
          </w:p>
        </w:tc>
      </w:tr>
      <w:tr w:rsidR="005958CD" w:rsidRPr="00704BD4" w14:paraId="0A0081D8" w14:textId="77777777" w:rsidTr="00C52D24">
        <w:trPr>
          <w:trHeight w:val="156"/>
          <w:jc w:val="center"/>
        </w:trPr>
        <w:tc>
          <w:tcPr>
            <w:tcW w:w="3798" w:type="dxa"/>
            <w:shd w:val="clear" w:color="auto" w:fill="auto"/>
            <w:vAlign w:val="center"/>
          </w:tcPr>
          <w:p w14:paraId="0C584BE1"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Roads for Gungahlin - Horse Park Drive duplication (Mulligans Flat Road to the Federal Highway)</w:t>
            </w:r>
          </w:p>
        </w:tc>
        <w:tc>
          <w:tcPr>
            <w:tcW w:w="850" w:type="dxa"/>
            <w:shd w:val="clear" w:color="auto" w:fill="auto"/>
          </w:tcPr>
          <w:p w14:paraId="32639FA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548</w:t>
            </w:r>
          </w:p>
        </w:tc>
        <w:tc>
          <w:tcPr>
            <w:tcW w:w="850" w:type="dxa"/>
            <w:shd w:val="clear" w:color="auto" w:fill="auto"/>
          </w:tcPr>
          <w:p w14:paraId="32F083E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0007A7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D675A1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0F7C79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CB0141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548</w:t>
            </w:r>
          </w:p>
        </w:tc>
      </w:tr>
      <w:tr w:rsidR="005958CD" w:rsidRPr="00704BD4" w14:paraId="6161F7C2" w14:textId="77777777" w:rsidTr="00C52D24">
        <w:trPr>
          <w:trHeight w:val="156"/>
          <w:jc w:val="center"/>
        </w:trPr>
        <w:tc>
          <w:tcPr>
            <w:tcW w:w="3798" w:type="dxa"/>
            <w:shd w:val="clear" w:color="auto" w:fill="auto"/>
            <w:vAlign w:val="center"/>
          </w:tcPr>
          <w:p w14:paraId="5081DEC2"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Services - Improved asset management</w:t>
            </w:r>
          </w:p>
        </w:tc>
        <w:tc>
          <w:tcPr>
            <w:tcW w:w="850" w:type="dxa"/>
            <w:shd w:val="clear" w:color="auto" w:fill="auto"/>
          </w:tcPr>
          <w:p w14:paraId="214BA78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476</w:t>
            </w:r>
          </w:p>
        </w:tc>
        <w:tc>
          <w:tcPr>
            <w:tcW w:w="850" w:type="dxa"/>
            <w:shd w:val="clear" w:color="auto" w:fill="auto"/>
          </w:tcPr>
          <w:p w14:paraId="6E667A7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C764A8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116089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5536F5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CE2BC6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476</w:t>
            </w:r>
          </w:p>
        </w:tc>
      </w:tr>
      <w:tr w:rsidR="005958CD" w:rsidRPr="00704BD4" w14:paraId="322577E6" w14:textId="77777777" w:rsidTr="00C52D24">
        <w:trPr>
          <w:trHeight w:val="156"/>
          <w:jc w:val="center"/>
        </w:trPr>
        <w:tc>
          <w:tcPr>
            <w:tcW w:w="3798" w:type="dxa"/>
            <w:shd w:val="clear" w:color="auto" w:fill="auto"/>
            <w:vAlign w:val="center"/>
          </w:tcPr>
          <w:p w14:paraId="066AA67F"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Services - Improving libraries - Self-service check out and improved access</w:t>
            </w:r>
          </w:p>
        </w:tc>
        <w:tc>
          <w:tcPr>
            <w:tcW w:w="850" w:type="dxa"/>
            <w:shd w:val="clear" w:color="auto" w:fill="auto"/>
          </w:tcPr>
          <w:p w14:paraId="4482018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302</w:t>
            </w:r>
          </w:p>
        </w:tc>
        <w:tc>
          <w:tcPr>
            <w:tcW w:w="850" w:type="dxa"/>
            <w:shd w:val="clear" w:color="auto" w:fill="auto"/>
          </w:tcPr>
          <w:p w14:paraId="4A812BA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87555F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86F3DC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EA1770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35FED7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302</w:t>
            </w:r>
          </w:p>
        </w:tc>
      </w:tr>
      <w:tr w:rsidR="005958CD" w:rsidRPr="00704BD4" w14:paraId="40992BF0" w14:textId="77777777" w:rsidTr="00C52D24">
        <w:trPr>
          <w:trHeight w:val="156"/>
          <w:jc w:val="center"/>
        </w:trPr>
        <w:tc>
          <w:tcPr>
            <w:tcW w:w="3798" w:type="dxa"/>
            <w:shd w:val="clear" w:color="auto" w:fill="auto"/>
            <w:vAlign w:val="center"/>
          </w:tcPr>
          <w:p w14:paraId="6275769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services in your community - Essential waste management infrastructure</w:t>
            </w:r>
          </w:p>
        </w:tc>
        <w:tc>
          <w:tcPr>
            <w:tcW w:w="850" w:type="dxa"/>
            <w:shd w:val="clear" w:color="auto" w:fill="auto"/>
          </w:tcPr>
          <w:p w14:paraId="4F5355F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41</w:t>
            </w:r>
          </w:p>
        </w:tc>
        <w:tc>
          <w:tcPr>
            <w:tcW w:w="850" w:type="dxa"/>
            <w:shd w:val="clear" w:color="auto" w:fill="auto"/>
          </w:tcPr>
          <w:p w14:paraId="4B16FAF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BA7B69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C13BFC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CB10CB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F42613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41</w:t>
            </w:r>
          </w:p>
        </w:tc>
      </w:tr>
      <w:tr w:rsidR="005958CD" w:rsidRPr="00704BD4" w14:paraId="3A407223" w14:textId="77777777" w:rsidTr="00C52D24">
        <w:trPr>
          <w:trHeight w:val="156"/>
          <w:jc w:val="center"/>
        </w:trPr>
        <w:tc>
          <w:tcPr>
            <w:tcW w:w="3798" w:type="dxa"/>
            <w:shd w:val="clear" w:color="auto" w:fill="auto"/>
            <w:vAlign w:val="center"/>
          </w:tcPr>
          <w:p w14:paraId="4F377AA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Better services in your community - Integrated bus and light rail ticketing</w:t>
            </w:r>
          </w:p>
        </w:tc>
        <w:tc>
          <w:tcPr>
            <w:tcW w:w="850" w:type="dxa"/>
            <w:shd w:val="clear" w:color="auto" w:fill="auto"/>
          </w:tcPr>
          <w:p w14:paraId="1E69BBD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97</w:t>
            </w:r>
          </w:p>
        </w:tc>
        <w:tc>
          <w:tcPr>
            <w:tcW w:w="850" w:type="dxa"/>
            <w:shd w:val="clear" w:color="auto" w:fill="auto"/>
          </w:tcPr>
          <w:p w14:paraId="595869D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FE1608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4410BC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E6EEC3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0683ED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97</w:t>
            </w:r>
          </w:p>
        </w:tc>
      </w:tr>
      <w:tr w:rsidR="005958CD" w:rsidRPr="00704BD4" w14:paraId="49A5948D" w14:textId="77777777" w:rsidTr="00C52D24">
        <w:trPr>
          <w:trHeight w:val="156"/>
          <w:jc w:val="center"/>
        </w:trPr>
        <w:tc>
          <w:tcPr>
            <w:tcW w:w="3798" w:type="dxa"/>
            <w:shd w:val="clear" w:color="auto" w:fill="auto"/>
            <w:vAlign w:val="center"/>
          </w:tcPr>
          <w:p w14:paraId="556777FD"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Bridge Renewal Program (ACT Contribution)</w:t>
            </w:r>
          </w:p>
        </w:tc>
        <w:tc>
          <w:tcPr>
            <w:tcW w:w="850" w:type="dxa"/>
            <w:shd w:val="clear" w:color="auto" w:fill="auto"/>
          </w:tcPr>
          <w:p w14:paraId="7D7313E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2,197</w:t>
            </w:r>
          </w:p>
        </w:tc>
        <w:tc>
          <w:tcPr>
            <w:tcW w:w="850" w:type="dxa"/>
            <w:shd w:val="clear" w:color="auto" w:fill="auto"/>
          </w:tcPr>
          <w:p w14:paraId="42CE78F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2,000</w:t>
            </w:r>
          </w:p>
        </w:tc>
        <w:tc>
          <w:tcPr>
            <w:tcW w:w="850" w:type="dxa"/>
            <w:shd w:val="clear" w:color="auto" w:fill="auto"/>
          </w:tcPr>
          <w:p w14:paraId="0602F6C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AC28E8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54E2C78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B0C806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4,197</w:t>
            </w:r>
          </w:p>
        </w:tc>
      </w:tr>
      <w:tr w:rsidR="005958CD" w:rsidRPr="00704BD4" w14:paraId="1CED3A03" w14:textId="77777777" w:rsidTr="00C52D24">
        <w:trPr>
          <w:trHeight w:val="156"/>
          <w:jc w:val="center"/>
        </w:trPr>
        <w:tc>
          <w:tcPr>
            <w:tcW w:w="3798" w:type="dxa"/>
            <w:shd w:val="clear" w:color="auto" w:fill="auto"/>
            <w:vAlign w:val="center"/>
          </w:tcPr>
          <w:p w14:paraId="7040CF78"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 xml:space="preserve">Building a better city - Canberra Brickworks - Access road and Dudley Street upgrade </w:t>
            </w:r>
          </w:p>
        </w:tc>
        <w:tc>
          <w:tcPr>
            <w:tcW w:w="850" w:type="dxa"/>
            <w:shd w:val="clear" w:color="auto" w:fill="auto"/>
          </w:tcPr>
          <w:p w14:paraId="01641E2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4,220</w:t>
            </w:r>
          </w:p>
        </w:tc>
        <w:tc>
          <w:tcPr>
            <w:tcW w:w="850" w:type="dxa"/>
            <w:shd w:val="clear" w:color="auto" w:fill="auto"/>
          </w:tcPr>
          <w:p w14:paraId="78E5F69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500</w:t>
            </w:r>
          </w:p>
        </w:tc>
        <w:tc>
          <w:tcPr>
            <w:tcW w:w="850" w:type="dxa"/>
            <w:shd w:val="clear" w:color="auto" w:fill="auto"/>
          </w:tcPr>
          <w:p w14:paraId="2930F33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5EE6E0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6FECF9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86F9D2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4,720</w:t>
            </w:r>
          </w:p>
        </w:tc>
      </w:tr>
      <w:tr w:rsidR="005958CD" w:rsidRPr="00704BD4" w14:paraId="5BC6DDC3" w14:textId="77777777" w:rsidTr="00C52D24">
        <w:trPr>
          <w:trHeight w:val="156"/>
          <w:jc w:val="center"/>
        </w:trPr>
        <w:tc>
          <w:tcPr>
            <w:tcW w:w="3798" w:type="dxa"/>
            <w:shd w:val="clear" w:color="auto" w:fill="auto"/>
            <w:vAlign w:val="center"/>
          </w:tcPr>
          <w:p w14:paraId="53D75231"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Building a better city - Gundaroo Drive duplication - Stage 2</w:t>
            </w:r>
          </w:p>
        </w:tc>
        <w:tc>
          <w:tcPr>
            <w:tcW w:w="850" w:type="dxa"/>
            <w:shd w:val="clear" w:color="auto" w:fill="auto"/>
          </w:tcPr>
          <w:p w14:paraId="0678F81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69D37A5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2,484</w:t>
            </w:r>
          </w:p>
        </w:tc>
        <w:tc>
          <w:tcPr>
            <w:tcW w:w="850" w:type="dxa"/>
            <w:shd w:val="clear" w:color="auto" w:fill="auto"/>
          </w:tcPr>
          <w:p w14:paraId="7108C3C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84B8C4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0551315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6DDF32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2,484</w:t>
            </w:r>
          </w:p>
        </w:tc>
      </w:tr>
      <w:tr w:rsidR="005958CD" w:rsidRPr="00704BD4" w14:paraId="25F240D7" w14:textId="77777777" w:rsidTr="00C52D24">
        <w:trPr>
          <w:trHeight w:val="156"/>
          <w:jc w:val="center"/>
        </w:trPr>
        <w:tc>
          <w:tcPr>
            <w:tcW w:w="3798" w:type="dxa"/>
            <w:shd w:val="clear" w:color="auto" w:fill="auto"/>
            <w:vAlign w:val="center"/>
          </w:tcPr>
          <w:p w14:paraId="7736689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Building a better city - Improving Tharwa Village firefighting water supply</w:t>
            </w:r>
          </w:p>
        </w:tc>
        <w:tc>
          <w:tcPr>
            <w:tcW w:w="850" w:type="dxa"/>
            <w:shd w:val="clear" w:color="auto" w:fill="auto"/>
          </w:tcPr>
          <w:p w14:paraId="7D565DA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391</w:t>
            </w:r>
          </w:p>
        </w:tc>
        <w:tc>
          <w:tcPr>
            <w:tcW w:w="850" w:type="dxa"/>
            <w:shd w:val="clear" w:color="auto" w:fill="auto"/>
          </w:tcPr>
          <w:p w14:paraId="755323D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500</w:t>
            </w:r>
          </w:p>
        </w:tc>
        <w:tc>
          <w:tcPr>
            <w:tcW w:w="850" w:type="dxa"/>
            <w:shd w:val="clear" w:color="auto" w:fill="auto"/>
          </w:tcPr>
          <w:p w14:paraId="119298B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FF890F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DDD7B2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4CADFA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891</w:t>
            </w:r>
          </w:p>
        </w:tc>
      </w:tr>
      <w:tr w:rsidR="005958CD" w:rsidRPr="00704BD4" w14:paraId="784A4940" w14:textId="77777777" w:rsidTr="00C52D24">
        <w:trPr>
          <w:trHeight w:val="156"/>
          <w:jc w:val="center"/>
        </w:trPr>
        <w:tc>
          <w:tcPr>
            <w:tcW w:w="3798" w:type="dxa"/>
            <w:shd w:val="clear" w:color="auto" w:fill="auto"/>
            <w:vAlign w:val="center"/>
          </w:tcPr>
          <w:p w14:paraId="59AE3CAA"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Building a better city - Pialligo Avenue duplication early planning</w:t>
            </w:r>
          </w:p>
        </w:tc>
        <w:tc>
          <w:tcPr>
            <w:tcW w:w="850" w:type="dxa"/>
            <w:shd w:val="clear" w:color="auto" w:fill="auto"/>
          </w:tcPr>
          <w:p w14:paraId="0C5A275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477</w:t>
            </w:r>
          </w:p>
        </w:tc>
        <w:tc>
          <w:tcPr>
            <w:tcW w:w="850" w:type="dxa"/>
            <w:shd w:val="clear" w:color="auto" w:fill="auto"/>
          </w:tcPr>
          <w:p w14:paraId="79A314E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066EBB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076EA67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AF5509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0228B6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477</w:t>
            </w:r>
          </w:p>
        </w:tc>
      </w:tr>
      <w:tr w:rsidR="005958CD" w:rsidRPr="00704BD4" w14:paraId="7A47F2F7" w14:textId="77777777" w:rsidTr="00C52D24">
        <w:trPr>
          <w:trHeight w:val="156"/>
          <w:jc w:val="center"/>
        </w:trPr>
        <w:tc>
          <w:tcPr>
            <w:tcW w:w="3798" w:type="dxa"/>
            <w:shd w:val="clear" w:color="auto" w:fill="auto"/>
            <w:vAlign w:val="center"/>
          </w:tcPr>
          <w:p w14:paraId="54E918DB"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Building a better city - Rehabilitating landfill sites</w:t>
            </w:r>
          </w:p>
        </w:tc>
        <w:tc>
          <w:tcPr>
            <w:tcW w:w="850" w:type="dxa"/>
            <w:shd w:val="clear" w:color="auto" w:fill="auto"/>
          </w:tcPr>
          <w:p w14:paraId="0D6B661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3,106</w:t>
            </w:r>
          </w:p>
        </w:tc>
        <w:tc>
          <w:tcPr>
            <w:tcW w:w="850" w:type="dxa"/>
            <w:shd w:val="clear" w:color="auto" w:fill="auto"/>
          </w:tcPr>
          <w:p w14:paraId="6C388D1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9,500</w:t>
            </w:r>
          </w:p>
        </w:tc>
        <w:tc>
          <w:tcPr>
            <w:tcW w:w="850" w:type="dxa"/>
            <w:shd w:val="clear" w:color="auto" w:fill="auto"/>
          </w:tcPr>
          <w:p w14:paraId="5088CA0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11,000</w:t>
            </w:r>
          </w:p>
        </w:tc>
        <w:tc>
          <w:tcPr>
            <w:tcW w:w="850" w:type="dxa"/>
            <w:shd w:val="clear" w:color="auto" w:fill="auto"/>
          </w:tcPr>
          <w:p w14:paraId="2ABB23F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85FA82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8C1B4F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23,606</w:t>
            </w:r>
          </w:p>
        </w:tc>
      </w:tr>
      <w:tr w:rsidR="005958CD" w:rsidRPr="00704BD4" w14:paraId="49892342" w14:textId="77777777" w:rsidTr="00C52D24">
        <w:trPr>
          <w:trHeight w:val="156"/>
          <w:jc w:val="center"/>
        </w:trPr>
        <w:tc>
          <w:tcPr>
            <w:tcW w:w="3798" w:type="dxa"/>
            <w:shd w:val="clear" w:color="auto" w:fill="auto"/>
            <w:vAlign w:val="center"/>
          </w:tcPr>
          <w:p w14:paraId="3540F76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Business system upgrade</w:t>
            </w:r>
          </w:p>
        </w:tc>
        <w:tc>
          <w:tcPr>
            <w:tcW w:w="850" w:type="dxa"/>
            <w:shd w:val="clear" w:color="auto" w:fill="auto"/>
          </w:tcPr>
          <w:p w14:paraId="185EEB4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80</w:t>
            </w:r>
          </w:p>
        </w:tc>
        <w:tc>
          <w:tcPr>
            <w:tcW w:w="850" w:type="dxa"/>
            <w:shd w:val="clear" w:color="auto" w:fill="auto"/>
          </w:tcPr>
          <w:p w14:paraId="0C74CEA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8277CB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1DE8088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699B84F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E4A0AB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80</w:t>
            </w:r>
          </w:p>
        </w:tc>
      </w:tr>
      <w:tr w:rsidR="005958CD" w:rsidRPr="00704BD4" w14:paraId="70C0A889" w14:textId="77777777" w:rsidTr="00C52D24">
        <w:trPr>
          <w:trHeight w:val="156"/>
          <w:jc w:val="center"/>
        </w:trPr>
        <w:tc>
          <w:tcPr>
            <w:tcW w:w="3798" w:type="dxa"/>
            <w:shd w:val="clear" w:color="auto" w:fill="auto"/>
            <w:vAlign w:val="center"/>
          </w:tcPr>
          <w:p w14:paraId="2D1A7797"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Caring for our Environment - Lake Tuggeranong water quality improvement - Stage 2 (Isabella Weir)</w:t>
            </w:r>
          </w:p>
        </w:tc>
        <w:tc>
          <w:tcPr>
            <w:tcW w:w="850" w:type="dxa"/>
            <w:shd w:val="clear" w:color="auto" w:fill="auto"/>
          </w:tcPr>
          <w:p w14:paraId="6B6AA2C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141</w:t>
            </w:r>
          </w:p>
        </w:tc>
        <w:tc>
          <w:tcPr>
            <w:tcW w:w="850" w:type="dxa"/>
            <w:shd w:val="clear" w:color="auto" w:fill="auto"/>
          </w:tcPr>
          <w:p w14:paraId="74F4DFE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13F635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27D2A4C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5708F5C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DC8F08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141</w:t>
            </w:r>
          </w:p>
        </w:tc>
      </w:tr>
      <w:tr w:rsidR="005958CD" w:rsidRPr="00704BD4" w14:paraId="7448A5AB" w14:textId="77777777" w:rsidTr="00C52D24">
        <w:trPr>
          <w:trHeight w:val="156"/>
          <w:jc w:val="center"/>
        </w:trPr>
        <w:tc>
          <w:tcPr>
            <w:tcW w:w="3798" w:type="dxa"/>
            <w:shd w:val="clear" w:color="auto" w:fill="auto"/>
            <w:vAlign w:val="center"/>
          </w:tcPr>
          <w:p w14:paraId="2A0E77C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Civic to Gungahlin corridor improvements</w:t>
            </w:r>
          </w:p>
        </w:tc>
        <w:tc>
          <w:tcPr>
            <w:tcW w:w="850" w:type="dxa"/>
            <w:shd w:val="clear" w:color="auto" w:fill="auto"/>
          </w:tcPr>
          <w:p w14:paraId="08159EE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17</w:t>
            </w:r>
          </w:p>
        </w:tc>
        <w:tc>
          <w:tcPr>
            <w:tcW w:w="850" w:type="dxa"/>
            <w:shd w:val="clear" w:color="auto" w:fill="auto"/>
          </w:tcPr>
          <w:p w14:paraId="407DD1B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5E261F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8D54BC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39C9AFB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967F5A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w:t>
            </w:r>
          </w:p>
        </w:tc>
      </w:tr>
      <w:tr w:rsidR="005958CD" w:rsidRPr="00704BD4" w14:paraId="0309A21B" w14:textId="77777777" w:rsidTr="00C52D24">
        <w:trPr>
          <w:trHeight w:val="156"/>
          <w:jc w:val="center"/>
        </w:trPr>
        <w:tc>
          <w:tcPr>
            <w:tcW w:w="3798" w:type="dxa"/>
            <w:shd w:val="clear" w:color="auto" w:fill="auto"/>
            <w:vAlign w:val="center"/>
          </w:tcPr>
          <w:p w14:paraId="22087753"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Commonwealth Grant - Black spot projects</w:t>
            </w:r>
          </w:p>
        </w:tc>
        <w:tc>
          <w:tcPr>
            <w:tcW w:w="850" w:type="dxa"/>
            <w:shd w:val="clear" w:color="auto" w:fill="auto"/>
          </w:tcPr>
          <w:p w14:paraId="39D67BB3"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4,043</w:t>
            </w:r>
          </w:p>
        </w:tc>
        <w:tc>
          <w:tcPr>
            <w:tcW w:w="850" w:type="dxa"/>
            <w:shd w:val="clear" w:color="auto" w:fill="auto"/>
          </w:tcPr>
          <w:p w14:paraId="745465FB"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1,693</w:t>
            </w:r>
          </w:p>
        </w:tc>
        <w:tc>
          <w:tcPr>
            <w:tcW w:w="850" w:type="dxa"/>
            <w:shd w:val="clear" w:color="auto" w:fill="auto"/>
          </w:tcPr>
          <w:p w14:paraId="64D933DC"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1,529</w:t>
            </w:r>
          </w:p>
        </w:tc>
        <w:tc>
          <w:tcPr>
            <w:tcW w:w="850" w:type="dxa"/>
            <w:shd w:val="clear" w:color="auto" w:fill="auto"/>
          </w:tcPr>
          <w:p w14:paraId="7BA76B7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1,529</w:t>
            </w:r>
          </w:p>
        </w:tc>
        <w:tc>
          <w:tcPr>
            <w:tcW w:w="850" w:type="dxa"/>
          </w:tcPr>
          <w:p w14:paraId="60D3A22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2019DA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8,794</w:t>
            </w:r>
          </w:p>
        </w:tc>
      </w:tr>
      <w:tr w:rsidR="005958CD" w:rsidRPr="00704BD4" w14:paraId="44996655" w14:textId="77777777" w:rsidTr="00C52D24">
        <w:trPr>
          <w:trHeight w:val="156"/>
          <w:jc w:val="center"/>
        </w:trPr>
        <w:tc>
          <w:tcPr>
            <w:tcW w:w="3798" w:type="dxa"/>
            <w:shd w:val="clear" w:color="auto" w:fill="auto"/>
            <w:vAlign w:val="center"/>
          </w:tcPr>
          <w:p w14:paraId="239C8D26"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Commonwealth Grant - Bridges renewal program</w:t>
            </w:r>
          </w:p>
        </w:tc>
        <w:tc>
          <w:tcPr>
            <w:tcW w:w="850" w:type="dxa"/>
            <w:shd w:val="clear" w:color="auto" w:fill="auto"/>
          </w:tcPr>
          <w:p w14:paraId="47DFAC25"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1,687</w:t>
            </w:r>
          </w:p>
        </w:tc>
        <w:tc>
          <w:tcPr>
            <w:tcW w:w="850" w:type="dxa"/>
            <w:shd w:val="clear" w:color="auto" w:fill="auto"/>
          </w:tcPr>
          <w:p w14:paraId="6ADBE0E7"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3,175</w:t>
            </w:r>
          </w:p>
        </w:tc>
        <w:tc>
          <w:tcPr>
            <w:tcW w:w="850" w:type="dxa"/>
            <w:shd w:val="clear" w:color="auto" w:fill="auto"/>
          </w:tcPr>
          <w:p w14:paraId="104FF97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1,098</w:t>
            </w:r>
          </w:p>
        </w:tc>
        <w:tc>
          <w:tcPr>
            <w:tcW w:w="850" w:type="dxa"/>
            <w:shd w:val="clear" w:color="auto" w:fill="auto"/>
          </w:tcPr>
          <w:p w14:paraId="6722850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826</w:t>
            </w:r>
          </w:p>
        </w:tc>
        <w:tc>
          <w:tcPr>
            <w:tcW w:w="850" w:type="dxa"/>
          </w:tcPr>
          <w:p w14:paraId="325630D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F9D678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6,786</w:t>
            </w:r>
          </w:p>
        </w:tc>
      </w:tr>
      <w:tr w:rsidR="005958CD" w:rsidRPr="00704BD4" w14:paraId="7CF27FBC" w14:textId="77777777" w:rsidTr="00C52D24">
        <w:trPr>
          <w:trHeight w:val="156"/>
          <w:jc w:val="center"/>
        </w:trPr>
        <w:tc>
          <w:tcPr>
            <w:tcW w:w="3798" w:type="dxa"/>
            <w:shd w:val="clear" w:color="auto" w:fill="auto"/>
            <w:vAlign w:val="center"/>
          </w:tcPr>
          <w:p w14:paraId="4BF79EE0"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Commonwealth Grant - Disaster risk reduction</w:t>
            </w:r>
          </w:p>
        </w:tc>
        <w:tc>
          <w:tcPr>
            <w:tcW w:w="850" w:type="dxa"/>
            <w:shd w:val="clear" w:color="auto" w:fill="auto"/>
          </w:tcPr>
          <w:p w14:paraId="7596C29A"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238</w:t>
            </w:r>
          </w:p>
        </w:tc>
        <w:tc>
          <w:tcPr>
            <w:tcW w:w="850" w:type="dxa"/>
            <w:shd w:val="clear" w:color="auto" w:fill="auto"/>
          </w:tcPr>
          <w:p w14:paraId="33B475D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125</w:t>
            </w:r>
          </w:p>
        </w:tc>
        <w:tc>
          <w:tcPr>
            <w:tcW w:w="850" w:type="dxa"/>
            <w:shd w:val="clear" w:color="auto" w:fill="auto"/>
          </w:tcPr>
          <w:p w14:paraId="2D1AC374"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75</w:t>
            </w:r>
          </w:p>
        </w:tc>
        <w:tc>
          <w:tcPr>
            <w:tcW w:w="850" w:type="dxa"/>
            <w:shd w:val="clear" w:color="auto" w:fill="auto"/>
          </w:tcPr>
          <w:p w14:paraId="76C91201"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1AC49A8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369627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438</w:t>
            </w:r>
          </w:p>
        </w:tc>
      </w:tr>
      <w:tr w:rsidR="005958CD" w:rsidRPr="00704BD4" w14:paraId="7103A85A" w14:textId="77777777" w:rsidTr="00C52D24">
        <w:trPr>
          <w:trHeight w:val="156"/>
          <w:jc w:val="center"/>
        </w:trPr>
        <w:tc>
          <w:tcPr>
            <w:tcW w:w="3798" w:type="dxa"/>
            <w:shd w:val="clear" w:color="auto" w:fill="auto"/>
            <w:vAlign w:val="center"/>
          </w:tcPr>
          <w:p w14:paraId="7E1B44B5" w14:textId="54EA4A7D"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 xml:space="preserve">Commonwealth Grant - Local </w:t>
            </w:r>
            <w:r w:rsidR="009E3E15">
              <w:rPr>
                <w:rFonts w:eastAsia="Times New Roman" w:cs="Calibri"/>
                <w:sz w:val="18"/>
                <w:szCs w:val="18"/>
                <w:lang w:eastAsia="en-AU"/>
              </w:rPr>
              <w:t>R</w:t>
            </w:r>
            <w:r w:rsidRPr="00704BD4">
              <w:rPr>
                <w:rFonts w:eastAsia="Times New Roman" w:cs="Calibri"/>
                <w:sz w:val="18"/>
                <w:szCs w:val="18"/>
                <w:lang w:eastAsia="en-AU"/>
              </w:rPr>
              <w:t xml:space="preserve">oads </w:t>
            </w:r>
            <w:r w:rsidR="009E3E15">
              <w:rPr>
                <w:rFonts w:eastAsia="Times New Roman" w:cs="Calibri"/>
                <w:sz w:val="18"/>
                <w:szCs w:val="18"/>
                <w:lang w:eastAsia="en-AU"/>
              </w:rPr>
              <w:t>and C</w:t>
            </w:r>
            <w:r w:rsidRPr="00704BD4">
              <w:rPr>
                <w:rFonts w:eastAsia="Times New Roman" w:cs="Calibri"/>
                <w:sz w:val="18"/>
                <w:szCs w:val="18"/>
                <w:lang w:eastAsia="en-AU"/>
              </w:rPr>
              <w:t xml:space="preserve">ommunity </w:t>
            </w:r>
            <w:r w:rsidR="009E3E15">
              <w:rPr>
                <w:rFonts w:eastAsia="Times New Roman" w:cs="Calibri"/>
                <w:sz w:val="18"/>
                <w:szCs w:val="18"/>
                <w:lang w:eastAsia="en-AU"/>
              </w:rPr>
              <w:t>I</w:t>
            </w:r>
            <w:r w:rsidRPr="00704BD4">
              <w:rPr>
                <w:rFonts w:eastAsia="Times New Roman" w:cs="Calibri"/>
                <w:sz w:val="18"/>
                <w:szCs w:val="18"/>
                <w:lang w:eastAsia="en-AU"/>
              </w:rPr>
              <w:t xml:space="preserve">nfrastructure </w:t>
            </w:r>
            <w:r w:rsidR="009E3E15">
              <w:rPr>
                <w:rFonts w:eastAsia="Times New Roman" w:cs="Calibri"/>
                <w:sz w:val="18"/>
                <w:szCs w:val="18"/>
                <w:lang w:eastAsia="en-AU"/>
              </w:rPr>
              <w:t>P</w:t>
            </w:r>
            <w:r w:rsidRPr="00704BD4">
              <w:rPr>
                <w:rFonts w:eastAsia="Times New Roman" w:cs="Calibri"/>
                <w:sz w:val="18"/>
                <w:szCs w:val="18"/>
                <w:lang w:eastAsia="en-AU"/>
              </w:rPr>
              <w:t>rogram</w:t>
            </w:r>
          </w:p>
        </w:tc>
        <w:tc>
          <w:tcPr>
            <w:tcW w:w="850" w:type="dxa"/>
            <w:shd w:val="clear" w:color="auto" w:fill="auto"/>
          </w:tcPr>
          <w:p w14:paraId="7727C5DE"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5,386</w:t>
            </w:r>
          </w:p>
        </w:tc>
        <w:tc>
          <w:tcPr>
            <w:tcW w:w="850" w:type="dxa"/>
            <w:shd w:val="clear" w:color="auto" w:fill="auto"/>
          </w:tcPr>
          <w:p w14:paraId="4BDEC81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3CADF5B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78B92B0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72B47D7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3D200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5,386</w:t>
            </w:r>
          </w:p>
        </w:tc>
      </w:tr>
      <w:tr w:rsidR="005958CD" w:rsidRPr="00704BD4" w14:paraId="046FDDA8" w14:textId="77777777" w:rsidTr="00C52D24">
        <w:trPr>
          <w:trHeight w:val="156"/>
          <w:jc w:val="center"/>
        </w:trPr>
        <w:tc>
          <w:tcPr>
            <w:tcW w:w="3798" w:type="dxa"/>
            <w:shd w:val="clear" w:color="auto" w:fill="auto"/>
            <w:vAlign w:val="center"/>
          </w:tcPr>
          <w:p w14:paraId="345E7AC9"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 xml:space="preserve">Commonwealth Grant - Road investment component </w:t>
            </w:r>
          </w:p>
        </w:tc>
        <w:tc>
          <w:tcPr>
            <w:tcW w:w="850" w:type="dxa"/>
            <w:shd w:val="clear" w:color="auto" w:fill="auto"/>
          </w:tcPr>
          <w:p w14:paraId="27992EB0"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11,860</w:t>
            </w:r>
          </w:p>
        </w:tc>
        <w:tc>
          <w:tcPr>
            <w:tcW w:w="850" w:type="dxa"/>
            <w:shd w:val="clear" w:color="auto" w:fill="auto"/>
          </w:tcPr>
          <w:p w14:paraId="3AA0DC3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24,000</w:t>
            </w:r>
          </w:p>
        </w:tc>
        <w:tc>
          <w:tcPr>
            <w:tcW w:w="850" w:type="dxa"/>
            <w:shd w:val="clear" w:color="auto" w:fill="auto"/>
          </w:tcPr>
          <w:p w14:paraId="482D38B8"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26,000</w:t>
            </w:r>
          </w:p>
        </w:tc>
        <w:tc>
          <w:tcPr>
            <w:tcW w:w="850" w:type="dxa"/>
            <w:shd w:val="clear" w:color="auto" w:fill="auto"/>
          </w:tcPr>
          <w:p w14:paraId="09E5C5A9"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4EDC9D9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0958DD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61,860</w:t>
            </w:r>
          </w:p>
        </w:tc>
      </w:tr>
      <w:tr w:rsidR="005958CD" w:rsidRPr="00704BD4" w14:paraId="1DCC8F61" w14:textId="77777777" w:rsidTr="00C52D24">
        <w:trPr>
          <w:trHeight w:val="156"/>
          <w:jc w:val="center"/>
        </w:trPr>
        <w:tc>
          <w:tcPr>
            <w:tcW w:w="3798" w:type="dxa"/>
            <w:shd w:val="clear" w:color="auto" w:fill="auto"/>
            <w:vAlign w:val="center"/>
          </w:tcPr>
          <w:p w14:paraId="52973A5E"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sz w:val="18"/>
                <w:szCs w:val="18"/>
                <w:lang w:eastAsia="en-AU"/>
              </w:rPr>
              <w:t>Commonwealth Grant - Road investment component - COVID stimulus</w:t>
            </w:r>
          </w:p>
        </w:tc>
        <w:tc>
          <w:tcPr>
            <w:tcW w:w="850" w:type="dxa"/>
            <w:shd w:val="clear" w:color="auto" w:fill="auto"/>
          </w:tcPr>
          <w:p w14:paraId="0EA7004D"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750</w:t>
            </w:r>
          </w:p>
        </w:tc>
        <w:tc>
          <w:tcPr>
            <w:tcW w:w="850" w:type="dxa"/>
            <w:shd w:val="clear" w:color="auto" w:fill="auto"/>
          </w:tcPr>
          <w:p w14:paraId="37C33D86"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581C1652"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shd w:val="clear" w:color="auto" w:fill="auto"/>
          </w:tcPr>
          <w:p w14:paraId="48911D0F" w14:textId="77777777" w:rsidR="005958CD" w:rsidRPr="00704BD4" w:rsidRDefault="005958CD" w:rsidP="00C52D24">
            <w:pPr>
              <w:pStyle w:val="Btablefigureunbold"/>
              <w:rPr>
                <w:rFonts w:eastAsia="Times New Roman" w:cs="Calibri"/>
                <w:b/>
                <w:bCs/>
                <w:sz w:val="18"/>
                <w:szCs w:val="18"/>
                <w:lang w:eastAsia="en-AU"/>
              </w:rPr>
            </w:pPr>
            <w:r w:rsidRPr="00704BD4">
              <w:rPr>
                <w:rFonts w:eastAsia="Times New Roman" w:cs="Calibri"/>
                <w:sz w:val="18"/>
                <w:szCs w:val="18"/>
                <w:lang w:eastAsia="en-AU"/>
              </w:rPr>
              <w:t>0</w:t>
            </w:r>
          </w:p>
        </w:tc>
        <w:tc>
          <w:tcPr>
            <w:tcW w:w="850" w:type="dxa"/>
          </w:tcPr>
          <w:p w14:paraId="0214970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AF395F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750</w:t>
            </w:r>
          </w:p>
        </w:tc>
      </w:tr>
      <w:tr w:rsidR="005958CD" w:rsidRPr="00704BD4" w14:paraId="1ACC51AA" w14:textId="77777777" w:rsidTr="00C52D24">
        <w:trPr>
          <w:trHeight w:val="156"/>
          <w:jc w:val="center"/>
        </w:trPr>
        <w:tc>
          <w:tcPr>
            <w:tcW w:w="3798" w:type="dxa"/>
            <w:shd w:val="clear" w:color="auto" w:fill="auto"/>
            <w:vAlign w:val="center"/>
          </w:tcPr>
          <w:p w14:paraId="4BA54FA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Commonwealth Grant - Roads to Recovery</w:t>
            </w:r>
          </w:p>
        </w:tc>
        <w:tc>
          <w:tcPr>
            <w:tcW w:w="850" w:type="dxa"/>
            <w:shd w:val="clear" w:color="auto" w:fill="auto"/>
          </w:tcPr>
          <w:p w14:paraId="1FECDA1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7,946</w:t>
            </w:r>
          </w:p>
        </w:tc>
        <w:tc>
          <w:tcPr>
            <w:tcW w:w="850" w:type="dxa"/>
            <w:shd w:val="clear" w:color="auto" w:fill="auto"/>
          </w:tcPr>
          <w:p w14:paraId="5C7653F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8,288</w:t>
            </w:r>
          </w:p>
        </w:tc>
        <w:tc>
          <w:tcPr>
            <w:tcW w:w="850" w:type="dxa"/>
            <w:shd w:val="clear" w:color="auto" w:fill="auto"/>
          </w:tcPr>
          <w:p w14:paraId="428098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7,331</w:t>
            </w:r>
          </w:p>
        </w:tc>
        <w:tc>
          <w:tcPr>
            <w:tcW w:w="850" w:type="dxa"/>
            <w:shd w:val="clear" w:color="auto" w:fill="auto"/>
          </w:tcPr>
          <w:p w14:paraId="5A69474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7,969</w:t>
            </w:r>
          </w:p>
        </w:tc>
        <w:tc>
          <w:tcPr>
            <w:tcW w:w="850" w:type="dxa"/>
          </w:tcPr>
          <w:p w14:paraId="13E0DB9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45422E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31,534</w:t>
            </w:r>
          </w:p>
        </w:tc>
      </w:tr>
      <w:tr w:rsidR="005958CD" w:rsidRPr="00704BD4" w14:paraId="0248335A" w14:textId="77777777" w:rsidTr="00C52D24">
        <w:trPr>
          <w:trHeight w:val="156"/>
          <w:jc w:val="center"/>
        </w:trPr>
        <w:tc>
          <w:tcPr>
            <w:tcW w:w="3798" w:type="dxa"/>
            <w:shd w:val="clear" w:color="auto" w:fill="auto"/>
            <w:vAlign w:val="center"/>
          </w:tcPr>
          <w:p w14:paraId="2B659464"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Delivering a new high school at East Gungahlin</w:t>
            </w:r>
          </w:p>
        </w:tc>
        <w:tc>
          <w:tcPr>
            <w:tcW w:w="850" w:type="dxa"/>
            <w:shd w:val="clear" w:color="auto" w:fill="auto"/>
          </w:tcPr>
          <w:p w14:paraId="72FA8B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499</w:t>
            </w:r>
          </w:p>
        </w:tc>
        <w:tc>
          <w:tcPr>
            <w:tcW w:w="850" w:type="dxa"/>
            <w:shd w:val="clear" w:color="auto" w:fill="auto"/>
          </w:tcPr>
          <w:p w14:paraId="10C8AE8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DDBAF0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FD69EC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795D5E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A3B5C1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499</w:t>
            </w:r>
          </w:p>
        </w:tc>
      </w:tr>
      <w:tr w:rsidR="005958CD" w:rsidRPr="00704BD4" w14:paraId="33842BC5" w14:textId="77777777" w:rsidTr="00C52D24">
        <w:trPr>
          <w:trHeight w:val="156"/>
          <w:jc w:val="center"/>
        </w:trPr>
        <w:tc>
          <w:tcPr>
            <w:tcW w:w="3798" w:type="dxa"/>
            <w:shd w:val="clear" w:color="auto" w:fill="auto"/>
            <w:vAlign w:val="center"/>
          </w:tcPr>
          <w:p w14:paraId="26E6AD2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Delivering a smart technology ticketing system for Canberra's integrated public transport system</w:t>
            </w:r>
          </w:p>
        </w:tc>
        <w:tc>
          <w:tcPr>
            <w:tcW w:w="850" w:type="dxa"/>
            <w:shd w:val="clear" w:color="auto" w:fill="auto"/>
          </w:tcPr>
          <w:p w14:paraId="7A8CB5F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w:t>
            </w:r>
          </w:p>
        </w:tc>
        <w:tc>
          <w:tcPr>
            <w:tcW w:w="850" w:type="dxa"/>
            <w:shd w:val="clear" w:color="auto" w:fill="auto"/>
          </w:tcPr>
          <w:p w14:paraId="032E841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18,923</w:t>
            </w:r>
          </w:p>
        </w:tc>
        <w:tc>
          <w:tcPr>
            <w:tcW w:w="850" w:type="dxa"/>
            <w:shd w:val="clear" w:color="auto" w:fill="auto"/>
          </w:tcPr>
          <w:p w14:paraId="2A8DACB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18,523</w:t>
            </w:r>
          </w:p>
        </w:tc>
        <w:tc>
          <w:tcPr>
            <w:tcW w:w="850" w:type="dxa"/>
            <w:shd w:val="clear" w:color="auto" w:fill="auto"/>
          </w:tcPr>
          <w:p w14:paraId="18288E5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6E9EC4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71B75D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37,946</w:t>
            </w:r>
          </w:p>
        </w:tc>
      </w:tr>
      <w:tr w:rsidR="005958CD" w:rsidRPr="00704BD4" w14:paraId="08D94F03" w14:textId="77777777" w:rsidTr="00C52D24">
        <w:trPr>
          <w:trHeight w:val="156"/>
          <w:jc w:val="center"/>
        </w:trPr>
        <w:tc>
          <w:tcPr>
            <w:tcW w:w="3798" w:type="dxa"/>
            <w:shd w:val="clear" w:color="auto" w:fill="auto"/>
            <w:vAlign w:val="center"/>
          </w:tcPr>
          <w:p w14:paraId="708FF1A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Enhancement of library collections</w:t>
            </w:r>
          </w:p>
        </w:tc>
        <w:tc>
          <w:tcPr>
            <w:tcW w:w="850" w:type="dxa"/>
            <w:shd w:val="clear" w:color="auto" w:fill="auto"/>
          </w:tcPr>
          <w:p w14:paraId="5D37037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2,789</w:t>
            </w:r>
          </w:p>
        </w:tc>
        <w:tc>
          <w:tcPr>
            <w:tcW w:w="850" w:type="dxa"/>
            <w:shd w:val="clear" w:color="auto" w:fill="auto"/>
          </w:tcPr>
          <w:p w14:paraId="228BC31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2,063</w:t>
            </w:r>
          </w:p>
        </w:tc>
        <w:tc>
          <w:tcPr>
            <w:tcW w:w="850" w:type="dxa"/>
            <w:shd w:val="clear" w:color="auto" w:fill="auto"/>
          </w:tcPr>
          <w:p w14:paraId="66C9312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2,063</w:t>
            </w:r>
          </w:p>
        </w:tc>
        <w:tc>
          <w:tcPr>
            <w:tcW w:w="850" w:type="dxa"/>
            <w:shd w:val="clear" w:color="auto" w:fill="auto"/>
          </w:tcPr>
          <w:p w14:paraId="4F6FD4E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2,063</w:t>
            </w:r>
          </w:p>
        </w:tc>
        <w:tc>
          <w:tcPr>
            <w:tcW w:w="850" w:type="dxa"/>
          </w:tcPr>
          <w:p w14:paraId="10466D3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2,063</w:t>
            </w:r>
          </w:p>
        </w:tc>
        <w:tc>
          <w:tcPr>
            <w:tcW w:w="1020" w:type="dxa"/>
            <w:shd w:val="clear" w:color="auto" w:fill="auto"/>
          </w:tcPr>
          <w:p w14:paraId="78D7C62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11,041</w:t>
            </w:r>
          </w:p>
        </w:tc>
      </w:tr>
      <w:tr w:rsidR="005958CD" w:rsidRPr="00704BD4" w14:paraId="327AD3D1" w14:textId="77777777" w:rsidTr="00C52D24">
        <w:trPr>
          <w:trHeight w:val="156"/>
          <w:jc w:val="center"/>
        </w:trPr>
        <w:tc>
          <w:tcPr>
            <w:tcW w:w="3798" w:type="dxa"/>
            <w:shd w:val="clear" w:color="auto" w:fill="auto"/>
            <w:vAlign w:val="center"/>
          </w:tcPr>
          <w:p w14:paraId="13B8EA5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Ensuring uninterrupted power supply to traffic lights</w:t>
            </w:r>
          </w:p>
        </w:tc>
        <w:tc>
          <w:tcPr>
            <w:tcW w:w="850" w:type="dxa"/>
            <w:shd w:val="clear" w:color="auto" w:fill="auto"/>
          </w:tcPr>
          <w:p w14:paraId="3803446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238</w:t>
            </w:r>
          </w:p>
        </w:tc>
        <w:tc>
          <w:tcPr>
            <w:tcW w:w="850" w:type="dxa"/>
            <w:shd w:val="clear" w:color="auto" w:fill="auto"/>
          </w:tcPr>
          <w:p w14:paraId="7063143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125</w:t>
            </w:r>
          </w:p>
        </w:tc>
        <w:tc>
          <w:tcPr>
            <w:tcW w:w="850" w:type="dxa"/>
            <w:shd w:val="clear" w:color="auto" w:fill="auto"/>
          </w:tcPr>
          <w:p w14:paraId="240BF0D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75</w:t>
            </w:r>
          </w:p>
        </w:tc>
        <w:tc>
          <w:tcPr>
            <w:tcW w:w="850" w:type="dxa"/>
            <w:shd w:val="clear" w:color="auto" w:fill="auto"/>
          </w:tcPr>
          <w:p w14:paraId="7923B7B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A4C674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0233A2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438</w:t>
            </w:r>
          </w:p>
        </w:tc>
      </w:tr>
      <w:tr w:rsidR="005958CD" w:rsidRPr="00704BD4" w14:paraId="39E52106" w14:textId="77777777" w:rsidTr="00C52D24">
        <w:trPr>
          <w:trHeight w:val="156"/>
          <w:jc w:val="center"/>
        </w:trPr>
        <w:tc>
          <w:tcPr>
            <w:tcW w:w="3798" w:type="dxa"/>
            <w:shd w:val="clear" w:color="auto" w:fill="auto"/>
            <w:vAlign w:val="center"/>
          </w:tcPr>
          <w:p w14:paraId="2D1CD71D"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Feasibility and design studies for community infrastructure and upgrades</w:t>
            </w:r>
          </w:p>
        </w:tc>
        <w:tc>
          <w:tcPr>
            <w:tcW w:w="850" w:type="dxa"/>
            <w:shd w:val="clear" w:color="auto" w:fill="auto"/>
          </w:tcPr>
          <w:p w14:paraId="4675336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1,724</w:t>
            </w:r>
          </w:p>
        </w:tc>
        <w:tc>
          <w:tcPr>
            <w:tcW w:w="850" w:type="dxa"/>
            <w:shd w:val="clear" w:color="auto" w:fill="auto"/>
          </w:tcPr>
          <w:p w14:paraId="1940BA6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33CA53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89A081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8362D0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6A665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1,724</w:t>
            </w:r>
          </w:p>
        </w:tc>
      </w:tr>
      <w:tr w:rsidR="005958CD" w:rsidRPr="00704BD4" w14:paraId="2FCECED1" w14:textId="77777777" w:rsidTr="00C52D24">
        <w:trPr>
          <w:trHeight w:val="156"/>
          <w:jc w:val="center"/>
        </w:trPr>
        <w:tc>
          <w:tcPr>
            <w:tcW w:w="3798" w:type="dxa"/>
            <w:shd w:val="clear" w:color="auto" w:fill="auto"/>
            <w:vAlign w:val="center"/>
          </w:tcPr>
          <w:p w14:paraId="2630C1F7"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Feasibility studies - Duplication of Tharwa Drive and extension of Nudurr Drive</w:t>
            </w:r>
          </w:p>
        </w:tc>
        <w:tc>
          <w:tcPr>
            <w:tcW w:w="850" w:type="dxa"/>
            <w:shd w:val="clear" w:color="auto" w:fill="auto"/>
          </w:tcPr>
          <w:p w14:paraId="378DF1F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w:t>
            </w:r>
          </w:p>
        </w:tc>
        <w:tc>
          <w:tcPr>
            <w:tcW w:w="850" w:type="dxa"/>
            <w:shd w:val="clear" w:color="auto" w:fill="auto"/>
          </w:tcPr>
          <w:p w14:paraId="5B87F39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998821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AC3292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C0DDE7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B1C17E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20</w:t>
            </w:r>
          </w:p>
        </w:tc>
      </w:tr>
      <w:tr w:rsidR="005958CD" w:rsidRPr="00704BD4" w14:paraId="622E349E" w14:textId="77777777" w:rsidTr="00C52D24">
        <w:trPr>
          <w:trHeight w:val="156"/>
          <w:jc w:val="center"/>
        </w:trPr>
        <w:tc>
          <w:tcPr>
            <w:tcW w:w="3798" w:type="dxa"/>
            <w:shd w:val="clear" w:color="auto" w:fill="auto"/>
            <w:vAlign w:val="center"/>
          </w:tcPr>
          <w:p w14:paraId="2BE0FB2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Flemington Road shared path - Stage 1</w:t>
            </w:r>
          </w:p>
        </w:tc>
        <w:tc>
          <w:tcPr>
            <w:tcW w:w="850" w:type="dxa"/>
            <w:shd w:val="clear" w:color="auto" w:fill="auto"/>
          </w:tcPr>
          <w:p w14:paraId="7110994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351</w:t>
            </w:r>
          </w:p>
        </w:tc>
        <w:tc>
          <w:tcPr>
            <w:tcW w:w="850" w:type="dxa"/>
            <w:shd w:val="clear" w:color="auto" w:fill="auto"/>
          </w:tcPr>
          <w:p w14:paraId="24D43D6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D43D2A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DF5731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C4DF19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539B70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351</w:t>
            </w:r>
          </w:p>
        </w:tc>
      </w:tr>
      <w:tr w:rsidR="005958CD" w:rsidRPr="00704BD4" w14:paraId="607B6A71" w14:textId="77777777" w:rsidTr="00C52D24">
        <w:trPr>
          <w:trHeight w:val="156"/>
          <w:jc w:val="center"/>
        </w:trPr>
        <w:tc>
          <w:tcPr>
            <w:tcW w:w="3798" w:type="dxa"/>
            <w:shd w:val="clear" w:color="auto" w:fill="auto"/>
            <w:vAlign w:val="center"/>
          </w:tcPr>
          <w:p w14:paraId="21A58564"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Future bus network</w:t>
            </w:r>
          </w:p>
        </w:tc>
        <w:tc>
          <w:tcPr>
            <w:tcW w:w="850" w:type="dxa"/>
            <w:shd w:val="clear" w:color="auto" w:fill="auto"/>
          </w:tcPr>
          <w:p w14:paraId="65FB07B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3,206</w:t>
            </w:r>
          </w:p>
        </w:tc>
        <w:tc>
          <w:tcPr>
            <w:tcW w:w="850" w:type="dxa"/>
            <w:shd w:val="clear" w:color="auto" w:fill="auto"/>
          </w:tcPr>
          <w:p w14:paraId="6A63249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88052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DEC024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2203ED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A17072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3,206</w:t>
            </w:r>
          </w:p>
        </w:tc>
      </w:tr>
      <w:tr w:rsidR="005958CD" w:rsidRPr="00704BD4" w14:paraId="34E1EF15" w14:textId="77777777" w:rsidTr="00C52D24">
        <w:trPr>
          <w:trHeight w:val="156"/>
          <w:jc w:val="center"/>
        </w:trPr>
        <w:tc>
          <w:tcPr>
            <w:tcW w:w="3798" w:type="dxa"/>
            <w:shd w:val="clear" w:color="auto" w:fill="auto"/>
            <w:vAlign w:val="center"/>
          </w:tcPr>
          <w:p w14:paraId="79AF5F44"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Green waste rollout</w:t>
            </w:r>
          </w:p>
        </w:tc>
        <w:tc>
          <w:tcPr>
            <w:tcW w:w="850" w:type="dxa"/>
            <w:shd w:val="clear" w:color="auto" w:fill="auto"/>
          </w:tcPr>
          <w:p w14:paraId="57E6BB5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308</w:t>
            </w:r>
          </w:p>
        </w:tc>
        <w:tc>
          <w:tcPr>
            <w:tcW w:w="850" w:type="dxa"/>
            <w:shd w:val="clear" w:color="auto" w:fill="auto"/>
          </w:tcPr>
          <w:p w14:paraId="49AD304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422C8F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583D6F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DDB710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68C714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308</w:t>
            </w:r>
          </w:p>
        </w:tc>
      </w:tr>
      <w:tr w:rsidR="005958CD" w:rsidRPr="00704BD4" w14:paraId="17C92FF6" w14:textId="77777777" w:rsidTr="00C52D24">
        <w:trPr>
          <w:trHeight w:val="156"/>
          <w:jc w:val="center"/>
        </w:trPr>
        <w:tc>
          <w:tcPr>
            <w:tcW w:w="3798" w:type="dxa"/>
            <w:shd w:val="clear" w:color="auto" w:fill="auto"/>
            <w:vAlign w:val="center"/>
          </w:tcPr>
          <w:p w14:paraId="5A9DC701"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Growing investment in services for our suburbs</w:t>
            </w:r>
          </w:p>
        </w:tc>
        <w:tc>
          <w:tcPr>
            <w:tcW w:w="850" w:type="dxa"/>
            <w:shd w:val="clear" w:color="auto" w:fill="auto"/>
          </w:tcPr>
          <w:p w14:paraId="71E84B0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791</w:t>
            </w:r>
          </w:p>
        </w:tc>
        <w:tc>
          <w:tcPr>
            <w:tcW w:w="850" w:type="dxa"/>
            <w:shd w:val="clear" w:color="auto" w:fill="auto"/>
          </w:tcPr>
          <w:p w14:paraId="77941BD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7FC28E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FBAB34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87CD14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775A86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791</w:t>
            </w:r>
          </w:p>
        </w:tc>
      </w:tr>
      <w:tr w:rsidR="005958CD" w:rsidRPr="00704BD4" w14:paraId="53FA2768" w14:textId="77777777" w:rsidTr="00C52D24">
        <w:trPr>
          <w:trHeight w:val="156"/>
          <w:jc w:val="center"/>
        </w:trPr>
        <w:tc>
          <w:tcPr>
            <w:tcW w:w="3798" w:type="dxa"/>
            <w:shd w:val="clear" w:color="auto" w:fill="auto"/>
            <w:vAlign w:val="center"/>
          </w:tcPr>
          <w:p w14:paraId="1C41B5F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Heavy vehicle safety and productivity (ACT and Cth Contributions)</w:t>
            </w:r>
          </w:p>
        </w:tc>
        <w:tc>
          <w:tcPr>
            <w:tcW w:w="850" w:type="dxa"/>
            <w:shd w:val="clear" w:color="auto" w:fill="auto"/>
          </w:tcPr>
          <w:p w14:paraId="1FEF07D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1,787</w:t>
            </w:r>
          </w:p>
        </w:tc>
        <w:tc>
          <w:tcPr>
            <w:tcW w:w="850" w:type="dxa"/>
            <w:shd w:val="clear" w:color="auto" w:fill="auto"/>
          </w:tcPr>
          <w:p w14:paraId="300CC30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117</w:t>
            </w:r>
          </w:p>
        </w:tc>
        <w:tc>
          <w:tcPr>
            <w:tcW w:w="850" w:type="dxa"/>
            <w:shd w:val="clear" w:color="auto" w:fill="auto"/>
          </w:tcPr>
          <w:p w14:paraId="74A1FFE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2,139</w:t>
            </w:r>
          </w:p>
        </w:tc>
        <w:tc>
          <w:tcPr>
            <w:tcW w:w="850" w:type="dxa"/>
            <w:shd w:val="clear" w:color="auto" w:fill="auto"/>
          </w:tcPr>
          <w:p w14:paraId="05E2915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1,459</w:t>
            </w:r>
          </w:p>
        </w:tc>
        <w:tc>
          <w:tcPr>
            <w:tcW w:w="850" w:type="dxa"/>
          </w:tcPr>
          <w:p w14:paraId="5FEE836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C340D9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5,502</w:t>
            </w:r>
          </w:p>
        </w:tc>
      </w:tr>
      <w:tr w:rsidR="005958CD" w:rsidRPr="00704BD4" w14:paraId="45624087" w14:textId="77777777" w:rsidTr="00C52D24">
        <w:trPr>
          <w:trHeight w:val="156"/>
          <w:jc w:val="center"/>
        </w:trPr>
        <w:tc>
          <w:tcPr>
            <w:tcW w:w="3798" w:type="dxa"/>
            <w:shd w:val="clear" w:color="auto" w:fill="auto"/>
            <w:vAlign w:val="center"/>
          </w:tcPr>
          <w:p w14:paraId="3EC69A8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Improving Our Suburbs - New Molonglo Valley infrastructure</w:t>
            </w:r>
          </w:p>
        </w:tc>
        <w:tc>
          <w:tcPr>
            <w:tcW w:w="850" w:type="dxa"/>
            <w:shd w:val="clear" w:color="auto" w:fill="auto"/>
          </w:tcPr>
          <w:p w14:paraId="6423B79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1,116</w:t>
            </w:r>
          </w:p>
        </w:tc>
        <w:tc>
          <w:tcPr>
            <w:tcW w:w="850" w:type="dxa"/>
            <w:shd w:val="clear" w:color="auto" w:fill="auto"/>
          </w:tcPr>
          <w:p w14:paraId="4945ECD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A9B288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D6DAC2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3719B4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85F919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1,116</w:t>
            </w:r>
          </w:p>
        </w:tc>
      </w:tr>
      <w:tr w:rsidR="005958CD" w:rsidRPr="00704BD4" w14:paraId="17E59DD6" w14:textId="77777777" w:rsidTr="002C0E51">
        <w:trPr>
          <w:trHeight w:val="156"/>
          <w:jc w:val="center"/>
        </w:trPr>
        <w:tc>
          <w:tcPr>
            <w:tcW w:w="3798" w:type="dxa"/>
            <w:shd w:val="clear" w:color="auto" w:fill="auto"/>
            <w:vAlign w:val="center"/>
          </w:tcPr>
          <w:p w14:paraId="6552449F"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Improving stormwater networks</w:t>
            </w:r>
          </w:p>
        </w:tc>
        <w:tc>
          <w:tcPr>
            <w:tcW w:w="850" w:type="dxa"/>
            <w:shd w:val="clear" w:color="auto" w:fill="auto"/>
          </w:tcPr>
          <w:p w14:paraId="201F6FD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6,066</w:t>
            </w:r>
          </w:p>
        </w:tc>
        <w:tc>
          <w:tcPr>
            <w:tcW w:w="850" w:type="dxa"/>
            <w:shd w:val="clear" w:color="auto" w:fill="auto"/>
          </w:tcPr>
          <w:p w14:paraId="71124A0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6,294</w:t>
            </w:r>
          </w:p>
        </w:tc>
        <w:tc>
          <w:tcPr>
            <w:tcW w:w="850" w:type="dxa"/>
            <w:shd w:val="clear" w:color="auto" w:fill="auto"/>
          </w:tcPr>
          <w:p w14:paraId="65AF780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79BFA3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5DAAB67"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0EE7AB1"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12,360</w:t>
            </w:r>
          </w:p>
        </w:tc>
      </w:tr>
      <w:tr w:rsidR="005958CD" w:rsidRPr="00704BD4" w14:paraId="43FAE9DA" w14:textId="77777777" w:rsidTr="002C0E51">
        <w:trPr>
          <w:trHeight w:val="156"/>
          <w:jc w:val="center"/>
        </w:trPr>
        <w:tc>
          <w:tcPr>
            <w:tcW w:w="3798" w:type="dxa"/>
            <w:shd w:val="clear" w:color="auto" w:fill="auto"/>
            <w:vAlign w:val="center"/>
          </w:tcPr>
          <w:p w14:paraId="5EE4E3C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Improving water management infrastructure</w:t>
            </w:r>
          </w:p>
        </w:tc>
        <w:tc>
          <w:tcPr>
            <w:tcW w:w="850" w:type="dxa"/>
            <w:shd w:val="clear" w:color="auto" w:fill="auto"/>
          </w:tcPr>
          <w:p w14:paraId="0E03E6C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258</w:t>
            </w:r>
          </w:p>
        </w:tc>
        <w:tc>
          <w:tcPr>
            <w:tcW w:w="850" w:type="dxa"/>
            <w:shd w:val="clear" w:color="auto" w:fill="auto"/>
          </w:tcPr>
          <w:p w14:paraId="46B8EF5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FC33D1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00B7CB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3BB43E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228D83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258</w:t>
            </w:r>
          </w:p>
        </w:tc>
      </w:tr>
      <w:tr w:rsidR="005958CD" w:rsidRPr="00704BD4" w14:paraId="12D31D4F" w14:textId="77777777" w:rsidTr="002C0E51">
        <w:trPr>
          <w:trHeight w:val="156"/>
          <w:jc w:val="center"/>
        </w:trPr>
        <w:tc>
          <w:tcPr>
            <w:tcW w:w="3798" w:type="dxa"/>
            <w:shd w:val="clear" w:color="auto" w:fill="auto"/>
            <w:vAlign w:val="center"/>
          </w:tcPr>
          <w:p w14:paraId="0BEA3B6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lastRenderedPageBreak/>
              <w:t>Intersection Upgrades - Belconnen Way intersection with Springvale Drive (ACT Contribution)</w:t>
            </w:r>
          </w:p>
        </w:tc>
        <w:tc>
          <w:tcPr>
            <w:tcW w:w="850" w:type="dxa"/>
            <w:shd w:val="clear" w:color="auto" w:fill="auto"/>
          </w:tcPr>
          <w:p w14:paraId="33F64EF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750</w:t>
            </w:r>
          </w:p>
        </w:tc>
        <w:tc>
          <w:tcPr>
            <w:tcW w:w="850" w:type="dxa"/>
            <w:shd w:val="clear" w:color="auto" w:fill="auto"/>
          </w:tcPr>
          <w:p w14:paraId="0B3F299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12AC4D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0CD6CA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3CE1DA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55396F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750</w:t>
            </w:r>
          </w:p>
        </w:tc>
      </w:tr>
      <w:tr w:rsidR="005958CD" w:rsidRPr="00704BD4" w14:paraId="76B50323" w14:textId="77777777" w:rsidTr="00C52D24">
        <w:trPr>
          <w:trHeight w:val="156"/>
          <w:jc w:val="center"/>
        </w:trPr>
        <w:tc>
          <w:tcPr>
            <w:tcW w:w="3798" w:type="dxa"/>
            <w:shd w:val="clear" w:color="auto" w:fill="auto"/>
            <w:vAlign w:val="center"/>
          </w:tcPr>
          <w:p w14:paraId="48180D2E"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Intersection Upgrades - Kuringa Drive intersection with Owen Dixon (ACT Contribution)</w:t>
            </w:r>
          </w:p>
        </w:tc>
        <w:tc>
          <w:tcPr>
            <w:tcW w:w="850" w:type="dxa"/>
            <w:shd w:val="clear" w:color="auto" w:fill="auto"/>
          </w:tcPr>
          <w:p w14:paraId="5DBE815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2,771</w:t>
            </w:r>
          </w:p>
        </w:tc>
        <w:tc>
          <w:tcPr>
            <w:tcW w:w="850" w:type="dxa"/>
            <w:shd w:val="clear" w:color="auto" w:fill="auto"/>
          </w:tcPr>
          <w:p w14:paraId="7075BCF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FDEB34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D8FC3E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F5BD93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1A94B2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2,771</w:t>
            </w:r>
          </w:p>
        </w:tc>
      </w:tr>
      <w:tr w:rsidR="005958CD" w:rsidRPr="00704BD4" w14:paraId="50B341E8" w14:textId="77777777" w:rsidTr="00C52D24">
        <w:trPr>
          <w:trHeight w:val="156"/>
          <w:jc w:val="center"/>
        </w:trPr>
        <w:tc>
          <w:tcPr>
            <w:tcW w:w="3798" w:type="dxa"/>
            <w:shd w:val="clear" w:color="auto" w:fill="auto"/>
            <w:vAlign w:val="center"/>
          </w:tcPr>
          <w:p w14:paraId="19464C1B"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Intersection Upgrades - Launceston Street intersection with Irving Street (ACT Contribution)</w:t>
            </w:r>
          </w:p>
        </w:tc>
        <w:tc>
          <w:tcPr>
            <w:tcW w:w="850" w:type="dxa"/>
            <w:shd w:val="clear" w:color="auto" w:fill="auto"/>
          </w:tcPr>
          <w:p w14:paraId="38E25AF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227</w:t>
            </w:r>
          </w:p>
        </w:tc>
        <w:tc>
          <w:tcPr>
            <w:tcW w:w="850" w:type="dxa"/>
            <w:shd w:val="clear" w:color="auto" w:fill="auto"/>
          </w:tcPr>
          <w:p w14:paraId="5EC951B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C5076A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5E3CB3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EF7D6D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4F907F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227</w:t>
            </w:r>
          </w:p>
        </w:tc>
      </w:tr>
      <w:tr w:rsidR="005958CD" w:rsidRPr="00704BD4" w14:paraId="7FE9D8C4" w14:textId="77777777" w:rsidTr="00C52D24">
        <w:trPr>
          <w:trHeight w:val="156"/>
          <w:jc w:val="center"/>
        </w:trPr>
        <w:tc>
          <w:tcPr>
            <w:tcW w:w="3798" w:type="dxa"/>
            <w:shd w:val="clear" w:color="auto" w:fill="auto"/>
            <w:vAlign w:val="center"/>
          </w:tcPr>
          <w:p w14:paraId="07F43D7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Intersection Upgrades - Launceston Street intersection with Irving Street (Cth Contribution)</w:t>
            </w:r>
          </w:p>
        </w:tc>
        <w:tc>
          <w:tcPr>
            <w:tcW w:w="850" w:type="dxa"/>
            <w:shd w:val="clear" w:color="auto" w:fill="auto"/>
          </w:tcPr>
          <w:p w14:paraId="3FE601E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716</w:t>
            </w:r>
          </w:p>
        </w:tc>
        <w:tc>
          <w:tcPr>
            <w:tcW w:w="850" w:type="dxa"/>
            <w:shd w:val="clear" w:color="auto" w:fill="auto"/>
          </w:tcPr>
          <w:p w14:paraId="75E4ADD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0ED517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B5C208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8586EAC"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39AACF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716</w:t>
            </w:r>
          </w:p>
        </w:tc>
      </w:tr>
      <w:tr w:rsidR="005958CD" w:rsidRPr="00704BD4" w14:paraId="4FE063C3" w14:textId="77777777" w:rsidTr="00C52D24">
        <w:trPr>
          <w:trHeight w:val="156"/>
          <w:jc w:val="center"/>
        </w:trPr>
        <w:tc>
          <w:tcPr>
            <w:tcW w:w="3798" w:type="dxa"/>
            <w:shd w:val="clear" w:color="auto" w:fill="auto"/>
            <w:vAlign w:val="center"/>
          </w:tcPr>
          <w:p w14:paraId="492DC606"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Intersection Upgrades - Southern Cross Drive intersection with Starke Street (ACT Contribution)</w:t>
            </w:r>
          </w:p>
        </w:tc>
        <w:tc>
          <w:tcPr>
            <w:tcW w:w="850" w:type="dxa"/>
            <w:shd w:val="clear" w:color="auto" w:fill="auto"/>
          </w:tcPr>
          <w:p w14:paraId="7C12A08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1,750</w:t>
            </w:r>
          </w:p>
        </w:tc>
        <w:tc>
          <w:tcPr>
            <w:tcW w:w="850" w:type="dxa"/>
            <w:shd w:val="clear" w:color="auto" w:fill="auto"/>
          </w:tcPr>
          <w:p w14:paraId="71A55EC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0316BA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2FAE50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E30A91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BD39AA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1,750</w:t>
            </w:r>
          </w:p>
        </w:tc>
      </w:tr>
      <w:tr w:rsidR="005958CD" w:rsidRPr="00704BD4" w14:paraId="6FF21936" w14:textId="77777777" w:rsidTr="00C52D24">
        <w:trPr>
          <w:trHeight w:val="156"/>
          <w:jc w:val="center"/>
        </w:trPr>
        <w:tc>
          <w:tcPr>
            <w:tcW w:w="3798" w:type="dxa"/>
            <w:shd w:val="clear" w:color="auto" w:fill="auto"/>
            <w:vAlign w:val="center"/>
          </w:tcPr>
          <w:p w14:paraId="6E60160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Intersection Upgrades - Southern Cross Drive intersection with Starke Street (Cth Contribution)</w:t>
            </w:r>
          </w:p>
        </w:tc>
        <w:tc>
          <w:tcPr>
            <w:tcW w:w="850" w:type="dxa"/>
            <w:shd w:val="clear" w:color="auto" w:fill="auto"/>
          </w:tcPr>
          <w:p w14:paraId="773A748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790</w:t>
            </w:r>
          </w:p>
        </w:tc>
        <w:tc>
          <w:tcPr>
            <w:tcW w:w="850" w:type="dxa"/>
            <w:shd w:val="clear" w:color="auto" w:fill="auto"/>
          </w:tcPr>
          <w:p w14:paraId="1895DC8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839ED6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155516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1208CB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8C45B6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790</w:t>
            </w:r>
          </w:p>
        </w:tc>
      </w:tr>
      <w:tr w:rsidR="005958CD" w:rsidRPr="00704BD4" w14:paraId="1C58C6C8" w14:textId="77777777" w:rsidTr="00C52D24">
        <w:trPr>
          <w:trHeight w:val="156"/>
          <w:jc w:val="center"/>
        </w:trPr>
        <w:tc>
          <w:tcPr>
            <w:tcW w:w="3798" w:type="dxa"/>
            <w:shd w:val="clear" w:color="auto" w:fill="auto"/>
            <w:vAlign w:val="center"/>
          </w:tcPr>
          <w:p w14:paraId="35BE145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John Gorton Drive and Molonglo River Bridge Crossing (ACT Contribution)</w:t>
            </w:r>
          </w:p>
        </w:tc>
        <w:tc>
          <w:tcPr>
            <w:tcW w:w="850" w:type="dxa"/>
            <w:shd w:val="clear" w:color="auto" w:fill="auto"/>
          </w:tcPr>
          <w:p w14:paraId="581E504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1,263</w:t>
            </w:r>
          </w:p>
        </w:tc>
        <w:tc>
          <w:tcPr>
            <w:tcW w:w="850" w:type="dxa"/>
            <w:shd w:val="clear" w:color="auto" w:fill="auto"/>
          </w:tcPr>
          <w:p w14:paraId="1DF9858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22,350</w:t>
            </w:r>
          </w:p>
        </w:tc>
        <w:tc>
          <w:tcPr>
            <w:tcW w:w="850" w:type="dxa"/>
            <w:shd w:val="clear" w:color="auto" w:fill="auto"/>
          </w:tcPr>
          <w:p w14:paraId="0883B96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20,000</w:t>
            </w:r>
          </w:p>
        </w:tc>
        <w:tc>
          <w:tcPr>
            <w:tcW w:w="850" w:type="dxa"/>
            <w:shd w:val="clear" w:color="auto" w:fill="auto"/>
          </w:tcPr>
          <w:p w14:paraId="406C4A7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44,700</w:t>
            </w:r>
          </w:p>
        </w:tc>
        <w:tc>
          <w:tcPr>
            <w:tcW w:w="850" w:type="dxa"/>
          </w:tcPr>
          <w:p w14:paraId="1572350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968963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88,313</w:t>
            </w:r>
          </w:p>
        </w:tc>
      </w:tr>
      <w:tr w:rsidR="005958CD" w:rsidRPr="00704BD4" w14:paraId="00789AA9" w14:textId="77777777" w:rsidTr="00C52D24">
        <w:trPr>
          <w:trHeight w:val="156"/>
          <w:jc w:val="center"/>
        </w:trPr>
        <w:tc>
          <w:tcPr>
            <w:tcW w:w="3798" w:type="dxa"/>
            <w:shd w:val="clear" w:color="auto" w:fill="auto"/>
            <w:vAlign w:val="center"/>
          </w:tcPr>
          <w:p w14:paraId="14CE9C9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John Gorton Drive and Molonglo River Bridge Crossing (Cth Contribution)</w:t>
            </w:r>
          </w:p>
        </w:tc>
        <w:tc>
          <w:tcPr>
            <w:tcW w:w="850" w:type="dxa"/>
            <w:shd w:val="clear" w:color="auto" w:fill="auto"/>
          </w:tcPr>
          <w:p w14:paraId="555AB7C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2,423</w:t>
            </w:r>
          </w:p>
        </w:tc>
        <w:tc>
          <w:tcPr>
            <w:tcW w:w="850" w:type="dxa"/>
            <w:shd w:val="clear" w:color="auto" w:fill="auto"/>
          </w:tcPr>
          <w:p w14:paraId="144851F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21,350</w:t>
            </w:r>
          </w:p>
        </w:tc>
        <w:tc>
          <w:tcPr>
            <w:tcW w:w="850" w:type="dxa"/>
            <w:shd w:val="clear" w:color="auto" w:fill="auto"/>
          </w:tcPr>
          <w:p w14:paraId="357D24F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20,000</w:t>
            </w:r>
          </w:p>
        </w:tc>
        <w:tc>
          <w:tcPr>
            <w:tcW w:w="850" w:type="dxa"/>
            <w:shd w:val="clear" w:color="auto" w:fill="auto"/>
          </w:tcPr>
          <w:p w14:paraId="1CFF95A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43,500</w:t>
            </w:r>
          </w:p>
        </w:tc>
        <w:tc>
          <w:tcPr>
            <w:tcW w:w="850" w:type="dxa"/>
          </w:tcPr>
          <w:p w14:paraId="141C3E6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A927AA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87,273</w:t>
            </w:r>
          </w:p>
        </w:tc>
      </w:tr>
      <w:tr w:rsidR="005958CD" w:rsidRPr="00704BD4" w14:paraId="267B7D24" w14:textId="77777777" w:rsidTr="00C52D24">
        <w:trPr>
          <w:trHeight w:val="156"/>
          <w:jc w:val="center"/>
        </w:trPr>
        <w:tc>
          <w:tcPr>
            <w:tcW w:w="3798" w:type="dxa"/>
            <w:shd w:val="clear" w:color="auto" w:fill="auto"/>
            <w:vAlign w:val="center"/>
          </w:tcPr>
          <w:p w14:paraId="2DD20323"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Keeping our growing city moving - Better infrastructure for active travel</w:t>
            </w:r>
          </w:p>
        </w:tc>
        <w:tc>
          <w:tcPr>
            <w:tcW w:w="850" w:type="dxa"/>
            <w:shd w:val="clear" w:color="auto" w:fill="auto"/>
          </w:tcPr>
          <w:p w14:paraId="6CCF22F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4,159</w:t>
            </w:r>
          </w:p>
        </w:tc>
        <w:tc>
          <w:tcPr>
            <w:tcW w:w="850" w:type="dxa"/>
            <w:shd w:val="clear" w:color="auto" w:fill="auto"/>
          </w:tcPr>
          <w:p w14:paraId="617D4D7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F1277E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28F657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23439B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896A66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4,159</w:t>
            </w:r>
          </w:p>
        </w:tc>
      </w:tr>
      <w:tr w:rsidR="005958CD" w:rsidRPr="00704BD4" w14:paraId="1E0790AC" w14:textId="77777777" w:rsidTr="00C52D24">
        <w:trPr>
          <w:trHeight w:val="156"/>
          <w:jc w:val="center"/>
        </w:trPr>
        <w:tc>
          <w:tcPr>
            <w:tcW w:w="3798" w:type="dxa"/>
            <w:shd w:val="clear" w:color="auto" w:fill="auto"/>
            <w:vAlign w:val="center"/>
          </w:tcPr>
          <w:p w14:paraId="6A7C83E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Keeping our growing city moving - Canberra Brickworks precinct - Environmental offsets</w:t>
            </w:r>
          </w:p>
        </w:tc>
        <w:tc>
          <w:tcPr>
            <w:tcW w:w="850" w:type="dxa"/>
            <w:shd w:val="clear" w:color="auto" w:fill="auto"/>
          </w:tcPr>
          <w:p w14:paraId="45DC124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274</w:t>
            </w:r>
          </w:p>
        </w:tc>
        <w:tc>
          <w:tcPr>
            <w:tcW w:w="850" w:type="dxa"/>
            <w:shd w:val="clear" w:color="auto" w:fill="auto"/>
          </w:tcPr>
          <w:p w14:paraId="26B4EDF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30</w:t>
            </w:r>
          </w:p>
        </w:tc>
        <w:tc>
          <w:tcPr>
            <w:tcW w:w="850" w:type="dxa"/>
            <w:shd w:val="clear" w:color="auto" w:fill="auto"/>
          </w:tcPr>
          <w:p w14:paraId="061A69A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E544A1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2AA479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98853E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304</w:t>
            </w:r>
          </w:p>
        </w:tc>
      </w:tr>
      <w:tr w:rsidR="005958CD" w:rsidRPr="00704BD4" w14:paraId="0A028A72" w14:textId="77777777" w:rsidTr="00C52D24">
        <w:trPr>
          <w:trHeight w:val="156"/>
          <w:jc w:val="center"/>
        </w:trPr>
        <w:tc>
          <w:tcPr>
            <w:tcW w:w="3798" w:type="dxa"/>
            <w:shd w:val="clear" w:color="auto" w:fill="auto"/>
            <w:vAlign w:val="center"/>
          </w:tcPr>
          <w:p w14:paraId="2345E277"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Keeping our growing city moving - John Gorton Drive and Molonglo River Bridge Crossing - Early design</w:t>
            </w:r>
          </w:p>
        </w:tc>
        <w:tc>
          <w:tcPr>
            <w:tcW w:w="850" w:type="dxa"/>
            <w:shd w:val="clear" w:color="auto" w:fill="auto"/>
          </w:tcPr>
          <w:p w14:paraId="4B0DA9C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460</w:t>
            </w:r>
          </w:p>
        </w:tc>
        <w:tc>
          <w:tcPr>
            <w:tcW w:w="850" w:type="dxa"/>
            <w:shd w:val="clear" w:color="auto" w:fill="auto"/>
          </w:tcPr>
          <w:p w14:paraId="6635FF4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08ECFB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1C3443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B1C0C2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E0B13C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460</w:t>
            </w:r>
          </w:p>
        </w:tc>
      </w:tr>
      <w:tr w:rsidR="005958CD" w:rsidRPr="00704BD4" w14:paraId="59DDF312" w14:textId="77777777" w:rsidTr="00C52D24">
        <w:trPr>
          <w:trHeight w:val="156"/>
          <w:jc w:val="center"/>
        </w:trPr>
        <w:tc>
          <w:tcPr>
            <w:tcW w:w="3798" w:type="dxa"/>
            <w:shd w:val="clear" w:color="auto" w:fill="auto"/>
            <w:vAlign w:val="center"/>
          </w:tcPr>
          <w:p w14:paraId="1E85E01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Keeping our growing city moving - Monaro Highway upgrade</w:t>
            </w:r>
          </w:p>
        </w:tc>
        <w:tc>
          <w:tcPr>
            <w:tcW w:w="850" w:type="dxa"/>
            <w:shd w:val="clear" w:color="auto" w:fill="auto"/>
          </w:tcPr>
          <w:p w14:paraId="10F3112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171</w:t>
            </w:r>
          </w:p>
        </w:tc>
        <w:tc>
          <w:tcPr>
            <w:tcW w:w="850" w:type="dxa"/>
            <w:shd w:val="clear" w:color="auto" w:fill="auto"/>
          </w:tcPr>
          <w:p w14:paraId="57E4BDA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D4BD4D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131A9B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94837A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28B022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171</w:t>
            </w:r>
          </w:p>
        </w:tc>
      </w:tr>
      <w:tr w:rsidR="005958CD" w:rsidRPr="00704BD4" w14:paraId="20C01848" w14:textId="77777777" w:rsidTr="00C52D24">
        <w:trPr>
          <w:trHeight w:val="156"/>
          <w:jc w:val="center"/>
        </w:trPr>
        <w:tc>
          <w:tcPr>
            <w:tcW w:w="3798" w:type="dxa"/>
            <w:shd w:val="clear" w:color="auto" w:fill="auto"/>
            <w:vAlign w:val="center"/>
          </w:tcPr>
          <w:p w14:paraId="32C2EB35"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Keeping our growing city moving - Safer intersections</w:t>
            </w:r>
          </w:p>
        </w:tc>
        <w:tc>
          <w:tcPr>
            <w:tcW w:w="850" w:type="dxa"/>
            <w:shd w:val="clear" w:color="auto" w:fill="auto"/>
          </w:tcPr>
          <w:p w14:paraId="7AC618C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187</w:t>
            </w:r>
          </w:p>
        </w:tc>
        <w:tc>
          <w:tcPr>
            <w:tcW w:w="850" w:type="dxa"/>
            <w:shd w:val="clear" w:color="auto" w:fill="auto"/>
          </w:tcPr>
          <w:p w14:paraId="1CB1AA4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6DDC50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4DD4F1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93067F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1107E0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187</w:t>
            </w:r>
          </w:p>
        </w:tc>
      </w:tr>
      <w:tr w:rsidR="005958CD" w:rsidRPr="00704BD4" w14:paraId="61B727DA" w14:textId="77777777" w:rsidTr="00C52D24">
        <w:trPr>
          <w:trHeight w:val="156"/>
          <w:jc w:val="center"/>
        </w:trPr>
        <w:tc>
          <w:tcPr>
            <w:tcW w:w="3798" w:type="dxa"/>
            <w:shd w:val="clear" w:color="auto" w:fill="auto"/>
            <w:vAlign w:val="center"/>
          </w:tcPr>
          <w:p w14:paraId="0470431F"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Local Roads and Community Infrastructure Program Phase 3</w:t>
            </w:r>
          </w:p>
        </w:tc>
        <w:tc>
          <w:tcPr>
            <w:tcW w:w="850" w:type="dxa"/>
            <w:shd w:val="clear" w:color="auto" w:fill="auto"/>
          </w:tcPr>
          <w:p w14:paraId="61CBC23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1,530</w:t>
            </w:r>
          </w:p>
        </w:tc>
        <w:tc>
          <w:tcPr>
            <w:tcW w:w="850" w:type="dxa"/>
            <w:shd w:val="clear" w:color="auto" w:fill="auto"/>
          </w:tcPr>
          <w:p w14:paraId="60E7B76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5,651</w:t>
            </w:r>
          </w:p>
        </w:tc>
        <w:tc>
          <w:tcPr>
            <w:tcW w:w="850" w:type="dxa"/>
            <w:shd w:val="clear" w:color="auto" w:fill="auto"/>
          </w:tcPr>
          <w:p w14:paraId="34733C4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3DBB46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EA39F2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61D00D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7,181</w:t>
            </w:r>
          </w:p>
        </w:tc>
      </w:tr>
      <w:tr w:rsidR="005958CD" w:rsidRPr="00704BD4" w14:paraId="05BF9DC5" w14:textId="77777777" w:rsidTr="00C52D24">
        <w:trPr>
          <w:trHeight w:val="156"/>
          <w:jc w:val="center"/>
        </w:trPr>
        <w:tc>
          <w:tcPr>
            <w:tcW w:w="3798" w:type="dxa"/>
            <w:shd w:val="clear" w:color="auto" w:fill="auto"/>
            <w:vAlign w:val="center"/>
          </w:tcPr>
          <w:p w14:paraId="4A80C2EA" w14:textId="0B0B852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Look and feel of</w:t>
            </w:r>
            <w:r>
              <w:rPr>
                <w:rFonts w:eastAsia="Times New Roman" w:cs="Calibri"/>
                <w:sz w:val="18"/>
                <w:szCs w:val="18"/>
                <w:lang w:eastAsia="en-AU"/>
              </w:rPr>
              <w:t xml:space="preserve"> the</w:t>
            </w:r>
            <w:r w:rsidRPr="00704BD4">
              <w:rPr>
                <w:rFonts w:eastAsia="Times New Roman" w:cs="Calibri"/>
                <w:sz w:val="18"/>
                <w:szCs w:val="18"/>
                <w:lang w:eastAsia="en-AU"/>
              </w:rPr>
              <w:t xml:space="preserve"> city</w:t>
            </w:r>
          </w:p>
        </w:tc>
        <w:tc>
          <w:tcPr>
            <w:tcW w:w="850" w:type="dxa"/>
            <w:shd w:val="clear" w:color="auto" w:fill="auto"/>
          </w:tcPr>
          <w:p w14:paraId="48C27A5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1,805</w:t>
            </w:r>
          </w:p>
        </w:tc>
        <w:tc>
          <w:tcPr>
            <w:tcW w:w="850" w:type="dxa"/>
            <w:shd w:val="clear" w:color="auto" w:fill="auto"/>
          </w:tcPr>
          <w:p w14:paraId="67DCA56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6C1A6E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E2BA60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B8D65C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A85B00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1,805</w:t>
            </w:r>
          </w:p>
        </w:tc>
      </w:tr>
      <w:tr w:rsidR="005958CD" w:rsidRPr="00704BD4" w14:paraId="33AAABD2" w14:textId="77777777" w:rsidTr="00C52D24">
        <w:trPr>
          <w:trHeight w:val="156"/>
          <w:jc w:val="center"/>
        </w:trPr>
        <w:tc>
          <w:tcPr>
            <w:tcW w:w="3798" w:type="dxa"/>
            <w:shd w:val="clear" w:color="auto" w:fill="auto"/>
            <w:vAlign w:val="center"/>
          </w:tcPr>
          <w:p w14:paraId="23144724"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Making our roads safer while keeping Canberra moving</w:t>
            </w:r>
          </w:p>
        </w:tc>
        <w:tc>
          <w:tcPr>
            <w:tcW w:w="850" w:type="dxa"/>
            <w:shd w:val="clear" w:color="auto" w:fill="auto"/>
          </w:tcPr>
          <w:p w14:paraId="5BF9E8D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9,214</w:t>
            </w:r>
          </w:p>
        </w:tc>
        <w:tc>
          <w:tcPr>
            <w:tcW w:w="850" w:type="dxa"/>
            <w:shd w:val="clear" w:color="auto" w:fill="auto"/>
          </w:tcPr>
          <w:p w14:paraId="1D67A71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7,000</w:t>
            </w:r>
          </w:p>
        </w:tc>
        <w:tc>
          <w:tcPr>
            <w:tcW w:w="850" w:type="dxa"/>
            <w:shd w:val="clear" w:color="auto" w:fill="auto"/>
          </w:tcPr>
          <w:p w14:paraId="2C816B9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C09DBC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2140F2D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3B075F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16,214</w:t>
            </w:r>
          </w:p>
        </w:tc>
      </w:tr>
      <w:tr w:rsidR="005958CD" w:rsidRPr="00704BD4" w14:paraId="58DEE7CE" w14:textId="77777777" w:rsidTr="00C52D24">
        <w:trPr>
          <w:trHeight w:val="156"/>
          <w:jc w:val="center"/>
        </w:trPr>
        <w:tc>
          <w:tcPr>
            <w:tcW w:w="3798" w:type="dxa"/>
            <w:shd w:val="clear" w:color="auto" w:fill="auto"/>
            <w:vAlign w:val="center"/>
          </w:tcPr>
          <w:p w14:paraId="358E736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Materials Recovery Facility expansion</w:t>
            </w:r>
          </w:p>
        </w:tc>
        <w:tc>
          <w:tcPr>
            <w:tcW w:w="850" w:type="dxa"/>
            <w:shd w:val="clear" w:color="auto" w:fill="auto"/>
          </w:tcPr>
          <w:p w14:paraId="34ED0CC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244</w:t>
            </w:r>
          </w:p>
        </w:tc>
        <w:tc>
          <w:tcPr>
            <w:tcW w:w="850" w:type="dxa"/>
            <w:shd w:val="clear" w:color="auto" w:fill="auto"/>
          </w:tcPr>
          <w:p w14:paraId="0510258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5,500</w:t>
            </w:r>
          </w:p>
        </w:tc>
        <w:tc>
          <w:tcPr>
            <w:tcW w:w="850" w:type="dxa"/>
            <w:shd w:val="clear" w:color="auto" w:fill="auto"/>
          </w:tcPr>
          <w:p w14:paraId="577B9F5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C9C2EB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EB8C3C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213A691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5,744</w:t>
            </w:r>
          </w:p>
        </w:tc>
      </w:tr>
      <w:tr w:rsidR="005958CD" w:rsidRPr="00704BD4" w14:paraId="10451ED6" w14:textId="77777777" w:rsidTr="00C52D24">
        <w:trPr>
          <w:trHeight w:val="156"/>
          <w:jc w:val="center"/>
        </w:trPr>
        <w:tc>
          <w:tcPr>
            <w:tcW w:w="3798" w:type="dxa"/>
            <w:shd w:val="clear" w:color="auto" w:fill="auto"/>
            <w:vAlign w:val="center"/>
          </w:tcPr>
          <w:p w14:paraId="7A6FB01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carparks for Palmerston Shops and Cooleman Court</w:t>
            </w:r>
          </w:p>
        </w:tc>
        <w:tc>
          <w:tcPr>
            <w:tcW w:w="850" w:type="dxa"/>
            <w:shd w:val="clear" w:color="auto" w:fill="auto"/>
          </w:tcPr>
          <w:p w14:paraId="29C4200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394</w:t>
            </w:r>
          </w:p>
        </w:tc>
        <w:tc>
          <w:tcPr>
            <w:tcW w:w="850" w:type="dxa"/>
            <w:shd w:val="clear" w:color="auto" w:fill="auto"/>
          </w:tcPr>
          <w:p w14:paraId="640E72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94D97A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0BF313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1CEEAA2"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A0C2DC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394</w:t>
            </w:r>
          </w:p>
        </w:tc>
      </w:tr>
      <w:tr w:rsidR="005958CD" w:rsidRPr="00704BD4" w14:paraId="5F57FD5B" w14:textId="77777777" w:rsidTr="00C52D24">
        <w:trPr>
          <w:trHeight w:val="156"/>
          <w:jc w:val="center"/>
        </w:trPr>
        <w:tc>
          <w:tcPr>
            <w:tcW w:w="3798" w:type="dxa"/>
            <w:shd w:val="clear" w:color="auto" w:fill="auto"/>
            <w:vAlign w:val="center"/>
          </w:tcPr>
          <w:p w14:paraId="46BCAEA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jobs for our growing city - Better town centres</w:t>
            </w:r>
          </w:p>
        </w:tc>
        <w:tc>
          <w:tcPr>
            <w:tcW w:w="850" w:type="dxa"/>
            <w:shd w:val="clear" w:color="auto" w:fill="auto"/>
          </w:tcPr>
          <w:p w14:paraId="4F858F1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28</w:t>
            </w:r>
          </w:p>
        </w:tc>
        <w:tc>
          <w:tcPr>
            <w:tcW w:w="850" w:type="dxa"/>
            <w:shd w:val="clear" w:color="auto" w:fill="auto"/>
          </w:tcPr>
          <w:p w14:paraId="51CE5AD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47EBD0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D26526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2339DA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132A7B1"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28</w:t>
            </w:r>
          </w:p>
        </w:tc>
      </w:tr>
      <w:tr w:rsidR="005958CD" w:rsidRPr="00704BD4" w14:paraId="4D8905CF" w14:textId="77777777" w:rsidTr="00C52D24">
        <w:trPr>
          <w:trHeight w:val="156"/>
          <w:jc w:val="center"/>
        </w:trPr>
        <w:tc>
          <w:tcPr>
            <w:tcW w:w="3798" w:type="dxa"/>
            <w:shd w:val="clear" w:color="auto" w:fill="auto"/>
            <w:vAlign w:val="center"/>
          </w:tcPr>
          <w:p w14:paraId="4D9F648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Better waste management</w:t>
            </w:r>
          </w:p>
        </w:tc>
        <w:tc>
          <w:tcPr>
            <w:tcW w:w="850" w:type="dxa"/>
            <w:shd w:val="clear" w:color="auto" w:fill="auto"/>
          </w:tcPr>
          <w:p w14:paraId="76E13C8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1,150</w:t>
            </w:r>
          </w:p>
        </w:tc>
        <w:tc>
          <w:tcPr>
            <w:tcW w:w="850" w:type="dxa"/>
            <w:shd w:val="clear" w:color="auto" w:fill="auto"/>
          </w:tcPr>
          <w:p w14:paraId="39DCEA6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B1A458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9E9C4B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82BE8A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78968D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1,150</w:t>
            </w:r>
          </w:p>
        </w:tc>
      </w:tr>
      <w:tr w:rsidR="005958CD" w:rsidRPr="00704BD4" w14:paraId="3FC16888" w14:textId="77777777" w:rsidTr="00C52D24">
        <w:trPr>
          <w:trHeight w:val="156"/>
          <w:jc w:val="center"/>
        </w:trPr>
        <w:tc>
          <w:tcPr>
            <w:tcW w:w="3798" w:type="dxa"/>
            <w:shd w:val="clear" w:color="auto" w:fill="auto"/>
            <w:vAlign w:val="center"/>
          </w:tcPr>
          <w:p w14:paraId="1CB0A507"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Bringing Woden Town Square to life</w:t>
            </w:r>
          </w:p>
        </w:tc>
        <w:tc>
          <w:tcPr>
            <w:tcW w:w="850" w:type="dxa"/>
            <w:shd w:val="clear" w:color="auto" w:fill="auto"/>
          </w:tcPr>
          <w:p w14:paraId="3FB7B45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464</w:t>
            </w:r>
          </w:p>
        </w:tc>
        <w:tc>
          <w:tcPr>
            <w:tcW w:w="850" w:type="dxa"/>
            <w:shd w:val="clear" w:color="auto" w:fill="auto"/>
          </w:tcPr>
          <w:p w14:paraId="058D58C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A946DF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B4C619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C49DB0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864028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464</w:t>
            </w:r>
          </w:p>
        </w:tc>
      </w:tr>
      <w:tr w:rsidR="005958CD" w:rsidRPr="00704BD4" w14:paraId="08D7ECE8" w14:textId="77777777" w:rsidTr="00C52D24">
        <w:trPr>
          <w:trHeight w:val="156"/>
          <w:jc w:val="center"/>
        </w:trPr>
        <w:tc>
          <w:tcPr>
            <w:tcW w:w="3798" w:type="dxa"/>
            <w:shd w:val="clear" w:color="auto" w:fill="auto"/>
            <w:vAlign w:val="center"/>
          </w:tcPr>
          <w:p w14:paraId="79D3F66E"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More trees</w:t>
            </w:r>
          </w:p>
        </w:tc>
        <w:tc>
          <w:tcPr>
            <w:tcW w:w="850" w:type="dxa"/>
            <w:shd w:val="clear" w:color="auto" w:fill="auto"/>
          </w:tcPr>
          <w:p w14:paraId="53A1CFA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26</w:t>
            </w:r>
          </w:p>
        </w:tc>
        <w:tc>
          <w:tcPr>
            <w:tcW w:w="850" w:type="dxa"/>
            <w:shd w:val="clear" w:color="auto" w:fill="auto"/>
          </w:tcPr>
          <w:p w14:paraId="01A8E11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6D0D10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3EFDBE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3D4E4F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961D29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26</w:t>
            </w:r>
          </w:p>
        </w:tc>
      </w:tr>
      <w:tr w:rsidR="005958CD" w:rsidRPr="00704BD4" w14:paraId="3F1D6EA0" w14:textId="77777777" w:rsidTr="00C52D24">
        <w:trPr>
          <w:trHeight w:val="156"/>
          <w:jc w:val="center"/>
        </w:trPr>
        <w:tc>
          <w:tcPr>
            <w:tcW w:w="3798" w:type="dxa"/>
            <w:shd w:val="clear" w:color="auto" w:fill="auto"/>
            <w:vAlign w:val="center"/>
          </w:tcPr>
          <w:p w14:paraId="5EA826CB"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Parkwood estate rehabilitation</w:t>
            </w:r>
          </w:p>
        </w:tc>
        <w:tc>
          <w:tcPr>
            <w:tcW w:w="850" w:type="dxa"/>
            <w:shd w:val="clear" w:color="auto" w:fill="auto"/>
          </w:tcPr>
          <w:p w14:paraId="73E5218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788</w:t>
            </w:r>
          </w:p>
        </w:tc>
        <w:tc>
          <w:tcPr>
            <w:tcW w:w="850" w:type="dxa"/>
            <w:shd w:val="clear" w:color="auto" w:fill="auto"/>
          </w:tcPr>
          <w:p w14:paraId="3843DB1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3,550</w:t>
            </w:r>
          </w:p>
        </w:tc>
        <w:tc>
          <w:tcPr>
            <w:tcW w:w="850" w:type="dxa"/>
            <w:shd w:val="clear" w:color="auto" w:fill="auto"/>
          </w:tcPr>
          <w:p w14:paraId="1E399B5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308133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7D720CC"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311DB7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4,338</w:t>
            </w:r>
          </w:p>
        </w:tc>
      </w:tr>
      <w:tr w:rsidR="005958CD" w:rsidRPr="00704BD4" w14:paraId="3935AABD" w14:textId="77777777" w:rsidTr="00C52D24">
        <w:trPr>
          <w:trHeight w:val="156"/>
          <w:jc w:val="center"/>
        </w:trPr>
        <w:tc>
          <w:tcPr>
            <w:tcW w:w="3798" w:type="dxa"/>
            <w:shd w:val="clear" w:color="auto" w:fill="auto"/>
            <w:vAlign w:val="center"/>
          </w:tcPr>
          <w:p w14:paraId="6729B668"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services for our suburbs - Southern Memorial Park Detailed Design</w:t>
            </w:r>
          </w:p>
        </w:tc>
        <w:tc>
          <w:tcPr>
            <w:tcW w:w="850" w:type="dxa"/>
            <w:shd w:val="clear" w:color="auto" w:fill="auto"/>
          </w:tcPr>
          <w:p w14:paraId="46479C2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584</w:t>
            </w:r>
          </w:p>
        </w:tc>
        <w:tc>
          <w:tcPr>
            <w:tcW w:w="850" w:type="dxa"/>
            <w:shd w:val="clear" w:color="auto" w:fill="auto"/>
          </w:tcPr>
          <w:p w14:paraId="443E855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w:t>
            </w:r>
          </w:p>
        </w:tc>
        <w:tc>
          <w:tcPr>
            <w:tcW w:w="850" w:type="dxa"/>
            <w:shd w:val="clear" w:color="auto" w:fill="auto"/>
          </w:tcPr>
          <w:p w14:paraId="2D8E608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800</w:t>
            </w:r>
          </w:p>
        </w:tc>
        <w:tc>
          <w:tcPr>
            <w:tcW w:w="850" w:type="dxa"/>
            <w:shd w:val="clear" w:color="auto" w:fill="auto"/>
          </w:tcPr>
          <w:p w14:paraId="4A18FF0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BFD1C1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82B890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1,884</w:t>
            </w:r>
          </w:p>
        </w:tc>
      </w:tr>
      <w:tr w:rsidR="005958CD" w:rsidRPr="00704BD4" w14:paraId="723AF059" w14:textId="77777777" w:rsidTr="00C52D24">
        <w:trPr>
          <w:trHeight w:val="156"/>
          <w:jc w:val="center"/>
        </w:trPr>
        <w:tc>
          <w:tcPr>
            <w:tcW w:w="3798" w:type="dxa"/>
            <w:shd w:val="clear" w:color="auto" w:fill="auto"/>
            <w:vAlign w:val="center"/>
          </w:tcPr>
          <w:p w14:paraId="5AE3E79B"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More support for families and inclusion - Keeping Canberrans safe in public places</w:t>
            </w:r>
          </w:p>
        </w:tc>
        <w:tc>
          <w:tcPr>
            <w:tcW w:w="850" w:type="dxa"/>
            <w:shd w:val="clear" w:color="auto" w:fill="auto"/>
          </w:tcPr>
          <w:p w14:paraId="7439021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17</w:t>
            </w:r>
          </w:p>
        </w:tc>
        <w:tc>
          <w:tcPr>
            <w:tcW w:w="850" w:type="dxa"/>
            <w:shd w:val="clear" w:color="auto" w:fill="auto"/>
          </w:tcPr>
          <w:p w14:paraId="4A11416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308118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794FF1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A0C200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E3494B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17</w:t>
            </w:r>
          </w:p>
        </w:tc>
      </w:tr>
      <w:tr w:rsidR="005958CD" w:rsidRPr="00704BD4" w14:paraId="31F2A669" w14:textId="77777777" w:rsidTr="00C52D24">
        <w:trPr>
          <w:trHeight w:val="156"/>
          <w:jc w:val="center"/>
        </w:trPr>
        <w:tc>
          <w:tcPr>
            <w:tcW w:w="3798" w:type="dxa"/>
            <w:shd w:val="clear" w:color="auto" w:fill="auto"/>
            <w:vAlign w:val="center"/>
          </w:tcPr>
          <w:p w14:paraId="5A237081"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Northbourne Avenue pavement - Part 1 (ACT Contribution)</w:t>
            </w:r>
          </w:p>
        </w:tc>
        <w:tc>
          <w:tcPr>
            <w:tcW w:w="850" w:type="dxa"/>
            <w:shd w:val="clear" w:color="auto" w:fill="auto"/>
          </w:tcPr>
          <w:p w14:paraId="1C9FED8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3,000</w:t>
            </w:r>
          </w:p>
        </w:tc>
        <w:tc>
          <w:tcPr>
            <w:tcW w:w="850" w:type="dxa"/>
            <w:shd w:val="clear" w:color="auto" w:fill="auto"/>
          </w:tcPr>
          <w:p w14:paraId="3E68977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D8732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6AB3D4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25A1EB7"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659111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3,000</w:t>
            </w:r>
          </w:p>
        </w:tc>
      </w:tr>
      <w:tr w:rsidR="005958CD" w:rsidRPr="00704BD4" w14:paraId="5C211788" w14:textId="77777777" w:rsidTr="002C0E51">
        <w:trPr>
          <w:trHeight w:val="156"/>
          <w:jc w:val="center"/>
        </w:trPr>
        <w:tc>
          <w:tcPr>
            <w:tcW w:w="3798" w:type="dxa"/>
            <w:shd w:val="clear" w:color="auto" w:fill="auto"/>
            <w:vAlign w:val="center"/>
          </w:tcPr>
          <w:p w14:paraId="44E6D3F3"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Northbourne Avenue pavement - Part 1 (Cth Contribution)</w:t>
            </w:r>
          </w:p>
        </w:tc>
        <w:tc>
          <w:tcPr>
            <w:tcW w:w="850" w:type="dxa"/>
            <w:shd w:val="clear" w:color="auto" w:fill="auto"/>
          </w:tcPr>
          <w:p w14:paraId="665DE7E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1,252</w:t>
            </w:r>
          </w:p>
        </w:tc>
        <w:tc>
          <w:tcPr>
            <w:tcW w:w="850" w:type="dxa"/>
            <w:shd w:val="clear" w:color="auto" w:fill="auto"/>
          </w:tcPr>
          <w:p w14:paraId="3B96152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7B5842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99ACA7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2256275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E2F6AC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1,252</w:t>
            </w:r>
          </w:p>
        </w:tc>
      </w:tr>
      <w:tr w:rsidR="005958CD" w:rsidRPr="00704BD4" w14:paraId="0DAD0DF0" w14:textId="77777777" w:rsidTr="002C0E51">
        <w:trPr>
          <w:trHeight w:val="156"/>
          <w:jc w:val="center"/>
        </w:trPr>
        <w:tc>
          <w:tcPr>
            <w:tcW w:w="3798" w:type="dxa"/>
            <w:shd w:val="clear" w:color="auto" w:fill="auto"/>
            <w:vAlign w:val="center"/>
          </w:tcPr>
          <w:p w14:paraId="7C90AD2C"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Northbourne Avenue pavement - Part 2 (ACT Contribution)</w:t>
            </w:r>
          </w:p>
        </w:tc>
        <w:tc>
          <w:tcPr>
            <w:tcW w:w="850" w:type="dxa"/>
            <w:shd w:val="clear" w:color="auto" w:fill="auto"/>
          </w:tcPr>
          <w:p w14:paraId="555058F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837</w:t>
            </w:r>
          </w:p>
        </w:tc>
        <w:tc>
          <w:tcPr>
            <w:tcW w:w="850" w:type="dxa"/>
            <w:shd w:val="clear" w:color="auto" w:fill="auto"/>
          </w:tcPr>
          <w:p w14:paraId="067299E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58640E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A73C00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059B4AC7"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190738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837</w:t>
            </w:r>
          </w:p>
        </w:tc>
      </w:tr>
      <w:tr w:rsidR="005958CD" w:rsidRPr="00704BD4" w14:paraId="43415E82" w14:textId="77777777" w:rsidTr="002C0E51">
        <w:trPr>
          <w:trHeight w:val="156"/>
          <w:jc w:val="center"/>
        </w:trPr>
        <w:tc>
          <w:tcPr>
            <w:tcW w:w="3798" w:type="dxa"/>
            <w:shd w:val="clear" w:color="auto" w:fill="auto"/>
            <w:vAlign w:val="center"/>
          </w:tcPr>
          <w:p w14:paraId="42FC686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lastRenderedPageBreak/>
              <w:t>Northbourne Avenue pavement - Part 2 (Cth Contribution)</w:t>
            </w:r>
          </w:p>
        </w:tc>
        <w:tc>
          <w:tcPr>
            <w:tcW w:w="850" w:type="dxa"/>
            <w:shd w:val="clear" w:color="auto" w:fill="auto"/>
          </w:tcPr>
          <w:p w14:paraId="683D5A4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837</w:t>
            </w:r>
          </w:p>
        </w:tc>
        <w:tc>
          <w:tcPr>
            <w:tcW w:w="850" w:type="dxa"/>
            <w:shd w:val="clear" w:color="auto" w:fill="auto"/>
          </w:tcPr>
          <w:p w14:paraId="14BD5E7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FDDBAB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85012B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2EB887E"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0E02D94"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837</w:t>
            </w:r>
          </w:p>
        </w:tc>
      </w:tr>
      <w:tr w:rsidR="005958CD" w:rsidRPr="00704BD4" w14:paraId="14652B92" w14:textId="77777777" w:rsidTr="00C52D24">
        <w:trPr>
          <w:trHeight w:val="156"/>
          <w:jc w:val="center"/>
        </w:trPr>
        <w:tc>
          <w:tcPr>
            <w:tcW w:w="3798" w:type="dxa"/>
            <w:shd w:val="clear" w:color="auto" w:fill="auto"/>
            <w:vAlign w:val="center"/>
          </w:tcPr>
          <w:p w14:paraId="3DD36F9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Northbourne Avenue pavement - Part 3 (ACT Contribution)</w:t>
            </w:r>
          </w:p>
        </w:tc>
        <w:tc>
          <w:tcPr>
            <w:tcW w:w="850" w:type="dxa"/>
            <w:shd w:val="clear" w:color="auto" w:fill="auto"/>
          </w:tcPr>
          <w:p w14:paraId="736D40A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750</w:t>
            </w:r>
          </w:p>
        </w:tc>
        <w:tc>
          <w:tcPr>
            <w:tcW w:w="850" w:type="dxa"/>
            <w:shd w:val="clear" w:color="auto" w:fill="auto"/>
          </w:tcPr>
          <w:p w14:paraId="415570F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5DAFBE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CFEE71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9F5630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5E60545"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750</w:t>
            </w:r>
          </w:p>
        </w:tc>
      </w:tr>
      <w:tr w:rsidR="005958CD" w:rsidRPr="00704BD4" w14:paraId="71A77BD8" w14:textId="77777777" w:rsidTr="00C52D24">
        <w:trPr>
          <w:trHeight w:val="156"/>
          <w:jc w:val="center"/>
        </w:trPr>
        <w:tc>
          <w:tcPr>
            <w:tcW w:w="3798" w:type="dxa"/>
            <w:shd w:val="clear" w:color="auto" w:fill="auto"/>
            <w:vAlign w:val="center"/>
          </w:tcPr>
          <w:p w14:paraId="08452B2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Northbourne Avenue pavement - Part 3 (Cth Contribution)</w:t>
            </w:r>
          </w:p>
        </w:tc>
        <w:tc>
          <w:tcPr>
            <w:tcW w:w="850" w:type="dxa"/>
            <w:shd w:val="clear" w:color="auto" w:fill="auto"/>
          </w:tcPr>
          <w:p w14:paraId="60942F1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683</w:t>
            </w:r>
          </w:p>
        </w:tc>
        <w:tc>
          <w:tcPr>
            <w:tcW w:w="850" w:type="dxa"/>
            <w:shd w:val="clear" w:color="auto" w:fill="auto"/>
          </w:tcPr>
          <w:p w14:paraId="2FE01FC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42F467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4AF402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23C50B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EF03ED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683</w:t>
            </w:r>
          </w:p>
        </w:tc>
      </w:tr>
      <w:tr w:rsidR="005958CD" w:rsidRPr="00704BD4" w14:paraId="3CC7A5BD" w14:textId="77777777" w:rsidTr="00C52D24">
        <w:trPr>
          <w:trHeight w:val="156"/>
          <w:jc w:val="center"/>
        </w:trPr>
        <w:tc>
          <w:tcPr>
            <w:tcW w:w="3798" w:type="dxa"/>
            <w:shd w:val="clear" w:color="auto" w:fill="auto"/>
            <w:vAlign w:val="center"/>
          </w:tcPr>
          <w:p w14:paraId="41470115"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 xml:space="preserve">Parkes Way early works (ACT Contribution) </w:t>
            </w:r>
          </w:p>
        </w:tc>
        <w:tc>
          <w:tcPr>
            <w:tcW w:w="850" w:type="dxa"/>
            <w:shd w:val="clear" w:color="auto" w:fill="auto"/>
          </w:tcPr>
          <w:p w14:paraId="5C0166F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1,826</w:t>
            </w:r>
          </w:p>
        </w:tc>
        <w:tc>
          <w:tcPr>
            <w:tcW w:w="850" w:type="dxa"/>
            <w:shd w:val="clear" w:color="auto" w:fill="auto"/>
          </w:tcPr>
          <w:p w14:paraId="3CD7A72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655</w:t>
            </w:r>
          </w:p>
        </w:tc>
        <w:tc>
          <w:tcPr>
            <w:tcW w:w="850" w:type="dxa"/>
            <w:shd w:val="clear" w:color="auto" w:fill="auto"/>
          </w:tcPr>
          <w:p w14:paraId="3834A7C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715A65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49ADC5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40346F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2,481</w:t>
            </w:r>
          </w:p>
        </w:tc>
      </w:tr>
      <w:tr w:rsidR="005958CD" w:rsidRPr="00704BD4" w14:paraId="61D84A22" w14:textId="77777777" w:rsidTr="00C52D24">
        <w:trPr>
          <w:trHeight w:val="156"/>
          <w:jc w:val="center"/>
        </w:trPr>
        <w:tc>
          <w:tcPr>
            <w:tcW w:w="3798" w:type="dxa"/>
            <w:shd w:val="clear" w:color="auto" w:fill="auto"/>
            <w:vAlign w:val="center"/>
          </w:tcPr>
          <w:p w14:paraId="522E1C4D"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Parkes Way early works (Cth Contribution)</w:t>
            </w:r>
          </w:p>
        </w:tc>
        <w:tc>
          <w:tcPr>
            <w:tcW w:w="850" w:type="dxa"/>
            <w:shd w:val="clear" w:color="auto" w:fill="auto"/>
          </w:tcPr>
          <w:p w14:paraId="4E008B3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1,819</w:t>
            </w:r>
          </w:p>
        </w:tc>
        <w:tc>
          <w:tcPr>
            <w:tcW w:w="850" w:type="dxa"/>
            <w:shd w:val="clear" w:color="auto" w:fill="auto"/>
          </w:tcPr>
          <w:p w14:paraId="05EA982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650</w:t>
            </w:r>
          </w:p>
        </w:tc>
        <w:tc>
          <w:tcPr>
            <w:tcW w:w="850" w:type="dxa"/>
            <w:shd w:val="clear" w:color="auto" w:fill="auto"/>
          </w:tcPr>
          <w:p w14:paraId="13DACBD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BCB6E4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653160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C7FE74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2,469</w:t>
            </w:r>
          </w:p>
        </w:tc>
      </w:tr>
      <w:tr w:rsidR="005958CD" w:rsidRPr="00704BD4" w14:paraId="520DEA97" w14:textId="77777777" w:rsidTr="00C52D24">
        <w:trPr>
          <w:trHeight w:val="156"/>
          <w:jc w:val="center"/>
        </w:trPr>
        <w:tc>
          <w:tcPr>
            <w:tcW w:w="3798" w:type="dxa"/>
            <w:shd w:val="clear" w:color="auto" w:fill="auto"/>
            <w:vAlign w:val="center"/>
          </w:tcPr>
          <w:p w14:paraId="41A0F529"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Planning and design for a zero-emissions bus network</w:t>
            </w:r>
          </w:p>
        </w:tc>
        <w:tc>
          <w:tcPr>
            <w:tcW w:w="850" w:type="dxa"/>
            <w:shd w:val="clear" w:color="auto" w:fill="auto"/>
          </w:tcPr>
          <w:p w14:paraId="56E9F49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780</w:t>
            </w:r>
          </w:p>
        </w:tc>
        <w:tc>
          <w:tcPr>
            <w:tcW w:w="850" w:type="dxa"/>
            <w:shd w:val="clear" w:color="auto" w:fill="auto"/>
          </w:tcPr>
          <w:p w14:paraId="6858543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FA481C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5136C1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525613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160ED4F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780</w:t>
            </w:r>
          </w:p>
        </w:tc>
      </w:tr>
      <w:tr w:rsidR="005958CD" w:rsidRPr="00704BD4" w14:paraId="2C8951FB" w14:textId="77777777" w:rsidTr="00C52D24">
        <w:trPr>
          <w:trHeight w:val="156"/>
          <w:jc w:val="center"/>
        </w:trPr>
        <w:tc>
          <w:tcPr>
            <w:tcW w:w="3798" w:type="dxa"/>
            <w:shd w:val="clear" w:color="auto" w:fill="auto"/>
            <w:vAlign w:val="center"/>
          </w:tcPr>
          <w:p w14:paraId="7AED8648"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Planning better roads for our growing city - Morisset Road extension - Review of design and approvals</w:t>
            </w:r>
          </w:p>
        </w:tc>
        <w:tc>
          <w:tcPr>
            <w:tcW w:w="850" w:type="dxa"/>
            <w:shd w:val="clear" w:color="auto" w:fill="auto"/>
          </w:tcPr>
          <w:p w14:paraId="054579C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609</w:t>
            </w:r>
          </w:p>
        </w:tc>
        <w:tc>
          <w:tcPr>
            <w:tcW w:w="850" w:type="dxa"/>
            <w:shd w:val="clear" w:color="auto" w:fill="auto"/>
          </w:tcPr>
          <w:p w14:paraId="555DD0C9"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B1F94C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59B3D0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F81323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A709823"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609</w:t>
            </w:r>
          </w:p>
        </w:tc>
      </w:tr>
      <w:tr w:rsidR="005958CD" w:rsidRPr="00704BD4" w14:paraId="4EA14BE3" w14:textId="77777777" w:rsidTr="00C52D24">
        <w:trPr>
          <w:trHeight w:val="156"/>
          <w:jc w:val="center"/>
        </w:trPr>
        <w:tc>
          <w:tcPr>
            <w:tcW w:w="3798" w:type="dxa"/>
            <w:shd w:val="clear" w:color="auto" w:fill="auto"/>
            <w:vAlign w:val="center"/>
          </w:tcPr>
          <w:p w14:paraId="2B1AC6CD"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Planning better roads for our growing city - William Hovell Drive - Detail design</w:t>
            </w:r>
          </w:p>
        </w:tc>
        <w:tc>
          <w:tcPr>
            <w:tcW w:w="850" w:type="dxa"/>
            <w:shd w:val="clear" w:color="auto" w:fill="auto"/>
          </w:tcPr>
          <w:p w14:paraId="3D497E4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584</w:t>
            </w:r>
          </w:p>
        </w:tc>
        <w:tc>
          <w:tcPr>
            <w:tcW w:w="850" w:type="dxa"/>
            <w:shd w:val="clear" w:color="auto" w:fill="auto"/>
          </w:tcPr>
          <w:p w14:paraId="477EB23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28830A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DBEC7B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AFF890C"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78397097"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584</w:t>
            </w:r>
          </w:p>
        </w:tc>
      </w:tr>
      <w:tr w:rsidR="005958CD" w:rsidRPr="00704BD4" w14:paraId="022FD0A8" w14:textId="77777777" w:rsidTr="00C52D24">
        <w:trPr>
          <w:trHeight w:val="156"/>
          <w:jc w:val="center"/>
        </w:trPr>
        <w:tc>
          <w:tcPr>
            <w:tcW w:w="3798" w:type="dxa"/>
            <w:shd w:val="clear" w:color="auto" w:fill="auto"/>
            <w:vAlign w:val="center"/>
          </w:tcPr>
          <w:p w14:paraId="1CE9273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improvements (ACT Contribution)</w:t>
            </w:r>
          </w:p>
        </w:tc>
        <w:tc>
          <w:tcPr>
            <w:tcW w:w="850" w:type="dxa"/>
            <w:shd w:val="clear" w:color="auto" w:fill="auto"/>
          </w:tcPr>
          <w:p w14:paraId="379179F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3,930</w:t>
            </w:r>
          </w:p>
        </w:tc>
        <w:tc>
          <w:tcPr>
            <w:tcW w:w="850" w:type="dxa"/>
            <w:shd w:val="clear" w:color="auto" w:fill="auto"/>
          </w:tcPr>
          <w:p w14:paraId="62FFBEA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1,000</w:t>
            </w:r>
          </w:p>
        </w:tc>
        <w:tc>
          <w:tcPr>
            <w:tcW w:w="850" w:type="dxa"/>
            <w:shd w:val="clear" w:color="auto" w:fill="auto"/>
          </w:tcPr>
          <w:p w14:paraId="084318E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11EAA1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06FDDD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E9F594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4,930</w:t>
            </w:r>
          </w:p>
        </w:tc>
      </w:tr>
      <w:tr w:rsidR="005958CD" w:rsidRPr="00704BD4" w14:paraId="4A6BDD11" w14:textId="77777777" w:rsidTr="00C52D24">
        <w:trPr>
          <w:trHeight w:val="156"/>
          <w:jc w:val="center"/>
        </w:trPr>
        <w:tc>
          <w:tcPr>
            <w:tcW w:w="3798" w:type="dxa"/>
            <w:shd w:val="clear" w:color="auto" w:fill="auto"/>
            <w:vAlign w:val="center"/>
          </w:tcPr>
          <w:p w14:paraId="7F647FC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improvements (Cth Contribution)</w:t>
            </w:r>
          </w:p>
        </w:tc>
        <w:tc>
          <w:tcPr>
            <w:tcW w:w="850" w:type="dxa"/>
            <w:shd w:val="clear" w:color="auto" w:fill="auto"/>
          </w:tcPr>
          <w:p w14:paraId="4D87628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3,922</w:t>
            </w:r>
          </w:p>
        </w:tc>
        <w:tc>
          <w:tcPr>
            <w:tcW w:w="850" w:type="dxa"/>
            <w:shd w:val="clear" w:color="auto" w:fill="auto"/>
          </w:tcPr>
          <w:p w14:paraId="5DDB55B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2743FA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0BB7C6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3A164B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1A1E21A"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3,922</w:t>
            </w:r>
          </w:p>
        </w:tc>
      </w:tr>
      <w:tr w:rsidR="005958CD" w:rsidRPr="00704BD4" w14:paraId="61F03550" w14:textId="77777777" w:rsidTr="00C52D24">
        <w:trPr>
          <w:trHeight w:val="156"/>
          <w:jc w:val="center"/>
        </w:trPr>
        <w:tc>
          <w:tcPr>
            <w:tcW w:w="3798" w:type="dxa"/>
            <w:shd w:val="clear" w:color="auto" w:fill="auto"/>
            <w:vAlign w:val="center"/>
          </w:tcPr>
          <w:p w14:paraId="270CC0A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Road safety barriers (ACT Contribution)</w:t>
            </w:r>
          </w:p>
        </w:tc>
        <w:tc>
          <w:tcPr>
            <w:tcW w:w="850" w:type="dxa"/>
            <w:shd w:val="clear" w:color="auto" w:fill="auto"/>
          </w:tcPr>
          <w:p w14:paraId="2F467FB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109</w:t>
            </w:r>
          </w:p>
        </w:tc>
        <w:tc>
          <w:tcPr>
            <w:tcW w:w="850" w:type="dxa"/>
            <w:shd w:val="clear" w:color="auto" w:fill="auto"/>
          </w:tcPr>
          <w:p w14:paraId="3E9F1F5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981665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43F80A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33856D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36983B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109</w:t>
            </w:r>
          </w:p>
        </w:tc>
      </w:tr>
      <w:tr w:rsidR="005958CD" w:rsidRPr="00704BD4" w14:paraId="60211632" w14:textId="77777777" w:rsidTr="00C52D24">
        <w:trPr>
          <w:trHeight w:val="156"/>
          <w:jc w:val="center"/>
        </w:trPr>
        <w:tc>
          <w:tcPr>
            <w:tcW w:w="3798" w:type="dxa"/>
            <w:shd w:val="clear" w:color="auto" w:fill="auto"/>
            <w:vAlign w:val="center"/>
          </w:tcPr>
          <w:p w14:paraId="573A32B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Road safety barriers (Cth Contribution)</w:t>
            </w:r>
          </w:p>
        </w:tc>
        <w:tc>
          <w:tcPr>
            <w:tcW w:w="850" w:type="dxa"/>
            <w:shd w:val="clear" w:color="auto" w:fill="auto"/>
          </w:tcPr>
          <w:p w14:paraId="6EB8DC4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109</w:t>
            </w:r>
          </w:p>
        </w:tc>
        <w:tc>
          <w:tcPr>
            <w:tcW w:w="850" w:type="dxa"/>
            <w:shd w:val="clear" w:color="auto" w:fill="auto"/>
          </w:tcPr>
          <w:p w14:paraId="44E7F11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11953C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3AFD14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AFBB441"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53F154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109</w:t>
            </w:r>
          </w:p>
        </w:tc>
      </w:tr>
      <w:tr w:rsidR="005958CD" w:rsidRPr="00704BD4" w14:paraId="77C4CF3D" w14:textId="77777777" w:rsidTr="00C52D24">
        <w:trPr>
          <w:trHeight w:val="156"/>
          <w:jc w:val="center"/>
        </w:trPr>
        <w:tc>
          <w:tcPr>
            <w:tcW w:w="3798" w:type="dxa"/>
            <w:shd w:val="clear" w:color="auto" w:fill="auto"/>
            <w:vAlign w:val="center"/>
          </w:tcPr>
          <w:p w14:paraId="705D533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Traffic signal uninterrupted power Supply (ACT Contribution)</w:t>
            </w:r>
          </w:p>
        </w:tc>
        <w:tc>
          <w:tcPr>
            <w:tcW w:w="850" w:type="dxa"/>
            <w:shd w:val="clear" w:color="auto" w:fill="auto"/>
          </w:tcPr>
          <w:p w14:paraId="474EDAD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106</w:t>
            </w:r>
          </w:p>
        </w:tc>
        <w:tc>
          <w:tcPr>
            <w:tcW w:w="850" w:type="dxa"/>
            <w:shd w:val="clear" w:color="auto" w:fill="auto"/>
          </w:tcPr>
          <w:p w14:paraId="372D82C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7FEF9F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3BC935C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311FF49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1F7500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106</w:t>
            </w:r>
          </w:p>
        </w:tc>
      </w:tr>
      <w:tr w:rsidR="005958CD" w:rsidRPr="00704BD4" w14:paraId="7A74E12B" w14:textId="77777777" w:rsidTr="00C52D24">
        <w:trPr>
          <w:trHeight w:val="156"/>
          <w:jc w:val="center"/>
        </w:trPr>
        <w:tc>
          <w:tcPr>
            <w:tcW w:w="3798" w:type="dxa"/>
            <w:shd w:val="clear" w:color="auto" w:fill="auto"/>
            <w:vAlign w:val="center"/>
          </w:tcPr>
          <w:p w14:paraId="544F3CB0"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Traffic signal uninterrupted power supply (Cth Contribution)</w:t>
            </w:r>
          </w:p>
        </w:tc>
        <w:tc>
          <w:tcPr>
            <w:tcW w:w="850" w:type="dxa"/>
            <w:shd w:val="clear" w:color="auto" w:fill="auto"/>
          </w:tcPr>
          <w:p w14:paraId="7ED80A9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106</w:t>
            </w:r>
          </w:p>
        </w:tc>
        <w:tc>
          <w:tcPr>
            <w:tcW w:w="850" w:type="dxa"/>
            <w:shd w:val="clear" w:color="auto" w:fill="auto"/>
          </w:tcPr>
          <w:p w14:paraId="411A6CB0"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DC87A4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F079D3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226C28F"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0402CCB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106</w:t>
            </w:r>
          </w:p>
        </w:tc>
      </w:tr>
      <w:tr w:rsidR="005958CD" w:rsidRPr="00704BD4" w14:paraId="228A84C8" w14:textId="77777777" w:rsidTr="00C52D24">
        <w:trPr>
          <w:trHeight w:val="156"/>
          <w:jc w:val="center"/>
        </w:trPr>
        <w:tc>
          <w:tcPr>
            <w:tcW w:w="3798" w:type="dxa"/>
            <w:shd w:val="clear" w:color="auto" w:fill="auto"/>
            <w:vAlign w:val="center"/>
          </w:tcPr>
          <w:p w14:paraId="70EF3A82"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Variable speed limit systems (ACT Contribution)</w:t>
            </w:r>
          </w:p>
        </w:tc>
        <w:tc>
          <w:tcPr>
            <w:tcW w:w="850" w:type="dxa"/>
            <w:shd w:val="clear" w:color="auto" w:fill="auto"/>
          </w:tcPr>
          <w:p w14:paraId="24A4923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1,192</w:t>
            </w:r>
          </w:p>
        </w:tc>
        <w:tc>
          <w:tcPr>
            <w:tcW w:w="850" w:type="dxa"/>
            <w:shd w:val="clear" w:color="auto" w:fill="auto"/>
          </w:tcPr>
          <w:p w14:paraId="588A7E6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421271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6E6659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FD52F53"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0853D39"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1,192</w:t>
            </w:r>
          </w:p>
        </w:tc>
      </w:tr>
      <w:tr w:rsidR="005958CD" w:rsidRPr="00704BD4" w14:paraId="1C6B839C" w14:textId="77777777" w:rsidTr="00C52D24">
        <w:trPr>
          <w:trHeight w:val="156"/>
          <w:jc w:val="center"/>
        </w:trPr>
        <w:tc>
          <w:tcPr>
            <w:tcW w:w="3798" w:type="dxa"/>
            <w:shd w:val="clear" w:color="auto" w:fill="auto"/>
            <w:vAlign w:val="center"/>
          </w:tcPr>
          <w:p w14:paraId="3714B4A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Road Safety Works - Variable speed limit systems (Cth Contribution)</w:t>
            </w:r>
          </w:p>
        </w:tc>
        <w:tc>
          <w:tcPr>
            <w:tcW w:w="850" w:type="dxa"/>
            <w:shd w:val="clear" w:color="auto" w:fill="auto"/>
          </w:tcPr>
          <w:p w14:paraId="3063A69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307</w:t>
            </w:r>
          </w:p>
        </w:tc>
        <w:tc>
          <w:tcPr>
            <w:tcW w:w="850" w:type="dxa"/>
            <w:shd w:val="clear" w:color="auto" w:fill="auto"/>
          </w:tcPr>
          <w:p w14:paraId="79FAB79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2262C3D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41FF3BB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7A2889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15EC9AB"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307</w:t>
            </w:r>
          </w:p>
        </w:tc>
      </w:tr>
      <w:tr w:rsidR="005958CD" w:rsidRPr="00704BD4" w14:paraId="54CAD49A" w14:textId="77777777" w:rsidTr="00C52D24">
        <w:trPr>
          <w:trHeight w:val="156"/>
          <w:jc w:val="center"/>
        </w:trPr>
        <w:tc>
          <w:tcPr>
            <w:tcW w:w="3798" w:type="dxa"/>
            <w:shd w:val="clear" w:color="auto" w:fill="auto"/>
            <w:vAlign w:val="center"/>
          </w:tcPr>
          <w:p w14:paraId="63A4AD05"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Schools for our growing city - Kenny High School</w:t>
            </w:r>
          </w:p>
        </w:tc>
        <w:tc>
          <w:tcPr>
            <w:tcW w:w="850" w:type="dxa"/>
            <w:shd w:val="clear" w:color="auto" w:fill="auto"/>
          </w:tcPr>
          <w:p w14:paraId="3F8E7F3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5,454</w:t>
            </w:r>
          </w:p>
        </w:tc>
        <w:tc>
          <w:tcPr>
            <w:tcW w:w="850" w:type="dxa"/>
            <w:shd w:val="clear" w:color="auto" w:fill="auto"/>
          </w:tcPr>
          <w:p w14:paraId="58B452F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10,370</w:t>
            </w:r>
          </w:p>
        </w:tc>
        <w:tc>
          <w:tcPr>
            <w:tcW w:w="850" w:type="dxa"/>
            <w:shd w:val="clear" w:color="auto" w:fill="auto"/>
          </w:tcPr>
          <w:p w14:paraId="18E0186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650</w:t>
            </w:r>
          </w:p>
        </w:tc>
        <w:tc>
          <w:tcPr>
            <w:tcW w:w="850" w:type="dxa"/>
            <w:shd w:val="clear" w:color="auto" w:fill="auto"/>
          </w:tcPr>
          <w:p w14:paraId="68155AF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64ED7D9"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69BB62D1"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16,474</w:t>
            </w:r>
          </w:p>
        </w:tc>
      </w:tr>
      <w:tr w:rsidR="005958CD" w:rsidRPr="00704BD4" w14:paraId="2D6F2088" w14:textId="77777777" w:rsidTr="00C52D24">
        <w:trPr>
          <w:trHeight w:val="156"/>
          <w:jc w:val="center"/>
        </w:trPr>
        <w:tc>
          <w:tcPr>
            <w:tcW w:w="3798" w:type="dxa"/>
            <w:shd w:val="clear" w:color="auto" w:fill="auto"/>
            <w:vAlign w:val="center"/>
          </w:tcPr>
          <w:p w14:paraId="044AE846"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Strengthening infrastructure supporting Canberra's new public transport network</w:t>
            </w:r>
          </w:p>
        </w:tc>
        <w:tc>
          <w:tcPr>
            <w:tcW w:w="850" w:type="dxa"/>
            <w:shd w:val="clear" w:color="auto" w:fill="auto"/>
          </w:tcPr>
          <w:p w14:paraId="48BD6E1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1,652</w:t>
            </w:r>
          </w:p>
        </w:tc>
        <w:tc>
          <w:tcPr>
            <w:tcW w:w="850" w:type="dxa"/>
            <w:shd w:val="clear" w:color="auto" w:fill="auto"/>
          </w:tcPr>
          <w:p w14:paraId="2636409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0A5832C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4A0BAE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53036F8"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5B9A156"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1,652</w:t>
            </w:r>
          </w:p>
        </w:tc>
      </w:tr>
      <w:tr w:rsidR="005958CD" w:rsidRPr="00704BD4" w14:paraId="2932A1D0" w14:textId="77777777" w:rsidTr="00C52D24">
        <w:trPr>
          <w:trHeight w:val="156"/>
          <w:jc w:val="center"/>
        </w:trPr>
        <w:tc>
          <w:tcPr>
            <w:tcW w:w="3798" w:type="dxa"/>
            <w:shd w:val="clear" w:color="auto" w:fill="auto"/>
            <w:vAlign w:val="center"/>
          </w:tcPr>
          <w:p w14:paraId="1B3FD567"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Supporting more Canberrans to park and ride</w:t>
            </w:r>
          </w:p>
        </w:tc>
        <w:tc>
          <w:tcPr>
            <w:tcW w:w="850" w:type="dxa"/>
            <w:shd w:val="clear" w:color="auto" w:fill="auto"/>
          </w:tcPr>
          <w:p w14:paraId="7AEA9BA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1,914</w:t>
            </w:r>
          </w:p>
        </w:tc>
        <w:tc>
          <w:tcPr>
            <w:tcW w:w="850" w:type="dxa"/>
            <w:shd w:val="clear" w:color="auto" w:fill="auto"/>
          </w:tcPr>
          <w:p w14:paraId="1561F0DF"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69624C1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B0DE73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5F6C3984"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5E765A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1,914</w:t>
            </w:r>
          </w:p>
        </w:tc>
      </w:tr>
      <w:tr w:rsidR="005958CD" w:rsidRPr="00704BD4" w14:paraId="3D9563EE" w14:textId="77777777" w:rsidTr="00C52D24">
        <w:trPr>
          <w:trHeight w:val="156"/>
          <w:jc w:val="center"/>
        </w:trPr>
        <w:tc>
          <w:tcPr>
            <w:tcW w:w="3798" w:type="dxa"/>
            <w:shd w:val="clear" w:color="auto" w:fill="auto"/>
            <w:vAlign w:val="center"/>
          </w:tcPr>
          <w:p w14:paraId="1676779D"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Transport for Canberra - Real Time Passenger Information System</w:t>
            </w:r>
          </w:p>
        </w:tc>
        <w:tc>
          <w:tcPr>
            <w:tcW w:w="850" w:type="dxa"/>
            <w:shd w:val="clear" w:color="auto" w:fill="auto"/>
          </w:tcPr>
          <w:p w14:paraId="59D78DB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1,555</w:t>
            </w:r>
          </w:p>
        </w:tc>
        <w:tc>
          <w:tcPr>
            <w:tcW w:w="850" w:type="dxa"/>
            <w:shd w:val="clear" w:color="auto" w:fill="auto"/>
          </w:tcPr>
          <w:p w14:paraId="3D646A7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5056226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37310A8"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052AFD5"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3F305E1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1,555</w:t>
            </w:r>
          </w:p>
        </w:tc>
      </w:tr>
      <w:tr w:rsidR="005958CD" w:rsidRPr="00704BD4" w14:paraId="167AF51B" w14:textId="77777777" w:rsidTr="00C52D24">
        <w:trPr>
          <w:trHeight w:val="156"/>
          <w:jc w:val="center"/>
        </w:trPr>
        <w:tc>
          <w:tcPr>
            <w:tcW w:w="3798" w:type="dxa"/>
            <w:shd w:val="clear" w:color="auto" w:fill="auto"/>
            <w:vAlign w:val="center"/>
          </w:tcPr>
          <w:p w14:paraId="27276C51"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Upgrading an intersection on Owen Dixon Drive (ACT Contribution)</w:t>
            </w:r>
          </w:p>
        </w:tc>
        <w:tc>
          <w:tcPr>
            <w:tcW w:w="850" w:type="dxa"/>
            <w:shd w:val="clear" w:color="auto" w:fill="auto"/>
          </w:tcPr>
          <w:p w14:paraId="2E732483"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164</w:t>
            </w:r>
          </w:p>
        </w:tc>
        <w:tc>
          <w:tcPr>
            <w:tcW w:w="850" w:type="dxa"/>
            <w:shd w:val="clear" w:color="auto" w:fill="auto"/>
          </w:tcPr>
          <w:p w14:paraId="124C7B3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4,500</w:t>
            </w:r>
          </w:p>
        </w:tc>
        <w:tc>
          <w:tcPr>
            <w:tcW w:w="850" w:type="dxa"/>
            <w:shd w:val="clear" w:color="auto" w:fill="auto"/>
          </w:tcPr>
          <w:p w14:paraId="1B1F238E"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14A3B1C4"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66E76200"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5A783DF"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4,664</w:t>
            </w:r>
          </w:p>
        </w:tc>
      </w:tr>
      <w:tr w:rsidR="005958CD" w:rsidRPr="00704BD4" w14:paraId="102CC429" w14:textId="77777777" w:rsidTr="00C52D24">
        <w:trPr>
          <w:trHeight w:val="156"/>
          <w:jc w:val="center"/>
        </w:trPr>
        <w:tc>
          <w:tcPr>
            <w:tcW w:w="3798" w:type="dxa"/>
            <w:shd w:val="clear" w:color="auto" w:fill="auto"/>
            <w:vAlign w:val="center"/>
          </w:tcPr>
          <w:p w14:paraId="0619C04A"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Upgrading an intersection on Owen Dixon Drive (Cth Contribution)</w:t>
            </w:r>
          </w:p>
        </w:tc>
        <w:tc>
          <w:tcPr>
            <w:tcW w:w="850" w:type="dxa"/>
            <w:shd w:val="clear" w:color="auto" w:fill="auto"/>
          </w:tcPr>
          <w:p w14:paraId="24F28231"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2,500</w:t>
            </w:r>
          </w:p>
        </w:tc>
        <w:tc>
          <w:tcPr>
            <w:tcW w:w="850" w:type="dxa"/>
            <w:shd w:val="clear" w:color="auto" w:fill="auto"/>
          </w:tcPr>
          <w:p w14:paraId="06796B32"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2,500</w:t>
            </w:r>
          </w:p>
        </w:tc>
        <w:tc>
          <w:tcPr>
            <w:tcW w:w="850" w:type="dxa"/>
            <w:shd w:val="clear" w:color="auto" w:fill="auto"/>
          </w:tcPr>
          <w:p w14:paraId="7B12050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shd w:val="clear" w:color="auto" w:fill="auto"/>
          </w:tcPr>
          <w:p w14:paraId="7D57A94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270694AA"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281FF52"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5,000</w:t>
            </w:r>
          </w:p>
        </w:tc>
      </w:tr>
      <w:tr w:rsidR="005958CD" w:rsidRPr="00704BD4" w14:paraId="516388C1" w14:textId="77777777" w:rsidTr="00C52D24">
        <w:trPr>
          <w:trHeight w:val="156"/>
          <w:jc w:val="center"/>
        </w:trPr>
        <w:tc>
          <w:tcPr>
            <w:tcW w:w="3798" w:type="dxa"/>
            <w:shd w:val="clear" w:color="auto" w:fill="auto"/>
            <w:vAlign w:val="center"/>
          </w:tcPr>
          <w:p w14:paraId="206E046E"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Upgrading the ACT Material Recovery Facility (ACT Contribution)</w:t>
            </w:r>
          </w:p>
        </w:tc>
        <w:tc>
          <w:tcPr>
            <w:tcW w:w="850" w:type="dxa"/>
            <w:shd w:val="clear" w:color="auto" w:fill="auto"/>
          </w:tcPr>
          <w:p w14:paraId="37ACB7E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881</w:t>
            </w:r>
          </w:p>
        </w:tc>
        <w:tc>
          <w:tcPr>
            <w:tcW w:w="850" w:type="dxa"/>
            <w:shd w:val="clear" w:color="auto" w:fill="auto"/>
          </w:tcPr>
          <w:p w14:paraId="78178E0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shd w:val="clear" w:color="auto" w:fill="auto"/>
          </w:tcPr>
          <w:p w14:paraId="3AB17BF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6,350</w:t>
            </w:r>
          </w:p>
        </w:tc>
        <w:tc>
          <w:tcPr>
            <w:tcW w:w="850" w:type="dxa"/>
            <w:shd w:val="clear" w:color="auto" w:fill="auto"/>
          </w:tcPr>
          <w:p w14:paraId="45ED744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4193389D"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7EFB0EE"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12,231</w:t>
            </w:r>
          </w:p>
        </w:tc>
      </w:tr>
      <w:tr w:rsidR="005958CD" w:rsidRPr="00704BD4" w14:paraId="555A758B" w14:textId="77777777" w:rsidTr="00C52D24">
        <w:trPr>
          <w:trHeight w:val="156"/>
          <w:jc w:val="center"/>
        </w:trPr>
        <w:tc>
          <w:tcPr>
            <w:tcW w:w="3798" w:type="dxa"/>
            <w:shd w:val="clear" w:color="auto" w:fill="auto"/>
            <w:vAlign w:val="center"/>
          </w:tcPr>
          <w:p w14:paraId="72823C56"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Upgrading the ACT Material Recovery Facility (Cth Contribution)</w:t>
            </w:r>
          </w:p>
        </w:tc>
        <w:tc>
          <w:tcPr>
            <w:tcW w:w="850" w:type="dxa"/>
            <w:shd w:val="clear" w:color="auto" w:fill="auto"/>
          </w:tcPr>
          <w:p w14:paraId="0951A27C"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1,210</w:t>
            </w:r>
          </w:p>
        </w:tc>
        <w:tc>
          <w:tcPr>
            <w:tcW w:w="850" w:type="dxa"/>
            <w:shd w:val="clear" w:color="auto" w:fill="auto"/>
          </w:tcPr>
          <w:p w14:paraId="1BD3309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5,000</w:t>
            </w:r>
          </w:p>
        </w:tc>
        <w:tc>
          <w:tcPr>
            <w:tcW w:w="850" w:type="dxa"/>
            <w:shd w:val="clear" w:color="auto" w:fill="auto"/>
          </w:tcPr>
          <w:p w14:paraId="0FFCA80B"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4,150</w:t>
            </w:r>
          </w:p>
        </w:tc>
        <w:tc>
          <w:tcPr>
            <w:tcW w:w="850" w:type="dxa"/>
            <w:shd w:val="clear" w:color="auto" w:fill="auto"/>
          </w:tcPr>
          <w:p w14:paraId="6AC75987"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7CC27E5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4C759178"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10,360</w:t>
            </w:r>
          </w:p>
        </w:tc>
      </w:tr>
      <w:tr w:rsidR="005958CD" w:rsidRPr="00704BD4" w14:paraId="65310F01" w14:textId="77777777" w:rsidTr="00C52D24">
        <w:trPr>
          <w:trHeight w:val="156"/>
          <w:jc w:val="center"/>
        </w:trPr>
        <w:tc>
          <w:tcPr>
            <w:tcW w:w="3798" w:type="dxa"/>
            <w:shd w:val="clear" w:color="auto" w:fill="auto"/>
            <w:vAlign w:val="center"/>
          </w:tcPr>
          <w:p w14:paraId="0A5C443E" w14:textId="77777777" w:rsidR="005958CD" w:rsidRPr="00704BD4" w:rsidRDefault="005958CD" w:rsidP="00C52D24">
            <w:pPr>
              <w:pStyle w:val="BTabletext"/>
              <w:rPr>
                <w:rFonts w:eastAsia="Times New Roman" w:cs="Calibri"/>
                <w:sz w:val="18"/>
                <w:szCs w:val="18"/>
                <w:lang w:eastAsia="en-AU"/>
              </w:rPr>
            </w:pPr>
            <w:r w:rsidRPr="00704BD4">
              <w:rPr>
                <w:rFonts w:eastAsia="Times New Roman" w:cs="Calibri"/>
                <w:sz w:val="18"/>
                <w:szCs w:val="18"/>
                <w:lang w:eastAsia="en-AU"/>
              </w:rPr>
              <w:t>Woden Bus Depot augmentation</w:t>
            </w:r>
          </w:p>
        </w:tc>
        <w:tc>
          <w:tcPr>
            <w:tcW w:w="850" w:type="dxa"/>
            <w:shd w:val="clear" w:color="auto" w:fill="auto"/>
          </w:tcPr>
          <w:p w14:paraId="10B2C3D6"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3,778</w:t>
            </w:r>
          </w:p>
        </w:tc>
        <w:tc>
          <w:tcPr>
            <w:tcW w:w="850" w:type="dxa"/>
            <w:shd w:val="clear" w:color="auto" w:fill="auto"/>
          </w:tcPr>
          <w:p w14:paraId="350F9CE5"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15,000</w:t>
            </w:r>
          </w:p>
        </w:tc>
        <w:tc>
          <w:tcPr>
            <w:tcW w:w="850" w:type="dxa"/>
            <w:shd w:val="clear" w:color="auto" w:fill="auto"/>
          </w:tcPr>
          <w:p w14:paraId="3302C0DA"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14,398</w:t>
            </w:r>
          </w:p>
        </w:tc>
        <w:tc>
          <w:tcPr>
            <w:tcW w:w="850" w:type="dxa"/>
            <w:shd w:val="clear" w:color="auto" w:fill="auto"/>
          </w:tcPr>
          <w:p w14:paraId="0BAD45DD" w14:textId="77777777" w:rsidR="005958CD" w:rsidRPr="00704BD4" w:rsidRDefault="005958CD" w:rsidP="00C52D24">
            <w:pPr>
              <w:pStyle w:val="Btablefigureunbold"/>
              <w:rPr>
                <w:rFonts w:eastAsia="Times New Roman" w:cs="Calibri"/>
                <w:sz w:val="18"/>
                <w:szCs w:val="18"/>
                <w:lang w:eastAsia="en-AU"/>
              </w:rPr>
            </w:pPr>
            <w:r w:rsidRPr="00704BD4">
              <w:rPr>
                <w:rFonts w:eastAsia="Times New Roman" w:cs="Calibri"/>
                <w:sz w:val="18"/>
                <w:szCs w:val="18"/>
                <w:lang w:eastAsia="en-AU"/>
              </w:rPr>
              <w:t>0</w:t>
            </w:r>
          </w:p>
        </w:tc>
        <w:tc>
          <w:tcPr>
            <w:tcW w:w="850" w:type="dxa"/>
          </w:tcPr>
          <w:p w14:paraId="115DDA86" w14:textId="77777777" w:rsidR="005958CD" w:rsidRPr="00704BD4" w:rsidRDefault="005958CD" w:rsidP="00C52D24">
            <w:pPr>
              <w:pStyle w:val="BTableHeadingRowRightAligned"/>
              <w:rPr>
                <w:rFonts w:eastAsia="Times New Roman" w:cs="Calibri"/>
                <w:b w:val="0"/>
                <w:bCs/>
                <w:sz w:val="18"/>
                <w:szCs w:val="18"/>
                <w:lang w:eastAsia="en-AU"/>
              </w:rPr>
            </w:pPr>
            <w:r w:rsidRPr="00704BD4">
              <w:rPr>
                <w:rFonts w:eastAsia="Times New Roman" w:cs="Calibri"/>
                <w:b w:val="0"/>
                <w:bCs/>
                <w:sz w:val="18"/>
                <w:szCs w:val="18"/>
                <w:lang w:eastAsia="en-AU"/>
              </w:rPr>
              <w:t>0</w:t>
            </w:r>
          </w:p>
        </w:tc>
        <w:tc>
          <w:tcPr>
            <w:tcW w:w="1020" w:type="dxa"/>
            <w:shd w:val="clear" w:color="auto" w:fill="auto"/>
          </w:tcPr>
          <w:p w14:paraId="5894F2BD"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33,176</w:t>
            </w:r>
          </w:p>
        </w:tc>
      </w:tr>
      <w:tr w:rsidR="005958CD" w:rsidRPr="00704BD4" w14:paraId="3CAEE13C" w14:textId="77777777" w:rsidTr="00C52D24">
        <w:trPr>
          <w:trHeight w:val="156"/>
          <w:jc w:val="center"/>
        </w:trPr>
        <w:tc>
          <w:tcPr>
            <w:tcW w:w="3798" w:type="dxa"/>
            <w:tcBorders>
              <w:bottom w:val="single" w:sz="4" w:space="0" w:color="auto"/>
            </w:tcBorders>
            <w:shd w:val="clear" w:color="auto" w:fill="auto"/>
            <w:vAlign w:val="center"/>
          </w:tcPr>
          <w:p w14:paraId="26198B1B" w14:textId="77777777" w:rsidR="005958CD" w:rsidRPr="00704BD4" w:rsidRDefault="005958CD" w:rsidP="00C52D24">
            <w:pPr>
              <w:pStyle w:val="BTabletext"/>
              <w:rPr>
                <w:rFonts w:eastAsia="Times New Roman" w:cs="Calibri"/>
                <w:b/>
                <w:bCs/>
                <w:sz w:val="18"/>
                <w:szCs w:val="18"/>
                <w:lang w:eastAsia="en-AU"/>
              </w:rPr>
            </w:pPr>
            <w:r w:rsidRPr="00704BD4">
              <w:rPr>
                <w:rFonts w:eastAsia="Times New Roman" w:cs="Calibri"/>
                <w:b/>
                <w:bCs/>
                <w:sz w:val="18"/>
                <w:szCs w:val="18"/>
                <w:lang w:eastAsia="en-AU"/>
              </w:rPr>
              <w:t>Total</w:t>
            </w:r>
          </w:p>
        </w:tc>
        <w:tc>
          <w:tcPr>
            <w:tcW w:w="850" w:type="dxa"/>
            <w:tcBorders>
              <w:bottom w:val="single" w:sz="4" w:space="0" w:color="auto"/>
            </w:tcBorders>
            <w:shd w:val="clear" w:color="auto" w:fill="auto"/>
          </w:tcPr>
          <w:p w14:paraId="3CFA5A4F"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175,694</w:t>
            </w:r>
          </w:p>
        </w:tc>
        <w:tc>
          <w:tcPr>
            <w:tcW w:w="850" w:type="dxa"/>
            <w:tcBorders>
              <w:bottom w:val="single" w:sz="4" w:space="0" w:color="auto"/>
            </w:tcBorders>
            <w:shd w:val="clear" w:color="auto" w:fill="auto"/>
          </w:tcPr>
          <w:p w14:paraId="6B6757D2"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239,179</w:t>
            </w:r>
          </w:p>
        </w:tc>
        <w:tc>
          <w:tcPr>
            <w:tcW w:w="850" w:type="dxa"/>
            <w:tcBorders>
              <w:bottom w:val="single" w:sz="4" w:space="0" w:color="auto"/>
            </w:tcBorders>
            <w:shd w:val="clear" w:color="auto" w:fill="auto"/>
          </w:tcPr>
          <w:p w14:paraId="76A10C4C"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141,231</w:t>
            </w:r>
          </w:p>
        </w:tc>
        <w:tc>
          <w:tcPr>
            <w:tcW w:w="850" w:type="dxa"/>
            <w:tcBorders>
              <w:bottom w:val="single" w:sz="4" w:space="0" w:color="auto"/>
            </w:tcBorders>
            <w:shd w:val="clear" w:color="auto" w:fill="auto"/>
          </w:tcPr>
          <w:p w14:paraId="1B61A6F0" w14:textId="77777777" w:rsidR="005958CD" w:rsidRPr="00704BD4" w:rsidRDefault="005958CD" w:rsidP="00C52D24">
            <w:pPr>
              <w:pStyle w:val="Btablefigureunbold"/>
              <w:rPr>
                <w:rFonts w:eastAsia="Times New Roman" w:cs="Calibri"/>
                <w:b/>
                <w:sz w:val="18"/>
                <w:szCs w:val="18"/>
                <w:lang w:eastAsia="en-AU"/>
              </w:rPr>
            </w:pPr>
            <w:r w:rsidRPr="00704BD4">
              <w:rPr>
                <w:rFonts w:eastAsia="Times New Roman" w:cs="Calibri"/>
                <w:b/>
                <w:sz w:val="18"/>
                <w:szCs w:val="18"/>
                <w:lang w:eastAsia="en-AU"/>
              </w:rPr>
              <w:t>102,046</w:t>
            </w:r>
          </w:p>
        </w:tc>
        <w:tc>
          <w:tcPr>
            <w:tcW w:w="850" w:type="dxa"/>
            <w:tcBorders>
              <w:bottom w:val="single" w:sz="4" w:space="0" w:color="auto"/>
            </w:tcBorders>
          </w:tcPr>
          <w:p w14:paraId="0C4E0B40"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2,063</w:t>
            </w:r>
          </w:p>
        </w:tc>
        <w:tc>
          <w:tcPr>
            <w:tcW w:w="1020" w:type="dxa"/>
            <w:tcBorders>
              <w:bottom w:val="single" w:sz="4" w:space="0" w:color="auto"/>
            </w:tcBorders>
            <w:shd w:val="clear" w:color="auto" w:fill="auto"/>
          </w:tcPr>
          <w:p w14:paraId="2912435C" w14:textId="77777777" w:rsidR="005958CD" w:rsidRPr="00704BD4" w:rsidRDefault="005958CD" w:rsidP="00C52D24">
            <w:pPr>
              <w:pStyle w:val="BTableHeadingRowRightAligned"/>
              <w:rPr>
                <w:rFonts w:eastAsia="Times New Roman" w:cs="Calibri"/>
                <w:sz w:val="18"/>
                <w:szCs w:val="18"/>
                <w:lang w:eastAsia="en-AU"/>
              </w:rPr>
            </w:pPr>
            <w:r w:rsidRPr="00704BD4">
              <w:rPr>
                <w:rFonts w:eastAsia="Times New Roman" w:cs="Calibri"/>
                <w:sz w:val="18"/>
                <w:szCs w:val="18"/>
                <w:lang w:eastAsia="en-AU"/>
              </w:rPr>
              <w:t>660,213</w:t>
            </w:r>
          </w:p>
        </w:tc>
      </w:tr>
      <w:tr w:rsidR="005958CD" w:rsidRPr="00704BD4" w14:paraId="1055E017" w14:textId="77777777" w:rsidTr="00C52D24">
        <w:trPr>
          <w:trHeight w:val="156"/>
          <w:jc w:val="center"/>
        </w:trPr>
        <w:tc>
          <w:tcPr>
            <w:tcW w:w="3798" w:type="dxa"/>
            <w:tcBorders>
              <w:top w:val="single" w:sz="4" w:space="0" w:color="auto"/>
              <w:bottom w:val="single" w:sz="4" w:space="0" w:color="auto"/>
            </w:tcBorders>
            <w:shd w:val="clear" w:color="auto" w:fill="auto"/>
            <w:vAlign w:val="center"/>
          </w:tcPr>
          <w:p w14:paraId="1C039936" w14:textId="77777777" w:rsidR="005958CD" w:rsidRPr="00704BD4" w:rsidRDefault="005958CD" w:rsidP="00C52D24">
            <w:pPr>
              <w:pStyle w:val="BTabletext"/>
              <w:rPr>
                <w:rFonts w:eastAsia="Times New Roman" w:cs="Calibri"/>
                <w:b/>
                <w:bCs/>
                <w:color w:val="472D8C"/>
                <w:sz w:val="18"/>
                <w:szCs w:val="18"/>
                <w:lang w:eastAsia="en-AU"/>
              </w:rPr>
            </w:pPr>
            <w:r w:rsidRPr="00704BD4">
              <w:rPr>
                <w:rFonts w:eastAsia="Times New Roman" w:cs="Calibri"/>
                <w:b/>
                <w:bCs/>
                <w:color w:val="472D8C"/>
                <w:sz w:val="18"/>
                <w:szCs w:val="18"/>
                <w:lang w:eastAsia="en-AU"/>
              </w:rPr>
              <w:t>Total 2021-22 Capital Works-in-Progress</w:t>
            </w:r>
          </w:p>
        </w:tc>
        <w:tc>
          <w:tcPr>
            <w:tcW w:w="850" w:type="dxa"/>
            <w:tcBorders>
              <w:top w:val="single" w:sz="4" w:space="0" w:color="auto"/>
              <w:bottom w:val="single" w:sz="4" w:space="0" w:color="auto"/>
            </w:tcBorders>
            <w:shd w:val="clear" w:color="auto" w:fill="auto"/>
          </w:tcPr>
          <w:p w14:paraId="51195AFF"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color w:val="472D8C"/>
                <w:sz w:val="18"/>
                <w:szCs w:val="18"/>
                <w:lang w:eastAsia="en-AU"/>
              </w:rPr>
              <w:t>710,068</w:t>
            </w:r>
          </w:p>
        </w:tc>
        <w:tc>
          <w:tcPr>
            <w:tcW w:w="850" w:type="dxa"/>
            <w:tcBorders>
              <w:top w:val="single" w:sz="4" w:space="0" w:color="auto"/>
              <w:bottom w:val="single" w:sz="4" w:space="0" w:color="auto"/>
            </w:tcBorders>
            <w:shd w:val="clear" w:color="auto" w:fill="auto"/>
          </w:tcPr>
          <w:p w14:paraId="54C4D32F"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color w:val="472D8C"/>
                <w:sz w:val="18"/>
                <w:szCs w:val="18"/>
                <w:lang w:eastAsia="en-AU"/>
              </w:rPr>
              <w:t>880,659</w:t>
            </w:r>
          </w:p>
        </w:tc>
        <w:tc>
          <w:tcPr>
            <w:tcW w:w="850" w:type="dxa"/>
            <w:tcBorders>
              <w:top w:val="single" w:sz="4" w:space="0" w:color="auto"/>
              <w:bottom w:val="single" w:sz="4" w:space="0" w:color="auto"/>
            </w:tcBorders>
            <w:shd w:val="clear" w:color="auto" w:fill="auto"/>
          </w:tcPr>
          <w:p w14:paraId="1DE69728"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color w:val="472D8C"/>
                <w:sz w:val="18"/>
                <w:szCs w:val="18"/>
                <w:lang w:eastAsia="en-AU"/>
              </w:rPr>
              <w:t>553,407</w:t>
            </w:r>
          </w:p>
        </w:tc>
        <w:tc>
          <w:tcPr>
            <w:tcW w:w="850" w:type="dxa"/>
            <w:tcBorders>
              <w:top w:val="single" w:sz="4" w:space="0" w:color="auto"/>
              <w:bottom w:val="single" w:sz="4" w:space="0" w:color="auto"/>
            </w:tcBorders>
            <w:shd w:val="clear" w:color="auto" w:fill="auto"/>
          </w:tcPr>
          <w:p w14:paraId="32418E48" w14:textId="77777777" w:rsidR="005958CD" w:rsidRPr="00704BD4" w:rsidRDefault="005958CD" w:rsidP="00C52D24">
            <w:pPr>
              <w:pStyle w:val="Btablefigureunbold"/>
              <w:rPr>
                <w:rFonts w:eastAsia="Times New Roman" w:cs="Calibri"/>
                <w:b/>
                <w:bCs/>
                <w:color w:val="472D8C"/>
                <w:sz w:val="18"/>
                <w:szCs w:val="18"/>
                <w:lang w:eastAsia="en-AU"/>
              </w:rPr>
            </w:pPr>
            <w:r w:rsidRPr="00704BD4">
              <w:rPr>
                <w:rFonts w:eastAsia="Times New Roman" w:cs="Calibri"/>
                <w:b/>
                <w:bCs/>
                <w:color w:val="472D8C"/>
                <w:sz w:val="18"/>
                <w:szCs w:val="18"/>
                <w:lang w:eastAsia="en-AU"/>
              </w:rPr>
              <w:t>169,425</w:t>
            </w:r>
          </w:p>
        </w:tc>
        <w:tc>
          <w:tcPr>
            <w:tcW w:w="850" w:type="dxa"/>
            <w:tcBorders>
              <w:top w:val="single" w:sz="4" w:space="0" w:color="auto"/>
              <w:bottom w:val="single" w:sz="4" w:space="0" w:color="auto"/>
            </w:tcBorders>
          </w:tcPr>
          <w:p w14:paraId="17FC3534"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color w:val="472D8C"/>
                <w:sz w:val="18"/>
                <w:szCs w:val="18"/>
                <w:lang w:eastAsia="en-AU"/>
              </w:rPr>
              <w:t>16,413</w:t>
            </w:r>
          </w:p>
        </w:tc>
        <w:tc>
          <w:tcPr>
            <w:tcW w:w="1020" w:type="dxa"/>
            <w:tcBorders>
              <w:top w:val="single" w:sz="4" w:space="0" w:color="auto"/>
              <w:bottom w:val="single" w:sz="4" w:space="0" w:color="auto"/>
            </w:tcBorders>
            <w:shd w:val="clear" w:color="auto" w:fill="auto"/>
          </w:tcPr>
          <w:p w14:paraId="4191C596" w14:textId="77777777" w:rsidR="005958CD" w:rsidRPr="00704BD4" w:rsidRDefault="005958CD" w:rsidP="00C52D24">
            <w:pPr>
              <w:pStyle w:val="BTableHeadingRowRightAligned"/>
              <w:rPr>
                <w:rFonts w:eastAsia="Times New Roman" w:cs="Calibri"/>
                <w:bCs/>
                <w:color w:val="472D8C"/>
                <w:sz w:val="18"/>
                <w:szCs w:val="18"/>
                <w:lang w:eastAsia="en-AU"/>
              </w:rPr>
            </w:pPr>
            <w:r w:rsidRPr="00704BD4">
              <w:rPr>
                <w:rFonts w:eastAsia="Times New Roman" w:cs="Calibri"/>
                <w:bCs/>
                <w:color w:val="472D8C"/>
                <w:sz w:val="18"/>
                <w:szCs w:val="18"/>
                <w:lang w:eastAsia="en-AU"/>
              </w:rPr>
              <w:t>2,329,972</w:t>
            </w:r>
          </w:p>
        </w:tc>
      </w:tr>
    </w:tbl>
    <w:p w14:paraId="4982889A" w14:textId="77777777" w:rsidR="005958CD" w:rsidRPr="00963C2D" w:rsidRDefault="005958CD" w:rsidP="005958CD">
      <w:pPr>
        <w:pStyle w:val="BNotelist"/>
        <w:numPr>
          <w:ilvl w:val="0"/>
          <w:numId w:val="0"/>
        </w:numPr>
      </w:pPr>
    </w:p>
    <w:p w14:paraId="2FBF6944" w14:textId="77777777" w:rsidR="005958CD" w:rsidRDefault="005958CD" w:rsidP="005958CD">
      <w:r>
        <w:br w:type="page"/>
      </w:r>
    </w:p>
    <w:p w14:paraId="5D363011" w14:textId="77777777" w:rsidR="005958CD" w:rsidRDefault="005958CD" w:rsidP="005958CD"/>
    <w:p w14:paraId="02DED844" w14:textId="77777777" w:rsidR="005958CD" w:rsidRDefault="005958CD" w:rsidP="005958CD">
      <w:pPr>
        <w:sectPr w:rsidR="005958CD" w:rsidSect="00542DA2">
          <w:footerReference w:type="default" r:id="rId14"/>
          <w:pgSz w:w="11906" w:h="16838" w:code="9"/>
          <w:pgMar w:top="1151" w:right="1440" w:bottom="1729" w:left="1440" w:header="720" w:footer="720" w:gutter="0"/>
          <w:cols w:space="708"/>
          <w:docGrid w:linePitch="360"/>
        </w:sectPr>
      </w:pPr>
    </w:p>
    <w:p w14:paraId="3A1B653F" w14:textId="77777777" w:rsidR="005958CD" w:rsidRDefault="005958CD" w:rsidP="005958CD">
      <w:pPr>
        <w:rPr>
          <w:rFonts w:ascii="Calibri" w:hAnsi="Calibri"/>
          <w:b/>
          <w:sz w:val="36"/>
        </w:rPr>
      </w:pPr>
    </w:p>
    <w:p w14:paraId="4807F2BD" w14:textId="77777777" w:rsidR="005958CD" w:rsidRDefault="005958CD" w:rsidP="005958CD">
      <w:pPr>
        <w:jc w:val="center"/>
        <w:rPr>
          <w:b/>
          <w:bCs/>
          <w:sz w:val="32"/>
          <w:szCs w:val="32"/>
        </w:rPr>
      </w:pPr>
    </w:p>
    <w:p w14:paraId="73F806C3" w14:textId="77777777" w:rsidR="005958CD" w:rsidRDefault="005958CD" w:rsidP="005958CD">
      <w:pPr>
        <w:jc w:val="center"/>
        <w:rPr>
          <w:b/>
          <w:bCs/>
          <w:sz w:val="32"/>
          <w:szCs w:val="32"/>
        </w:rPr>
      </w:pPr>
      <w:r w:rsidRPr="00A3203C">
        <w:rPr>
          <w:b/>
          <w:bCs/>
          <w:sz w:val="32"/>
          <w:szCs w:val="32"/>
        </w:rPr>
        <w:t xml:space="preserve">APPENDIX </w:t>
      </w:r>
      <w:r>
        <w:rPr>
          <w:b/>
          <w:bCs/>
          <w:sz w:val="32"/>
          <w:szCs w:val="32"/>
        </w:rPr>
        <w:t>D</w:t>
      </w:r>
    </w:p>
    <w:p w14:paraId="0D285955" w14:textId="77777777" w:rsidR="005958CD" w:rsidRDefault="005958CD" w:rsidP="005958CD">
      <w:pPr>
        <w:jc w:val="center"/>
        <w:rPr>
          <w:b/>
          <w:bCs/>
          <w:sz w:val="32"/>
          <w:szCs w:val="32"/>
        </w:rPr>
      </w:pPr>
    </w:p>
    <w:p w14:paraId="5FF7DA55" w14:textId="77777777" w:rsidR="005958CD" w:rsidRPr="00A3203C" w:rsidRDefault="005958CD" w:rsidP="005958CD">
      <w:pPr>
        <w:jc w:val="center"/>
        <w:rPr>
          <w:b/>
          <w:bCs/>
          <w:sz w:val="32"/>
          <w:szCs w:val="32"/>
        </w:rPr>
      </w:pPr>
    </w:p>
    <w:p w14:paraId="427FE185" w14:textId="77777777" w:rsidR="005958CD" w:rsidRDefault="005958CD" w:rsidP="005958CD">
      <w:pPr>
        <w:jc w:val="center"/>
        <w:rPr>
          <w:b/>
          <w:bCs/>
          <w:sz w:val="32"/>
          <w:szCs w:val="32"/>
        </w:rPr>
      </w:pPr>
      <w:r>
        <w:rPr>
          <w:b/>
          <w:bCs/>
          <w:sz w:val="32"/>
          <w:szCs w:val="32"/>
        </w:rPr>
        <w:t>CONSOLIDATED FINANCIAL STATEMENTS</w:t>
      </w:r>
    </w:p>
    <w:p w14:paraId="3EFB81B6" w14:textId="77777777" w:rsidR="005958CD" w:rsidRPr="00A3203C" w:rsidRDefault="005958CD" w:rsidP="005958CD">
      <w:pPr>
        <w:jc w:val="center"/>
        <w:rPr>
          <w:b/>
          <w:bCs/>
          <w:sz w:val="32"/>
          <w:szCs w:val="32"/>
        </w:rPr>
      </w:pPr>
      <w:r>
        <w:rPr>
          <w:b/>
          <w:bCs/>
          <w:sz w:val="32"/>
          <w:szCs w:val="32"/>
        </w:rPr>
        <w:t>PUBLIC TRADING ENTERPRISES</w:t>
      </w:r>
    </w:p>
    <w:p w14:paraId="51ABE727" w14:textId="77777777" w:rsidR="005958CD" w:rsidRDefault="005958CD" w:rsidP="005958CD">
      <w:pPr>
        <w:rPr>
          <w:rFonts w:ascii="Calibri" w:eastAsiaTheme="majorEastAsia" w:hAnsi="Calibri" w:cstheme="majorBidi"/>
          <w:b/>
          <w:caps/>
          <w:kern w:val="28"/>
          <w:sz w:val="36"/>
          <w:szCs w:val="32"/>
        </w:rPr>
      </w:pPr>
      <w:r>
        <w:br w:type="page"/>
      </w:r>
      <w:r>
        <w:lastRenderedPageBreak/>
        <w:t xml:space="preserve"> </w:t>
      </w:r>
    </w:p>
    <w:p w14:paraId="4ACF9A4F" w14:textId="77777777" w:rsidR="005958CD" w:rsidRDefault="005958CD" w:rsidP="005958CD">
      <w:r>
        <w:br w:type="page"/>
      </w:r>
    </w:p>
    <w:p w14:paraId="40DCE592" w14:textId="77777777" w:rsidR="006C269A" w:rsidRPr="00930757" w:rsidRDefault="006C269A" w:rsidP="00AB05FB">
      <w:pPr>
        <w:pStyle w:val="Heading2"/>
        <w:numPr>
          <w:ilvl w:val="0"/>
          <w:numId w:val="0"/>
        </w:numPr>
        <w:ind w:left="709" w:hanging="709"/>
      </w:pPr>
      <w:bookmarkStart w:id="3" w:name="_Toc84300599"/>
      <w:r>
        <w:lastRenderedPageBreak/>
        <w:t>Appendix D – CONSOLIDATED FINANCIAL STATEMENTS – Public Trading Enterprises</w:t>
      </w:r>
      <w:bookmarkEnd w:id="3"/>
    </w:p>
    <w:p w14:paraId="755FD9E4" w14:textId="47E990C2" w:rsidR="006C269A" w:rsidRDefault="006C269A" w:rsidP="00111524">
      <w:pPr>
        <w:pStyle w:val="Caption"/>
      </w:pPr>
      <w:r>
        <w:t>Table D.</w:t>
      </w:r>
      <w:fldSimple w:instr=" SEQ Table \* ARABIC \s 2 ">
        <w:r w:rsidR="001478F3">
          <w:rPr>
            <w:noProof/>
          </w:rPr>
          <w:t>1</w:t>
        </w:r>
      </w:fldSimple>
      <w:r>
        <w:t>: Australian Capital Territory Public Trading Enterprises – Operating Statement</w:t>
      </w:r>
    </w:p>
    <w:tbl>
      <w:tblPr>
        <w:tblW w:w="9282" w:type="dxa"/>
        <w:jc w:val="center"/>
        <w:tblLayout w:type="fixed"/>
        <w:tblCellMar>
          <w:left w:w="45" w:type="dxa"/>
          <w:right w:w="45" w:type="dxa"/>
        </w:tblCellMar>
        <w:tblLook w:val="0000" w:firstRow="0" w:lastRow="0" w:firstColumn="0" w:lastColumn="0" w:noHBand="0" w:noVBand="0"/>
      </w:tblPr>
      <w:tblGrid>
        <w:gridCol w:w="2869"/>
        <w:gridCol w:w="1068"/>
        <w:gridCol w:w="1069"/>
        <w:gridCol w:w="1069"/>
        <w:gridCol w:w="1069"/>
        <w:gridCol w:w="1069"/>
        <w:gridCol w:w="1069"/>
      </w:tblGrid>
      <w:tr w:rsidR="006C269A" w:rsidRPr="006D5D15" w14:paraId="6E49D29D" w14:textId="77777777" w:rsidTr="00AB05FB">
        <w:trPr>
          <w:cantSplit/>
          <w:tblHeader/>
          <w:jc w:val="center"/>
        </w:trPr>
        <w:tc>
          <w:tcPr>
            <w:tcW w:w="2869" w:type="dxa"/>
            <w:tcBorders>
              <w:top w:val="single" w:sz="4" w:space="0" w:color="auto"/>
              <w:left w:val="nil"/>
              <w:bottom w:val="single" w:sz="4" w:space="0" w:color="auto"/>
              <w:right w:val="nil"/>
            </w:tcBorders>
            <w:shd w:val="clear" w:color="auto" w:fill="472D8C"/>
            <w:noWrap/>
          </w:tcPr>
          <w:p w14:paraId="79370772" w14:textId="77777777" w:rsidR="006C269A" w:rsidRPr="00F25F0C" w:rsidRDefault="006C269A" w:rsidP="00AB05FB">
            <w:pPr>
              <w:pStyle w:val="EmptyCell0"/>
              <w:rPr>
                <w:rFonts w:eastAsia="SimSun"/>
              </w:rPr>
            </w:pPr>
          </w:p>
        </w:tc>
        <w:tc>
          <w:tcPr>
            <w:tcW w:w="1068" w:type="dxa"/>
            <w:tcBorders>
              <w:top w:val="single" w:sz="4" w:space="0" w:color="auto"/>
              <w:left w:val="nil"/>
              <w:bottom w:val="single" w:sz="4" w:space="0" w:color="auto"/>
              <w:right w:val="nil"/>
            </w:tcBorders>
            <w:shd w:val="clear" w:color="auto" w:fill="472D8C"/>
          </w:tcPr>
          <w:p w14:paraId="4F2597ED" w14:textId="77777777" w:rsidR="006C269A" w:rsidRPr="006D5D15" w:rsidRDefault="006C269A" w:rsidP="00AB05FB">
            <w:pPr>
              <w:pStyle w:val="BStableheading"/>
              <w:framePr w:wrap="auto" w:vAnchor="margin" w:yAlign="inline"/>
              <w:rPr>
                <w:rFonts w:eastAsia="SimSun"/>
                <w:color w:val="FFFFFF" w:themeColor="background1"/>
                <w:lang w:val="en-AU"/>
              </w:rPr>
            </w:pPr>
            <w:r>
              <w:rPr>
                <w:rFonts w:eastAsia="SimSun"/>
                <w:color w:val="FFFFFF" w:themeColor="background1"/>
                <w:lang w:val="en-AU"/>
              </w:rPr>
              <w:t>2020-21</w:t>
            </w:r>
          </w:p>
          <w:p w14:paraId="70422E25" w14:textId="77777777" w:rsidR="006C269A" w:rsidRPr="006D5D15" w:rsidRDefault="006C269A" w:rsidP="00AB05FB">
            <w:pPr>
              <w:pStyle w:val="BStableheading"/>
              <w:framePr w:wrap="auto" w:vAnchor="margin" w:yAlign="inline"/>
              <w:rPr>
                <w:rFonts w:eastAsia="SimSun"/>
                <w:color w:val="FFFFFF" w:themeColor="background1"/>
                <w:lang w:val="en-AU"/>
              </w:rPr>
            </w:pPr>
            <w:r w:rsidRPr="006D5D15">
              <w:rPr>
                <w:rFonts w:eastAsia="SimSun"/>
                <w:color w:val="FFFFFF" w:themeColor="background1"/>
                <w:lang w:val="en-AU"/>
              </w:rPr>
              <w:t>Budget</w:t>
            </w:r>
          </w:p>
          <w:p w14:paraId="778A7299" w14:textId="77777777" w:rsidR="00812777" w:rsidRDefault="00812777" w:rsidP="00AB05FB">
            <w:pPr>
              <w:pStyle w:val="BStableheading"/>
              <w:framePr w:wrap="around"/>
              <w:rPr>
                <w:rFonts w:eastAsia="SimSun"/>
                <w:color w:val="FFFFFF" w:themeColor="background1"/>
                <w:lang w:val="en-AU"/>
              </w:rPr>
            </w:pPr>
          </w:p>
          <w:p w14:paraId="35F1337C" w14:textId="1908895D"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0150E136"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16DC7AD5" w14:textId="77777777" w:rsidR="006C269A" w:rsidRPr="006D5D15" w:rsidRDefault="006C269A" w:rsidP="00AB05FB">
            <w:pPr>
              <w:pStyle w:val="BStableheading"/>
              <w:framePr w:wrap="around"/>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23610949"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5CADF492"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188C6C55"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Budget</w:t>
            </w:r>
          </w:p>
          <w:p w14:paraId="5E24A83B" w14:textId="77777777" w:rsidR="006C269A" w:rsidRPr="006D5D15" w:rsidRDefault="006C269A" w:rsidP="00AB05FB">
            <w:pPr>
              <w:pStyle w:val="BStableheading"/>
              <w:framePr w:wrap="around"/>
              <w:rPr>
                <w:rFonts w:eastAsia="SimSun"/>
                <w:color w:val="FFFFFF" w:themeColor="background1"/>
                <w:lang w:val="en-AU"/>
              </w:rPr>
            </w:pPr>
          </w:p>
          <w:p w14:paraId="3F56D7D8"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01A34F57"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71277639"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11EF5CB3" w14:textId="77777777" w:rsidR="006C269A" w:rsidRPr="006D5D15" w:rsidRDefault="006C269A" w:rsidP="00AB05FB">
            <w:pPr>
              <w:pStyle w:val="BStableheading"/>
              <w:framePr w:wrap="around"/>
              <w:rPr>
                <w:rFonts w:eastAsia="SimSun"/>
                <w:color w:val="FFFFFF" w:themeColor="background1"/>
                <w:lang w:val="en-AU"/>
              </w:rPr>
            </w:pPr>
          </w:p>
          <w:p w14:paraId="26C404F0"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48FE30B9"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5A9FF243"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451DD200" w14:textId="77777777" w:rsidR="006C269A" w:rsidRPr="006D5D15" w:rsidRDefault="006C269A" w:rsidP="00AB05FB">
            <w:pPr>
              <w:pStyle w:val="BStableheading"/>
              <w:framePr w:wrap="around"/>
              <w:rPr>
                <w:rFonts w:eastAsia="SimSun"/>
                <w:color w:val="FFFFFF" w:themeColor="background1"/>
                <w:lang w:val="en-AU"/>
              </w:rPr>
            </w:pPr>
          </w:p>
          <w:p w14:paraId="240E25CA"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4DCC7D6A"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38F42CD7"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0A690C13" w14:textId="77777777" w:rsidR="006C269A" w:rsidRPr="006D5D15" w:rsidRDefault="006C269A" w:rsidP="00AB05FB">
            <w:pPr>
              <w:pStyle w:val="BStableheading"/>
              <w:framePr w:wrap="around"/>
              <w:rPr>
                <w:rFonts w:eastAsia="SimSun"/>
                <w:color w:val="FFFFFF" w:themeColor="background1"/>
                <w:lang w:val="en-AU"/>
              </w:rPr>
            </w:pPr>
          </w:p>
          <w:p w14:paraId="7B00F1D1"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r>
      <w:tr w:rsidR="006C269A" w:rsidRPr="00F9704D" w14:paraId="65F04646" w14:textId="77777777" w:rsidTr="00AB05FB">
        <w:trPr>
          <w:cantSplit/>
          <w:trHeight w:val="20"/>
          <w:jc w:val="center"/>
        </w:trPr>
        <w:tc>
          <w:tcPr>
            <w:tcW w:w="2869" w:type="dxa"/>
            <w:shd w:val="clear" w:color="auto" w:fill="auto"/>
            <w:noWrap/>
          </w:tcPr>
          <w:p w14:paraId="2121BC42" w14:textId="77777777" w:rsidR="006C269A" w:rsidRPr="00AE3D6E" w:rsidRDefault="006C269A" w:rsidP="00AB05FB">
            <w:pPr>
              <w:pStyle w:val="BStabletextbold"/>
            </w:pPr>
            <w:r w:rsidRPr="00F70905">
              <w:t>Revenue</w:t>
            </w:r>
          </w:p>
        </w:tc>
        <w:tc>
          <w:tcPr>
            <w:tcW w:w="1068" w:type="dxa"/>
            <w:shd w:val="clear" w:color="auto" w:fill="auto"/>
          </w:tcPr>
          <w:p w14:paraId="2640071F"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c>
          <w:tcPr>
            <w:tcW w:w="1069" w:type="dxa"/>
            <w:shd w:val="clear" w:color="auto" w:fill="auto"/>
            <w:noWrap/>
          </w:tcPr>
          <w:p w14:paraId="015DED42"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c>
          <w:tcPr>
            <w:tcW w:w="1069" w:type="dxa"/>
            <w:shd w:val="clear" w:color="auto" w:fill="auto"/>
            <w:noWrap/>
          </w:tcPr>
          <w:p w14:paraId="0B63AAE9"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c>
          <w:tcPr>
            <w:tcW w:w="1069" w:type="dxa"/>
            <w:shd w:val="clear" w:color="auto" w:fill="auto"/>
            <w:noWrap/>
          </w:tcPr>
          <w:p w14:paraId="09A06D63"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c>
          <w:tcPr>
            <w:tcW w:w="1069" w:type="dxa"/>
            <w:shd w:val="clear" w:color="auto" w:fill="auto"/>
            <w:noWrap/>
          </w:tcPr>
          <w:p w14:paraId="6A912B8B"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c>
          <w:tcPr>
            <w:tcW w:w="1069" w:type="dxa"/>
            <w:shd w:val="clear" w:color="auto" w:fill="auto"/>
            <w:noWrap/>
          </w:tcPr>
          <w:p w14:paraId="5E405B02" w14:textId="77777777" w:rsidR="006C269A" w:rsidRPr="00F9704D" w:rsidRDefault="006C269A" w:rsidP="00AB05FB">
            <w:pPr>
              <w:pStyle w:val="Btablefigureunbold"/>
              <w:rPr>
                <w:rFonts w:eastAsia="SimSun"/>
                <w:highlight w:val="yellow"/>
              </w:rPr>
            </w:pPr>
            <w:r w:rsidRPr="00063EE9">
              <w:rPr>
                <w:rFonts w:cs="Calibri"/>
                <w:color w:val="FFFFFF"/>
                <w:sz w:val="12"/>
                <w:highlight w:val="yellow"/>
              </w:rPr>
              <w:t xml:space="preserve"> </w:t>
            </w:r>
          </w:p>
        </w:tc>
      </w:tr>
      <w:tr w:rsidR="006C269A" w:rsidRPr="007A3A83" w14:paraId="1EA3F989" w14:textId="77777777" w:rsidTr="00AB05FB">
        <w:trPr>
          <w:cantSplit/>
          <w:trHeight w:val="20"/>
          <w:jc w:val="center"/>
        </w:trPr>
        <w:tc>
          <w:tcPr>
            <w:tcW w:w="2869" w:type="dxa"/>
            <w:shd w:val="clear" w:color="auto" w:fill="auto"/>
            <w:noWrap/>
          </w:tcPr>
          <w:p w14:paraId="4DC4D082" w14:textId="77777777" w:rsidR="006C269A" w:rsidRPr="00AE3D6E" w:rsidRDefault="006C269A" w:rsidP="00AB05FB">
            <w:pPr>
              <w:pStyle w:val="BStabletext"/>
            </w:pPr>
            <w:r w:rsidRPr="00F70905">
              <w:t xml:space="preserve">Controlled </w:t>
            </w:r>
            <w:r>
              <w:t>r</w:t>
            </w:r>
            <w:r w:rsidRPr="00F70905">
              <w:t xml:space="preserve">ecurrent </w:t>
            </w:r>
            <w:r>
              <w:t>p</w:t>
            </w:r>
            <w:r w:rsidRPr="00F70905">
              <w:t>ayments</w:t>
            </w:r>
          </w:p>
        </w:tc>
        <w:tc>
          <w:tcPr>
            <w:tcW w:w="1068" w:type="dxa"/>
            <w:shd w:val="clear" w:color="auto" w:fill="auto"/>
          </w:tcPr>
          <w:p w14:paraId="127FE658" w14:textId="77777777" w:rsidR="006C269A" w:rsidRPr="00966F2B" w:rsidRDefault="006C269A" w:rsidP="00AB05FB">
            <w:pPr>
              <w:pStyle w:val="Btablefigureunbold"/>
            </w:pPr>
            <w:r w:rsidRPr="00966F2B">
              <w:t>293,103</w:t>
            </w:r>
          </w:p>
        </w:tc>
        <w:tc>
          <w:tcPr>
            <w:tcW w:w="1069" w:type="dxa"/>
            <w:shd w:val="clear" w:color="auto" w:fill="auto"/>
            <w:noWrap/>
          </w:tcPr>
          <w:p w14:paraId="4FB46CA6" w14:textId="77777777" w:rsidR="006C269A" w:rsidRPr="00966F2B" w:rsidRDefault="006C269A" w:rsidP="00AB05FB">
            <w:pPr>
              <w:pStyle w:val="Btablefigureunbold"/>
              <w:rPr>
                <w:highlight w:val="yellow"/>
              </w:rPr>
            </w:pPr>
            <w:r w:rsidRPr="00966F2B">
              <w:t>282,670</w:t>
            </w:r>
          </w:p>
        </w:tc>
        <w:tc>
          <w:tcPr>
            <w:tcW w:w="1069" w:type="dxa"/>
            <w:shd w:val="clear" w:color="auto" w:fill="auto"/>
            <w:noWrap/>
          </w:tcPr>
          <w:p w14:paraId="57B8FC5D" w14:textId="77777777" w:rsidR="006C269A" w:rsidRPr="00966F2B" w:rsidRDefault="006C269A" w:rsidP="00AB05FB">
            <w:pPr>
              <w:pStyle w:val="Btablefigureunbold"/>
            </w:pPr>
            <w:r w:rsidRPr="00966F2B">
              <w:t>285,626</w:t>
            </w:r>
          </w:p>
        </w:tc>
        <w:tc>
          <w:tcPr>
            <w:tcW w:w="1069" w:type="dxa"/>
            <w:shd w:val="clear" w:color="auto" w:fill="auto"/>
            <w:noWrap/>
          </w:tcPr>
          <w:p w14:paraId="6EB65060" w14:textId="77777777" w:rsidR="006C269A" w:rsidRPr="00966F2B" w:rsidRDefault="006C269A" w:rsidP="00AB05FB">
            <w:pPr>
              <w:pStyle w:val="Btablefigureunbold"/>
            </w:pPr>
            <w:r w:rsidRPr="00966F2B">
              <w:t>289,808</w:t>
            </w:r>
          </w:p>
        </w:tc>
        <w:tc>
          <w:tcPr>
            <w:tcW w:w="1069" w:type="dxa"/>
            <w:shd w:val="clear" w:color="auto" w:fill="auto"/>
            <w:noWrap/>
          </w:tcPr>
          <w:p w14:paraId="633675D9" w14:textId="77777777" w:rsidR="006C269A" w:rsidRPr="00966F2B" w:rsidRDefault="006C269A" w:rsidP="00AB05FB">
            <w:pPr>
              <w:pStyle w:val="Btablefigureunbold"/>
            </w:pPr>
            <w:r w:rsidRPr="00966F2B">
              <w:t>285,695</w:t>
            </w:r>
          </w:p>
        </w:tc>
        <w:tc>
          <w:tcPr>
            <w:tcW w:w="1069" w:type="dxa"/>
            <w:shd w:val="clear" w:color="auto" w:fill="auto"/>
            <w:noWrap/>
          </w:tcPr>
          <w:p w14:paraId="3B53F327" w14:textId="77777777" w:rsidR="006C269A" w:rsidRPr="00966F2B" w:rsidRDefault="006C269A" w:rsidP="00AB05FB">
            <w:pPr>
              <w:pStyle w:val="Btablefigureunbold"/>
            </w:pPr>
            <w:r w:rsidRPr="00966F2B">
              <w:t>287,717</w:t>
            </w:r>
          </w:p>
        </w:tc>
      </w:tr>
      <w:tr w:rsidR="006C269A" w:rsidRPr="007A3A83" w14:paraId="0E18F7AD" w14:textId="77777777" w:rsidTr="00AB05FB">
        <w:trPr>
          <w:cantSplit/>
          <w:trHeight w:val="20"/>
          <w:jc w:val="center"/>
        </w:trPr>
        <w:tc>
          <w:tcPr>
            <w:tcW w:w="2869" w:type="dxa"/>
            <w:shd w:val="clear" w:color="auto" w:fill="auto"/>
            <w:noWrap/>
          </w:tcPr>
          <w:p w14:paraId="13A8B27F" w14:textId="77777777" w:rsidR="006C269A" w:rsidRPr="00AE3D6E" w:rsidRDefault="006C269A" w:rsidP="00AB05FB">
            <w:pPr>
              <w:pStyle w:val="BStabletext"/>
              <w:rPr>
                <w:lang w:val="en-US"/>
              </w:rPr>
            </w:pPr>
            <w:r w:rsidRPr="00F70905">
              <w:t xml:space="preserve">Commonwealth </w:t>
            </w:r>
            <w:r>
              <w:rPr>
                <w:lang w:val="en-US"/>
              </w:rPr>
              <w:t>g</w:t>
            </w:r>
            <w:r w:rsidRPr="00F70905">
              <w:t>rants</w:t>
            </w:r>
          </w:p>
        </w:tc>
        <w:tc>
          <w:tcPr>
            <w:tcW w:w="1068" w:type="dxa"/>
            <w:shd w:val="clear" w:color="auto" w:fill="auto"/>
          </w:tcPr>
          <w:p w14:paraId="49D46EAE" w14:textId="77777777" w:rsidR="006C269A" w:rsidRPr="00966F2B" w:rsidRDefault="006C269A" w:rsidP="00AB05FB">
            <w:pPr>
              <w:pStyle w:val="Btablefigureunbold"/>
            </w:pPr>
            <w:r w:rsidRPr="00966F2B">
              <w:t>877</w:t>
            </w:r>
          </w:p>
        </w:tc>
        <w:tc>
          <w:tcPr>
            <w:tcW w:w="1069" w:type="dxa"/>
            <w:shd w:val="clear" w:color="auto" w:fill="auto"/>
            <w:noWrap/>
          </w:tcPr>
          <w:p w14:paraId="75A6DA0E" w14:textId="77777777" w:rsidR="006C269A" w:rsidRPr="00966F2B" w:rsidRDefault="006C269A" w:rsidP="00AB05FB">
            <w:pPr>
              <w:pStyle w:val="Btablefigureunbold"/>
            </w:pPr>
            <w:r w:rsidRPr="00966F2B">
              <w:t>2,360</w:t>
            </w:r>
          </w:p>
        </w:tc>
        <w:tc>
          <w:tcPr>
            <w:tcW w:w="1069" w:type="dxa"/>
            <w:shd w:val="clear" w:color="auto" w:fill="auto"/>
            <w:noWrap/>
          </w:tcPr>
          <w:p w14:paraId="1D084AEB" w14:textId="77777777" w:rsidR="006C269A" w:rsidRPr="00966F2B" w:rsidRDefault="006C269A" w:rsidP="00AB05FB">
            <w:pPr>
              <w:pStyle w:val="Btablefigureunbold"/>
            </w:pPr>
            <w:r w:rsidRPr="00966F2B">
              <w:t>9,189</w:t>
            </w:r>
          </w:p>
        </w:tc>
        <w:tc>
          <w:tcPr>
            <w:tcW w:w="1069" w:type="dxa"/>
            <w:shd w:val="clear" w:color="auto" w:fill="auto"/>
            <w:noWrap/>
          </w:tcPr>
          <w:p w14:paraId="622EC859" w14:textId="77777777" w:rsidR="006C269A" w:rsidRPr="00966F2B" w:rsidRDefault="006C269A" w:rsidP="00AB05FB">
            <w:pPr>
              <w:pStyle w:val="Btablefigureunbold"/>
            </w:pPr>
            <w:r w:rsidRPr="00966F2B">
              <w:t>9,351</w:t>
            </w:r>
          </w:p>
        </w:tc>
        <w:tc>
          <w:tcPr>
            <w:tcW w:w="1069" w:type="dxa"/>
            <w:shd w:val="clear" w:color="auto" w:fill="auto"/>
            <w:noWrap/>
          </w:tcPr>
          <w:p w14:paraId="37C8FA44" w14:textId="77777777" w:rsidR="006C269A" w:rsidRPr="00966F2B" w:rsidRDefault="006C269A" w:rsidP="00AB05FB">
            <w:pPr>
              <w:pStyle w:val="Btablefigureunbold"/>
            </w:pPr>
            <w:r w:rsidRPr="00966F2B">
              <w:t>9,538</w:t>
            </w:r>
          </w:p>
        </w:tc>
        <w:tc>
          <w:tcPr>
            <w:tcW w:w="1069" w:type="dxa"/>
            <w:shd w:val="clear" w:color="auto" w:fill="auto"/>
            <w:noWrap/>
          </w:tcPr>
          <w:p w14:paraId="3435C6D0" w14:textId="77777777" w:rsidR="006C269A" w:rsidRPr="00966F2B" w:rsidRDefault="006C269A" w:rsidP="00AB05FB">
            <w:pPr>
              <w:pStyle w:val="Btablefigureunbold"/>
            </w:pPr>
            <w:r w:rsidRPr="00966F2B">
              <w:t>9,753</w:t>
            </w:r>
          </w:p>
        </w:tc>
      </w:tr>
      <w:tr w:rsidR="006C269A" w:rsidRPr="007A3A83" w14:paraId="51931BA4" w14:textId="77777777" w:rsidTr="00AB05FB">
        <w:trPr>
          <w:cantSplit/>
          <w:trHeight w:val="20"/>
          <w:jc w:val="center"/>
        </w:trPr>
        <w:tc>
          <w:tcPr>
            <w:tcW w:w="2869" w:type="dxa"/>
            <w:shd w:val="clear" w:color="auto" w:fill="auto"/>
          </w:tcPr>
          <w:p w14:paraId="6EE260B7" w14:textId="77777777" w:rsidR="006C269A" w:rsidRPr="00AE3D6E" w:rsidRDefault="006C269A" w:rsidP="00AB05FB">
            <w:pPr>
              <w:pStyle w:val="BStabletext"/>
            </w:pPr>
            <w:r w:rsidRPr="00F70905">
              <w:t xml:space="preserve">Sales of </w:t>
            </w:r>
            <w:r>
              <w:t>g</w:t>
            </w:r>
            <w:r w:rsidRPr="00F70905">
              <w:t xml:space="preserve">oods and </w:t>
            </w:r>
            <w:r>
              <w:t>s</w:t>
            </w:r>
            <w:r w:rsidRPr="00F70905">
              <w:t>ervices</w:t>
            </w:r>
            <w:r>
              <w:t xml:space="preserve"> revenue</w:t>
            </w:r>
          </w:p>
        </w:tc>
        <w:tc>
          <w:tcPr>
            <w:tcW w:w="1068" w:type="dxa"/>
            <w:shd w:val="clear" w:color="auto" w:fill="auto"/>
          </w:tcPr>
          <w:p w14:paraId="7DA54782" w14:textId="77777777" w:rsidR="006C269A" w:rsidRPr="00966F2B" w:rsidRDefault="006C269A" w:rsidP="00AB05FB">
            <w:pPr>
              <w:pStyle w:val="Btablefigureunbold"/>
            </w:pPr>
          </w:p>
        </w:tc>
        <w:tc>
          <w:tcPr>
            <w:tcW w:w="1069" w:type="dxa"/>
            <w:shd w:val="clear" w:color="auto" w:fill="auto"/>
            <w:noWrap/>
          </w:tcPr>
          <w:p w14:paraId="48B55052" w14:textId="77777777" w:rsidR="006C269A" w:rsidRPr="00966F2B" w:rsidRDefault="006C269A" w:rsidP="00AB05FB">
            <w:pPr>
              <w:pStyle w:val="Btablefigureunbold"/>
            </w:pPr>
          </w:p>
        </w:tc>
        <w:tc>
          <w:tcPr>
            <w:tcW w:w="1069" w:type="dxa"/>
            <w:shd w:val="clear" w:color="auto" w:fill="auto"/>
            <w:noWrap/>
          </w:tcPr>
          <w:p w14:paraId="6ED72AA2" w14:textId="77777777" w:rsidR="006C269A" w:rsidRPr="00966F2B" w:rsidRDefault="006C269A" w:rsidP="00AB05FB">
            <w:pPr>
              <w:pStyle w:val="Btablefigureunbold"/>
            </w:pPr>
          </w:p>
        </w:tc>
        <w:tc>
          <w:tcPr>
            <w:tcW w:w="1069" w:type="dxa"/>
            <w:shd w:val="clear" w:color="auto" w:fill="auto"/>
            <w:noWrap/>
          </w:tcPr>
          <w:p w14:paraId="4F8B88AE" w14:textId="77777777" w:rsidR="006C269A" w:rsidRPr="00966F2B" w:rsidRDefault="006C269A" w:rsidP="00AB05FB">
            <w:pPr>
              <w:pStyle w:val="Btablefigureunbold"/>
            </w:pPr>
          </w:p>
        </w:tc>
        <w:tc>
          <w:tcPr>
            <w:tcW w:w="1069" w:type="dxa"/>
            <w:shd w:val="clear" w:color="auto" w:fill="auto"/>
            <w:noWrap/>
          </w:tcPr>
          <w:p w14:paraId="3707508E" w14:textId="77777777" w:rsidR="006C269A" w:rsidRPr="00966F2B" w:rsidRDefault="006C269A" w:rsidP="00AB05FB">
            <w:pPr>
              <w:pStyle w:val="Btablefigureunbold"/>
            </w:pPr>
          </w:p>
        </w:tc>
        <w:tc>
          <w:tcPr>
            <w:tcW w:w="1069" w:type="dxa"/>
            <w:shd w:val="clear" w:color="auto" w:fill="auto"/>
            <w:noWrap/>
          </w:tcPr>
          <w:p w14:paraId="2EAA2D28" w14:textId="77777777" w:rsidR="006C269A" w:rsidRPr="00966F2B" w:rsidRDefault="006C269A" w:rsidP="00AB05FB">
            <w:pPr>
              <w:pStyle w:val="Btablefigureunbold"/>
            </w:pPr>
          </w:p>
        </w:tc>
      </w:tr>
      <w:tr w:rsidR="006C269A" w:rsidRPr="007A3A83" w14:paraId="7F0FA7CC" w14:textId="77777777" w:rsidTr="00AB05FB">
        <w:trPr>
          <w:cantSplit/>
          <w:trHeight w:val="20"/>
          <w:jc w:val="center"/>
        </w:trPr>
        <w:tc>
          <w:tcPr>
            <w:tcW w:w="2869" w:type="dxa"/>
            <w:shd w:val="clear" w:color="auto" w:fill="auto"/>
          </w:tcPr>
          <w:p w14:paraId="139840B1" w14:textId="77777777" w:rsidR="006C269A" w:rsidRDefault="006C269A" w:rsidP="00AB05FB">
            <w:pPr>
              <w:pStyle w:val="BStabletext"/>
              <w:ind w:left="381" w:hanging="142"/>
            </w:pPr>
            <w:r w:rsidRPr="00F70905">
              <w:t xml:space="preserve">Revenue from </w:t>
            </w:r>
            <w:r>
              <w:t>a</w:t>
            </w:r>
            <w:r w:rsidRPr="00F70905">
              <w:t xml:space="preserve">ssociates and </w:t>
            </w:r>
            <w:r>
              <w:t>j</w:t>
            </w:r>
            <w:r w:rsidRPr="00F70905">
              <w:t xml:space="preserve">oint </w:t>
            </w:r>
            <w:r>
              <w:t>v</w:t>
            </w:r>
            <w:r w:rsidRPr="00F70905">
              <w:t>entures</w:t>
            </w:r>
          </w:p>
        </w:tc>
        <w:tc>
          <w:tcPr>
            <w:tcW w:w="1068" w:type="dxa"/>
            <w:shd w:val="clear" w:color="auto" w:fill="auto"/>
          </w:tcPr>
          <w:p w14:paraId="52F67F2C" w14:textId="77777777" w:rsidR="006C269A" w:rsidRPr="00966F2B" w:rsidRDefault="006C269A" w:rsidP="00AB05FB">
            <w:pPr>
              <w:pStyle w:val="Btablefigureunbold"/>
            </w:pPr>
            <w:r w:rsidRPr="00966F2B">
              <w:t>36,930</w:t>
            </w:r>
          </w:p>
        </w:tc>
        <w:tc>
          <w:tcPr>
            <w:tcW w:w="1069" w:type="dxa"/>
            <w:shd w:val="clear" w:color="auto" w:fill="auto"/>
            <w:noWrap/>
          </w:tcPr>
          <w:p w14:paraId="55798FA7" w14:textId="77777777" w:rsidR="006C269A" w:rsidRPr="00966F2B" w:rsidRDefault="006C269A" w:rsidP="00AB05FB">
            <w:pPr>
              <w:pStyle w:val="Btablefigureunbold"/>
            </w:pPr>
            <w:r w:rsidRPr="00966F2B">
              <w:t>41,539</w:t>
            </w:r>
          </w:p>
        </w:tc>
        <w:tc>
          <w:tcPr>
            <w:tcW w:w="1069" w:type="dxa"/>
            <w:shd w:val="clear" w:color="auto" w:fill="auto"/>
            <w:noWrap/>
          </w:tcPr>
          <w:p w14:paraId="3388DD40" w14:textId="77777777" w:rsidR="006C269A" w:rsidRPr="00966F2B" w:rsidRDefault="006C269A" w:rsidP="00AB05FB">
            <w:pPr>
              <w:pStyle w:val="Btablefigureunbold"/>
            </w:pPr>
            <w:r w:rsidRPr="00966F2B">
              <w:t>77,093</w:t>
            </w:r>
          </w:p>
        </w:tc>
        <w:tc>
          <w:tcPr>
            <w:tcW w:w="1069" w:type="dxa"/>
            <w:shd w:val="clear" w:color="auto" w:fill="auto"/>
            <w:noWrap/>
          </w:tcPr>
          <w:p w14:paraId="249CA317" w14:textId="77777777" w:rsidR="006C269A" w:rsidRPr="00966F2B" w:rsidRDefault="006C269A" w:rsidP="00AB05FB">
            <w:pPr>
              <w:pStyle w:val="Btablefigureunbold"/>
            </w:pPr>
            <w:r w:rsidRPr="00966F2B">
              <w:t>78,721</w:t>
            </w:r>
          </w:p>
        </w:tc>
        <w:tc>
          <w:tcPr>
            <w:tcW w:w="1069" w:type="dxa"/>
            <w:shd w:val="clear" w:color="auto" w:fill="auto"/>
            <w:noWrap/>
          </w:tcPr>
          <w:p w14:paraId="28295DBB" w14:textId="77777777" w:rsidR="006C269A" w:rsidRPr="00966F2B" w:rsidRDefault="006C269A" w:rsidP="00AB05FB">
            <w:pPr>
              <w:pStyle w:val="Btablefigureunbold"/>
            </w:pPr>
            <w:r w:rsidRPr="00966F2B">
              <w:t>76,638</w:t>
            </w:r>
          </w:p>
        </w:tc>
        <w:tc>
          <w:tcPr>
            <w:tcW w:w="1069" w:type="dxa"/>
            <w:shd w:val="clear" w:color="auto" w:fill="auto"/>
            <w:noWrap/>
          </w:tcPr>
          <w:p w14:paraId="55FDA77F" w14:textId="77777777" w:rsidR="006C269A" w:rsidRPr="00966F2B" w:rsidRDefault="006C269A" w:rsidP="00AB05FB">
            <w:pPr>
              <w:pStyle w:val="Btablefigureunbold"/>
            </w:pPr>
            <w:r w:rsidRPr="00966F2B">
              <w:t>72,079</w:t>
            </w:r>
          </w:p>
        </w:tc>
      </w:tr>
      <w:tr w:rsidR="006C269A" w:rsidRPr="007A3A83" w14:paraId="422E533D" w14:textId="77777777" w:rsidTr="00AB05FB">
        <w:trPr>
          <w:cantSplit/>
          <w:trHeight w:val="20"/>
          <w:jc w:val="center"/>
        </w:trPr>
        <w:tc>
          <w:tcPr>
            <w:tcW w:w="2869" w:type="dxa"/>
            <w:shd w:val="clear" w:color="auto" w:fill="auto"/>
          </w:tcPr>
          <w:p w14:paraId="16A53632" w14:textId="77777777" w:rsidR="006C269A" w:rsidRPr="008970B7" w:rsidRDefault="006C269A" w:rsidP="00AB05FB">
            <w:pPr>
              <w:pStyle w:val="BStabletext"/>
              <w:ind w:left="381" w:hanging="142"/>
              <w:rPr>
                <w:vertAlign w:val="superscript"/>
              </w:rPr>
            </w:pPr>
            <w:r w:rsidRPr="00F70905">
              <w:t xml:space="preserve">Other </w:t>
            </w:r>
            <w:r>
              <w:t>s</w:t>
            </w:r>
            <w:r w:rsidRPr="00F70905">
              <w:t xml:space="preserve">ales of </w:t>
            </w:r>
            <w:r>
              <w:t>g</w:t>
            </w:r>
            <w:r w:rsidRPr="00F70905">
              <w:t xml:space="preserve">oods and </w:t>
            </w:r>
            <w:r>
              <w:t>s</w:t>
            </w:r>
            <w:r w:rsidRPr="00F70905">
              <w:t xml:space="preserve">ervices </w:t>
            </w:r>
            <w:r>
              <w:rPr>
                <w:lang w:val="en-US"/>
              </w:rPr>
              <w:t>from contracts with customers</w:t>
            </w:r>
          </w:p>
        </w:tc>
        <w:tc>
          <w:tcPr>
            <w:tcW w:w="1068" w:type="dxa"/>
            <w:shd w:val="clear" w:color="auto" w:fill="auto"/>
          </w:tcPr>
          <w:p w14:paraId="5B1CE405" w14:textId="77777777" w:rsidR="006C269A" w:rsidRPr="00966F2B" w:rsidRDefault="006C269A" w:rsidP="00AB05FB">
            <w:pPr>
              <w:pStyle w:val="Btablefigureunbold"/>
            </w:pPr>
            <w:r w:rsidRPr="00966F2B">
              <w:t>424,777</w:t>
            </w:r>
          </w:p>
        </w:tc>
        <w:tc>
          <w:tcPr>
            <w:tcW w:w="1069" w:type="dxa"/>
            <w:shd w:val="clear" w:color="auto" w:fill="auto"/>
            <w:noWrap/>
          </w:tcPr>
          <w:p w14:paraId="7E647512" w14:textId="77777777" w:rsidR="006C269A" w:rsidRPr="00966F2B" w:rsidRDefault="006C269A" w:rsidP="00AB05FB">
            <w:pPr>
              <w:pStyle w:val="Btablefigureunbold"/>
            </w:pPr>
            <w:r w:rsidRPr="00966F2B">
              <w:t>416,419</w:t>
            </w:r>
          </w:p>
        </w:tc>
        <w:tc>
          <w:tcPr>
            <w:tcW w:w="1069" w:type="dxa"/>
            <w:shd w:val="clear" w:color="auto" w:fill="auto"/>
            <w:noWrap/>
          </w:tcPr>
          <w:p w14:paraId="6EEC2AE6" w14:textId="77777777" w:rsidR="006C269A" w:rsidRPr="00966F2B" w:rsidRDefault="006C269A" w:rsidP="00AB05FB">
            <w:pPr>
              <w:pStyle w:val="Btablefigureunbold"/>
            </w:pPr>
            <w:r w:rsidRPr="00966F2B">
              <w:t>472,872</w:t>
            </w:r>
          </w:p>
        </w:tc>
        <w:tc>
          <w:tcPr>
            <w:tcW w:w="1069" w:type="dxa"/>
            <w:shd w:val="clear" w:color="auto" w:fill="auto"/>
            <w:noWrap/>
          </w:tcPr>
          <w:p w14:paraId="7536A107" w14:textId="77777777" w:rsidR="006C269A" w:rsidRPr="00966F2B" w:rsidRDefault="006C269A" w:rsidP="00AB05FB">
            <w:pPr>
              <w:pStyle w:val="Btablefigureunbold"/>
            </w:pPr>
            <w:r w:rsidRPr="00966F2B">
              <w:t>473,672</w:t>
            </w:r>
          </w:p>
        </w:tc>
        <w:tc>
          <w:tcPr>
            <w:tcW w:w="1069" w:type="dxa"/>
            <w:shd w:val="clear" w:color="auto" w:fill="auto"/>
            <w:noWrap/>
          </w:tcPr>
          <w:p w14:paraId="4BCC83E7" w14:textId="77777777" w:rsidR="006C269A" w:rsidRPr="00966F2B" w:rsidRDefault="006C269A" w:rsidP="00AB05FB">
            <w:pPr>
              <w:pStyle w:val="Btablefigureunbold"/>
            </w:pPr>
            <w:r w:rsidRPr="00966F2B">
              <w:t>479,010</w:t>
            </w:r>
          </w:p>
        </w:tc>
        <w:tc>
          <w:tcPr>
            <w:tcW w:w="1069" w:type="dxa"/>
            <w:shd w:val="clear" w:color="auto" w:fill="auto"/>
            <w:noWrap/>
          </w:tcPr>
          <w:p w14:paraId="7FED0038" w14:textId="77777777" w:rsidR="006C269A" w:rsidRPr="00966F2B" w:rsidRDefault="006C269A" w:rsidP="00AB05FB">
            <w:pPr>
              <w:pStyle w:val="Btablefigureunbold"/>
            </w:pPr>
            <w:r w:rsidRPr="00966F2B">
              <w:t>491,525</w:t>
            </w:r>
          </w:p>
        </w:tc>
      </w:tr>
      <w:tr w:rsidR="006C269A" w:rsidRPr="007A3A83" w14:paraId="1EE6C52D" w14:textId="77777777" w:rsidTr="00AB05FB">
        <w:trPr>
          <w:cantSplit/>
          <w:trHeight w:val="20"/>
          <w:jc w:val="center"/>
        </w:trPr>
        <w:tc>
          <w:tcPr>
            <w:tcW w:w="2869" w:type="dxa"/>
            <w:shd w:val="clear" w:color="auto" w:fill="auto"/>
          </w:tcPr>
          <w:p w14:paraId="063C1E69" w14:textId="77777777" w:rsidR="006C269A" w:rsidRPr="00983DDC" w:rsidRDefault="006C269A" w:rsidP="00AB05FB">
            <w:pPr>
              <w:pStyle w:val="BStabletext"/>
              <w:rPr>
                <w:vertAlign w:val="superscript"/>
                <w:lang w:val="en-US"/>
              </w:rPr>
            </w:pPr>
            <w:r>
              <w:t>Investment revenu</w:t>
            </w:r>
            <w:r>
              <w:rPr>
                <w:lang w:val="en-US"/>
              </w:rPr>
              <w:t>e</w:t>
            </w:r>
          </w:p>
        </w:tc>
        <w:tc>
          <w:tcPr>
            <w:tcW w:w="1068" w:type="dxa"/>
            <w:shd w:val="clear" w:color="auto" w:fill="auto"/>
          </w:tcPr>
          <w:p w14:paraId="4B674E0D" w14:textId="77777777" w:rsidR="006C269A" w:rsidRPr="00966F2B" w:rsidRDefault="006C269A" w:rsidP="00AB05FB">
            <w:pPr>
              <w:pStyle w:val="Btablefigureunbold"/>
            </w:pPr>
            <w:r w:rsidRPr="00966F2B">
              <w:t>1,718</w:t>
            </w:r>
          </w:p>
        </w:tc>
        <w:tc>
          <w:tcPr>
            <w:tcW w:w="1069" w:type="dxa"/>
            <w:shd w:val="clear" w:color="auto" w:fill="auto"/>
            <w:noWrap/>
          </w:tcPr>
          <w:p w14:paraId="552A337F" w14:textId="77777777" w:rsidR="006C269A" w:rsidRPr="00966F2B" w:rsidRDefault="006C269A" w:rsidP="00AB05FB">
            <w:pPr>
              <w:pStyle w:val="Btablefigureunbold"/>
            </w:pPr>
            <w:r w:rsidRPr="00966F2B">
              <w:t>2,286</w:t>
            </w:r>
          </w:p>
        </w:tc>
        <w:tc>
          <w:tcPr>
            <w:tcW w:w="1069" w:type="dxa"/>
            <w:shd w:val="clear" w:color="auto" w:fill="auto"/>
            <w:noWrap/>
          </w:tcPr>
          <w:p w14:paraId="4F0662C2" w14:textId="77777777" w:rsidR="006C269A" w:rsidRPr="00966F2B" w:rsidRDefault="006C269A" w:rsidP="00AB05FB">
            <w:pPr>
              <w:pStyle w:val="Btablefigureunbold"/>
            </w:pPr>
            <w:r w:rsidRPr="00966F2B">
              <w:t>816</w:t>
            </w:r>
          </w:p>
        </w:tc>
        <w:tc>
          <w:tcPr>
            <w:tcW w:w="1069" w:type="dxa"/>
            <w:shd w:val="clear" w:color="auto" w:fill="auto"/>
            <w:noWrap/>
          </w:tcPr>
          <w:p w14:paraId="43077B3A" w14:textId="77777777" w:rsidR="006C269A" w:rsidRPr="00966F2B" w:rsidRDefault="006C269A" w:rsidP="00AB05FB">
            <w:pPr>
              <w:pStyle w:val="Btablefigureunbold"/>
            </w:pPr>
            <w:r w:rsidRPr="00966F2B">
              <w:t>625</w:t>
            </w:r>
          </w:p>
        </w:tc>
        <w:tc>
          <w:tcPr>
            <w:tcW w:w="1069" w:type="dxa"/>
            <w:shd w:val="clear" w:color="auto" w:fill="auto"/>
            <w:noWrap/>
          </w:tcPr>
          <w:p w14:paraId="110F363E" w14:textId="77777777" w:rsidR="006C269A" w:rsidRPr="00966F2B" w:rsidRDefault="006C269A" w:rsidP="00AB05FB">
            <w:pPr>
              <w:pStyle w:val="Btablefigureunbold"/>
            </w:pPr>
            <w:r w:rsidRPr="00966F2B">
              <w:t>873</w:t>
            </w:r>
          </w:p>
        </w:tc>
        <w:tc>
          <w:tcPr>
            <w:tcW w:w="1069" w:type="dxa"/>
            <w:shd w:val="clear" w:color="auto" w:fill="auto"/>
            <w:noWrap/>
          </w:tcPr>
          <w:p w14:paraId="0FA097A8" w14:textId="77777777" w:rsidR="006C269A" w:rsidRPr="00966F2B" w:rsidRDefault="006C269A" w:rsidP="00AB05FB">
            <w:pPr>
              <w:pStyle w:val="Btablefigureunbold"/>
            </w:pPr>
            <w:r w:rsidRPr="00966F2B">
              <w:t>1,114</w:t>
            </w:r>
          </w:p>
        </w:tc>
      </w:tr>
      <w:tr w:rsidR="006C269A" w:rsidRPr="007A3A83" w14:paraId="2F144DBE" w14:textId="77777777" w:rsidTr="00AB05FB">
        <w:trPr>
          <w:cantSplit/>
          <w:trHeight w:val="20"/>
          <w:jc w:val="center"/>
        </w:trPr>
        <w:tc>
          <w:tcPr>
            <w:tcW w:w="2869" w:type="dxa"/>
            <w:shd w:val="clear" w:color="auto" w:fill="auto"/>
          </w:tcPr>
          <w:p w14:paraId="16270B38" w14:textId="77777777" w:rsidR="006C269A" w:rsidRPr="008D57D3" w:rsidRDefault="006C269A" w:rsidP="00AB05FB">
            <w:pPr>
              <w:pStyle w:val="BStabletext"/>
              <w:rPr>
                <w:b/>
              </w:rPr>
            </w:pPr>
            <w:r w:rsidRPr="00F70905">
              <w:t xml:space="preserve">Other </w:t>
            </w:r>
            <w:r>
              <w:t>r</w:t>
            </w:r>
            <w:r w:rsidRPr="00F70905">
              <w:t>evenue</w:t>
            </w:r>
          </w:p>
        </w:tc>
        <w:tc>
          <w:tcPr>
            <w:tcW w:w="1068" w:type="dxa"/>
            <w:shd w:val="clear" w:color="auto" w:fill="auto"/>
          </w:tcPr>
          <w:p w14:paraId="72E61BD6" w14:textId="77777777" w:rsidR="006C269A" w:rsidRPr="00966F2B" w:rsidRDefault="006C269A" w:rsidP="00AB05FB">
            <w:pPr>
              <w:pStyle w:val="Btablefigureunbold"/>
            </w:pPr>
          </w:p>
        </w:tc>
        <w:tc>
          <w:tcPr>
            <w:tcW w:w="1069" w:type="dxa"/>
            <w:shd w:val="clear" w:color="auto" w:fill="auto"/>
            <w:noWrap/>
          </w:tcPr>
          <w:p w14:paraId="00C6DF4D" w14:textId="77777777" w:rsidR="006C269A" w:rsidRPr="00966F2B" w:rsidRDefault="006C269A" w:rsidP="00AB05FB">
            <w:pPr>
              <w:pStyle w:val="Btablefigureunbold"/>
            </w:pPr>
          </w:p>
        </w:tc>
        <w:tc>
          <w:tcPr>
            <w:tcW w:w="1069" w:type="dxa"/>
            <w:shd w:val="clear" w:color="auto" w:fill="auto"/>
            <w:noWrap/>
          </w:tcPr>
          <w:p w14:paraId="68713881" w14:textId="77777777" w:rsidR="006C269A" w:rsidRPr="00966F2B" w:rsidRDefault="006C269A" w:rsidP="00AB05FB">
            <w:pPr>
              <w:pStyle w:val="Btablefigureunbold"/>
            </w:pPr>
          </w:p>
        </w:tc>
        <w:tc>
          <w:tcPr>
            <w:tcW w:w="1069" w:type="dxa"/>
            <w:shd w:val="clear" w:color="auto" w:fill="auto"/>
            <w:noWrap/>
          </w:tcPr>
          <w:p w14:paraId="5A919B28" w14:textId="77777777" w:rsidR="006C269A" w:rsidRPr="00966F2B" w:rsidRDefault="006C269A" w:rsidP="00AB05FB">
            <w:pPr>
              <w:pStyle w:val="Btablefigureunbold"/>
            </w:pPr>
          </w:p>
        </w:tc>
        <w:tc>
          <w:tcPr>
            <w:tcW w:w="1069" w:type="dxa"/>
            <w:shd w:val="clear" w:color="auto" w:fill="auto"/>
            <w:noWrap/>
          </w:tcPr>
          <w:p w14:paraId="1EFA4139" w14:textId="77777777" w:rsidR="006C269A" w:rsidRPr="00966F2B" w:rsidRDefault="006C269A" w:rsidP="00AB05FB">
            <w:pPr>
              <w:pStyle w:val="Btablefigureunbold"/>
            </w:pPr>
          </w:p>
        </w:tc>
        <w:tc>
          <w:tcPr>
            <w:tcW w:w="1069" w:type="dxa"/>
            <w:shd w:val="clear" w:color="auto" w:fill="auto"/>
            <w:noWrap/>
          </w:tcPr>
          <w:p w14:paraId="01A4EC92" w14:textId="77777777" w:rsidR="006C269A" w:rsidRPr="00966F2B" w:rsidRDefault="006C269A" w:rsidP="00AB05FB">
            <w:pPr>
              <w:pStyle w:val="Btablefigureunbold"/>
            </w:pPr>
          </w:p>
        </w:tc>
      </w:tr>
      <w:tr w:rsidR="006C269A" w:rsidRPr="007A3A83" w14:paraId="3F79D56D" w14:textId="77777777" w:rsidTr="00AB05FB">
        <w:trPr>
          <w:cantSplit/>
          <w:trHeight w:val="20"/>
          <w:jc w:val="center"/>
        </w:trPr>
        <w:tc>
          <w:tcPr>
            <w:tcW w:w="2869" w:type="dxa"/>
            <w:shd w:val="clear" w:color="auto" w:fill="auto"/>
            <w:noWrap/>
          </w:tcPr>
          <w:p w14:paraId="38F74E69" w14:textId="77777777" w:rsidR="006C269A" w:rsidRPr="001244F6" w:rsidRDefault="006C269A" w:rsidP="00AB05FB">
            <w:pPr>
              <w:pStyle w:val="BStabletext"/>
              <w:ind w:left="381" w:hanging="142"/>
            </w:pPr>
            <w:r w:rsidRPr="00F70905">
              <w:t xml:space="preserve">Land </w:t>
            </w:r>
            <w:r w:rsidRPr="001244F6">
              <w:t>r</w:t>
            </w:r>
            <w:r w:rsidRPr="00F70905">
              <w:t>evenue (</w:t>
            </w:r>
            <w:r w:rsidRPr="001244F6">
              <w:t>v</w:t>
            </w:r>
            <w:r w:rsidRPr="00F70905">
              <w:t xml:space="preserve">alue </w:t>
            </w:r>
            <w:r w:rsidRPr="001244F6">
              <w:t>a</w:t>
            </w:r>
            <w:r w:rsidRPr="00F70905">
              <w:t xml:space="preserve">dd </w:t>
            </w:r>
            <w:r w:rsidRPr="001244F6">
              <w:t>c</w:t>
            </w:r>
            <w:r w:rsidRPr="00F70905">
              <w:t>omponent)</w:t>
            </w:r>
          </w:p>
        </w:tc>
        <w:tc>
          <w:tcPr>
            <w:tcW w:w="1068" w:type="dxa"/>
            <w:shd w:val="clear" w:color="auto" w:fill="auto"/>
          </w:tcPr>
          <w:p w14:paraId="0287F611" w14:textId="77777777" w:rsidR="006C269A" w:rsidRPr="00966F2B" w:rsidRDefault="006C269A" w:rsidP="00AB05FB">
            <w:pPr>
              <w:pStyle w:val="Btablefigureunbold"/>
            </w:pPr>
            <w:r w:rsidRPr="00966F2B">
              <w:t>742,155</w:t>
            </w:r>
          </w:p>
        </w:tc>
        <w:tc>
          <w:tcPr>
            <w:tcW w:w="1069" w:type="dxa"/>
            <w:shd w:val="clear" w:color="auto" w:fill="auto"/>
            <w:noWrap/>
          </w:tcPr>
          <w:p w14:paraId="34F792CA" w14:textId="77777777" w:rsidR="006C269A" w:rsidRPr="00966F2B" w:rsidRDefault="006C269A" w:rsidP="00AB05FB">
            <w:pPr>
              <w:pStyle w:val="Btablefigureunbold"/>
            </w:pPr>
            <w:r w:rsidRPr="00966F2B">
              <w:t>696,902</w:t>
            </w:r>
          </w:p>
        </w:tc>
        <w:tc>
          <w:tcPr>
            <w:tcW w:w="1069" w:type="dxa"/>
            <w:shd w:val="clear" w:color="auto" w:fill="auto"/>
            <w:noWrap/>
          </w:tcPr>
          <w:p w14:paraId="18C71419" w14:textId="77777777" w:rsidR="006C269A" w:rsidRPr="00966F2B" w:rsidRDefault="006C269A" w:rsidP="00AB05FB">
            <w:pPr>
              <w:pStyle w:val="Btablefigureunbold"/>
            </w:pPr>
            <w:r w:rsidRPr="00966F2B">
              <w:t>377,277</w:t>
            </w:r>
          </w:p>
        </w:tc>
        <w:tc>
          <w:tcPr>
            <w:tcW w:w="1069" w:type="dxa"/>
            <w:shd w:val="clear" w:color="auto" w:fill="auto"/>
            <w:noWrap/>
          </w:tcPr>
          <w:p w14:paraId="285ABCDB" w14:textId="77777777" w:rsidR="006C269A" w:rsidRPr="00966F2B" w:rsidRDefault="006C269A" w:rsidP="00AB05FB">
            <w:pPr>
              <w:pStyle w:val="Btablefigureunbold"/>
            </w:pPr>
            <w:r w:rsidRPr="00966F2B">
              <w:t>402,788</w:t>
            </w:r>
          </w:p>
        </w:tc>
        <w:tc>
          <w:tcPr>
            <w:tcW w:w="1069" w:type="dxa"/>
            <w:shd w:val="clear" w:color="auto" w:fill="auto"/>
            <w:noWrap/>
          </w:tcPr>
          <w:p w14:paraId="3C0BD2C2" w14:textId="77777777" w:rsidR="006C269A" w:rsidRPr="00966F2B" w:rsidRDefault="006C269A" w:rsidP="00AB05FB">
            <w:pPr>
              <w:pStyle w:val="Btablefigureunbold"/>
            </w:pPr>
            <w:r w:rsidRPr="00966F2B">
              <w:t>355,579</w:t>
            </w:r>
          </w:p>
        </w:tc>
        <w:tc>
          <w:tcPr>
            <w:tcW w:w="1069" w:type="dxa"/>
            <w:shd w:val="clear" w:color="auto" w:fill="auto"/>
            <w:noWrap/>
          </w:tcPr>
          <w:p w14:paraId="2CA134F8" w14:textId="77777777" w:rsidR="006C269A" w:rsidRPr="00966F2B" w:rsidRDefault="006C269A" w:rsidP="00AB05FB">
            <w:pPr>
              <w:pStyle w:val="Btablefigureunbold"/>
            </w:pPr>
            <w:r w:rsidRPr="00966F2B">
              <w:t>390,261</w:t>
            </w:r>
          </w:p>
        </w:tc>
      </w:tr>
      <w:tr w:rsidR="006C269A" w:rsidRPr="007A3A83" w14:paraId="024CD40D" w14:textId="77777777" w:rsidTr="00AB05FB">
        <w:trPr>
          <w:cantSplit/>
          <w:trHeight w:val="20"/>
          <w:jc w:val="center"/>
        </w:trPr>
        <w:tc>
          <w:tcPr>
            <w:tcW w:w="2869" w:type="dxa"/>
            <w:shd w:val="clear" w:color="auto" w:fill="auto"/>
          </w:tcPr>
          <w:p w14:paraId="3FFD8D71" w14:textId="77777777" w:rsidR="006C269A" w:rsidRPr="001244F6" w:rsidRDefault="006C269A" w:rsidP="00AB05FB">
            <w:pPr>
              <w:pStyle w:val="BStabletext"/>
              <w:ind w:left="381" w:hanging="142"/>
            </w:pPr>
            <w:r w:rsidRPr="00F70905">
              <w:t xml:space="preserve">Other </w:t>
            </w:r>
            <w:r w:rsidRPr="001244F6">
              <w:t>r</w:t>
            </w:r>
            <w:r w:rsidRPr="00F70905">
              <w:t>evenue</w:t>
            </w:r>
          </w:p>
        </w:tc>
        <w:tc>
          <w:tcPr>
            <w:tcW w:w="1068" w:type="dxa"/>
            <w:shd w:val="clear" w:color="auto" w:fill="auto"/>
          </w:tcPr>
          <w:p w14:paraId="7D27EF87" w14:textId="77777777" w:rsidR="006C269A" w:rsidRPr="00966F2B" w:rsidRDefault="006C269A" w:rsidP="00AB05FB">
            <w:pPr>
              <w:pStyle w:val="Btablefigureunbold"/>
            </w:pPr>
            <w:r w:rsidRPr="00966F2B">
              <w:t>11,892</w:t>
            </w:r>
          </w:p>
        </w:tc>
        <w:tc>
          <w:tcPr>
            <w:tcW w:w="1069" w:type="dxa"/>
            <w:shd w:val="clear" w:color="auto" w:fill="auto"/>
            <w:noWrap/>
          </w:tcPr>
          <w:p w14:paraId="001D1930" w14:textId="77777777" w:rsidR="006C269A" w:rsidRPr="00966F2B" w:rsidRDefault="006C269A" w:rsidP="00AB05FB">
            <w:pPr>
              <w:pStyle w:val="Btablefigureunbold"/>
            </w:pPr>
            <w:r w:rsidRPr="00966F2B">
              <w:t>21,731</w:t>
            </w:r>
          </w:p>
        </w:tc>
        <w:tc>
          <w:tcPr>
            <w:tcW w:w="1069" w:type="dxa"/>
            <w:shd w:val="clear" w:color="auto" w:fill="auto"/>
            <w:noWrap/>
          </w:tcPr>
          <w:p w14:paraId="775C05C0" w14:textId="77777777" w:rsidR="006C269A" w:rsidRPr="00966F2B" w:rsidRDefault="006C269A" w:rsidP="00AB05FB">
            <w:pPr>
              <w:pStyle w:val="Btablefigureunbold"/>
            </w:pPr>
            <w:r w:rsidRPr="00966F2B">
              <w:t>10,093</w:t>
            </w:r>
          </w:p>
        </w:tc>
        <w:tc>
          <w:tcPr>
            <w:tcW w:w="1069" w:type="dxa"/>
            <w:shd w:val="clear" w:color="auto" w:fill="auto"/>
            <w:noWrap/>
          </w:tcPr>
          <w:p w14:paraId="20558340" w14:textId="77777777" w:rsidR="006C269A" w:rsidRPr="00966F2B" w:rsidRDefault="006C269A" w:rsidP="00AB05FB">
            <w:pPr>
              <w:pStyle w:val="Btablefigureunbold"/>
            </w:pPr>
            <w:r w:rsidRPr="00966F2B">
              <w:t>9,806</w:t>
            </w:r>
          </w:p>
        </w:tc>
        <w:tc>
          <w:tcPr>
            <w:tcW w:w="1069" w:type="dxa"/>
            <w:shd w:val="clear" w:color="auto" w:fill="auto"/>
            <w:noWrap/>
          </w:tcPr>
          <w:p w14:paraId="0B98F0B7" w14:textId="77777777" w:rsidR="006C269A" w:rsidRPr="00966F2B" w:rsidRDefault="006C269A" w:rsidP="00AB05FB">
            <w:pPr>
              <w:pStyle w:val="Btablefigureunbold"/>
            </w:pPr>
            <w:r w:rsidRPr="00966F2B">
              <w:t>10,000</w:t>
            </w:r>
          </w:p>
        </w:tc>
        <w:tc>
          <w:tcPr>
            <w:tcW w:w="1069" w:type="dxa"/>
            <w:shd w:val="clear" w:color="auto" w:fill="auto"/>
            <w:noWrap/>
          </w:tcPr>
          <w:p w14:paraId="05575462" w14:textId="77777777" w:rsidR="006C269A" w:rsidRPr="00966F2B" w:rsidRDefault="006C269A" w:rsidP="00AB05FB">
            <w:pPr>
              <w:pStyle w:val="Btablefigureunbold"/>
            </w:pPr>
            <w:r w:rsidRPr="00966F2B">
              <w:t>10,252</w:t>
            </w:r>
          </w:p>
        </w:tc>
      </w:tr>
      <w:tr w:rsidR="006C269A" w:rsidRPr="006D5D15" w14:paraId="2BCB33A2" w14:textId="77777777" w:rsidTr="00AB05FB">
        <w:trPr>
          <w:cantSplit/>
          <w:trHeight w:val="20"/>
          <w:jc w:val="center"/>
        </w:trPr>
        <w:tc>
          <w:tcPr>
            <w:tcW w:w="2869" w:type="dxa"/>
            <w:shd w:val="clear" w:color="auto" w:fill="auto"/>
          </w:tcPr>
          <w:p w14:paraId="586F9CC9" w14:textId="77777777" w:rsidR="006C269A" w:rsidRPr="008D57D3" w:rsidRDefault="006C269A" w:rsidP="00AB05FB">
            <w:pPr>
              <w:pStyle w:val="BStabletext"/>
              <w:ind w:left="381" w:hanging="142"/>
            </w:pPr>
            <w:r w:rsidRPr="00F70905">
              <w:t xml:space="preserve">Gains from </w:t>
            </w:r>
            <w:r w:rsidRPr="001244F6">
              <w:t>c</w:t>
            </w:r>
            <w:r w:rsidRPr="00F70905">
              <w:t xml:space="preserve">ontributed </w:t>
            </w:r>
            <w:r w:rsidRPr="001244F6">
              <w:t>a</w:t>
            </w:r>
            <w:r w:rsidRPr="00F70905">
              <w:t>ssets</w:t>
            </w:r>
          </w:p>
        </w:tc>
        <w:tc>
          <w:tcPr>
            <w:tcW w:w="1068" w:type="dxa"/>
            <w:shd w:val="clear" w:color="auto" w:fill="auto"/>
          </w:tcPr>
          <w:p w14:paraId="4CDEAF5A" w14:textId="77777777" w:rsidR="006C269A" w:rsidRPr="00966F2B" w:rsidRDefault="006C269A" w:rsidP="00AB05FB">
            <w:pPr>
              <w:pStyle w:val="Btablefigureunbold"/>
            </w:pPr>
            <w:r w:rsidRPr="00966F2B">
              <w:t>28,542</w:t>
            </w:r>
          </w:p>
        </w:tc>
        <w:tc>
          <w:tcPr>
            <w:tcW w:w="1069" w:type="dxa"/>
            <w:shd w:val="clear" w:color="auto" w:fill="auto"/>
            <w:noWrap/>
          </w:tcPr>
          <w:p w14:paraId="15F9E27E" w14:textId="77777777" w:rsidR="006C269A" w:rsidRPr="00966F2B" w:rsidRDefault="006C269A" w:rsidP="00AB05FB">
            <w:pPr>
              <w:pStyle w:val="Btablefigureunbold"/>
            </w:pPr>
            <w:r w:rsidRPr="00966F2B">
              <w:t>20,163</w:t>
            </w:r>
          </w:p>
        </w:tc>
        <w:tc>
          <w:tcPr>
            <w:tcW w:w="1069" w:type="dxa"/>
            <w:shd w:val="clear" w:color="auto" w:fill="auto"/>
            <w:noWrap/>
          </w:tcPr>
          <w:p w14:paraId="2E72CA99" w14:textId="77777777" w:rsidR="006C269A" w:rsidRPr="00966F2B" w:rsidRDefault="006C269A" w:rsidP="00AB05FB">
            <w:pPr>
              <w:pStyle w:val="Btablefigureunbold"/>
            </w:pPr>
            <w:r w:rsidRPr="00966F2B">
              <w:t>23,712</w:t>
            </w:r>
          </w:p>
        </w:tc>
        <w:tc>
          <w:tcPr>
            <w:tcW w:w="1069" w:type="dxa"/>
            <w:shd w:val="clear" w:color="auto" w:fill="auto"/>
            <w:noWrap/>
          </w:tcPr>
          <w:p w14:paraId="04D32CB9" w14:textId="77777777" w:rsidR="006C269A" w:rsidRPr="00966F2B" w:rsidRDefault="006C269A" w:rsidP="00AB05FB">
            <w:pPr>
              <w:pStyle w:val="Btablefigureunbold"/>
            </w:pPr>
            <w:r w:rsidRPr="00966F2B">
              <w:t>19,175</w:t>
            </w:r>
          </w:p>
        </w:tc>
        <w:tc>
          <w:tcPr>
            <w:tcW w:w="1069" w:type="dxa"/>
            <w:shd w:val="clear" w:color="auto" w:fill="auto"/>
            <w:noWrap/>
          </w:tcPr>
          <w:p w14:paraId="34676038" w14:textId="77777777" w:rsidR="006C269A" w:rsidRPr="00966F2B" w:rsidRDefault="006C269A" w:rsidP="00AB05FB">
            <w:pPr>
              <w:pStyle w:val="Btablefigureunbold"/>
            </w:pPr>
            <w:r w:rsidRPr="00966F2B">
              <w:t>20,804</w:t>
            </w:r>
          </w:p>
        </w:tc>
        <w:tc>
          <w:tcPr>
            <w:tcW w:w="1069" w:type="dxa"/>
            <w:shd w:val="clear" w:color="auto" w:fill="auto"/>
            <w:noWrap/>
          </w:tcPr>
          <w:p w14:paraId="7CE301DB" w14:textId="77777777" w:rsidR="006C269A" w:rsidRPr="00966F2B" w:rsidRDefault="006C269A" w:rsidP="00AB05FB">
            <w:pPr>
              <w:pStyle w:val="Btablefigureunbold"/>
            </w:pPr>
            <w:r w:rsidRPr="00966F2B">
              <w:t>24,350</w:t>
            </w:r>
          </w:p>
        </w:tc>
      </w:tr>
      <w:tr w:rsidR="006C269A" w:rsidRPr="00F9704D" w14:paraId="0096357F" w14:textId="77777777" w:rsidTr="00AB05FB">
        <w:trPr>
          <w:cantSplit/>
          <w:trHeight w:val="20"/>
          <w:jc w:val="center"/>
        </w:trPr>
        <w:tc>
          <w:tcPr>
            <w:tcW w:w="2869" w:type="dxa"/>
            <w:shd w:val="clear" w:color="auto" w:fill="auto"/>
          </w:tcPr>
          <w:p w14:paraId="2D88981B" w14:textId="77777777" w:rsidR="006C269A" w:rsidRPr="00AE3D6E" w:rsidRDefault="006C269A" w:rsidP="00AB05FB">
            <w:pPr>
              <w:pStyle w:val="BStabletextbold"/>
            </w:pPr>
            <w:r>
              <w:t>Total r</w:t>
            </w:r>
            <w:r w:rsidRPr="00F70905">
              <w:t>evenue</w:t>
            </w:r>
          </w:p>
        </w:tc>
        <w:tc>
          <w:tcPr>
            <w:tcW w:w="1068" w:type="dxa"/>
            <w:shd w:val="clear" w:color="auto" w:fill="auto"/>
          </w:tcPr>
          <w:p w14:paraId="6C401DDF" w14:textId="77777777" w:rsidR="006C269A" w:rsidRPr="00966F2B" w:rsidRDefault="006C269A" w:rsidP="00AB05FB">
            <w:pPr>
              <w:pStyle w:val="BTableHeadingRowCentreAligned"/>
              <w:jc w:val="right"/>
            </w:pPr>
            <w:r w:rsidRPr="00966F2B">
              <w:t>1,539,994</w:t>
            </w:r>
          </w:p>
        </w:tc>
        <w:tc>
          <w:tcPr>
            <w:tcW w:w="1069" w:type="dxa"/>
            <w:shd w:val="clear" w:color="auto" w:fill="auto"/>
            <w:noWrap/>
          </w:tcPr>
          <w:p w14:paraId="72C6DA96" w14:textId="77777777" w:rsidR="006C269A" w:rsidRPr="00966F2B" w:rsidRDefault="006C269A" w:rsidP="00AB05FB">
            <w:pPr>
              <w:pStyle w:val="BTableHeadingRowCentreAligned"/>
              <w:jc w:val="right"/>
            </w:pPr>
            <w:r w:rsidRPr="00966F2B">
              <w:t>1,484,072</w:t>
            </w:r>
          </w:p>
        </w:tc>
        <w:tc>
          <w:tcPr>
            <w:tcW w:w="1069" w:type="dxa"/>
            <w:shd w:val="clear" w:color="auto" w:fill="auto"/>
            <w:noWrap/>
            <w:vAlign w:val="bottom"/>
          </w:tcPr>
          <w:p w14:paraId="51BC9FF5" w14:textId="77777777" w:rsidR="006C269A" w:rsidRPr="00966F2B" w:rsidRDefault="006C269A" w:rsidP="00AB05FB">
            <w:pPr>
              <w:pStyle w:val="BTableHeadingRowCentreAligned"/>
              <w:jc w:val="right"/>
            </w:pPr>
            <w:r w:rsidRPr="00966F2B">
              <w:t>1,256,678</w:t>
            </w:r>
          </w:p>
        </w:tc>
        <w:tc>
          <w:tcPr>
            <w:tcW w:w="1069" w:type="dxa"/>
            <w:shd w:val="clear" w:color="auto" w:fill="auto"/>
            <w:noWrap/>
            <w:vAlign w:val="bottom"/>
          </w:tcPr>
          <w:p w14:paraId="4C515065" w14:textId="77777777" w:rsidR="006C269A" w:rsidRPr="00966F2B" w:rsidRDefault="006C269A" w:rsidP="00AB05FB">
            <w:pPr>
              <w:pStyle w:val="BTableHeadingRowCentreAligned"/>
              <w:jc w:val="right"/>
            </w:pPr>
            <w:r w:rsidRPr="00966F2B">
              <w:t>1,283,946</w:t>
            </w:r>
          </w:p>
        </w:tc>
        <w:tc>
          <w:tcPr>
            <w:tcW w:w="1069" w:type="dxa"/>
            <w:shd w:val="clear" w:color="auto" w:fill="auto"/>
            <w:noWrap/>
            <w:vAlign w:val="bottom"/>
          </w:tcPr>
          <w:p w14:paraId="66861D16" w14:textId="77777777" w:rsidR="006C269A" w:rsidRPr="00966F2B" w:rsidRDefault="006C269A" w:rsidP="00AB05FB">
            <w:pPr>
              <w:pStyle w:val="BTableHeadingRowCentreAligned"/>
              <w:jc w:val="right"/>
            </w:pPr>
            <w:r w:rsidRPr="00966F2B">
              <w:t>1,238,137</w:t>
            </w:r>
          </w:p>
        </w:tc>
        <w:tc>
          <w:tcPr>
            <w:tcW w:w="1069" w:type="dxa"/>
            <w:shd w:val="clear" w:color="auto" w:fill="auto"/>
            <w:noWrap/>
            <w:vAlign w:val="bottom"/>
          </w:tcPr>
          <w:p w14:paraId="4216D27F" w14:textId="77777777" w:rsidR="006C269A" w:rsidRPr="00966F2B" w:rsidRDefault="006C269A" w:rsidP="00AB05FB">
            <w:pPr>
              <w:pStyle w:val="BTableHeadingRowCentreAligned"/>
              <w:jc w:val="right"/>
            </w:pPr>
            <w:r w:rsidRPr="00966F2B">
              <w:t>1,287,051</w:t>
            </w:r>
          </w:p>
        </w:tc>
      </w:tr>
      <w:tr w:rsidR="006C269A" w:rsidRPr="00457CE0" w14:paraId="4F425303" w14:textId="77777777" w:rsidTr="00AB05FB">
        <w:trPr>
          <w:cantSplit/>
          <w:trHeight w:val="20"/>
          <w:jc w:val="center"/>
        </w:trPr>
        <w:tc>
          <w:tcPr>
            <w:tcW w:w="2869" w:type="dxa"/>
            <w:shd w:val="clear" w:color="auto" w:fill="auto"/>
          </w:tcPr>
          <w:p w14:paraId="1D8EF712" w14:textId="77777777" w:rsidR="006C269A" w:rsidRPr="00AE3D6E" w:rsidRDefault="006C269A" w:rsidP="00AB05FB">
            <w:pPr>
              <w:pStyle w:val="BStabletext"/>
            </w:pPr>
            <w:r w:rsidRPr="00063EE9">
              <w:rPr>
                <w:rFonts w:cs="Calibri"/>
                <w:color w:val="FFFFFF"/>
                <w:sz w:val="12"/>
                <w:highlight w:val="yellow"/>
              </w:rPr>
              <w:t xml:space="preserve"> </w:t>
            </w:r>
          </w:p>
        </w:tc>
        <w:tc>
          <w:tcPr>
            <w:tcW w:w="1068" w:type="dxa"/>
            <w:shd w:val="clear" w:color="auto" w:fill="auto"/>
          </w:tcPr>
          <w:p w14:paraId="10A92E48" w14:textId="77777777" w:rsidR="006C269A" w:rsidRPr="00457CE0" w:rsidRDefault="006C269A" w:rsidP="00AB05FB">
            <w:pPr>
              <w:pStyle w:val="Btablefigureunbold"/>
            </w:pPr>
          </w:p>
        </w:tc>
        <w:tc>
          <w:tcPr>
            <w:tcW w:w="1069" w:type="dxa"/>
            <w:shd w:val="clear" w:color="auto" w:fill="auto"/>
            <w:noWrap/>
          </w:tcPr>
          <w:p w14:paraId="45613CBC" w14:textId="77777777" w:rsidR="006C269A" w:rsidRPr="00457CE0" w:rsidRDefault="006C269A" w:rsidP="00AB05FB">
            <w:pPr>
              <w:pStyle w:val="Btablefigureunbold"/>
            </w:pPr>
          </w:p>
        </w:tc>
        <w:tc>
          <w:tcPr>
            <w:tcW w:w="1069" w:type="dxa"/>
            <w:shd w:val="clear" w:color="auto" w:fill="auto"/>
            <w:noWrap/>
          </w:tcPr>
          <w:p w14:paraId="3E63DFD0" w14:textId="77777777" w:rsidR="006C269A" w:rsidRPr="00457CE0" w:rsidRDefault="006C269A" w:rsidP="00AB05FB">
            <w:pPr>
              <w:pStyle w:val="Btablefigureunbold"/>
            </w:pPr>
          </w:p>
        </w:tc>
        <w:tc>
          <w:tcPr>
            <w:tcW w:w="1069" w:type="dxa"/>
            <w:shd w:val="clear" w:color="auto" w:fill="auto"/>
            <w:noWrap/>
          </w:tcPr>
          <w:p w14:paraId="188DF2C0" w14:textId="77777777" w:rsidR="006C269A" w:rsidRPr="00457CE0" w:rsidRDefault="006C269A" w:rsidP="00AB05FB">
            <w:pPr>
              <w:pStyle w:val="Btablefigureunbold"/>
            </w:pPr>
          </w:p>
        </w:tc>
        <w:tc>
          <w:tcPr>
            <w:tcW w:w="1069" w:type="dxa"/>
            <w:shd w:val="clear" w:color="auto" w:fill="auto"/>
            <w:noWrap/>
          </w:tcPr>
          <w:p w14:paraId="18A66E78" w14:textId="77777777" w:rsidR="006C269A" w:rsidRPr="00457CE0" w:rsidRDefault="006C269A" w:rsidP="00AB05FB">
            <w:pPr>
              <w:pStyle w:val="Btablefigureunbold"/>
            </w:pPr>
          </w:p>
        </w:tc>
        <w:tc>
          <w:tcPr>
            <w:tcW w:w="1069" w:type="dxa"/>
            <w:shd w:val="clear" w:color="auto" w:fill="auto"/>
            <w:noWrap/>
          </w:tcPr>
          <w:p w14:paraId="43E8A658" w14:textId="77777777" w:rsidR="006C269A" w:rsidRPr="00457CE0" w:rsidRDefault="006C269A" w:rsidP="00AB05FB">
            <w:pPr>
              <w:pStyle w:val="Btablefigureunbold"/>
            </w:pPr>
          </w:p>
        </w:tc>
      </w:tr>
      <w:tr w:rsidR="006C269A" w:rsidRPr="00457CE0" w14:paraId="44E482C0" w14:textId="77777777" w:rsidTr="00AB05FB">
        <w:trPr>
          <w:cantSplit/>
          <w:trHeight w:val="20"/>
          <w:jc w:val="center"/>
        </w:trPr>
        <w:tc>
          <w:tcPr>
            <w:tcW w:w="2869" w:type="dxa"/>
            <w:shd w:val="clear" w:color="auto" w:fill="auto"/>
          </w:tcPr>
          <w:p w14:paraId="3E777A26" w14:textId="77777777" w:rsidR="006C269A" w:rsidRPr="00AE3D6E" w:rsidRDefault="006C269A" w:rsidP="00AB05FB">
            <w:pPr>
              <w:pStyle w:val="BStabletextbold"/>
            </w:pPr>
            <w:r w:rsidRPr="00A54B9C">
              <w:t>Expenses</w:t>
            </w:r>
          </w:p>
        </w:tc>
        <w:tc>
          <w:tcPr>
            <w:tcW w:w="1068" w:type="dxa"/>
            <w:shd w:val="clear" w:color="auto" w:fill="auto"/>
          </w:tcPr>
          <w:p w14:paraId="0895D867" w14:textId="77777777" w:rsidR="006C269A" w:rsidRPr="00457CE0" w:rsidRDefault="006C269A" w:rsidP="00AB05FB">
            <w:pPr>
              <w:pStyle w:val="BTablefigureBold"/>
            </w:pPr>
          </w:p>
        </w:tc>
        <w:tc>
          <w:tcPr>
            <w:tcW w:w="1069" w:type="dxa"/>
            <w:shd w:val="clear" w:color="auto" w:fill="auto"/>
            <w:noWrap/>
          </w:tcPr>
          <w:p w14:paraId="779B9DAA" w14:textId="77777777" w:rsidR="006C269A" w:rsidRPr="00457CE0" w:rsidRDefault="006C269A" w:rsidP="00AB05FB">
            <w:pPr>
              <w:pStyle w:val="BTablefigureBold"/>
            </w:pPr>
          </w:p>
        </w:tc>
        <w:tc>
          <w:tcPr>
            <w:tcW w:w="1069" w:type="dxa"/>
            <w:shd w:val="clear" w:color="auto" w:fill="auto"/>
            <w:noWrap/>
          </w:tcPr>
          <w:p w14:paraId="27FC7014" w14:textId="77777777" w:rsidR="006C269A" w:rsidRPr="00457CE0" w:rsidRDefault="006C269A" w:rsidP="00AB05FB">
            <w:pPr>
              <w:pStyle w:val="BTablefigureBold"/>
            </w:pPr>
          </w:p>
        </w:tc>
        <w:tc>
          <w:tcPr>
            <w:tcW w:w="1069" w:type="dxa"/>
            <w:shd w:val="clear" w:color="auto" w:fill="auto"/>
            <w:noWrap/>
          </w:tcPr>
          <w:p w14:paraId="1A6489B5" w14:textId="77777777" w:rsidR="006C269A" w:rsidRPr="00457CE0" w:rsidRDefault="006C269A" w:rsidP="00AB05FB">
            <w:pPr>
              <w:pStyle w:val="BTablefigureBold"/>
            </w:pPr>
          </w:p>
        </w:tc>
        <w:tc>
          <w:tcPr>
            <w:tcW w:w="1069" w:type="dxa"/>
            <w:shd w:val="clear" w:color="auto" w:fill="auto"/>
            <w:noWrap/>
          </w:tcPr>
          <w:p w14:paraId="1E03A173" w14:textId="77777777" w:rsidR="006C269A" w:rsidRPr="00457CE0" w:rsidRDefault="006C269A" w:rsidP="00AB05FB">
            <w:pPr>
              <w:pStyle w:val="BTablefigureBold"/>
            </w:pPr>
          </w:p>
        </w:tc>
        <w:tc>
          <w:tcPr>
            <w:tcW w:w="1069" w:type="dxa"/>
            <w:shd w:val="clear" w:color="auto" w:fill="auto"/>
            <w:noWrap/>
          </w:tcPr>
          <w:p w14:paraId="0C557134" w14:textId="77777777" w:rsidR="006C269A" w:rsidRPr="00457CE0" w:rsidRDefault="006C269A" w:rsidP="00AB05FB">
            <w:pPr>
              <w:pStyle w:val="BTablefigureBold"/>
            </w:pPr>
          </w:p>
        </w:tc>
      </w:tr>
      <w:tr w:rsidR="006C269A" w:rsidRPr="00457CE0" w14:paraId="01F1572A" w14:textId="77777777" w:rsidTr="00AB05FB">
        <w:trPr>
          <w:cantSplit/>
          <w:trHeight w:val="20"/>
          <w:jc w:val="center"/>
        </w:trPr>
        <w:tc>
          <w:tcPr>
            <w:tcW w:w="2869" w:type="dxa"/>
            <w:shd w:val="clear" w:color="auto" w:fill="auto"/>
          </w:tcPr>
          <w:p w14:paraId="0D78D5B2" w14:textId="77777777" w:rsidR="006C269A" w:rsidRPr="001936A2" w:rsidRDefault="006C269A" w:rsidP="00AB05FB">
            <w:pPr>
              <w:pStyle w:val="BStabletextbold"/>
              <w:rPr>
                <w:b w:val="0"/>
                <w:bCs w:val="0"/>
              </w:rPr>
            </w:pPr>
            <w:r w:rsidRPr="001936A2">
              <w:rPr>
                <w:b w:val="0"/>
                <w:bCs w:val="0"/>
              </w:rPr>
              <w:t>Employee expenses</w:t>
            </w:r>
          </w:p>
        </w:tc>
        <w:tc>
          <w:tcPr>
            <w:tcW w:w="1068" w:type="dxa"/>
            <w:shd w:val="clear" w:color="auto" w:fill="auto"/>
          </w:tcPr>
          <w:p w14:paraId="6FAACE40" w14:textId="77777777" w:rsidR="006C269A" w:rsidRPr="00966F2B" w:rsidRDefault="006C269A" w:rsidP="00AB05FB">
            <w:pPr>
              <w:pStyle w:val="Btablefigureunbold"/>
            </w:pPr>
            <w:r w:rsidRPr="00966F2B">
              <w:t>220,934</w:t>
            </w:r>
          </w:p>
        </w:tc>
        <w:tc>
          <w:tcPr>
            <w:tcW w:w="1069" w:type="dxa"/>
            <w:shd w:val="clear" w:color="auto" w:fill="auto"/>
            <w:noWrap/>
          </w:tcPr>
          <w:p w14:paraId="06B75D1F" w14:textId="77777777" w:rsidR="006C269A" w:rsidRPr="00966F2B" w:rsidRDefault="006C269A" w:rsidP="00AB05FB">
            <w:pPr>
              <w:pStyle w:val="Btablefigureunbold"/>
            </w:pPr>
            <w:r w:rsidRPr="00966F2B">
              <w:t>212,227</w:t>
            </w:r>
          </w:p>
        </w:tc>
        <w:tc>
          <w:tcPr>
            <w:tcW w:w="1069" w:type="dxa"/>
            <w:shd w:val="clear" w:color="auto" w:fill="auto"/>
            <w:noWrap/>
          </w:tcPr>
          <w:p w14:paraId="437C2915" w14:textId="77777777" w:rsidR="006C269A" w:rsidRPr="00966F2B" w:rsidRDefault="006C269A" w:rsidP="00AB05FB">
            <w:pPr>
              <w:pStyle w:val="Btablefigureunbold"/>
            </w:pPr>
            <w:r w:rsidRPr="00966F2B">
              <w:t>217,591</w:t>
            </w:r>
          </w:p>
        </w:tc>
        <w:tc>
          <w:tcPr>
            <w:tcW w:w="1069" w:type="dxa"/>
            <w:shd w:val="clear" w:color="auto" w:fill="auto"/>
            <w:noWrap/>
          </w:tcPr>
          <w:p w14:paraId="0D40D4A9" w14:textId="77777777" w:rsidR="006C269A" w:rsidRPr="00966F2B" w:rsidRDefault="006C269A" w:rsidP="00AB05FB">
            <w:pPr>
              <w:pStyle w:val="Btablefigureunbold"/>
            </w:pPr>
            <w:r w:rsidRPr="00966F2B">
              <w:t>221,278</w:t>
            </w:r>
          </w:p>
        </w:tc>
        <w:tc>
          <w:tcPr>
            <w:tcW w:w="1069" w:type="dxa"/>
            <w:shd w:val="clear" w:color="auto" w:fill="auto"/>
            <w:noWrap/>
          </w:tcPr>
          <w:p w14:paraId="0B2B1C8F" w14:textId="77777777" w:rsidR="006C269A" w:rsidRPr="00966F2B" w:rsidRDefault="006C269A" w:rsidP="00AB05FB">
            <w:pPr>
              <w:pStyle w:val="Btablefigureunbold"/>
            </w:pPr>
            <w:r w:rsidRPr="00966F2B">
              <w:t>224,745</w:t>
            </w:r>
          </w:p>
        </w:tc>
        <w:tc>
          <w:tcPr>
            <w:tcW w:w="1069" w:type="dxa"/>
            <w:shd w:val="clear" w:color="auto" w:fill="auto"/>
            <w:noWrap/>
          </w:tcPr>
          <w:p w14:paraId="0FF3402A" w14:textId="77777777" w:rsidR="006C269A" w:rsidRPr="00966F2B" w:rsidRDefault="006C269A" w:rsidP="00AB05FB">
            <w:pPr>
              <w:pStyle w:val="Btablefigureunbold"/>
            </w:pPr>
            <w:r w:rsidRPr="00966F2B">
              <w:t>228,027</w:t>
            </w:r>
          </w:p>
        </w:tc>
      </w:tr>
      <w:tr w:rsidR="006C269A" w:rsidRPr="00457CE0" w14:paraId="1FFCB71B" w14:textId="77777777" w:rsidTr="00AB05FB">
        <w:trPr>
          <w:cantSplit/>
          <w:trHeight w:val="20"/>
          <w:jc w:val="center"/>
        </w:trPr>
        <w:tc>
          <w:tcPr>
            <w:tcW w:w="2869" w:type="dxa"/>
            <w:shd w:val="clear" w:color="auto" w:fill="auto"/>
          </w:tcPr>
          <w:p w14:paraId="22A999D0" w14:textId="77777777" w:rsidR="006C269A" w:rsidRPr="00AE3D6E" w:rsidRDefault="006C269A" w:rsidP="00AB05FB">
            <w:pPr>
              <w:pStyle w:val="BStabletext"/>
              <w:rPr>
                <w:lang w:val="en-US"/>
              </w:rPr>
            </w:pPr>
            <w:r w:rsidRPr="00A54B9C">
              <w:t xml:space="preserve">Superannuation </w:t>
            </w:r>
            <w:r>
              <w:t>e</w:t>
            </w:r>
            <w:r w:rsidRPr="00A54B9C">
              <w:t>xpenses</w:t>
            </w:r>
          </w:p>
        </w:tc>
        <w:tc>
          <w:tcPr>
            <w:tcW w:w="1068" w:type="dxa"/>
            <w:shd w:val="clear" w:color="auto" w:fill="auto"/>
          </w:tcPr>
          <w:p w14:paraId="5F7E72D7" w14:textId="77777777" w:rsidR="006C269A" w:rsidRPr="00966F2B" w:rsidRDefault="006C269A" w:rsidP="00AB05FB">
            <w:pPr>
              <w:pStyle w:val="Btablefigureunbold"/>
            </w:pPr>
            <w:r w:rsidRPr="00966F2B">
              <w:t>26,673</w:t>
            </w:r>
          </w:p>
        </w:tc>
        <w:tc>
          <w:tcPr>
            <w:tcW w:w="1069" w:type="dxa"/>
            <w:shd w:val="clear" w:color="auto" w:fill="auto"/>
            <w:noWrap/>
          </w:tcPr>
          <w:p w14:paraId="11088E61" w14:textId="77777777" w:rsidR="006C269A" w:rsidRPr="00966F2B" w:rsidRDefault="006C269A" w:rsidP="00AB05FB">
            <w:pPr>
              <w:pStyle w:val="Btablefigureunbold"/>
            </w:pPr>
            <w:r w:rsidRPr="00966F2B">
              <w:t>31,451</w:t>
            </w:r>
          </w:p>
        </w:tc>
        <w:tc>
          <w:tcPr>
            <w:tcW w:w="1069" w:type="dxa"/>
            <w:shd w:val="clear" w:color="auto" w:fill="auto"/>
            <w:noWrap/>
          </w:tcPr>
          <w:p w14:paraId="104AE4C6" w14:textId="77777777" w:rsidR="006C269A" w:rsidRPr="00966F2B" w:rsidRDefault="006C269A" w:rsidP="00AB05FB">
            <w:pPr>
              <w:pStyle w:val="Btablefigureunbold"/>
            </w:pPr>
            <w:r w:rsidRPr="00966F2B">
              <w:t>34,812</w:t>
            </w:r>
          </w:p>
        </w:tc>
        <w:tc>
          <w:tcPr>
            <w:tcW w:w="1069" w:type="dxa"/>
            <w:shd w:val="clear" w:color="auto" w:fill="auto"/>
            <w:noWrap/>
          </w:tcPr>
          <w:p w14:paraId="243748FD" w14:textId="77777777" w:rsidR="006C269A" w:rsidRPr="00966F2B" w:rsidRDefault="006C269A" w:rsidP="00AB05FB">
            <w:pPr>
              <w:pStyle w:val="Btablefigureunbold"/>
            </w:pPr>
            <w:r w:rsidRPr="00966F2B">
              <w:t>35,280</w:t>
            </w:r>
          </w:p>
        </w:tc>
        <w:tc>
          <w:tcPr>
            <w:tcW w:w="1069" w:type="dxa"/>
            <w:shd w:val="clear" w:color="auto" w:fill="auto"/>
            <w:noWrap/>
          </w:tcPr>
          <w:p w14:paraId="77F7C934" w14:textId="77777777" w:rsidR="006C269A" w:rsidRPr="00966F2B" w:rsidRDefault="006C269A" w:rsidP="00AB05FB">
            <w:pPr>
              <w:pStyle w:val="Btablefigureunbold"/>
            </w:pPr>
            <w:r w:rsidRPr="00966F2B">
              <w:t>35,707</w:t>
            </w:r>
          </w:p>
        </w:tc>
        <w:tc>
          <w:tcPr>
            <w:tcW w:w="1069" w:type="dxa"/>
            <w:shd w:val="clear" w:color="auto" w:fill="auto"/>
            <w:noWrap/>
          </w:tcPr>
          <w:p w14:paraId="77EED20A" w14:textId="77777777" w:rsidR="006C269A" w:rsidRPr="00966F2B" w:rsidRDefault="006C269A" w:rsidP="00AB05FB">
            <w:pPr>
              <w:pStyle w:val="Btablefigureunbold"/>
            </w:pPr>
            <w:r w:rsidRPr="00966F2B">
              <w:t>36,234</w:t>
            </w:r>
          </w:p>
        </w:tc>
      </w:tr>
      <w:tr w:rsidR="006C269A" w:rsidRPr="00457CE0" w14:paraId="6C0F8779" w14:textId="77777777" w:rsidTr="00AB05FB">
        <w:trPr>
          <w:cantSplit/>
          <w:trHeight w:val="20"/>
          <w:jc w:val="center"/>
        </w:trPr>
        <w:tc>
          <w:tcPr>
            <w:tcW w:w="2869" w:type="dxa"/>
            <w:shd w:val="clear" w:color="auto" w:fill="auto"/>
          </w:tcPr>
          <w:p w14:paraId="3D0948D2" w14:textId="77777777" w:rsidR="006C269A" w:rsidRPr="00AE3D6E" w:rsidRDefault="006C269A" w:rsidP="00AB05FB">
            <w:pPr>
              <w:pStyle w:val="BStabletext"/>
            </w:pPr>
            <w:r w:rsidRPr="00A54B9C">
              <w:t xml:space="preserve">Depreciation and </w:t>
            </w:r>
            <w:r>
              <w:t>a</w:t>
            </w:r>
            <w:r w:rsidRPr="00A54B9C">
              <w:t xml:space="preserve">mortisation </w:t>
            </w:r>
          </w:p>
        </w:tc>
        <w:tc>
          <w:tcPr>
            <w:tcW w:w="1068" w:type="dxa"/>
            <w:shd w:val="clear" w:color="auto" w:fill="auto"/>
          </w:tcPr>
          <w:p w14:paraId="283B7B1B" w14:textId="77777777" w:rsidR="006C269A" w:rsidRPr="00966F2B" w:rsidRDefault="006C269A" w:rsidP="00AB05FB">
            <w:pPr>
              <w:pStyle w:val="Btablefigureunbold"/>
            </w:pPr>
            <w:r w:rsidRPr="00966F2B">
              <w:t>142,056</w:t>
            </w:r>
          </w:p>
        </w:tc>
        <w:tc>
          <w:tcPr>
            <w:tcW w:w="1069" w:type="dxa"/>
            <w:shd w:val="clear" w:color="auto" w:fill="auto"/>
            <w:noWrap/>
          </w:tcPr>
          <w:p w14:paraId="0CEE73FB" w14:textId="77777777" w:rsidR="006C269A" w:rsidRPr="00966F2B" w:rsidRDefault="006C269A" w:rsidP="00AB05FB">
            <w:pPr>
              <w:pStyle w:val="Btablefigureunbold"/>
            </w:pPr>
            <w:r w:rsidRPr="00966F2B">
              <w:t>145,988</w:t>
            </w:r>
          </w:p>
        </w:tc>
        <w:tc>
          <w:tcPr>
            <w:tcW w:w="1069" w:type="dxa"/>
            <w:shd w:val="clear" w:color="auto" w:fill="auto"/>
            <w:noWrap/>
          </w:tcPr>
          <w:p w14:paraId="32E42E5D" w14:textId="77777777" w:rsidR="006C269A" w:rsidRPr="00966F2B" w:rsidRDefault="006C269A" w:rsidP="00AB05FB">
            <w:pPr>
              <w:pStyle w:val="Btablefigureunbold"/>
            </w:pPr>
            <w:r w:rsidRPr="00966F2B">
              <w:t>159,215</w:t>
            </w:r>
          </w:p>
        </w:tc>
        <w:tc>
          <w:tcPr>
            <w:tcW w:w="1069" w:type="dxa"/>
            <w:shd w:val="clear" w:color="auto" w:fill="auto"/>
            <w:noWrap/>
          </w:tcPr>
          <w:p w14:paraId="76D378E1" w14:textId="77777777" w:rsidR="006C269A" w:rsidRPr="00966F2B" w:rsidRDefault="006C269A" w:rsidP="00AB05FB">
            <w:pPr>
              <w:pStyle w:val="Btablefigureunbold"/>
            </w:pPr>
            <w:r w:rsidRPr="00966F2B">
              <w:t>164,228</w:t>
            </w:r>
          </w:p>
        </w:tc>
        <w:tc>
          <w:tcPr>
            <w:tcW w:w="1069" w:type="dxa"/>
            <w:shd w:val="clear" w:color="auto" w:fill="auto"/>
            <w:noWrap/>
          </w:tcPr>
          <w:p w14:paraId="29D13A70" w14:textId="77777777" w:rsidR="006C269A" w:rsidRPr="00966F2B" w:rsidRDefault="006C269A" w:rsidP="00AB05FB">
            <w:pPr>
              <w:pStyle w:val="Btablefigureunbold"/>
            </w:pPr>
            <w:r w:rsidRPr="00966F2B">
              <w:t>166,266</w:t>
            </w:r>
          </w:p>
        </w:tc>
        <w:tc>
          <w:tcPr>
            <w:tcW w:w="1069" w:type="dxa"/>
            <w:shd w:val="clear" w:color="auto" w:fill="auto"/>
            <w:noWrap/>
          </w:tcPr>
          <w:p w14:paraId="5ABBA756" w14:textId="77777777" w:rsidR="006C269A" w:rsidRPr="00966F2B" w:rsidRDefault="006C269A" w:rsidP="00AB05FB">
            <w:pPr>
              <w:pStyle w:val="Btablefigureunbold"/>
            </w:pPr>
            <w:r w:rsidRPr="00966F2B">
              <w:t>170,526</w:t>
            </w:r>
          </w:p>
        </w:tc>
      </w:tr>
      <w:tr w:rsidR="006C269A" w:rsidRPr="00457CE0" w14:paraId="78FACF13" w14:textId="77777777" w:rsidTr="00AB05FB">
        <w:trPr>
          <w:cantSplit/>
          <w:trHeight w:val="20"/>
          <w:jc w:val="center"/>
        </w:trPr>
        <w:tc>
          <w:tcPr>
            <w:tcW w:w="2869" w:type="dxa"/>
            <w:shd w:val="clear" w:color="auto" w:fill="auto"/>
          </w:tcPr>
          <w:p w14:paraId="2ACD291D" w14:textId="77777777" w:rsidR="006C269A" w:rsidRPr="00AE3D6E" w:rsidRDefault="006C269A" w:rsidP="00AB05FB">
            <w:pPr>
              <w:pStyle w:val="BStabletext"/>
            </w:pPr>
            <w:r w:rsidRPr="00A54B9C">
              <w:t xml:space="preserve">Interest </w:t>
            </w:r>
            <w:r>
              <w:t>e</w:t>
            </w:r>
            <w:r w:rsidRPr="00A54B9C">
              <w:t>xpense</w:t>
            </w:r>
          </w:p>
        </w:tc>
        <w:tc>
          <w:tcPr>
            <w:tcW w:w="1068" w:type="dxa"/>
            <w:shd w:val="clear" w:color="auto" w:fill="auto"/>
          </w:tcPr>
          <w:p w14:paraId="1BAF16A1" w14:textId="77777777" w:rsidR="006C269A" w:rsidRPr="00966F2B" w:rsidRDefault="006C269A" w:rsidP="00AB05FB">
            <w:pPr>
              <w:pStyle w:val="Btablefigureunbold"/>
            </w:pPr>
            <w:r w:rsidRPr="00966F2B">
              <w:t>76,683</w:t>
            </w:r>
          </w:p>
        </w:tc>
        <w:tc>
          <w:tcPr>
            <w:tcW w:w="1069" w:type="dxa"/>
            <w:shd w:val="clear" w:color="auto" w:fill="auto"/>
            <w:noWrap/>
          </w:tcPr>
          <w:p w14:paraId="2703D0D8" w14:textId="77777777" w:rsidR="006C269A" w:rsidRPr="00966F2B" w:rsidRDefault="006C269A" w:rsidP="00AB05FB">
            <w:pPr>
              <w:pStyle w:val="Btablefigureunbold"/>
            </w:pPr>
            <w:r w:rsidRPr="00966F2B">
              <w:t>81,944</w:t>
            </w:r>
          </w:p>
        </w:tc>
        <w:tc>
          <w:tcPr>
            <w:tcW w:w="1069" w:type="dxa"/>
            <w:shd w:val="clear" w:color="auto" w:fill="auto"/>
            <w:noWrap/>
          </w:tcPr>
          <w:p w14:paraId="586FA457" w14:textId="77777777" w:rsidR="006C269A" w:rsidRPr="00966F2B" w:rsidRDefault="006C269A" w:rsidP="00AB05FB">
            <w:pPr>
              <w:pStyle w:val="Btablefigureunbold"/>
            </w:pPr>
            <w:r w:rsidRPr="00966F2B">
              <w:t>89,265</w:t>
            </w:r>
          </w:p>
        </w:tc>
        <w:tc>
          <w:tcPr>
            <w:tcW w:w="1069" w:type="dxa"/>
            <w:shd w:val="clear" w:color="auto" w:fill="auto"/>
            <w:noWrap/>
          </w:tcPr>
          <w:p w14:paraId="4E008E72" w14:textId="77777777" w:rsidR="006C269A" w:rsidRPr="00966F2B" w:rsidRDefault="006C269A" w:rsidP="00AB05FB">
            <w:pPr>
              <w:pStyle w:val="Btablefigureunbold"/>
            </w:pPr>
            <w:r w:rsidRPr="00966F2B">
              <w:t>90,067</w:t>
            </w:r>
          </w:p>
        </w:tc>
        <w:tc>
          <w:tcPr>
            <w:tcW w:w="1069" w:type="dxa"/>
            <w:shd w:val="clear" w:color="auto" w:fill="auto"/>
            <w:noWrap/>
          </w:tcPr>
          <w:p w14:paraId="06659A63" w14:textId="77777777" w:rsidR="006C269A" w:rsidRPr="00966F2B" w:rsidRDefault="006C269A" w:rsidP="00AB05FB">
            <w:pPr>
              <w:pStyle w:val="Btablefigureunbold"/>
            </w:pPr>
            <w:r w:rsidRPr="00966F2B">
              <w:t>88,823</w:t>
            </w:r>
          </w:p>
        </w:tc>
        <w:tc>
          <w:tcPr>
            <w:tcW w:w="1069" w:type="dxa"/>
            <w:shd w:val="clear" w:color="auto" w:fill="auto"/>
            <w:noWrap/>
          </w:tcPr>
          <w:p w14:paraId="02E07BD2" w14:textId="77777777" w:rsidR="006C269A" w:rsidRPr="00966F2B" w:rsidRDefault="006C269A" w:rsidP="00AB05FB">
            <w:pPr>
              <w:pStyle w:val="Btablefigureunbold"/>
            </w:pPr>
            <w:r w:rsidRPr="00966F2B">
              <w:t>87,415</w:t>
            </w:r>
          </w:p>
        </w:tc>
      </w:tr>
      <w:tr w:rsidR="006C269A" w:rsidRPr="00457CE0" w14:paraId="32E2E0CD" w14:textId="77777777" w:rsidTr="00AB05FB">
        <w:trPr>
          <w:cantSplit/>
          <w:trHeight w:val="20"/>
          <w:jc w:val="center"/>
        </w:trPr>
        <w:tc>
          <w:tcPr>
            <w:tcW w:w="2869" w:type="dxa"/>
            <w:shd w:val="clear" w:color="auto" w:fill="auto"/>
          </w:tcPr>
          <w:p w14:paraId="48E6F70D" w14:textId="77777777" w:rsidR="006C269A" w:rsidRPr="00837DDE" w:rsidRDefault="006C269A" w:rsidP="00AB05FB">
            <w:pPr>
              <w:pStyle w:val="BStabletext"/>
              <w:rPr>
                <w:b/>
              </w:rPr>
            </w:pPr>
            <w:r w:rsidRPr="00A54B9C">
              <w:t xml:space="preserve">Other </w:t>
            </w:r>
            <w:r>
              <w:t>p</w:t>
            </w:r>
            <w:r w:rsidRPr="00A54B9C">
              <w:t xml:space="preserve">roperty </w:t>
            </w:r>
            <w:r>
              <w:t>expenses (income tax e</w:t>
            </w:r>
            <w:r w:rsidRPr="00A54B9C">
              <w:t>quivalents)</w:t>
            </w:r>
          </w:p>
        </w:tc>
        <w:tc>
          <w:tcPr>
            <w:tcW w:w="1068" w:type="dxa"/>
            <w:shd w:val="clear" w:color="auto" w:fill="auto"/>
          </w:tcPr>
          <w:p w14:paraId="5FA094E6" w14:textId="77777777" w:rsidR="006C269A" w:rsidRPr="00966F2B" w:rsidRDefault="006C269A" w:rsidP="00AB05FB">
            <w:pPr>
              <w:pStyle w:val="Btablefigureunbold"/>
            </w:pPr>
            <w:r w:rsidRPr="00966F2B">
              <w:t>154,575</w:t>
            </w:r>
          </w:p>
        </w:tc>
        <w:tc>
          <w:tcPr>
            <w:tcW w:w="1069" w:type="dxa"/>
            <w:shd w:val="clear" w:color="auto" w:fill="auto"/>
            <w:noWrap/>
          </w:tcPr>
          <w:p w14:paraId="2E7D19F7" w14:textId="77777777" w:rsidR="006C269A" w:rsidRPr="00966F2B" w:rsidRDefault="006C269A" w:rsidP="00AB05FB">
            <w:pPr>
              <w:pStyle w:val="Btablefigureunbold"/>
            </w:pPr>
            <w:r w:rsidRPr="00966F2B">
              <w:t>139,527</w:t>
            </w:r>
          </w:p>
        </w:tc>
        <w:tc>
          <w:tcPr>
            <w:tcW w:w="1069" w:type="dxa"/>
            <w:shd w:val="clear" w:color="auto" w:fill="auto"/>
            <w:noWrap/>
          </w:tcPr>
          <w:p w14:paraId="1059ED7A" w14:textId="77777777" w:rsidR="006C269A" w:rsidRPr="00966F2B" w:rsidRDefault="006C269A" w:rsidP="00AB05FB">
            <w:pPr>
              <w:pStyle w:val="Btablefigureunbold"/>
            </w:pPr>
            <w:r w:rsidRPr="00966F2B">
              <w:t>80,624</w:t>
            </w:r>
          </w:p>
        </w:tc>
        <w:tc>
          <w:tcPr>
            <w:tcW w:w="1069" w:type="dxa"/>
            <w:shd w:val="clear" w:color="auto" w:fill="auto"/>
            <w:noWrap/>
          </w:tcPr>
          <w:p w14:paraId="64F82581" w14:textId="77777777" w:rsidR="006C269A" w:rsidRPr="00966F2B" w:rsidRDefault="006C269A" w:rsidP="00AB05FB">
            <w:pPr>
              <w:pStyle w:val="Btablefigureunbold"/>
            </w:pPr>
            <w:r w:rsidRPr="00966F2B">
              <w:t>91,089</w:t>
            </w:r>
          </w:p>
        </w:tc>
        <w:tc>
          <w:tcPr>
            <w:tcW w:w="1069" w:type="dxa"/>
            <w:shd w:val="clear" w:color="auto" w:fill="auto"/>
            <w:noWrap/>
          </w:tcPr>
          <w:p w14:paraId="1EC3AAF2" w14:textId="77777777" w:rsidR="006C269A" w:rsidRPr="00966F2B" w:rsidRDefault="006C269A" w:rsidP="00AB05FB">
            <w:pPr>
              <w:pStyle w:val="Btablefigureunbold"/>
            </w:pPr>
            <w:r w:rsidRPr="00966F2B">
              <w:t>47,649</w:t>
            </w:r>
          </w:p>
        </w:tc>
        <w:tc>
          <w:tcPr>
            <w:tcW w:w="1069" w:type="dxa"/>
            <w:shd w:val="clear" w:color="auto" w:fill="auto"/>
            <w:noWrap/>
          </w:tcPr>
          <w:p w14:paraId="5381BAAA" w14:textId="77777777" w:rsidR="006C269A" w:rsidRPr="00966F2B" w:rsidRDefault="006C269A" w:rsidP="00AB05FB">
            <w:pPr>
              <w:pStyle w:val="Btablefigureunbold"/>
            </w:pPr>
            <w:r w:rsidRPr="00966F2B">
              <w:t>88,953</w:t>
            </w:r>
          </w:p>
        </w:tc>
      </w:tr>
      <w:tr w:rsidR="006C269A" w:rsidRPr="00457CE0" w14:paraId="226DCE97" w14:textId="77777777" w:rsidTr="00AB05FB">
        <w:trPr>
          <w:cantSplit/>
          <w:trHeight w:val="20"/>
          <w:jc w:val="center"/>
        </w:trPr>
        <w:tc>
          <w:tcPr>
            <w:tcW w:w="2869" w:type="dxa"/>
            <w:shd w:val="clear" w:color="auto" w:fill="auto"/>
          </w:tcPr>
          <w:p w14:paraId="44D6F888" w14:textId="77777777" w:rsidR="006C269A" w:rsidRPr="00AE3D6E" w:rsidRDefault="006C269A" w:rsidP="00AB05FB">
            <w:pPr>
              <w:pStyle w:val="BStabletext"/>
              <w:rPr>
                <w:lang w:val="en-US"/>
              </w:rPr>
            </w:pPr>
            <w:r w:rsidRPr="00A54B9C">
              <w:t xml:space="preserve">Other </w:t>
            </w:r>
            <w:r>
              <w:t>o</w:t>
            </w:r>
            <w:r w:rsidRPr="00A54B9C">
              <w:t xml:space="preserve">perating </w:t>
            </w:r>
            <w:r>
              <w:t>e</w:t>
            </w:r>
            <w:r w:rsidRPr="00A54B9C">
              <w:t>xpenses</w:t>
            </w:r>
          </w:p>
        </w:tc>
        <w:tc>
          <w:tcPr>
            <w:tcW w:w="1068" w:type="dxa"/>
            <w:shd w:val="clear" w:color="auto" w:fill="auto"/>
          </w:tcPr>
          <w:p w14:paraId="06094E01" w14:textId="77777777" w:rsidR="006C269A" w:rsidRPr="00966F2B" w:rsidRDefault="006C269A" w:rsidP="00AB05FB">
            <w:pPr>
              <w:pStyle w:val="Btablefigureunbold"/>
            </w:pPr>
          </w:p>
        </w:tc>
        <w:tc>
          <w:tcPr>
            <w:tcW w:w="1069" w:type="dxa"/>
            <w:shd w:val="clear" w:color="auto" w:fill="auto"/>
            <w:noWrap/>
          </w:tcPr>
          <w:p w14:paraId="2E02329D" w14:textId="77777777" w:rsidR="006C269A" w:rsidRPr="00966F2B" w:rsidRDefault="006C269A" w:rsidP="00AB05FB">
            <w:pPr>
              <w:pStyle w:val="Btablefigureunbold"/>
            </w:pPr>
          </w:p>
        </w:tc>
        <w:tc>
          <w:tcPr>
            <w:tcW w:w="1069" w:type="dxa"/>
            <w:shd w:val="clear" w:color="auto" w:fill="auto"/>
            <w:noWrap/>
          </w:tcPr>
          <w:p w14:paraId="255C77FF" w14:textId="77777777" w:rsidR="006C269A" w:rsidRPr="00966F2B" w:rsidRDefault="006C269A" w:rsidP="00AB05FB">
            <w:pPr>
              <w:pStyle w:val="Btablefigureunbold"/>
            </w:pPr>
          </w:p>
        </w:tc>
        <w:tc>
          <w:tcPr>
            <w:tcW w:w="1069" w:type="dxa"/>
            <w:shd w:val="clear" w:color="auto" w:fill="auto"/>
            <w:noWrap/>
          </w:tcPr>
          <w:p w14:paraId="677425A3" w14:textId="77777777" w:rsidR="006C269A" w:rsidRPr="00966F2B" w:rsidRDefault="006C269A" w:rsidP="00AB05FB">
            <w:pPr>
              <w:pStyle w:val="Btablefigureunbold"/>
            </w:pPr>
            <w:r w:rsidRPr="00966F2B">
              <w:t> </w:t>
            </w:r>
          </w:p>
        </w:tc>
        <w:tc>
          <w:tcPr>
            <w:tcW w:w="1069" w:type="dxa"/>
            <w:shd w:val="clear" w:color="auto" w:fill="auto"/>
            <w:noWrap/>
          </w:tcPr>
          <w:p w14:paraId="6DD4BA4D" w14:textId="77777777" w:rsidR="006C269A" w:rsidRPr="00966F2B" w:rsidRDefault="006C269A" w:rsidP="00AB05FB">
            <w:pPr>
              <w:pStyle w:val="Btablefigureunbold"/>
            </w:pPr>
            <w:r w:rsidRPr="00966F2B">
              <w:t> </w:t>
            </w:r>
          </w:p>
        </w:tc>
        <w:tc>
          <w:tcPr>
            <w:tcW w:w="1069" w:type="dxa"/>
            <w:shd w:val="clear" w:color="auto" w:fill="auto"/>
            <w:noWrap/>
          </w:tcPr>
          <w:p w14:paraId="14FBFEE2" w14:textId="77777777" w:rsidR="006C269A" w:rsidRPr="00966F2B" w:rsidRDefault="006C269A" w:rsidP="00AB05FB">
            <w:pPr>
              <w:pStyle w:val="Btablefigureunbold"/>
            </w:pPr>
            <w:r w:rsidRPr="00966F2B">
              <w:t> </w:t>
            </w:r>
          </w:p>
        </w:tc>
      </w:tr>
      <w:tr w:rsidR="006C269A" w:rsidRPr="00457CE0" w14:paraId="1CCED9AE" w14:textId="77777777" w:rsidTr="00AB05FB">
        <w:trPr>
          <w:cantSplit/>
          <w:trHeight w:val="20"/>
          <w:jc w:val="center"/>
        </w:trPr>
        <w:tc>
          <w:tcPr>
            <w:tcW w:w="2869" w:type="dxa"/>
            <w:shd w:val="clear" w:color="auto" w:fill="auto"/>
          </w:tcPr>
          <w:p w14:paraId="699B29F4" w14:textId="77777777" w:rsidR="006C269A" w:rsidRPr="00AE3D6E" w:rsidRDefault="006C269A" w:rsidP="00AB05FB">
            <w:pPr>
              <w:pStyle w:val="BStabletext"/>
              <w:ind w:left="381" w:hanging="142"/>
              <w:rPr>
                <w:lang w:val="en-US"/>
              </w:rPr>
            </w:pPr>
            <w:r w:rsidRPr="00A54B9C">
              <w:t xml:space="preserve">Supplies and </w:t>
            </w:r>
            <w:r>
              <w:t>s</w:t>
            </w:r>
            <w:r w:rsidRPr="00A54B9C">
              <w:t>ervices</w:t>
            </w:r>
          </w:p>
        </w:tc>
        <w:tc>
          <w:tcPr>
            <w:tcW w:w="1068" w:type="dxa"/>
            <w:shd w:val="clear" w:color="auto" w:fill="auto"/>
          </w:tcPr>
          <w:p w14:paraId="00A57134" w14:textId="77777777" w:rsidR="006C269A" w:rsidRPr="00966F2B" w:rsidRDefault="006C269A" w:rsidP="00AB05FB">
            <w:pPr>
              <w:pStyle w:val="Btablefigureunbold"/>
            </w:pPr>
            <w:r w:rsidRPr="00966F2B">
              <w:t>289,910</w:t>
            </w:r>
          </w:p>
        </w:tc>
        <w:tc>
          <w:tcPr>
            <w:tcW w:w="1069" w:type="dxa"/>
            <w:shd w:val="clear" w:color="auto" w:fill="auto"/>
            <w:noWrap/>
          </w:tcPr>
          <w:p w14:paraId="65F47928" w14:textId="77777777" w:rsidR="006C269A" w:rsidRPr="00966F2B" w:rsidRDefault="006C269A" w:rsidP="00AB05FB">
            <w:pPr>
              <w:pStyle w:val="Btablefigureunbold"/>
            </w:pPr>
            <w:r w:rsidRPr="00966F2B">
              <w:t>263,249</w:t>
            </w:r>
          </w:p>
        </w:tc>
        <w:tc>
          <w:tcPr>
            <w:tcW w:w="1069" w:type="dxa"/>
            <w:shd w:val="clear" w:color="auto" w:fill="auto"/>
            <w:noWrap/>
          </w:tcPr>
          <w:p w14:paraId="6ED8E63F" w14:textId="77777777" w:rsidR="006C269A" w:rsidRPr="00966F2B" w:rsidRDefault="006C269A" w:rsidP="00AB05FB">
            <w:pPr>
              <w:pStyle w:val="Btablefigureunbold"/>
            </w:pPr>
            <w:r w:rsidRPr="00966F2B">
              <w:t>300,402</w:t>
            </w:r>
          </w:p>
        </w:tc>
        <w:tc>
          <w:tcPr>
            <w:tcW w:w="1069" w:type="dxa"/>
            <w:shd w:val="clear" w:color="auto" w:fill="auto"/>
            <w:noWrap/>
          </w:tcPr>
          <w:p w14:paraId="1205E7B7" w14:textId="77777777" w:rsidR="006C269A" w:rsidRPr="00966F2B" w:rsidRDefault="006C269A" w:rsidP="00AB05FB">
            <w:pPr>
              <w:pStyle w:val="Btablefigureunbold"/>
            </w:pPr>
            <w:r w:rsidRPr="00966F2B">
              <w:t>297,253</w:t>
            </w:r>
          </w:p>
        </w:tc>
        <w:tc>
          <w:tcPr>
            <w:tcW w:w="1069" w:type="dxa"/>
            <w:shd w:val="clear" w:color="auto" w:fill="auto"/>
            <w:noWrap/>
          </w:tcPr>
          <w:p w14:paraId="07970F75" w14:textId="77777777" w:rsidR="006C269A" w:rsidRPr="00966F2B" w:rsidRDefault="006C269A" w:rsidP="00AB05FB">
            <w:pPr>
              <w:pStyle w:val="Btablefigureunbold"/>
            </w:pPr>
            <w:r w:rsidRPr="00966F2B">
              <w:t>300,557</w:t>
            </w:r>
          </w:p>
        </w:tc>
        <w:tc>
          <w:tcPr>
            <w:tcW w:w="1069" w:type="dxa"/>
            <w:shd w:val="clear" w:color="auto" w:fill="auto"/>
            <w:noWrap/>
          </w:tcPr>
          <w:p w14:paraId="4938A2EA" w14:textId="77777777" w:rsidR="006C269A" w:rsidRPr="00966F2B" w:rsidRDefault="006C269A" w:rsidP="00AB05FB">
            <w:pPr>
              <w:pStyle w:val="Btablefigureunbold"/>
            </w:pPr>
            <w:r w:rsidRPr="00966F2B">
              <w:t>296,362</w:t>
            </w:r>
          </w:p>
        </w:tc>
      </w:tr>
      <w:tr w:rsidR="006C269A" w:rsidRPr="00457CE0" w14:paraId="3E0C33A2" w14:textId="77777777" w:rsidTr="00AB05FB">
        <w:trPr>
          <w:cantSplit/>
          <w:trHeight w:val="20"/>
          <w:jc w:val="center"/>
        </w:trPr>
        <w:tc>
          <w:tcPr>
            <w:tcW w:w="2869" w:type="dxa"/>
            <w:shd w:val="clear" w:color="auto" w:fill="auto"/>
            <w:noWrap/>
          </w:tcPr>
          <w:p w14:paraId="4681A68D" w14:textId="77777777" w:rsidR="006C269A" w:rsidRPr="00AE3D6E" w:rsidRDefault="006C269A" w:rsidP="00AB05FB">
            <w:pPr>
              <w:pStyle w:val="BStabletext"/>
              <w:ind w:left="381" w:hanging="142"/>
            </w:pPr>
            <w:r w:rsidRPr="00A54B9C">
              <w:t xml:space="preserve">Other </w:t>
            </w:r>
            <w:r>
              <w:t>o</w:t>
            </w:r>
            <w:r w:rsidRPr="00A54B9C">
              <w:t xml:space="preserve">perating </w:t>
            </w:r>
            <w:r>
              <w:t>e</w:t>
            </w:r>
            <w:r w:rsidRPr="00A54B9C">
              <w:t>xpenses</w:t>
            </w:r>
          </w:p>
        </w:tc>
        <w:tc>
          <w:tcPr>
            <w:tcW w:w="1068" w:type="dxa"/>
            <w:shd w:val="clear" w:color="auto" w:fill="auto"/>
          </w:tcPr>
          <w:p w14:paraId="76DF4DDB" w14:textId="77777777" w:rsidR="006C269A" w:rsidRPr="00966F2B" w:rsidRDefault="006C269A" w:rsidP="00AB05FB">
            <w:pPr>
              <w:pStyle w:val="Btablefigureunbold"/>
            </w:pPr>
            <w:r w:rsidRPr="00966F2B">
              <w:t>317,727</w:t>
            </w:r>
          </w:p>
        </w:tc>
        <w:tc>
          <w:tcPr>
            <w:tcW w:w="1069" w:type="dxa"/>
            <w:shd w:val="clear" w:color="auto" w:fill="auto"/>
            <w:noWrap/>
          </w:tcPr>
          <w:p w14:paraId="6FBAB434" w14:textId="77777777" w:rsidR="006C269A" w:rsidRPr="00966F2B" w:rsidRDefault="006C269A" w:rsidP="00AB05FB">
            <w:pPr>
              <w:pStyle w:val="Btablefigureunbold"/>
            </w:pPr>
            <w:r w:rsidRPr="00966F2B">
              <w:t>306,272</w:t>
            </w:r>
          </w:p>
        </w:tc>
        <w:tc>
          <w:tcPr>
            <w:tcW w:w="1069" w:type="dxa"/>
            <w:shd w:val="clear" w:color="auto" w:fill="auto"/>
            <w:noWrap/>
          </w:tcPr>
          <w:p w14:paraId="68A03396" w14:textId="77777777" w:rsidR="006C269A" w:rsidRPr="00966F2B" w:rsidRDefault="006C269A" w:rsidP="00AB05FB">
            <w:pPr>
              <w:pStyle w:val="Btablefigureunbold"/>
            </w:pPr>
            <w:r w:rsidRPr="00966F2B">
              <w:t>103,558</w:t>
            </w:r>
          </w:p>
        </w:tc>
        <w:tc>
          <w:tcPr>
            <w:tcW w:w="1069" w:type="dxa"/>
            <w:shd w:val="clear" w:color="auto" w:fill="auto"/>
            <w:noWrap/>
          </w:tcPr>
          <w:p w14:paraId="64E7F5B4" w14:textId="77777777" w:rsidR="006C269A" w:rsidRPr="00966F2B" w:rsidRDefault="006C269A" w:rsidP="00AB05FB">
            <w:pPr>
              <w:pStyle w:val="Btablefigureunbold"/>
            </w:pPr>
            <w:r w:rsidRPr="00966F2B">
              <w:t>268,096</w:t>
            </w:r>
          </w:p>
        </w:tc>
        <w:tc>
          <w:tcPr>
            <w:tcW w:w="1069" w:type="dxa"/>
            <w:shd w:val="clear" w:color="auto" w:fill="auto"/>
            <w:noWrap/>
          </w:tcPr>
          <w:p w14:paraId="31C9F007" w14:textId="77777777" w:rsidR="006C269A" w:rsidRPr="00966F2B" w:rsidRDefault="006C269A" w:rsidP="00AB05FB">
            <w:pPr>
              <w:pStyle w:val="Btablefigureunbold"/>
            </w:pPr>
            <w:r w:rsidRPr="00966F2B">
              <w:t>212,993</w:t>
            </w:r>
          </w:p>
        </w:tc>
        <w:tc>
          <w:tcPr>
            <w:tcW w:w="1069" w:type="dxa"/>
            <w:shd w:val="clear" w:color="auto" w:fill="auto"/>
            <w:noWrap/>
          </w:tcPr>
          <w:p w14:paraId="2B0A1D21" w14:textId="77777777" w:rsidR="006C269A" w:rsidRPr="00966F2B" w:rsidRDefault="006C269A" w:rsidP="00AB05FB">
            <w:pPr>
              <w:pStyle w:val="Btablefigureunbold"/>
            </w:pPr>
            <w:r w:rsidRPr="00966F2B">
              <w:t>212,861</w:t>
            </w:r>
          </w:p>
        </w:tc>
      </w:tr>
      <w:tr w:rsidR="006C269A" w:rsidRPr="006D5D15" w14:paraId="6D1DDB20" w14:textId="77777777" w:rsidTr="00AB05FB">
        <w:trPr>
          <w:cantSplit/>
          <w:trHeight w:val="20"/>
          <w:jc w:val="center"/>
        </w:trPr>
        <w:tc>
          <w:tcPr>
            <w:tcW w:w="2869" w:type="dxa"/>
            <w:shd w:val="clear" w:color="auto" w:fill="auto"/>
          </w:tcPr>
          <w:p w14:paraId="7525B3FA" w14:textId="77777777" w:rsidR="006C269A" w:rsidRPr="006D5D15" w:rsidRDefault="006C269A" w:rsidP="00AB05FB">
            <w:pPr>
              <w:pStyle w:val="BStabletext"/>
              <w:rPr>
                <w:color w:val="472D8C"/>
              </w:rPr>
            </w:pPr>
            <w:r w:rsidRPr="00A54B9C">
              <w:t xml:space="preserve">Grants and </w:t>
            </w:r>
            <w:r>
              <w:t>p</w:t>
            </w:r>
            <w:r w:rsidRPr="00A54B9C">
              <w:t xml:space="preserve">urchased </w:t>
            </w:r>
            <w:r>
              <w:t>s</w:t>
            </w:r>
            <w:r w:rsidRPr="00A54B9C">
              <w:t>ervices</w:t>
            </w:r>
          </w:p>
        </w:tc>
        <w:tc>
          <w:tcPr>
            <w:tcW w:w="1068" w:type="dxa"/>
            <w:shd w:val="clear" w:color="auto" w:fill="auto"/>
          </w:tcPr>
          <w:p w14:paraId="42766DC3" w14:textId="77777777" w:rsidR="006C269A" w:rsidRPr="00966F2B" w:rsidRDefault="006C269A" w:rsidP="00AB05FB">
            <w:pPr>
              <w:pStyle w:val="Btablefigureunbold"/>
            </w:pPr>
            <w:r w:rsidRPr="00966F2B">
              <w:t>63,368</w:t>
            </w:r>
          </w:p>
        </w:tc>
        <w:tc>
          <w:tcPr>
            <w:tcW w:w="1069" w:type="dxa"/>
            <w:shd w:val="clear" w:color="auto" w:fill="auto"/>
            <w:noWrap/>
          </w:tcPr>
          <w:p w14:paraId="545DBA10" w14:textId="77777777" w:rsidR="006C269A" w:rsidRPr="00966F2B" w:rsidRDefault="006C269A" w:rsidP="00AB05FB">
            <w:pPr>
              <w:pStyle w:val="Btablefigureunbold"/>
            </w:pPr>
            <w:r w:rsidRPr="00966F2B">
              <w:t>143,944</w:t>
            </w:r>
          </w:p>
        </w:tc>
        <w:tc>
          <w:tcPr>
            <w:tcW w:w="1069" w:type="dxa"/>
            <w:shd w:val="clear" w:color="auto" w:fill="auto"/>
            <w:noWrap/>
          </w:tcPr>
          <w:p w14:paraId="2AB7EB0E" w14:textId="77777777" w:rsidR="006C269A" w:rsidRPr="00966F2B" w:rsidRDefault="006C269A" w:rsidP="00AB05FB">
            <w:pPr>
              <w:pStyle w:val="Btablefigureunbold"/>
            </w:pPr>
            <w:r w:rsidRPr="00966F2B">
              <w:t>174,782</w:t>
            </w:r>
          </w:p>
        </w:tc>
        <w:tc>
          <w:tcPr>
            <w:tcW w:w="1069" w:type="dxa"/>
            <w:shd w:val="clear" w:color="auto" w:fill="auto"/>
            <w:noWrap/>
          </w:tcPr>
          <w:p w14:paraId="6CC1397F" w14:textId="77777777" w:rsidR="006C269A" w:rsidRPr="00966F2B" w:rsidRDefault="006C269A" w:rsidP="00AB05FB">
            <w:pPr>
              <w:pStyle w:val="Btablefigureunbold"/>
            </w:pPr>
            <w:r w:rsidRPr="00966F2B">
              <w:t>92,133</w:t>
            </w:r>
          </w:p>
        </w:tc>
        <w:tc>
          <w:tcPr>
            <w:tcW w:w="1069" w:type="dxa"/>
            <w:shd w:val="clear" w:color="auto" w:fill="auto"/>
            <w:noWrap/>
          </w:tcPr>
          <w:p w14:paraId="4BC7ACEE" w14:textId="77777777" w:rsidR="006C269A" w:rsidRPr="00966F2B" w:rsidRDefault="006C269A" w:rsidP="00AB05FB">
            <w:pPr>
              <w:pStyle w:val="Btablefigureunbold"/>
            </w:pPr>
            <w:r w:rsidRPr="00966F2B">
              <w:t>200,034</w:t>
            </w:r>
          </w:p>
        </w:tc>
        <w:tc>
          <w:tcPr>
            <w:tcW w:w="1069" w:type="dxa"/>
            <w:shd w:val="clear" w:color="auto" w:fill="auto"/>
            <w:noWrap/>
          </w:tcPr>
          <w:p w14:paraId="4642009A" w14:textId="77777777" w:rsidR="006C269A" w:rsidRPr="00966F2B" w:rsidRDefault="006C269A" w:rsidP="00AB05FB">
            <w:pPr>
              <w:pStyle w:val="Btablefigureunbold"/>
            </w:pPr>
            <w:r w:rsidRPr="00966F2B">
              <w:t>101,387</w:t>
            </w:r>
          </w:p>
        </w:tc>
      </w:tr>
      <w:tr w:rsidR="006C269A" w:rsidRPr="006D5D15" w14:paraId="19192455" w14:textId="77777777" w:rsidTr="00AB05FB">
        <w:trPr>
          <w:cantSplit/>
          <w:trHeight w:val="20"/>
          <w:jc w:val="center"/>
        </w:trPr>
        <w:tc>
          <w:tcPr>
            <w:tcW w:w="2869" w:type="dxa"/>
            <w:shd w:val="clear" w:color="auto" w:fill="auto"/>
            <w:noWrap/>
          </w:tcPr>
          <w:p w14:paraId="2D6C49E5" w14:textId="77777777" w:rsidR="006C269A" w:rsidRPr="006D5D15" w:rsidRDefault="006C269A" w:rsidP="00AB05FB">
            <w:pPr>
              <w:pStyle w:val="BStabletext"/>
              <w:rPr>
                <w:color w:val="472D8C"/>
                <w:highlight w:val="yellow"/>
              </w:rPr>
            </w:pPr>
            <w:r w:rsidRPr="00A54B9C">
              <w:rPr>
                <w:b/>
              </w:rPr>
              <w:t xml:space="preserve">Total </w:t>
            </w:r>
            <w:r>
              <w:rPr>
                <w:b/>
              </w:rPr>
              <w:t>e</w:t>
            </w:r>
            <w:r w:rsidRPr="00A54B9C">
              <w:rPr>
                <w:b/>
              </w:rPr>
              <w:t>xpenses</w:t>
            </w:r>
          </w:p>
        </w:tc>
        <w:tc>
          <w:tcPr>
            <w:tcW w:w="1068" w:type="dxa"/>
            <w:shd w:val="clear" w:color="auto" w:fill="auto"/>
          </w:tcPr>
          <w:p w14:paraId="2E5BA5FE" w14:textId="77777777" w:rsidR="006C269A" w:rsidRPr="00966F2B" w:rsidRDefault="006C269A" w:rsidP="00AB05FB">
            <w:pPr>
              <w:pStyle w:val="Btabletextbold"/>
              <w:jc w:val="right"/>
            </w:pPr>
            <w:r w:rsidRPr="00966F2B">
              <w:t>1,291,926</w:t>
            </w:r>
          </w:p>
        </w:tc>
        <w:tc>
          <w:tcPr>
            <w:tcW w:w="1069" w:type="dxa"/>
            <w:shd w:val="clear" w:color="auto" w:fill="auto"/>
            <w:noWrap/>
          </w:tcPr>
          <w:p w14:paraId="0CFBC5E9" w14:textId="77777777" w:rsidR="006C269A" w:rsidRPr="00966F2B" w:rsidRDefault="006C269A" w:rsidP="00AB05FB">
            <w:pPr>
              <w:pStyle w:val="Btabletextbold"/>
              <w:jc w:val="right"/>
            </w:pPr>
            <w:r w:rsidRPr="00966F2B">
              <w:t>1,324,603</w:t>
            </w:r>
          </w:p>
        </w:tc>
        <w:tc>
          <w:tcPr>
            <w:tcW w:w="1069" w:type="dxa"/>
            <w:shd w:val="clear" w:color="auto" w:fill="auto"/>
            <w:noWrap/>
            <w:vAlign w:val="bottom"/>
          </w:tcPr>
          <w:p w14:paraId="31E43DCF" w14:textId="77777777" w:rsidR="006C269A" w:rsidRPr="00966F2B" w:rsidRDefault="006C269A" w:rsidP="00AB05FB">
            <w:pPr>
              <w:pStyle w:val="Btabletextbold"/>
              <w:jc w:val="right"/>
            </w:pPr>
            <w:r w:rsidRPr="00966F2B">
              <w:t>1,160,249</w:t>
            </w:r>
          </w:p>
        </w:tc>
        <w:tc>
          <w:tcPr>
            <w:tcW w:w="1069" w:type="dxa"/>
            <w:shd w:val="clear" w:color="auto" w:fill="auto"/>
            <w:noWrap/>
            <w:vAlign w:val="bottom"/>
          </w:tcPr>
          <w:p w14:paraId="1C23F097" w14:textId="77777777" w:rsidR="006C269A" w:rsidRPr="00966F2B" w:rsidRDefault="006C269A" w:rsidP="00AB05FB">
            <w:pPr>
              <w:pStyle w:val="Btabletextbold"/>
              <w:jc w:val="right"/>
            </w:pPr>
            <w:r w:rsidRPr="00966F2B">
              <w:t>1,259,424</w:t>
            </w:r>
          </w:p>
        </w:tc>
        <w:tc>
          <w:tcPr>
            <w:tcW w:w="1069" w:type="dxa"/>
            <w:shd w:val="clear" w:color="auto" w:fill="auto"/>
            <w:noWrap/>
            <w:vAlign w:val="bottom"/>
          </w:tcPr>
          <w:p w14:paraId="29D181C9" w14:textId="77777777" w:rsidR="006C269A" w:rsidRPr="00966F2B" w:rsidRDefault="006C269A" w:rsidP="00AB05FB">
            <w:pPr>
              <w:pStyle w:val="Btabletextbold"/>
              <w:jc w:val="right"/>
            </w:pPr>
            <w:r w:rsidRPr="00966F2B">
              <w:t>1,276,774</w:t>
            </w:r>
          </w:p>
        </w:tc>
        <w:tc>
          <w:tcPr>
            <w:tcW w:w="1069" w:type="dxa"/>
            <w:shd w:val="clear" w:color="auto" w:fill="auto"/>
            <w:noWrap/>
            <w:vAlign w:val="bottom"/>
          </w:tcPr>
          <w:p w14:paraId="656CC6F2" w14:textId="77777777" w:rsidR="006C269A" w:rsidRPr="00966F2B" w:rsidRDefault="006C269A" w:rsidP="00AB05FB">
            <w:pPr>
              <w:pStyle w:val="Btabletextbold"/>
              <w:jc w:val="right"/>
            </w:pPr>
            <w:r w:rsidRPr="00966F2B">
              <w:t>1,221,765</w:t>
            </w:r>
          </w:p>
        </w:tc>
      </w:tr>
      <w:tr w:rsidR="006C269A" w:rsidRPr="00F9704D" w14:paraId="4D3BB166" w14:textId="77777777" w:rsidTr="00AB05FB">
        <w:trPr>
          <w:cantSplit/>
          <w:trHeight w:val="20"/>
          <w:jc w:val="center"/>
        </w:trPr>
        <w:tc>
          <w:tcPr>
            <w:tcW w:w="2869" w:type="dxa"/>
            <w:tcBorders>
              <w:bottom w:val="single" w:sz="4" w:space="0" w:color="auto"/>
            </w:tcBorders>
            <w:shd w:val="clear" w:color="auto" w:fill="auto"/>
          </w:tcPr>
          <w:p w14:paraId="7493925D" w14:textId="77777777" w:rsidR="006C269A" w:rsidRPr="00D441E0" w:rsidRDefault="006C269A" w:rsidP="00AB05FB">
            <w:pPr>
              <w:pStyle w:val="BStabletext"/>
            </w:pPr>
            <w:r w:rsidRPr="00A54B9C">
              <w:rPr>
                <w:rFonts w:cs="Calibri"/>
                <w:color w:val="FFFFFF"/>
                <w:sz w:val="12"/>
              </w:rPr>
              <w:t xml:space="preserve"> </w:t>
            </w:r>
          </w:p>
        </w:tc>
        <w:tc>
          <w:tcPr>
            <w:tcW w:w="1068" w:type="dxa"/>
            <w:tcBorders>
              <w:bottom w:val="single" w:sz="4" w:space="0" w:color="auto"/>
            </w:tcBorders>
            <w:shd w:val="clear" w:color="auto" w:fill="auto"/>
          </w:tcPr>
          <w:p w14:paraId="5C62F08C" w14:textId="77777777" w:rsidR="006C269A" w:rsidRPr="00F9704D" w:rsidRDefault="006C269A" w:rsidP="00AB05FB">
            <w:pPr>
              <w:pStyle w:val="Btablefigureunbold"/>
              <w:rPr>
                <w:highlight w:val="yellow"/>
              </w:rPr>
            </w:pPr>
          </w:p>
        </w:tc>
        <w:tc>
          <w:tcPr>
            <w:tcW w:w="1069" w:type="dxa"/>
            <w:tcBorders>
              <w:bottom w:val="single" w:sz="4" w:space="0" w:color="auto"/>
            </w:tcBorders>
            <w:shd w:val="clear" w:color="auto" w:fill="auto"/>
            <w:noWrap/>
          </w:tcPr>
          <w:p w14:paraId="5AB300F3" w14:textId="77777777" w:rsidR="006C269A" w:rsidRPr="00F9704D" w:rsidRDefault="006C269A" w:rsidP="00AB05FB">
            <w:pPr>
              <w:pStyle w:val="Btablefigureunbold"/>
              <w:rPr>
                <w:highlight w:val="yellow"/>
              </w:rPr>
            </w:pPr>
          </w:p>
        </w:tc>
        <w:tc>
          <w:tcPr>
            <w:tcW w:w="1069" w:type="dxa"/>
            <w:tcBorders>
              <w:bottom w:val="single" w:sz="4" w:space="0" w:color="auto"/>
            </w:tcBorders>
            <w:shd w:val="clear" w:color="auto" w:fill="auto"/>
            <w:noWrap/>
          </w:tcPr>
          <w:p w14:paraId="20385F2B" w14:textId="77777777" w:rsidR="006C269A" w:rsidRPr="00F9704D" w:rsidRDefault="006C269A" w:rsidP="00AB05FB">
            <w:pPr>
              <w:pStyle w:val="Btablefigureunbold"/>
              <w:rPr>
                <w:highlight w:val="yellow"/>
              </w:rPr>
            </w:pPr>
          </w:p>
        </w:tc>
        <w:tc>
          <w:tcPr>
            <w:tcW w:w="1069" w:type="dxa"/>
            <w:tcBorders>
              <w:bottom w:val="single" w:sz="4" w:space="0" w:color="auto"/>
            </w:tcBorders>
            <w:shd w:val="clear" w:color="auto" w:fill="auto"/>
            <w:noWrap/>
          </w:tcPr>
          <w:p w14:paraId="2DA7B5E3" w14:textId="77777777" w:rsidR="006C269A" w:rsidRPr="00F9704D" w:rsidRDefault="006C269A" w:rsidP="00AB05FB">
            <w:pPr>
              <w:pStyle w:val="Btablefigureunbold"/>
              <w:rPr>
                <w:highlight w:val="yellow"/>
              </w:rPr>
            </w:pPr>
          </w:p>
        </w:tc>
        <w:tc>
          <w:tcPr>
            <w:tcW w:w="1069" w:type="dxa"/>
            <w:tcBorders>
              <w:bottom w:val="single" w:sz="4" w:space="0" w:color="auto"/>
            </w:tcBorders>
            <w:shd w:val="clear" w:color="auto" w:fill="auto"/>
            <w:noWrap/>
          </w:tcPr>
          <w:p w14:paraId="15F980F6" w14:textId="77777777" w:rsidR="006C269A" w:rsidRPr="00F9704D" w:rsidRDefault="006C269A" w:rsidP="00AB05FB">
            <w:pPr>
              <w:pStyle w:val="Btablefigureunbold"/>
              <w:rPr>
                <w:highlight w:val="yellow"/>
              </w:rPr>
            </w:pPr>
          </w:p>
        </w:tc>
        <w:tc>
          <w:tcPr>
            <w:tcW w:w="1069" w:type="dxa"/>
            <w:tcBorders>
              <w:bottom w:val="single" w:sz="4" w:space="0" w:color="auto"/>
            </w:tcBorders>
            <w:shd w:val="clear" w:color="auto" w:fill="auto"/>
            <w:noWrap/>
          </w:tcPr>
          <w:p w14:paraId="1FD51963" w14:textId="77777777" w:rsidR="006C269A" w:rsidRPr="00F9704D" w:rsidRDefault="006C269A" w:rsidP="00AB05FB">
            <w:pPr>
              <w:pStyle w:val="Btablefigureunbold"/>
              <w:rPr>
                <w:highlight w:val="yellow"/>
              </w:rPr>
            </w:pPr>
          </w:p>
        </w:tc>
      </w:tr>
      <w:tr w:rsidR="006C269A" w:rsidRPr="00457CE0" w14:paraId="2650DC58" w14:textId="77777777" w:rsidTr="00AB05FB">
        <w:trPr>
          <w:cantSplit/>
          <w:trHeight w:val="20"/>
          <w:jc w:val="center"/>
        </w:trPr>
        <w:tc>
          <w:tcPr>
            <w:tcW w:w="2869" w:type="dxa"/>
            <w:tcBorders>
              <w:top w:val="single" w:sz="4" w:space="0" w:color="auto"/>
              <w:bottom w:val="single" w:sz="4" w:space="0" w:color="auto"/>
            </w:tcBorders>
            <w:shd w:val="clear" w:color="auto" w:fill="auto"/>
          </w:tcPr>
          <w:p w14:paraId="06116602" w14:textId="77777777" w:rsidR="006C269A" w:rsidRPr="00C75A48" w:rsidRDefault="006C269A" w:rsidP="00AB05FB">
            <w:pPr>
              <w:pStyle w:val="BStabletextbold"/>
              <w:rPr>
                <w:color w:val="472D8C"/>
              </w:rPr>
            </w:pPr>
            <w:r w:rsidRPr="00C75A48">
              <w:rPr>
                <w:color w:val="472D8C"/>
              </w:rPr>
              <w:t>UPF net operating balance</w:t>
            </w:r>
          </w:p>
        </w:tc>
        <w:tc>
          <w:tcPr>
            <w:tcW w:w="1068" w:type="dxa"/>
            <w:tcBorders>
              <w:top w:val="single" w:sz="4" w:space="0" w:color="auto"/>
              <w:bottom w:val="single" w:sz="4" w:space="0" w:color="auto"/>
            </w:tcBorders>
            <w:shd w:val="clear" w:color="auto" w:fill="auto"/>
          </w:tcPr>
          <w:p w14:paraId="648306EF" w14:textId="77777777" w:rsidR="006C269A" w:rsidRPr="00C75A48" w:rsidRDefault="006C269A" w:rsidP="00AB05FB">
            <w:pPr>
              <w:pStyle w:val="BStabletextbold"/>
              <w:jc w:val="right"/>
              <w:rPr>
                <w:color w:val="472D8C"/>
              </w:rPr>
            </w:pPr>
            <w:r w:rsidRPr="00966F2B">
              <w:rPr>
                <w:color w:val="472D8C"/>
              </w:rPr>
              <w:t>248,068</w:t>
            </w:r>
          </w:p>
        </w:tc>
        <w:tc>
          <w:tcPr>
            <w:tcW w:w="1069" w:type="dxa"/>
            <w:tcBorders>
              <w:top w:val="single" w:sz="4" w:space="0" w:color="auto"/>
              <w:bottom w:val="single" w:sz="4" w:space="0" w:color="auto"/>
            </w:tcBorders>
            <w:shd w:val="clear" w:color="auto" w:fill="auto"/>
            <w:noWrap/>
          </w:tcPr>
          <w:p w14:paraId="11ADDF1C" w14:textId="77777777" w:rsidR="006C269A" w:rsidRPr="00C75A48" w:rsidRDefault="006C269A" w:rsidP="00AB05FB">
            <w:pPr>
              <w:pStyle w:val="BStabletextbold"/>
              <w:jc w:val="right"/>
              <w:rPr>
                <w:color w:val="472D8C"/>
              </w:rPr>
            </w:pPr>
            <w:r w:rsidRPr="00966F2B">
              <w:rPr>
                <w:color w:val="472D8C"/>
              </w:rPr>
              <w:t>159,469</w:t>
            </w:r>
          </w:p>
        </w:tc>
        <w:tc>
          <w:tcPr>
            <w:tcW w:w="1069" w:type="dxa"/>
            <w:tcBorders>
              <w:top w:val="single" w:sz="4" w:space="0" w:color="auto"/>
              <w:bottom w:val="single" w:sz="4" w:space="0" w:color="auto"/>
            </w:tcBorders>
            <w:shd w:val="clear" w:color="auto" w:fill="auto"/>
            <w:noWrap/>
            <w:vAlign w:val="bottom"/>
          </w:tcPr>
          <w:p w14:paraId="5654F84E" w14:textId="77777777" w:rsidR="006C269A" w:rsidRPr="00966F2B" w:rsidRDefault="006C269A" w:rsidP="00AB05FB">
            <w:pPr>
              <w:pStyle w:val="BStabletextbold"/>
              <w:jc w:val="right"/>
              <w:rPr>
                <w:color w:val="472D8C"/>
              </w:rPr>
            </w:pPr>
            <w:r w:rsidRPr="00966F2B">
              <w:rPr>
                <w:color w:val="472D8C"/>
              </w:rPr>
              <w:t>96,429</w:t>
            </w:r>
          </w:p>
        </w:tc>
        <w:tc>
          <w:tcPr>
            <w:tcW w:w="1069" w:type="dxa"/>
            <w:tcBorders>
              <w:top w:val="single" w:sz="4" w:space="0" w:color="auto"/>
              <w:bottom w:val="single" w:sz="4" w:space="0" w:color="auto"/>
            </w:tcBorders>
            <w:shd w:val="clear" w:color="auto" w:fill="auto"/>
            <w:noWrap/>
            <w:vAlign w:val="bottom"/>
          </w:tcPr>
          <w:p w14:paraId="14C6BEF3" w14:textId="77777777" w:rsidR="006C269A" w:rsidRPr="00C75A48" w:rsidRDefault="006C269A" w:rsidP="00AB05FB">
            <w:pPr>
              <w:pStyle w:val="BStabletextbold"/>
              <w:jc w:val="right"/>
              <w:rPr>
                <w:color w:val="472D8C"/>
              </w:rPr>
            </w:pPr>
            <w:r w:rsidRPr="00966F2B">
              <w:rPr>
                <w:color w:val="472D8C"/>
              </w:rPr>
              <w:t>24,522</w:t>
            </w:r>
          </w:p>
        </w:tc>
        <w:tc>
          <w:tcPr>
            <w:tcW w:w="1069" w:type="dxa"/>
            <w:tcBorders>
              <w:top w:val="single" w:sz="4" w:space="0" w:color="auto"/>
              <w:bottom w:val="single" w:sz="4" w:space="0" w:color="auto"/>
            </w:tcBorders>
            <w:shd w:val="clear" w:color="auto" w:fill="auto"/>
            <w:noWrap/>
            <w:vAlign w:val="bottom"/>
          </w:tcPr>
          <w:p w14:paraId="2798385C" w14:textId="77777777" w:rsidR="006C269A" w:rsidRPr="00C75A48" w:rsidRDefault="006C269A" w:rsidP="00AB05FB">
            <w:pPr>
              <w:pStyle w:val="BStabletextbold"/>
              <w:jc w:val="right"/>
              <w:rPr>
                <w:color w:val="472D8C"/>
              </w:rPr>
            </w:pPr>
            <w:r w:rsidRPr="00966F2B">
              <w:rPr>
                <w:color w:val="472D8C"/>
              </w:rPr>
              <w:t>-38,637</w:t>
            </w:r>
          </w:p>
        </w:tc>
        <w:tc>
          <w:tcPr>
            <w:tcW w:w="1069" w:type="dxa"/>
            <w:tcBorders>
              <w:top w:val="single" w:sz="4" w:space="0" w:color="auto"/>
              <w:bottom w:val="single" w:sz="4" w:space="0" w:color="auto"/>
            </w:tcBorders>
            <w:shd w:val="clear" w:color="auto" w:fill="auto"/>
            <w:noWrap/>
            <w:vAlign w:val="bottom"/>
          </w:tcPr>
          <w:p w14:paraId="15B6F139" w14:textId="77777777" w:rsidR="006C269A" w:rsidRPr="00C75A48" w:rsidRDefault="006C269A" w:rsidP="00AB05FB">
            <w:pPr>
              <w:pStyle w:val="BStabletextbold"/>
              <w:jc w:val="right"/>
              <w:rPr>
                <w:color w:val="472D8C"/>
              </w:rPr>
            </w:pPr>
            <w:r w:rsidRPr="00966F2B">
              <w:rPr>
                <w:color w:val="472D8C"/>
              </w:rPr>
              <w:t>65,286</w:t>
            </w:r>
          </w:p>
        </w:tc>
      </w:tr>
      <w:tr w:rsidR="006C269A" w:rsidRPr="00457CE0" w14:paraId="51C0846D" w14:textId="77777777" w:rsidTr="00AB05FB">
        <w:trPr>
          <w:cantSplit/>
          <w:trHeight w:val="20"/>
          <w:jc w:val="center"/>
        </w:trPr>
        <w:tc>
          <w:tcPr>
            <w:tcW w:w="2869" w:type="dxa"/>
            <w:tcBorders>
              <w:top w:val="single" w:sz="4" w:space="0" w:color="auto"/>
            </w:tcBorders>
            <w:shd w:val="clear" w:color="auto" w:fill="auto"/>
            <w:vAlign w:val="bottom"/>
          </w:tcPr>
          <w:p w14:paraId="0721DE22" w14:textId="77777777" w:rsidR="006C269A" w:rsidRPr="001E3E77" w:rsidRDefault="006C269A" w:rsidP="00AB05FB">
            <w:pPr>
              <w:pStyle w:val="BStabletextbold"/>
              <w:rPr>
                <w:color w:val="472D8C"/>
              </w:rPr>
            </w:pPr>
            <w:r w:rsidRPr="00A54B9C">
              <w:t>Other</w:t>
            </w:r>
            <w:r>
              <w:t xml:space="preserve"> e</w:t>
            </w:r>
            <w:r w:rsidRPr="00A54B9C">
              <w:t>conomic</w:t>
            </w:r>
            <w:r>
              <w:t xml:space="preserve"> f</w:t>
            </w:r>
            <w:r w:rsidRPr="00A54B9C">
              <w:t xml:space="preserve">lows – </w:t>
            </w:r>
            <w:r>
              <w:t>i</w:t>
            </w:r>
            <w:r w:rsidRPr="00A54B9C">
              <w:t xml:space="preserve">ncluded in the </w:t>
            </w:r>
            <w:r>
              <w:t>o</w:t>
            </w:r>
            <w:r w:rsidRPr="00A54B9C">
              <w:t xml:space="preserve">perating </w:t>
            </w:r>
            <w:r>
              <w:t>r</w:t>
            </w:r>
            <w:r w:rsidRPr="00A54B9C">
              <w:t>esult</w:t>
            </w:r>
          </w:p>
        </w:tc>
        <w:tc>
          <w:tcPr>
            <w:tcW w:w="1068" w:type="dxa"/>
            <w:tcBorders>
              <w:top w:val="single" w:sz="4" w:space="0" w:color="auto"/>
            </w:tcBorders>
            <w:shd w:val="clear" w:color="auto" w:fill="auto"/>
          </w:tcPr>
          <w:p w14:paraId="395380BD" w14:textId="77777777" w:rsidR="006C269A" w:rsidRPr="001E3E77" w:rsidRDefault="006C269A" w:rsidP="00AB05FB">
            <w:pPr>
              <w:pStyle w:val="BTablefigureBold"/>
              <w:rPr>
                <w:color w:val="472D8C"/>
              </w:rPr>
            </w:pPr>
          </w:p>
        </w:tc>
        <w:tc>
          <w:tcPr>
            <w:tcW w:w="1069" w:type="dxa"/>
            <w:tcBorders>
              <w:top w:val="single" w:sz="4" w:space="0" w:color="auto"/>
            </w:tcBorders>
            <w:shd w:val="clear" w:color="auto" w:fill="auto"/>
            <w:noWrap/>
          </w:tcPr>
          <w:p w14:paraId="537EA9F3" w14:textId="77777777" w:rsidR="006C269A" w:rsidRPr="001E3E77" w:rsidRDefault="006C269A" w:rsidP="00AB05FB">
            <w:pPr>
              <w:pStyle w:val="BTablefigureBold"/>
              <w:rPr>
                <w:color w:val="472D8C"/>
              </w:rPr>
            </w:pPr>
          </w:p>
        </w:tc>
        <w:tc>
          <w:tcPr>
            <w:tcW w:w="1069" w:type="dxa"/>
            <w:tcBorders>
              <w:top w:val="single" w:sz="4" w:space="0" w:color="auto"/>
            </w:tcBorders>
            <w:shd w:val="clear" w:color="auto" w:fill="auto"/>
            <w:noWrap/>
          </w:tcPr>
          <w:p w14:paraId="3D4AC092" w14:textId="77777777" w:rsidR="006C269A" w:rsidRPr="001E3E77" w:rsidRDefault="006C269A" w:rsidP="00AB05FB">
            <w:pPr>
              <w:pStyle w:val="BTablefigureBold"/>
              <w:rPr>
                <w:color w:val="472D8C"/>
              </w:rPr>
            </w:pPr>
          </w:p>
        </w:tc>
        <w:tc>
          <w:tcPr>
            <w:tcW w:w="1069" w:type="dxa"/>
            <w:tcBorders>
              <w:top w:val="single" w:sz="4" w:space="0" w:color="auto"/>
            </w:tcBorders>
            <w:shd w:val="clear" w:color="auto" w:fill="auto"/>
            <w:noWrap/>
          </w:tcPr>
          <w:p w14:paraId="77CA6D17" w14:textId="77777777" w:rsidR="006C269A" w:rsidRPr="001E3E77" w:rsidRDefault="006C269A" w:rsidP="00AB05FB">
            <w:pPr>
              <w:pStyle w:val="BTablefigureBold"/>
              <w:rPr>
                <w:color w:val="472D8C"/>
              </w:rPr>
            </w:pPr>
          </w:p>
        </w:tc>
        <w:tc>
          <w:tcPr>
            <w:tcW w:w="1069" w:type="dxa"/>
            <w:tcBorders>
              <w:top w:val="single" w:sz="4" w:space="0" w:color="auto"/>
            </w:tcBorders>
            <w:shd w:val="clear" w:color="auto" w:fill="auto"/>
            <w:noWrap/>
          </w:tcPr>
          <w:p w14:paraId="2BC7F335" w14:textId="77777777" w:rsidR="006C269A" w:rsidRPr="001E3E77" w:rsidRDefault="006C269A" w:rsidP="00AB05FB">
            <w:pPr>
              <w:pStyle w:val="BTablefigureBold"/>
              <w:rPr>
                <w:color w:val="472D8C"/>
              </w:rPr>
            </w:pPr>
          </w:p>
        </w:tc>
        <w:tc>
          <w:tcPr>
            <w:tcW w:w="1069" w:type="dxa"/>
            <w:tcBorders>
              <w:top w:val="single" w:sz="4" w:space="0" w:color="auto"/>
            </w:tcBorders>
            <w:shd w:val="clear" w:color="auto" w:fill="auto"/>
            <w:noWrap/>
          </w:tcPr>
          <w:p w14:paraId="30CA08CE" w14:textId="77777777" w:rsidR="006C269A" w:rsidRPr="001E3E77" w:rsidRDefault="006C269A" w:rsidP="00AB05FB">
            <w:pPr>
              <w:pStyle w:val="BTablefigureBold"/>
              <w:rPr>
                <w:color w:val="472D8C"/>
              </w:rPr>
            </w:pPr>
          </w:p>
        </w:tc>
      </w:tr>
      <w:tr w:rsidR="006C269A" w:rsidRPr="00457CE0" w14:paraId="4E185F71" w14:textId="77777777" w:rsidTr="00AB05FB">
        <w:trPr>
          <w:cantSplit/>
          <w:trHeight w:val="20"/>
          <w:jc w:val="center"/>
        </w:trPr>
        <w:tc>
          <w:tcPr>
            <w:tcW w:w="2869" w:type="dxa"/>
            <w:shd w:val="clear" w:color="auto" w:fill="auto"/>
          </w:tcPr>
          <w:p w14:paraId="61A52F46" w14:textId="77777777" w:rsidR="006C269A" w:rsidRPr="00D441E0" w:rsidRDefault="006C269A" w:rsidP="00AB05FB">
            <w:pPr>
              <w:pStyle w:val="BStabletext"/>
            </w:pPr>
            <w:r w:rsidRPr="00A54B9C">
              <w:t xml:space="preserve">Land </w:t>
            </w:r>
            <w:r>
              <w:t>r</w:t>
            </w:r>
            <w:r w:rsidRPr="00A54B9C">
              <w:t>evenue (</w:t>
            </w:r>
            <w:r>
              <w:t>m</w:t>
            </w:r>
            <w:r w:rsidRPr="00A54B9C">
              <w:t xml:space="preserve">arket </w:t>
            </w:r>
            <w:r>
              <w:t>g</w:t>
            </w:r>
            <w:r w:rsidRPr="00A54B9C">
              <w:t xml:space="preserve">ains on </w:t>
            </w:r>
            <w:r>
              <w:t>l</w:t>
            </w:r>
            <w:r w:rsidRPr="00A54B9C">
              <w:t xml:space="preserve">and </w:t>
            </w:r>
            <w:r>
              <w:t>s</w:t>
            </w:r>
            <w:r w:rsidRPr="00A54B9C">
              <w:t>ales)</w:t>
            </w:r>
          </w:p>
        </w:tc>
        <w:tc>
          <w:tcPr>
            <w:tcW w:w="1068" w:type="dxa"/>
            <w:shd w:val="clear" w:color="auto" w:fill="auto"/>
          </w:tcPr>
          <w:p w14:paraId="19137CEE" w14:textId="77777777" w:rsidR="006C269A" w:rsidRPr="00966F2B" w:rsidRDefault="006C269A" w:rsidP="00AB05FB">
            <w:pPr>
              <w:pStyle w:val="Btablefigureunbold"/>
            </w:pPr>
            <w:r w:rsidRPr="00966F2B">
              <w:t>26,186</w:t>
            </w:r>
          </w:p>
        </w:tc>
        <w:tc>
          <w:tcPr>
            <w:tcW w:w="1069" w:type="dxa"/>
            <w:shd w:val="clear" w:color="auto" w:fill="auto"/>
            <w:noWrap/>
          </w:tcPr>
          <w:p w14:paraId="1BAC6A8A" w14:textId="77777777" w:rsidR="006C269A" w:rsidRPr="00966F2B" w:rsidRDefault="006C269A" w:rsidP="00AB05FB">
            <w:pPr>
              <w:pStyle w:val="Btablefigureunbold"/>
            </w:pPr>
            <w:r w:rsidRPr="00966F2B">
              <w:t>96,638</w:t>
            </w:r>
          </w:p>
        </w:tc>
        <w:tc>
          <w:tcPr>
            <w:tcW w:w="1069" w:type="dxa"/>
            <w:shd w:val="clear" w:color="auto" w:fill="auto"/>
            <w:noWrap/>
          </w:tcPr>
          <w:p w14:paraId="407FECD3" w14:textId="77777777" w:rsidR="006C269A" w:rsidRPr="00966F2B" w:rsidRDefault="006C269A" w:rsidP="00AB05FB">
            <w:pPr>
              <w:pStyle w:val="Btablefigureunbold"/>
            </w:pPr>
            <w:r w:rsidRPr="00966F2B">
              <w:t>4,322</w:t>
            </w:r>
          </w:p>
        </w:tc>
        <w:tc>
          <w:tcPr>
            <w:tcW w:w="1069" w:type="dxa"/>
            <w:shd w:val="clear" w:color="auto" w:fill="auto"/>
            <w:noWrap/>
          </w:tcPr>
          <w:p w14:paraId="06AD3971" w14:textId="77777777" w:rsidR="006C269A" w:rsidRPr="00966F2B" w:rsidRDefault="006C269A" w:rsidP="00AB05FB">
            <w:pPr>
              <w:pStyle w:val="Btablefigureunbold"/>
            </w:pPr>
            <w:r w:rsidRPr="00966F2B">
              <w:t>90,219</w:t>
            </w:r>
          </w:p>
        </w:tc>
        <w:tc>
          <w:tcPr>
            <w:tcW w:w="1069" w:type="dxa"/>
            <w:shd w:val="clear" w:color="auto" w:fill="auto"/>
            <w:noWrap/>
          </w:tcPr>
          <w:p w14:paraId="3E814EE9" w14:textId="77777777" w:rsidR="006C269A" w:rsidRPr="00966F2B" w:rsidRDefault="006C269A" w:rsidP="00AB05FB">
            <w:pPr>
              <w:pStyle w:val="Btablefigureunbold"/>
            </w:pPr>
            <w:r w:rsidRPr="00966F2B">
              <w:t>51,692</w:t>
            </w:r>
          </w:p>
        </w:tc>
        <w:tc>
          <w:tcPr>
            <w:tcW w:w="1069" w:type="dxa"/>
            <w:shd w:val="clear" w:color="auto" w:fill="auto"/>
            <w:noWrap/>
          </w:tcPr>
          <w:p w14:paraId="01BD1697" w14:textId="77777777" w:rsidR="006C269A" w:rsidRPr="00966F2B" w:rsidRDefault="006C269A" w:rsidP="00AB05FB">
            <w:pPr>
              <w:pStyle w:val="Btablefigureunbold"/>
            </w:pPr>
            <w:r w:rsidRPr="00966F2B">
              <w:t>33,951</w:t>
            </w:r>
          </w:p>
        </w:tc>
      </w:tr>
      <w:tr w:rsidR="006C269A" w:rsidRPr="00457CE0" w14:paraId="400B1A1F" w14:textId="77777777" w:rsidTr="00AB05FB">
        <w:trPr>
          <w:cantSplit/>
          <w:trHeight w:val="20"/>
          <w:jc w:val="center"/>
        </w:trPr>
        <w:tc>
          <w:tcPr>
            <w:tcW w:w="2869" w:type="dxa"/>
            <w:shd w:val="clear" w:color="auto" w:fill="auto"/>
          </w:tcPr>
          <w:p w14:paraId="181261EC" w14:textId="77777777" w:rsidR="006C269A" w:rsidRPr="00D441E0" w:rsidRDefault="006C269A" w:rsidP="00AB05FB">
            <w:pPr>
              <w:pStyle w:val="BStabletext"/>
            </w:pPr>
            <w:r w:rsidRPr="00A54B9C">
              <w:t xml:space="preserve">Net </w:t>
            </w:r>
            <w:r>
              <w:t>g</w:t>
            </w:r>
            <w:r w:rsidRPr="00A54B9C">
              <w:t>ain/(</w:t>
            </w:r>
            <w:r>
              <w:t>l</w:t>
            </w:r>
            <w:r w:rsidRPr="00A54B9C">
              <w:t xml:space="preserve">oss) on </w:t>
            </w:r>
            <w:r>
              <w:t>s</w:t>
            </w:r>
            <w:r w:rsidRPr="00A54B9C">
              <w:t>ale/(</w:t>
            </w:r>
            <w:r>
              <w:t>d</w:t>
            </w:r>
            <w:r w:rsidRPr="00A54B9C">
              <w:t xml:space="preserve">isposal) of </w:t>
            </w:r>
            <w:r>
              <w:t>n</w:t>
            </w:r>
            <w:r w:rsidRPr="00A54B9C">
              <w:t>on-</w:t>
            </w:r>
            <w:r>
              <w:t>f</w:t>
            </w:r>
            <w:r w:rsidRPr="00A54B9C">
              <w:t xml:space="preserve">inancial </w:t>
            </w:r>
            <w:r>
              <w:t>a</w:t>
            </w:r>
            <w:r w:rsidRPr="00A54B9C">
              <w:t>ssets</w:t>
            </w:r>
          </w:p>
        </w:tc>
        <w:tc>
          <w:tcPr>
            <w:tcW w:w="1068" w:type="dxa"/>
            <w:shd w:val="clear" w:color="auto" w:fill="auto"/>
          </w:tcPr>
          <w:p w14:paraId="14436C7C" w14:textId="77777777" w:rsidR="006C269A" w:rsidRPr="00966F2B" w:rsidRDefault="006C269A" w:rsidP="00AB05FB">
            <w:pPr>
              <w:pStyle w:val="Btablefigureunbold"/>
            </w:pPr>
            <w:r w:rsidRPr="00966F2B">
              <w:t>-3,004</w:t>
            </w:r>
          </w:p>
        </w:tc>
        <w:tc>
          <w:tcPr>
            <w:tcW w:w="1069" w:type="dxa"/>
            <w:shd w:val="clear" w:color="auto" w:fill="auto"/>
            <w:noWrap/>
          </w:tcPr>
          <w:p w14:paraId="79A58B0A" w14:textId="77777777" w:rsidR="006C269A" w:rsidRPr="00966F2B" w:rsidRDefault="006C269A" w:rsidP="00AB05FB">
            <w:pPr>
              <w:pStyle w:val="Btablefigureunbold"/>
            </w:pPr>
            <w:r w:rsidRPr="00966F2B">
              <w:t>6,857</w:t>
            </w:r>
          </w:p>
        </w:tc>
        <w:tc>
          <w:tcPr>
            <w:tcW w:w="1069" w:type="dxa"/>
            <w:shd w:val="clear" w:color="auto" w:fill="auto"/>
            <w:noWrap/>
          </w:tcPr>
          <w:p w14:paraId="5ED3EF19" w14:textId="77777777" w:rsidR="006C269A" w:rsidRPr="00966F2B" w:rsidRDefault="006C269A" w:rsidP="00AB05FB">
            <w:pPr>
              <w:pStyle w:val="Btablefigureunbold"/>
            </w:pPr>
            <w:r w:rsidRPr="00966F2B">
              <w:t>-48,729</w:t>
            </w:r>
          </w:p>
        </w:tc>
        <w:tc>
          <w:tcPr>
            <w:tcW w:w="1069" w:type="dxa"/>
            <w:shd w:val="clear" w:color="auto" w:fill="auto"/>
            <w:noWrap/>
          </w:tcPr>
          <w:p w14:paraId="038884A7" w14:textId="77777777" w:rsidR="006C269A" w:rsidRPr="00966F2B" w:rsidRDefault="006C269A" w:rsidP="00AB05FB">
            <w:pPr>
              <w:pStyle w:val="Btablefigureunbold"/>
            </w:pPr>
            <w:r w:rsidRPr="00966F2B">
              <w:t>-16,177</w:t>
            </w:r>
          </w:p>
        </w:tc>
        <w:tc>
          <w:tcPr>
            <w:tcW w:w="1069" w:type="dxa"/>
            <w:shd w:val="clear" w:color="auto" w:fill="auto"/>
            <w:noWrap/>
          </w:tcPr>
          <w:p w14:paraId="2755A3BB" w14:textId="77777777" w:rsidR="006C269A" w:rsidRPr="00966F2B" w:rsidRDefault="006C269A" w:rsidP="00AB05FB">
            <w:pPr>
              <w:pStyle w:val="Btablefigureunbold"/>
            </w:pPr>
            <w:r w:rsidRPr="00966F2B">
              <w:t>-21,717</w:t>
            </w:r>
          </w:p>
        </w:tc>
        <w:tc>
          <w:tcPr>
            <w:tcW w:w="1069" w:type="dxa"/>
            <w:shd w:val="clear" w:color="auto" w:fill="auto"/>
            <w:noWrap/>
          </w:tcPr>
          <w:p w14:paraId="1B770518" w14:textId="77777777" w:rsidR="006C269A" w:rsidRPr="00966F2B" w:rsidRDefault="006C269A" w:rsidP="00AB05FB">
            <w:pPr>
              <w:pStyle w:val="Btablefigureunbold"/>
            </w:pPr>
            <w:r w:rsidRPr="00966F2B">
              <w:t>-25,475</w:t>
            </w:r>
          </w:p>
        </w:tc>
      </w:tr>
      <w:tr w:rsidR="006C269A" w:rsidRPr="00457CE0" w14:paraId="69CC5A87" w14:textId="77777777" w:rsidTr="00AB05FB">
        <w:trPr>
          <w:cantSplit/>
          <w:trHeight w:val="20"/>
          <w:jc w:val="center"/>
        </w:trPr>
        <w:tc>
          <w:tcPr>
            <w:tcW w:w="2869" w:type="dxa"/>
            <w:shd w:val="clear" w:color="auto" w:fill="auto"/>
          </w:tcPr>
          <w:p w14:paraId="04F5FE24" w14:textId="77777777" w:rsidR="006C269A" w:rsidRPr="001913A8" w:rsidRDefault="006C269A" w:rsidP="00AB05FB">
            <w:pPr>
              <w:pStyle w:val="BStabletext"/>
              <w:rPr>
                <w:color w:val="472D8C"/>
              </w:rPr>
            </w:pPr>
            <w:r w:rsidRPr="00A54B9C">
              <w:t xml:space="preserve">Net </w:t>
            </w:r>
            <w:r>
              <w:t>g</w:t>
            </w:r>
            <w:r w:rsidRPr="00A54B9C">
              <w:t>ain/(</w:t>
            </w:r>
            <w:r>
              <w:t>l</w:t>
            </w:r>
            <w:r w:rsidRPr="00A54B9C">
              <w:t xml:space="preserve">oss) on </w:t>
            </w:r>
            <w:r>
              <w:t>f</w:t>
            </w:r>
            <w:r w:rsidRPr="00A54B9C">
              <w:t xml:space="preserve">inancial </w:t>
            </w:r>
            <w:r>
              <w:t>a</w:t>
            </w:r>
            <w:r w:rsidRPr="00A54B9C">
              <w:t>ssets or</w:t>
            </w:r>
            <w:r>
              <w:t xml:space="preserve"> l</w:t>
            </w:r>
            <w:r w:rsidRPr="00A54B9C">
              <w:t xml:space="preserve">iabilities at </w:t>
            </w:r>
            <w:r>
              <w:t>f</w:t>
            </w:r>
            <w:r w:rsidRPr="00A54B9C">
              <w:t xml:space="preserve">air </w:t>
            </w:r>
            <w:r>
              <w:t>v</w:t>
            </w:r>
            <w:r w:rsidRPr="00A54B9C">
              <w:t>alue</w:t>
            </w:r>
          </w:p>
        </w:tc>
        <w:tc>
          <w:tcPr>
            <w:tcW w:w="1068" w:type="dxa"/>
            <w:shd w:val="clear" w:color="auto" w:fill="auto"/>
          </w:tcPr>
          <w:p w14:paraId="6C236D9D" w14:textId="77777777" w:rsidR="006C269A" w:rsidRPr="00966F2B" w:rsidRDefault="006C269A" w:rsidP="00AB05FB">
            <w:pPr>
              <w:pStyle w:val="Btablefigureunbold"/>
            </w:pPr>
            <w:r w:rsidRPr="00966F2B">
              <w:t>100</w:t>
            </w:r>
          </w:p>
        </w:tc>
        <w:tc>
          <w:tcPr>
            <w:tcW w:w="1069" w:type="dxa"/>
            <w:shd w:val="clear" w:color="auto" w:fill="auto"/>
            <w:noWrap/>
          </w:tcPr>
          <w:p w14:paraId="26310544" w14:textId="77777777" w:rsidR="006C269A" w:rsidRPr="00966F2B" w:rsidRDefault="006C269A" w:rsidP="00AB05FB">
            <w:pPr>
              <w:pStyle w:val="Btablefigureunbold"/>
            </w:pPr>
            <w:r w:rsidRPr="00966F2B">
              <w:t>2,440</w:t>
            </w:r>
          </w:p>
        </w:tc>
        <w:tc>
          <w:tcPr>
            <w:tcW w:w="1069" w:type="dxa"/>
            <w:shd w:val="clear" w:color="auto" w:fill="auto"/>
            <w:noWrap/>
          </w:tcPr>
          <w:p w14:paraId="41A3C477" w14:textId="77777777" w:rsidR="006C269A" w:rsidRPr="00966F2B" w:rsidRDefault="006C269A" w:rsidP="00AB05FB">
            <w:pPr>
              <w:pStyle w:val="Btablefigureunbold"/>
            </w:pPr>
            <w:r w:rsidRPr="00966F2B">
              <w:t>100</w:t>
            </w:r>
          </w:p>
        </w:tc>
        <w:tc>
          <w:tcPr>
            <w:tcW w:w="1069" w:type="dxa"/>
            <w:shd w:val="clear" w:color="auto" w:fill="auto"/>
            <w:noWrap/>
          </w:tcPr>
          <w:p w14:paraId="42B4DD00" w14:textId="77777777" w:rsidR="006C269A" w:rsidRPr="00966F2B" w:rsidRDefault="006C269A" w:rsidP="00AB05FB">
            <w:pPr>
              <w:pStyle w:val="Btablefigureunbold"/>
            </w:pPr>
            <w:r w:rsidRPr="00966F2B">
              <w:t>100</w:t>
            </w:r>
          </w:p>
        </w:tc>
        <w:tc>
          <w:tcPr>
            <w:tcW w:w="1069" w:type="dxa"/>
            <w:shd w:val="clear" w:color="auto" w:fill="auto"/>
            <w:noWrap/>
          </w:tcPr>
          <w:p w14:paraId="2F8F25B0" w14:textId="77777777" w:rsidR="006C269A" w:rsidRPr="00966F2B" w:rsidRDefault="006C269A" w:rsidP="00AB05FB">
            <w:pPr>
              <w:pStyle w:val="Btablefigureunbold"/>
            </w:pPr>
            <w:r w:rsidRPr="00966F2B">
              <w:t>100</w:t>
            </w:r>
          </w:p>
        </w:tc>
        <w:tc>
          <w:tcPr>
            <w:tcW w:w="1069" w:type="dxa"/>
            <w:shd w:val="clear" w:color="auto" w:fill="auto"/>
            <w:noWrap/>
          </w:tcPr>
          <w:p w14:paraId="21A59EDD" w14:textId="77777777" w:rsidR="006C269A" w:rsidRPr="00966F2B" w:rsidRDefault="006C269A" w:rsidP="00AB05FB">
            <w:pPr>
              <w:pStyle w:val="Btablefigureunbold"/>
            </w:pPr>
            <w:r w:rsidRPr="00966F2B">
              <w:t>100</w:t>
            </w:r>
          </w:p>
        </w:tc>
      </w:tr>
      <w:tr w:rsidR="006C269A" w:rsidRPr="00457CE0" w14:paraId="6EB4C01F" w14:textId="77777777" w:rsidTr="00AB05FB">
        <w:trPr>
          <w:cantSplit/>
          <w:trHeight w:val="20"/>
          <w:jc w:val="center"/>
        </w:trPr>
        <w:tc>
          <w:tcPr>
            <w:tcW w:w="2869" w:type="dxa"/>
            <w:tcBorders>
              <w:bottom w:val="single" w:sz="4" w:space="0" w:color="auto"/>
            </w:tcBorders>
            <w:shd w:val="clear" w:color="auto" w:fill="auto"/>
          </w:tcPr>
          <w:p w14:paraId="5FB9C981" w14:textId="77777777" w:rsidR="006C269A" w:rsidRPr="00D441E0" w:rsidRDefault="006C269A" w:rsidP="00AB05FB">
            <w:pPr>
              <w:pStyle w:val="BStabletext"/>
            </w:pPr>
            <w:r w:rsidRPr="00A54B9C">
              <w:t xml:space="preserve">Doubtful </w:t>
            </w:r>
            <w:r>
              <w:t>d</w:t>
            </w:r>
            <w:r w:rsidRPr="00A54B9C">
              <w:t>ebts</w:t>
            </w:r>
          </w:p>
        </w:tc>
        <w:tc>
          <w:tcPr>
            <w:tcW w:w="1068" w:type="dxa"/>
            <w:tcBorders>
              <w:bottom w:val="single" w:sz="4" w:space="0" w:color="auto"/>
            </w:tcBorders>
            <w:shd w:val="clear" w:color="auto" w:fill="auto"/>
          </w:tcPr>
          <w:p w14:paraId="7574393E" w14:textId="77777777" w:rsidR="006C269A" w:rsidRPr="00966F2B" w:rsidRDefault="006C269A" w:rsidP="00AB05FB">
            <w:pPr>
              <w:pStyle w:val="Btablefigureunbold"/>
            </w:pPr>
            <w:r w:rsidRPr="00966F2B">
              <w:t>-5,106</w:t>
            </w:r>
          </w:p>
        </w:tc>
        <w:tc>
          <w:tcPr>
            <w:tcW w:w="1069" w:type="dxa"/>
            <w:tcBorders>
              <w:bottom w:val="single" w:sz="4" w:space="0" w:color="auto"/>
            </w:tcBorders>
            <w:shd w:val="clear" w:color="auto" w:fill="auto"/>
            <w:noWrap/>
          </w:tcPr>
          <w:p w14:paraId="06C5087F" w14:textId="77777777" w:rsidR="006C269A" w:rsidRPr="00966F2B" w:rsidRDefault="006C269A" w:rsidP="00AB05FB">
            <w:pPr>
              <w:pStyle w:val="Btablefigureunbold"/>
            </w:pPr>
            <w:r w:rsidRPr="00966F2B">
              <w:t>-5,916</w:t>
            </w:r>
          </w:p>
        </w:tc>
        <w:tc>
          <w:tcPr>
            <w:tcW w:w="1069" w:type="dxa"/>
            <w:tcBorders>
              <w:bottom w:val="single" w:sz="4" w:space="0" w:color="auto"/>
            </w:tcBorders>
            <w:shd w:val="clear" w:color="auto" w:fill="auto"/>
            <w:noWrap/>
          </w:tcPr>
          <w:p w14:paraId="4FE3A51C" w14:textId="77777777" w:rsidR="006C269A" w:rsidRPr="00966F2B" w:rsidRDefault="006C269A" w:rsidP="00AB05FB">
            <w:pPr>
              <w:pStyle w:val="Btablefigureunbold"/>
            </w:pPr>
            <w:r w:rsidRPr="00966F2B">
              <w:t>-3,208</w:t>
            </w:r>
          </w:p>
        </w:tc>
        <w:tc>
          <w:tcPr>
            <w:tcW w:w="1069" w:type="dxa"/>
            <w:tcBorders>
              <w:bottom w:val="single" w:sz="4" w:space="0" w:color="auto"/>
            </w:tcBorders>
            <w:shd w:val="clear" w:color="auto" w:fill="auto"/>
            <w:noWrap/>
          </w:tcPr>
          <w:p w14:paraId="6B420D1E" w14:textId="77777777" w:rsidR="006C269A" w:rsidRPr="00966F2B" w:rsidRDefault="006C269A" w:rsidP="00AB05FB">
            <w:pPr>
              <w:pStyle w:val="Btablefigureunbold"/>
            </w:pPr>
            <w:r w:rsidRPr="00966F2B">
              <w:t>-3,482</w:t>
            </w:r>
          </w:p>
        </w:tc>
        <w:tc>
          <w:tcPr>
            <w:tcW w:w="1069" w:type="dxa"/>
            <w:tcBorders>
              <w:bottom w:val="single" w:sz="4" w:space="0" w:color="auto"/>
            </w:tcBorders>
            <w:shd w:val="clear" w:color="auto" w:fill="auto"/>
            <w:noWrap/>
          </w:tcPr>
          <w:p w14:paraId="5FFE31F4" w14:textId="77777777" w:rsidR="006C269A" w:rsidRPr="00966F2B" w:rsidRDefault="006C269A" w:rsidP="00AB05FB">
            <w:pPr>
              <w:pStyle w:val="Btablefigureunbold"/>
            </w:pPr>
            <w:r w:rsidRPr="00966F2B">
              <w:t>-3,543</w:t>
            </w:r>
          </w:p>
        </w:tc>
        <w:tc>
          <w:tcPr>
            <w:tcW w:w="1069" w:type="dxa"/>
            <w:tcBorders>
              <w:bottom w:val="single" w:sz="4" w:space="0" w:color="auto"/>
            </w:tcBorders>
            <w:shd w:val="clear" w:color="auto" w:fill="auto"/>
            <w:noWrap/>
          </w:tcPr>
          <w:p w14:paraId="35CF59CC" w14:textId="77777777" w:rsidR="006C269A" w:rsidRPr="00966F2B" w:rsidRDefault="006C269A" w:rsidP="00AB05FB">
            <w:pPr>
              <w:pStyle w:val="Btablefigureunbold"/>
            </w:pPr>
            <w:r w:rsidRPr="00966F2B">
              <w:t>-3,634</w:t>
            </w:r>
          </w:p>
        </w:tc>
      </w:tr>
      <w:tr w:rsidR="006C269A" w:rsidRPr="00966F2B" w14:paraId="046355E9" w14:textId="77777777" w:rsidTr="00AB05FB">
        <w:trPr>
          <w:cantSplit/>
          <w:trHeight w:val="20"/>
          <w:jc w:val="center"/>
        </w:trPr>
        <w:tc>
          <w:tcPr>
            <w:tcW w:w="2869" w:type="dxa"/>
            <w:tcBorders>
              <w:top w:val="single" w:sz="4" w:space="0" w:color="auto"/>
              <w:bottom w:val="single" w:sz="4" w:space="0" w:color="auto"/>
            </w:tcBorders>
            <w:shd w:val="clear" w:color="auto" w:fill="auto"/>
          </w:tcPr>
          <w:p w14:paraId="273B5D60" w14:textId="77777777" w:rsidR="006C269A" w:rsidRPr="00E40AAD" w:rsidRDefault="006C269A" w:rsidP="00AB05FB">
            <w:pPr>
              <w:pStyle w:val="BStabletextbold"/>
              <w:rPr>
                <w:color w:val="472D8C"/>
                <w:lang w:val="en-US"/>
              </w:rPr>
            </w:pPr>
            <w:r w:rsidRPr="00966F2B">
              <w:rPr>
                <w:color w:val="472D8C"/>
              </w:rPr>
              <w:t>Operating surplus</w:t>
            </w:r>
            <w:r>
              <w:rPr>
                <w:color w:val="472D8C"/>
                <w:lang w:val="en-US"/>
              </w:rPr>
              <w:t>/(deficit)</w:t>
            </w:r>
          </w:p>
        </w:tc>
        <w:tc>
          <w:tcPr>
            <w:tcW w:w="1068" w:type="dxa"/>
            <w:tcBorders>
              <w:top w:val="single" w:sz="4" w:space="0" w:color="auto"/>
              <w:bottom w:val="single" w:sz="4" w:space="0" w:color="auto"/>
            </w:tcBorders>
            <w:shd w:val="clear" w:color="auto" w:fill="auto"/>
          </w:tcPr>
          <w:p w14:paraId="2B79E5F2" w14:textId="77777777" w:rsidR="006C269A" w:rsidRPr="00966F2B" w:rsidRDefault="006C269A" w:rsidP="00AB05FB">
            <w:pPr>
              <w:pStyle w:val="BStabletextbold"/>
              <w:jc w:val="right"/>
              <w:rPr>
                <w:color w:val="472D8C"/>
              </w:rPr>
            </w:pPr>
            <w:r w:rsidRPr="00966F2B">
              <w:rPr>
                <w:color w:val="472D8C"/>
              </w:rPr>
              <w:t>266,244</w:t>
            </w:r>
          </w:p>
        </w:tc>
        <w:tc>
          <w:tcPr>
            <w:tcW w:w="1069" w:type="dxa"/>
            <w:tcBorders>
              <w:top w:val="single" w:sz="4" w:space="0" w:color="auto"/>
              <w:bottom w:val="single" w:sz="4" w:space="0" w:color="auto"/>
            </w:tcBorders>
            <w:shd w:val="clear" w:color="auto" w:fill="auto"/>
            <w:noWrap/>
          </w:tcPr>
          <w:p w14:paraId="7E7745FC" w14:textId="77777777" w:rsidR="006C269A" w:rsidRPr="00966F2B" w:rsidRDefault="006C269A" w:rsidP="00AB05FB">
            <w:pPr>
              <w:pStyle w:val="BStabletextbold"/>
              <w:jc w:val="right"/>
              <w:rPr>
                <w:color w:val="472D8C"/>
              </w:rPr>
            </w:pPr>
            <w:r w:rsidRPr="00966F2B">
              <w:rPr>
                <w:color w:val="472D8C"/>
              </w:rPr>
              <w:t>259,488</w:t>
            </w:r>
          </w:p>
        </w:tc>
        <w:tc>
          <w:tcPr>
            <w:tcW w:w="1069" w:type="dxa"/>
            <w:tcBorders>
              <w:top w:val="single" w:sz="4" w:space="0" w:color="auto"/>
              <w:bottom w:val="single" w:sz="4" w:space="0" w:color="auto"/>
            </w:tcBorders>
            <w:shd w:val="clear" w:color="auto" w:fill="auto"/>
            <w:noWrap/>
            <w:vAlign w:val="bottom"/>
          </w:tcPr>
          <w:p w14:paraId="40C4C2EB" w14:textId="77777777" w:rsidR="006C269A" w:rsidRPr="00966F2B" w:rsidRDefault="006C269A" w:rsidP="00AB05FB">
            <w:pPr>
              <w:pStyle w:val="BStabletextbold"/>
              <w:jc w:val="right"/>
              <w:rPr>
                <w:color w:val="472D8C"/>
              </w:rPr>
            </w:pPr>
            <w:r w:rsidRPr="00966F2B">
              <w:rPr>
                <w:color w:val="472D8C"/>
              </w:rPr>
              <w:t>48,914</w:t>
            </w:r>
          </w:p>
        </w:tc>
        <w:tc>
          <w:tcPr>
            <w:tcW w:w="1069" w:type="dxa"/>
            <w:tcBorders>
              <w:top w:val="single" w:sz="4" w:space="0" w:color="auto"/>
              <w:bottom w:val="single" w:sz="4" w:space="0" w:color="auto"/>
            </w:tcBorders>
            <w:shd w:val="clear" w:color="auto" w:fill="auto"/>
            <w:noWrap/>
            <w:vAlign w:val="bottom"/>
          </w:tcPr>
          <w:p w14:paraId="57767A46" w14:textId="77777777" w:rsidR="006C269A" w:rsidRPr="00966F2B" w:rsidRDefault="006C269A" w:rsidP="00AB05FB">
            <w:pPr>
              <w:pStyle w:val="BStabletextbold"/>
              <w:jc w:val="right"/>
              <w:rPr>
                <w:color w:val="472D8C"/>
              </w:rPr>
            </w:pPr>
            <w:r w:rsidRPr="00966F2B">
              <w:rPr>
                <w:color w:val="472D8C"/>
              </w:rPr>
              <w:t>95,182</w:t>
            </w:r>
          </w:p>
        </w:tc>
        <w:tc>
          <w:tcPr>
            <w:tcW w:w="1069" w:type="dxa"/>
            <w:tcBorders>
              <w:top w:val="single" w:sz="4" w:space="0" w:color="auto"/>
              <w:bottom w:val="single" w:sz="4" w:space="0" w:color="auto"/>
            </w:tcBorders>
            <w:shd w:val="clear" w:color="auto" w:fill="auto"/>
            <w:noWrap/>
            <w:vAlign w:val="bottom"/>
          </w:tcPr>
          <w:p w14:paraId="773DC583" w14:textId="77777777" w:rsidR="006C269A" w:rsidRPr="00966F2B" w:rsidRDefault="006C269A" w:rsidP="00AB05FB">
            <w:pPr>
              <w:pStyle w:val="BStabletextbold"/>
              <w:jc w:val="right"/>
              <w:rPr>
                <w:color w:val="472D8C"/>
              </w:rPr>
            </w:pPr>
            <w:r w:rsidRPr="00966F2B">
              <w:rPr>
                <w:color w:val="472D8C"/>
              </w:rPr>
              <w:t>-12,105</w:t>
            </w:r>
          </w:p>
        </w:tc>
        <w:tc>
          <w:tcPr>
            <w:tcW w:w="1069" w:type="dxa"/>
            <w:tcBorders>
              <w:top w:val="single" w:sz="4" w:space="0" w:color="auto"/>
              <w:bottom w:val="single" w:sz="4" w:space="0" w:color="auto"/>
            </w:tcBorders>
            <w:shd w:val="clear" w:color="auto" w:fill="auto"/>
            <w:noWrap/>
            <w:vAlign w:val="bottom"/>
          </w:tcPr>
          <w:p w14:paraId="17CF3CFC" w14:textId="77777777" w:rsidR="006C269A" w:rsidRPr="00966F2B" w:rsidRDefault="006C269A" w:rsidP="00AB05FB">
            <w:pPr>
              <w:pStyle w:val="BStabletextbold"/>
              <w:jc w:val="right"/>
              <w:rPr>
                <w:color w:val="472D8C"/>
              </w:rPr>
            </w:pPr>
            <w:r w:rsidRPr="00966F2B">
              <w:rPr>
                <w:color w:val="472D8C"/>
              </w:rPr>
              <w:t>70,228</w:t>
            </w:r>
          </w:p>
        </w:tc>
      </w:tr>
      <w:tr w:rsidR="006C269A" w:rsidRPr="00457CE0" w14:paraId="3BF37328" w14:textId="77777777" w:rsidTr="00AB05FB">
        <w:trPr>
          <w:cantSplit/>
          <w:trHeight w:val="20"/>
          <w:jc w:val="center"/>
        </w:trPr>
        <w:tc>
          <w:tcPr>
            <w:tcW w:w="2869" w:type="dxa"/>
            <w:tcBorders>
              <w:top w:val="single" w:sz="4" w:space="0" w:color="auto"/>
            </w:tcBorders>
            <w:shd w:val="clear" w:color="auto" w:fill="auto"/>
            <w:vAlign w:val="bottom"/>
          </w:tcPr>
          <w:p w14:paraId="71E36E42" w14:textId="77777777" w:rsidR="006C269A" w:rsidRPr="00D441E0" w:rsidRDefault="006C269A" w:rsidP="00AB05FB">
            <w:pPr>
              <w:pStyle w:val="BTableHeadingRowCentreAligned"/>
              <w:keepNext/>
              <w:keepLines/>
              <w:jc w:val="left"/>
            </w:pPr>
            <w:r w:rsidRPr="005A3994">
              <w:lastRenderedPageBreak/>
              <w:t xml:space="preserve">Other </w:t>
            </w:r>
            <w:r>
              <w:t>e</w:t>
            </w:r>
            <w:r w:rsidRPr="005A3994">
              <w:t xml:space="preserve">conomic </w:t>
            </w:r>
            <w:r>
              <w:t>f</w:t>
            </w:r>
            <w:r w:rsidRPr="005A3994">
              <w:t xml:space="preserve">lows – </w:t>
            </w:r>
            <w:r>
              <w:t>o</w:t>
            </w:r>
            <w:r w:rsidRPr="005A3994">
              <w:t xml:space="preserve">ther </w:t>
            </w:r>
            <w:r>
              <w:t>c</w:t>
            </w:r>
            <w:r w:rsidRPr="005A3994">
              <w:t xml:space="preserve">omprehensive </w:t>
            </w:r>
            <w:r>
              <w:t>i</w:t>
            </w:r>
            <w:r w:rsidRPr="005A3994">
              <w:t>ncome</w:t>
            </w:r>
          </w:p>
        </w:tc>
        <w:tc>
          <w:tcPr>
            <w:tcW w:w="1068" w:type="dxa"/>
            <w:tcBorders>
              <w:top w:val="single" w:sz="4" w:space="0" w:color="auto"/>
            </w:tcBorders>
            <w:shd w:val="clear" w:color="auto" w:fill="auto"/>
          </w:tcPr>
          <w:p w14:paraId="3D09D708" w14:textId="77777777" w:rsidR="006C269A" w:rsidRPr="00457CE0" w:rsidRDefault="006C269A" w:rsidP="00AB05FB">
            <w:pPr>
              <w:pStyle w:val="BTableHeadingRowCentreAligned"/>
              <w:keepNext/>
              <w:keepLines/>
            </w:pPr>
          </w:p>
        </w:tc>
        <w:tc>
          <w:tcPr>
            <w:tcW w:w="1069" w:type="dxa"/>
            <w:tcBorders>
              <w:top w:val="single" w:sz="4" w:space="0" w:color="auto"/>
            </w:tcBorders>
            <w:shd w:val="clear" w:color="auto" w:fill="auto"/>
            <w:noWrap/>
          </w:tcPr>
          <w:p w14:paraId="3D8B2DE4" w14:textId="77777777" w:rsidR="006C269A" w:rsidRPr="00457CE0" w:rsidRDefault="006C269A" w:rsidP="00AB05FB">
            <w:pPr>
              <w:pStyle w:val="Btablefigureunbold"/>
              <w:keepNext/>
              <w:keepLines/>
            </w:pPr>
          </w:p>
        </w:tc>
        <w:tc>
          <w:tcPr>
            <w:tcW w:w="1069" w:type="dxa"/>
            <w:tcBorders>
              <w:top w:val="single" w:sz="4" w:space="0" w:color="auto"/>
            </w:tcBorders>
            <w:shd w:val="clear" w:color="auto" w:fill="auto"/>
            <w:noWrap/>
          </w:tcPr>
          <w:p w14:paraId="1F6C5175" w14:textId="77777777" w:rsidR="006C269A" w:rsidRPr="00457CE0" w:rsidRDefault="006C269A" w:rsidP="00AB05FB">
            <w:pPr>
              <w:pStyle w:val="Btablefigureunbold"/>
              <w:keepNext/>
              <w:keepLines/>
            </w:pPr>
          </w:p>
        </w:tc>
        <w:tc>
          <w:tcPr>
            <w:tcW w:w="1069" w:type="dxa"/>
            <w:tcBorders>
              <w:top w:val="single" w:sz="4" w:space="0" w:color="auto"/>
            </w:tcBorders>
            <w:shd w:val="clear" w:color="auto" w:fill="auto"/>
            <w:noWrap/>
          </w:tcPr>
          <w:p w14:paraId="197DAFE0" w14:textId="77777777" w:rsidR="006C269A" w:rsidRPr="00457CE0" w:rsidRDefault="006C269A" w:rsidP="00AB05FB">
            <w:pPr>
              <w:pStyle w:val="Btablefigureunbold"/>
              <w:keepNext/>
              <w:keepLines/>
            </w:pPr>
          </w:p>
        </w:tc>
        <w:tc>
          <w:tcPr>
            <w:tcW w:w="1069" w:type="dxa"/>
            <w:tcBorders>
              <w:top w:val="single" w:sz="4" w:space="0" w:color="auto"/>
            </w:tcBorders>
            <w:shd w:val="clear" w:color="auto" w:fill="auto"/>
            <w:noWrap/>
          </w:tcPr>
          <w:p w14:paraId="05D0EAF6" w14:textId="77777777" w:rsidR="006C269A" w:rsidRPr="00457CE0" w:rsidRDefault="006C269A" w:rsidP="00AB05FB">
            <w:pPr>
              <w:pStyle w:val="Btablefigureunbold"/>
              <w:keepNext/>
              <w:keepLines/>
            </w:pPr>
          </w:p>
        </w:tc>
        <w:tc>
          <w:tcPr>
            <w:tcW w:w="1069" w:type="dxa"/>
            <w:tcBorders>
              <w:top w:val="single" w:sz="4" w:space="0" w:color="auto"/>
            </w:tcBorders>
            <w:shd w:val="clear" w:color="auto" w:fill="auto"/>
            <w:noWrap/>
          </w:tcPr>
          <w:p w14:paraId="3AD296E4" w14:textId="77777777" w:rsidR="006C269A" w:rsidRPr="00457CE0" w:rsidRDefault="006C269A" w:rsidP="00AB05FB">
            <w:pPr>
              <w:pStyle w:val="Btablefigureunbold"/>
              <w:keepNext/>
              <w:keepLines/>
            </w:pPr>
          </w:p>
        </w:tc>
      </w:tr>
      <w:tr w:rsidR="006C269A" w:rsidRPr="00556DF3" w14:paraId="07C569D3" w14:textId="77777777" w:rsidTr="00AB05FB">
        <w:trPr>
          <w:cantSplit/>
          <w:trHeight w:val="20"/>
          <w:jc w:val="center"/>
        </w:trPr>
        <w:tc>
          <w:tcPr>
            <w:tcW w:w="2869" w:type="dxa"/>
            <w:shd w:val="clear" w:color="auto" w:fill="auto"/>
          </w:tcPr>
          <w:p w14:paraId="0595A691" w14:textId="77777777" w:rsidR="006C269A" w:rsidRPr="00556DF3" w:rsidRDefault="006C269A" w:rsidP="00AB05FB">
            <w:pPr>
              <w:pStyle w:val="BTableHeadingRowCentreAligned"/>
              <w:keepNext/>
              <w:keepLines/>
              <w:jc w:val="left"/>
            </w:pPr>
            <w:r w:rsidRPr="00556DF3">
              <w:t>Items that will not be subsequently reclassified to profit or loss</w:t>
            </w:r>
          </w:p>
        </w:tc>
        <w:tc>
          <w:tcPr>
            <w:tcW w:w="1068" w:type="dxa"/>
            <w:shd w:val="clear" w:color="auto" w:fill="auto"/>
          </w:tcPr>
          <w:p w14:paraId="5923C4C4" w14:textId="77777777" w:rsidR="006C269A" w:rsidRPr="00556DF3" w:rsidRDefault="006C269A" w:rsidP="00AB05FB">
            <w:pPr>
              <w:pStyle w:val="BTableHeadingRowCentreAligned"/>
              <w:keepNext/>
              <w:keepLines/>
              <w:jc w:val="left"/>
            </w:pPr>
          </w:p>
        </w:tc>
        <w:tc>
          <w:tcPr>
            <w:tcW w:w="1069" w:type="dxa"/>
            <w:shd w:val="clear" w:color="auto" w:fill="auto"/>
            <w:noWrap/>
          </w:tcPr>
          <w:p w14:paraId="4C4086F8" w14:textId="77777777" w:rsidR="006C269A" w:rsidRPr="00556DF3" w:rsidRDefault="006C269A" w:rsidP="00AB05FB">
            <w:pPr>
              <w:pStyle w:val="BTableHeadingRowCentreAligned"/>
              <w:keepNext/>
              <w:keepLines/>
              <w:jc w:val="left"/>
            </w:pPr>
          </w:p>
        </w:tc>
        <w:tc>
          <w:tcPr>
            <w:tcW w:w="1069" w:type="dxa"/>
            <w:shd w:val="clear" w:color="auto" w:fill="auto"/>
            <w:noWrap/>
          </w:tcPr>
          <w:p w14:paraId="6286A3EB" w14:textId="77777777" w:rsidR="006C269A" w:rsidRPr="00556DF3" w:rsidRDefault="006C269A" w:rsidP="00AB05FB">
            <w:pPr>
              <w:pStyle w:val="BTableHeadingRowCentreAligned"/>
              <w:keepNext/>
              <w:keepLines/>
              <w:jc w:val="left"/>
            </w:pPr>
          </w:p>
        </w:tc>
        <w:tc>
          <w:tcPr>
            <w:tcW w:w="1069" w:type="dxa"/>
            <w:shd w:val="clear" w:color="auto" w:fill="auto"/>
            <w:noWrap/>
          </w:tcPr>
          <w:p w14:paraId="624B67AE" w14:textId="77777777" w:rsidR="006C269A" w:rsidRPr="00556DF3" w:rsidRDefault="006C269A" w:rsidP="00AB05FB">
            <w:pPr>
              <w:pStyle w:val="BTableHeadingRowCentreAligned"/>
              <w:keepNext/>
              <w:keepLines/>
              <w:jc w:val="left"/>
            </w:pPr>
          </w:p>
        </w:tc>
        <w:tc>
          <w:tcPr>
            <w:tcW w:w="1069" w:type="dxa"/>
            <w:shd w:val="clear" w:color="auto" w:fill="auto"/>
            <w:noWrap/>
          </w:tcPr>
          <w:p w14:paraId="01D55AFA" w14:textId="77777777" w:rsidR="006C269A" w:rsidRPr="00556DF3" w:rsidRDefault="006C269A" w:rsidP="00AB05FB">
            <w:pPr>
              <w:pStyle w:val="BTableHeadingRowCentreAligned"/>
              <w:keepNext/>
              <w:keepLines/>
              <w:jc w:val="left"/>
            </w:pPr>
          </w:p>
        </w:tc>
        <w:tc>
          <w:tcPr>
            <w:tcW w:w="1069" w:type="dxa"/>
            <w:shd w:val="clear" w:color="auto" w:fill="auto"/>
            <w:noWrap/>
          </w:tcPr>
          <w:p w14:paraId="710FD759" w14:textId="77777777" w:rsidR="006C269A" w:rsidRPr="00556DF3" w:rsidRDefault="006C269A" w:rsidP="00AB05FB">
            <w:pPr>
              <w:pStyle w:val="BTableHeadingRowCentreAligned"/>
              <w:keepNext/>
              <w:keepLines/>
              <w:jc w:val="left"/>
            </w:pPr>
          </w:p>
        </w:tc>
      </w:tr>
      <w:tr w:rsidR="006C269A" w:rsidRPr="00457CE0" w14:paraId="7A1F5AB8" w14:textId="77777777" w:rsidTr="00AB05FB">
        <w:trPr>
          <w:cantSplit/>
          <w:trHeight w:val="20"/>
          <w:jc w:val="center"/>
        </w:trPr>
        <w:tc>
          <w:tcPr>
            <w:tcW w:w="2869" w:type="dxa"/>
            <w:shd w:val="clear" w:color="auto" w:fill="auto"/>
          </w:tcPr>
          <w:p w14:paraId="3B796AD7" w14:textId="77777777" w:rsidR="006C269A" w:rsidRPr="00D441E0" w:rsidRDefault="006C269A" w:rsidP="00AB05FB">
            <w:pPr>
              <w:pStyle w:val="BStabletext"/>
            </w:pPr>
            <w:r w:rsidRPr="00E66108">
              <w:t>Other movements</w:t>
            </w:r>
          </w:p>
        </w:tc>
        <w:tc>
          <w:tcPr>
            <w:tcW w:w="1068" w:type="dxa"/>
            <w:shd w:val="clear" w:color="auto" w:fill="auto"/>
          </w:tcPr>
          <w:p w14:paraId="3C0493DF" w14:textId="77777777" w:rsidR="006C269A" w:rsidRPr="00556DF3" w:rsidRDefault="006C269A" w:rsidP="00AB05FB">
            <w:pPr>
              <w:pStyle w:val="Btablefigureunbold"/>
            </w:pPr>
            <w:r>
              <w:t>0</w:t>
            </w:r>
          </w:p>
        </w:tc>
        <w:tc>
          <w:tcPr>
            <w:tcW w:w="1069" w:type="dxa"/>
            <w:shd w:val="clear" w:color="auto" w:fill="auto"/>
            <w:noWrap/>
          </w:tcPr>
          <w:p w14:paraId="16A99CB8" w14:textId="77777777" w:rsidR="006C269A" w:rsidRPr="00556DF3" w:rsidRDefault="006C269A" w:rsidP="00AB05FB">
            <w:pPr>
              <w:pStyle w:val="Btablefigureunbold"/>
            </w:pPr>
            <w:r w:rsidRPr="00556DF3">
              <w:t>4,476</w:t>
            </w:r>
          </w:p>
        </w:tc>
        <w:tc>
          <w:tcPr>
            <w:tcW w:w="1069" w:type="dxa"/>
            <w:shd w:val="clear" w:color="auto" w:fill="auto"/>
            <w:noWrap/>
            <w:vAlign w:val="bottom"/>
          </w:tcPr>
          <w:p w14:paraId="03EDF5FF" w14:textId="77777777" w:rsidR="006C269A" w:rsidRPr="00556DF3" w:rsidRDefault="006C269A" w:rsidP="00AB05FB">
            <w:pPr>
              <w:pStyle w:val="Btablefigureunbold"/>
            </w:pPr>
            <w:r>
              <w:t>0</w:t>
            </w:r>
          </w:p>
        </w:tc>
        <w:tc>
          <w:tcPr>
            <w:tcW w:w="1069" w:type="dxa"/>
            <w:shd w:val="clear" w:color="auto" w:fill="auto"/>
            <w:noWrap/>
            <w:vAlign w:val="bottom"/>
          </w:tcPr>
          <w:p w14:paraId="5B02DF1F" w14:textId="77777777" w:rsidR="006C269A" w:rsidRPr="00556DF3" w:rsidRDefault="006C269A" w:rsidP="00AB05FB">
            <w:pPr>
              <w:pStyle w:val="Btablefigureunbold"/>
            </w:pPr>
            <w:r>
              <w:t>0</w:t>
            </w:r>
          </w:p>
        </w:tc>
        <w:tc>
          <w:tcPr>
            <w:tcW w:w="1069" w:type="dxa"/>
            <w:shd w:val="clear" w:color="auto" w:fill="auto"/>
            <w:noWrap/>
            <w:vAlign w:val="bottom"/>
          </w:tcPr>
          <w:p w14:paraId="18369DE7" w14:textId="77777777" w:rsidR="006C269A" w:rsidRPr="00556DF3" w:rsidRDefault="006C269A" w:rsidP="00AB05FB">
            <w:pPr>
              <w:pStyle w:val="Btablefigureunbold"/>
            </w:pPr>
            <w:r>
              <w:t>0</w:t>
            </w:r>
          </w:p>
        </w:tc>
        <w:tc>
          <w:tcPr>
            <w:tcW w:w="1069" w:type="dxa"/>
            <w:shd w:val="clear" w:color="auto" w:fill="auto"/>
            <w:noWrap/>
          </w:tcPr>
          <w:p w14:paraId="02546124" w14:textId="77777777" w:rsidR="006C269A" w:rsidRPr="00556DF3" w:rsidRDefault="006C269A" w:rsidP="00AB05FB">
            <w:pPr>
              <w:pStyle w:val="Btablefigureunbold"/>
            </w:pPr>
            <w:r>
              <w:t>0</w:t>
            </w:r>
          </w:p>
        </w:tc>
      </w:tr>
      <w:tr w:rsidR="006C269A" w:rsidRPr="00457CE0" w14:paraId="4739C233" w14:textId="77777777" w:rsidTr="00AB05FB">
        <w:trPr>
          <w:cantSplit/>
          <w:trHeight w:val="20"/>
          <w:jc w:val="center"/>
        </w:trPr>
        <w:tc>
          <w:tcPr>
            <w:tcW w:w="2869" w:type="dxa"/>
            <w:shd w:val="clear" w:color="auto" w:fill="auto"/>
          </w:tcPr>
          <w:p w14:paraId="1FE85157" w14:textId="77777777" w:rsidR="006C269A" w:rsidRPr="00D441E0" w:rsidRDefault="006C269A" w:rsidP="00AB05FB">
            <w:pPr>
              <w:pStyle w:val="BStabletext"/>
            </w:pPr>
            <w:r w:rsidRPr="005A3994">
              <w:t>I</w:t>
            </w:r>
            <w:r w:rsidRPr="00767662">
              <w:t>ncrease/(decrease) in asset revaluation reserve surpluses due to revaluations</w:t>
            </w:r>
          </w:p>
        </w:tc>
        <w:tc>
          <w:tcPr>
            <w:tcW w:w="1068" w:type="dxa"/>
            <w:shd w:val="clear" w:color="auto" w:fill="auto"/>
          </w:tcPr>
          <w:p w14:paraId="2E8530D3" w14:textId="77777777" w:rsidR="006C269A" w:rsidRPr="00556DF3" w:rsidRDefault="006C269A" w:rsidP="00AB05FB">
            <w:pPr>
              <w:pStyle w:val="Btablefigureunbold"/>
            </w:pPr>
            <w:r w:rsidRPr="00556DF3">
              <w:t>-49,095</w:t>
            </w:r>
          </w:p>
        </w:tc>
        <w:tc>
          <w:tcPr>
            <w:tcW w:w="1069" w:type="dxa"/>
            <w:shd w:val="clear" w:color="auto" w:fill="auto"/>
            <w:noWrap/>
          </w:tcPr>
          <w:p w14:paraId="46AEEDA9" w14:textId="77777777" w:rsidR="006C269A" w:rsidRPr="00556DF3" w:rsidRDefault="006C269A" w:rsidP="00AB05FB">
            <w:pPr>
              <w:pStyle w:val="Btablefigureunbold"/>
            </w:pPr>
            <w:r w:rsidRPr="00556DF3">
              <w:t>1,193,166</w:t>
            </w:r>
          </w:p>
        </w:tc>
        <w:tc>
          <w:tcPr>
            <w:tcW w:w="1069" w:type="dxa"/>
            <w:shd w:val="clear" w:color="auto" w:fill="auto"/>
            <w:noWrap/>
          </w:tcPr>
          <w:p w14:paraId="3FE05286" w14:textId="77777777" w:rsidR="006C269A" w:rsidRPr="00556DF3" w:rsidRDefault="006C269A" w:rsidP="00AB05FB">
            <w:pPr>
              <w:pStyle w:val="Btablefigureunbold"/>
            </w:pPr>
            <w:r w:rsidRPr="00556DF3">
              <w:t>103,495</w:t>
            </w:r>
          </w:p>
        </w:tc>
        <w:tc>
          <w:tcPr>
            <w:tcW w:w="1069" w:type="dxa"/>
            <w:shd w:val="clear" w:color="auto" w:fill="auto"/>
            <w:noWrap/>
          </w:tcPr>
          <w:p w14:paraId="1BCAA843" w14:textId="77777777" w:rsidR="006C269A" w:rsidRPr="00556DF3" w:rsidRDefault="006C269A" w:rsidP="00AB05FB">
            <w:pPr>
              <w:pStyle w:val="Btablefigureunbold"/>
            </w:pPr>
            <w:r w:rsidRPr="00556DF3">
              <w:t>1,281</w:t>
            </w:r>
          </w:p>
        </w:tc>
        <w:tc>
          <w:tcPr>
            <w:tcW w:w="1069" w:type="dxa"/>
            <w:shd w:val="clear" w:color="auto" w:fill="auto"/>
            <w:noWrap/>
          </w:tcPr>
          <w:p w14:paraId="48A5D40D" w14:textId="77777777" w:rsidR="006C269A" w:rsidRPr="00556DF3" w:rsidRDefault="006C269A" w:rsidP="00AB05FB">
            <w:pPr>
              <w:pStyle w:val="Btablefigureunbold"/>
            </w:pPr>
            <w:r w:rsidRPr="00556DF3">
              <w:t>198,968</w:t>
            </w:r>
          </w:p>
        </w:tc>
        <w:tc>
          <w:tcPr>
            <w:tcW w:w="1069" w:type="dxa"/>
            <w:shd w:val="clear" w:color="auto" w:fill="auto"/>
            <w:noWrap/>
          </w:tcPr>
          <w:p w14:paraId="1CC4DC07" w14:textId="77777777" w:rsidR="006C269A" w:rsidRPr="00556DF3" w:rsidRDefault="006C269A" w:rsidP="00AB05FB">
            <w:pPr>
              <w:pStyle w:val="Btablefigureunbold"/>
            </w:pPr>
            <w:r w:rsidRPr="00556DF3">
              <w:t>51,306</w:t>
            </w:r>
          </w:p>
        </w:tc>
      </w:tr>
      <w:tr w:rsidR="006C269A" w:rsidRPr="00556DF3" w14:paraId="769ADFB9" w14:textId="77777777" w:rsidTr="00AB05FB">
        <w:trPr>
          <w:cantSplit/>
          <w:trHeight w:val="342"/>
          <w:jc w:val="center"/>
        </w:trPr>
        <w:tc>
          <w:tcPr>
            <w:tcW w:w="2869" w:type="dxa"/>
            <w:tcBorders>
              <w:top w:val="single" w:sz="4" w:space="0" w:color="auto"/>
              <w:bottom w:val="single" w:sz="4" w:space="0" w:color="auto"/>
            </w:tcBorders>
            <w:shd w:val="clear" w:color="auto" w:fill="auto"/>
          </w:tcPr>
          <w:p w14:paraId="0DDBE736" w14:textId="77777777" w:rsidR="006C269A" w:rsidRPr="00C75A48" w:rsidRDefault="006C269A" w:rsidP="00AB05FB">
            <w:pPr>
              <w:pStyle w:val="BStabletextbold"/>
              <w:rPr>
                <w:color w:val="472D8C"/>
              </w:rPr>
            </w:pPr>
            <w:r w:rsidRPr="00C75A48">
              <w:rPr>
                <w:color w:val="472D8C"/>
              </w:rPr>
              <w:t>Total comprehensive income</w:t>
            </w:r>
          </w:p>
        </w:tc>
        <w:tc>
          <w:tcPr>
            <w:tcW w:w="1068" w:type="dxa"/>
            <w:tcBorders>
              <w:top w:val="single" w:sz="4" w:space="0" w:color="auto"/>
              <w:bottom w:val="single" w:sz="4" w:space="0" w:color="auto"/>
            </w:tcBorders>
            <w:shd w:val="clear" w:color="auto" w:fill="auto"/>
          </w:tcPr>
          <w:p w14:paraId="4841BD70" w14:textId="77777777" w:rsidR="006C269A" w:rsidRPr="00C75A48" w:rsidRDefault="006C269A" w:rsidP="00AB05FB">
            <w:pPr>
              <w:pStyle w:val="BStabletextbold"/>
              <w:jc w:val="right"/>
              <w:rPr>
                <w:color w:val="472D8C"/>
              </w:rPr>
            </w:pPr>
            <w:r w:rsidRPr="00556DF3">
              <w:rPr>
                <w:color w:val="472D8C"/>
              </w:rPr>
              <w:t>217,149</w:t>
            </w:r>
          </w:p>
        </w:tc>
        <w:tc>
          <w:tcPr>
            <w:tcW w:w="1069" w:type="dxa"/>
            <w:tcBorders>
              <w:top w:val="single" w:sz="4" w:space="0" w:color="auto"/>
              <w:bottom w:val="single" w:sz="4" w:space="0" w:color="auto"/>
            </w:tcBorders>
            <w:shd w:val="clear" w:color="auto" w:fill="auto"/>
            <w:noWrap/>
          </w:tcPr>
          <w:p w14:paraId="1D0D3BB8" w14:textId="77777777" w:rsidR="006C269A" w:rsidRPr="00C75A48" w:rsidRDefault="006C269A" w:rsidP="00AB05FB">
            <w:pPr>
              <w:pStyle w:val="BStabletextbold"/>
              <w:jc w:val="right"/>
              <w:rPr>
                <w:color w:val="472D8C"/>
              </w:rPr>
            </w:pPr>
            <w:r w:rsidRPr="00556DF3">
              <w:rPr>
                <w:color w:val="472D8C"/>
              </w:rPr>
              <w:t>1,457,129</w:t>
            </w:r>
          </w:p>
        </w:tc>
        <w:tc>
          <w:tcPr>
            <w:tcW w:w="1069" w:type="dxa"/>
            <w:tcBorders>
              <w:top w:val="single" w:sz="4" w:space="0" w:color="auto"/>
              <w:bottom w:val="single" w:sz="4" w:space="0" w:color="auto"/>
            </w:tcBorders>
            <w:shd w:val="clear" w:color="auto" w:fill="auto"/>
            <w:noWrap/>
          </w:tcPr>
          <w:p w14:paraId="1FB8C701" w14:textId="77777777" w:rsidR="006C269A" w:rsidRPr="00C75A48" w:rsidRDefault="006C269A" w:rsidP="00AB05FB">
            <w:pPr>
              <w:pStyle w:val="BStabletextbold"/>
              <w:jc w:val="right"/>
              <w:rPr>
                <w:color w:val="472D8C"/>
              </w:rPr>
            </w:pPr>
            <w:r w:rsidRPr="00556DF3">
              <w:rPr>
                <w:color w:val="472D8C"/>
              </w:rPr>
              <w:t>152,409</w:t>
            </w:r>
          </w:p>
        </w:tc>
        <w:tc>
          <w:tcPr>
            <w:tcW w:w="1069" w:type="dxa"/>
            <w:tcBorders>
              <w:top w:val="single" w:sz="4" w:space="0" w:color="auto"/>
              <w:bottom w:val="single" w:sz="4" w:space="0" w:color="auto"/>
            </w:tcBorders>
            <w:shd w:val="clear" w:color="auto" w:fill="auto"/>
            <w:noWrap/>
          </w:tcPr>
          <w:p w14:paraId="0EB73DF1" w14:textId="77777777" w:rsidR="006C269A" w:rsidRPr="00C75A48" w:rsidRDefault="006C269A" w:rsidP="00AB05FB">
            <w:pPr>
              <w:pStyle w:val="BStabletextbold"/>
              <w:jc w:val="right"/>
              <w:rPr>
                <w:color w:val="472D8C"/>
              </w:rPr>
            </w:pPr>
            <w:r w:rsidRPr="00556DF3">
              <w:rPr>
                <w:color w:val="472D8C"/>
              </w:rPr>
              <w:t>96,463</w:t>
            </w:r>
          </w:p>
        </w:tc>
        <w:tc>
          <w:tcPr>
            <w:tcW w:w="1069" w:type="dxa"/>
            <w:tcBorders>
              <w:top w:val="single" w:sz="4" w:space="0" w:color="auto"/>
              <w:bottom w:val="single" w:sz="4" w:space="0" w:color="auto"/>
            </w:tcBorders>
            <w:shd w:val="clear" w:color="auto" w:fill="auto"/>
            <w:noWrap/>
          </w:tcPr>
          <w:p w14:paraId="26D01274" w14:textId="77777777" w:rsidR="006C269A" w:rsidRPr="00C75A48" w:rsidRDefault="006C269A" w:rsidP="00AB05FB">
            <w:pPr>
              <w:pStyle w:val="BStabletextbold"/>
              <w:jc w:val="right"/>
              <w:rPr>
                <w:color w:val="472D8C"/>
              </w:rPr>
            </w:pPr>
            <w:r w:rsidRPr="00556DF3">
              <w:rPr>
                <w:color w:val="472D8C"/>
              </w:rPr>
              <w:t>186,863</w:t>
            </w:r>
          </w:p>
        </w:tc>
        <w:tc>
          <w:tcPr>
            <w:tcW w:w="1069" w:type="dxa"/>
            <w:tcBorders>
              <w:top w:val="single" w:sz="4" w:space="0" w:color="auto"/>
              <w:bottom w:val="single" w:sz="4" w:space="0" w:color="auto"/>
            </w:tcBorders>
            <w:shd w:val="clear" w:color="auto" w:fill="auto"/>
            <w:noWrap/>
          </w:tcPr>
          <w:p w14:paraId="1760C60F" w14:textId="77777777" w:rsidR="006C269A" w:rsidRPr="00C75A48" w:rsidRDefault="006C269A" w:rsidP="00AB05FB">
            <w:pPr>
              <w:pStyle w:val="BStabletextbold"/>
              <w:jc w:val="right"/>
              <w:rPr>
                <w:color w:val="472D8C"/>
              </w:rPr>
            </w:pPr>
            <w:r w:rsidRPr="00556DF3">
              <w:rPr>
                <w:color w:val="472D8C"/>
              </w:rPr>
              <w:t>121,534</w:t>
            </w:r>
          </w:p>
        </w:tc>
      </w:tr>
      <w:tr w:rsidR="006C269A" w:rsidRPr="00457CE0" w14:paraId="0C46A53A" w14:textId="77777777" w:rsidTr="00AB05FB">
        <w:trPr>
          <w:cantSplit/>
          <w:trHeight w:val="20"/>
          <w:jc w:val="center"/>
        </w:trPr>
        <w:tc>
          <w:tcPr>
            <w:tcW w:w="2869" w:type="dxa"/>
            <w:tcBorders>
              <w:top w:val="single" w:sz="4" w:space="0" w:color="auto"/>
            </w:tcBorders>
            <w:shd w:val="clear" w:color="auto" w:fill="auto"/>
            <w:vAlign w:val="bottom"/>
          </w:tcPr>
          <w:p w14:paraId="2E85B7D7" w14:textId="77777777" w:rsidR="006C269A" w:rsidRPr="001913A8" w:rsidRDefault="006C269A" w:rsidP="00AB05FB">
            <w:pPr>
              <w:pStyle w:val="BStabletextbold"/>
              <w:rPr>
                <w:color w:val="472D8C"/>
              </w:rPr>
            </w:pPr>
            <w:r w:rsidRPr="005A3994">
              <w:t xml:space="preserve">Key </w:t>
            </w:r>
            <w:r>
              <w:t>f</w:t>
            </w:r>
            <w:r w:rsidRPr="005A3994">
              <w:t xml:space="preserve">iscal </w:t>
            </w:r>
            <w:r>
              <w:t>a</w:t>
            </w:r>
            <w:r w:rsidRPr="005A3994">
              <w:t>ggregates</w:t>
            </w:r>
          </w:p>
        </w:tc>
        <w:tc>
          <w:tcPr>
            <w:tcW w:w="1068" w:type="dxa"/>
            <w:tcBorders>
              <w:top w:val="single" w:sz="4" w:space="0" w:color="auto"/>
            </w:tcBorders>
            <w:shd w:val="clear" w:color="auto" w:fill="auto"/>
          </w:tcPr>
          <w:p w14:paraId="5AEA81DB" w14:textId="77777777" w:rsidR="006C269A" w:rsidRPr="001913A8" w:rsidRDefault="006C269A" w:rsidP="00AB05FB">
            <w:pPr>
              <w:pStyle w:val="Btablefigureunbold"/>
              <w:rPr>
                <w:color w:val="472D8C"/>
              </w:rPr>
            </w:pPr>
          </w:p>
        </w:tc>
        <w:tc>
          <w:tcPr>
            <w:tcW w:w="1069" w:type="dxa"/>
            <w:tcBorders>
              <w:top w:val="single" w:sz="4" w:space="0" w:color="auto"/>
            </w:tcBorders>
            <w:shd w:val="clear" w:color="auto" w:fill="auto"/>
            <w:noWrap/>
          </w:tcPr>
          <w:p w14:paraId="718484B9" w14:textId="77777777" w:rsidR="006C269A" w:rsidRPr="001913A8" w:rsidRDefault="006C269A" w:rsidP="00AB05FB">
            <w:pPr>
              <w:pStyle w:val="Btablefigureunbold"/>
              <w:rPr>
                <w:color w:val="472D8C"/>
              </w:rPr>
            </w:pPr>
          </w:p>
        </w:tc>
        <w:tc>
          <w:tcPr>
            <w:tcW w:w="1069" w:type="dxa"/>
            <w:tcBorders>
              <w:top w:val="single" w:sz="4" w:space="0" w:color="auto"/>
            </w:tcBorders>
            <w:shd w:val="clear" w:color="auto" w:fill="auto"/>
            <w:noWrap/>
          </w:tcPr>
          <w:p w14:paraId="03E4A911" w14:textId="77777777" w:rsidR="006C269A" w:rsidRPr="001913A8" w:rsidRDefault="006C269A" w:rsidP="00AB05FB">
            <w:pPr>
              <w:pStyle w:val="Btablefigureunbold"/>
              <w:rPr>
                <w:color w:val="472D8C"/>
              </w:rPr>
            </w:pPr>
          </w:p>
        </w:tc>
        <w:tc>
          <w:tcPr>
            <w:tcW w:w="1069" w:type="dxa"/>
            <w:tcBorders>
              <w:top w:val="single" w:sz="4" w:space="0" w:color="auto"/>
            </w:tcBorders>
            <w:shd w:val="clear" w:color="auto" w:fill="auto"/>
            <w:noWrap/>
          </w:tcPr>
          <w:p w14:paraId="7636AE64" w14:textId="77777777" w:rsidR="006C269A" w:rsidRPr="001913A8" w:rsidRDefault="006C269A" w:rsidP="00AB05FB">
            <w:pPr>
              <w:pStyle w:val="Btablefigureunbold"/>
              <w:rPr>
                <w:color w:val="472D8C"/>
              </w:rPr>
            </w:pPr>
          </w:p>
        </w:tc>
        <w:tc>
          <w:tcPr>
            <w:tcW w:w="1069" w:type="dxa"/>
            <w:tcBorders>
              <w:top w:val="single" w:sz="4" w:space="0" w:color="auto"/>
            </w:tcBorders>
            <w:shd w:val="clear" w:color="auto" w:fill="auto"/>
            <w:noWrap/>
          </w:tcPr>
          <w:p w14:paraId="2ACD1B87" w14:textId="77777777" w:rsidR="006C269A" w:rsidRPr="001913A8" w:rsidRDefault="006C269A" w:rsidP="00AB05FB">
            <w:pPr>
              <w:pStyle w:val="Btablefigureunbold"/>
              <w:rPr>
                <w:color w:val="472D8C"/>
              </w:rPr>
            </w:pPr>
          </w:p>
        </w:tc>
        <w:tc>
          <w:tcPr>
            <w:tcW w:w="1069" w:type="dxa"/>
            <w:tcBorders>
              <w:top w:val="single" w:sz="4" w:space="0" w:color="auto"/>
            </w:tcBorders>
            <w:shd w:val="clear" w:color="auto" w:fill="auto"/>
            <w:noWrap/>
          </w:tcPr>
          <w:p w14:paraId="19A5E4C9" w14:textId="77777777" w:rsidR="006C269A" w:rsidRPr="001913A8" w:rsidRDefault="006C269A" w:rsidP="00AB05FB">
            <w:pPr>
              <w:pStyle w:val="Btablefigureunbold"/>
              <w:rPr>
                <w:color w:val="472D8C"/>
              </w:rPr>
            </w:pPr>
          </w:p>
        </w:tc>
      </w:tr>
      <w:tr w:rsidR="006C269A" w:rsidRPr="00457CE0" w14:paraId="5C748DFB" w14:textId="77777777" w:rsidTr="00AB05FB">
        <w:trPr>
          <w:cantSplit/>
          <w:trHeight w:val="20"/>
          <w:jc w:val="center"/>
        </w:trPr>
        <w:tc>
          <w:tcPr>
            <w:tcW w:w="2869" w:type="dxa"/>
            <w:shd w:val="clear" w:color="auto" w:fill="auto"/>
          </w:tcPr>
          <w:p w14:paraId="0D3D4A03" w14:textId="77777777" w:rsidR="006C269A" w:rsidRPr="00D441E0" w:rsidRDefault="006C269A" w:rsidP="00AB05FB">
            <w:pPr>
              <w:pStyle w:val="BStabletextbold"/>
            </w:pPr>
            <w:r w:rsidRPr="005A3994">
              <w:t xml:space="preserve">UPF </w:t>
            </w:r>
            <w:r>
              <w:t>n</w:t>
            </w:r>
            <w:r w:rsidRPr="005A3994">
              <w:t xml:space="preserve">et </w:t>
            </w:r>
            <w:r>
              <w:t>o</w:t>
            </w:r>
            <w:r w:rsidRPr="005A3994">
              <w:t xml:space="preserve">perating </w:t>
            </w:r>
            <w:r>
              <w:t>b</w:t>
            </w:r>
            <w:r w:rsidRPr="005A3994">
              <w:t xml:space="preserve">alance </w:t>
            </w:r>
          </w:p>
        </w:tc>
        <w:tc>
          <w:tcPr>
            <w:tcW w:w="1068" w:type="dxa"/>
            <w:shd w:val="clear" w:color="auto" w:fill="auto"/>
          </w:tcPr>
          <w:p w14:paraId="034D0174" w14:textId="77777777" w:rsidR="006C269A" w:rsidRPr="00457CE0" w:rsidRDefault="006C269A" w:rsidP="00AB05FB">
            <w:pPr>
              <w:pStyle w:val="BStabletextbold"/>
              <w:jc w:val="right"/>
            </w:pPr>
            <w:r w:rsidRPr="00556DF3">
              <w:t>248,068</w:t>
            </w:r>
          </w:p>
        </w:tc>
        <w:tc>
          <w:tcPr>
            <w:tcW w:w="1069" w:type="dxa"/>
            <w:shd w:val="clear" w:color="auto" w:fill="auto"/>
            <w:noWrap/>
          </w:tcPr>
          <w:p w14:paraId="3C3D60A2" w14:textId="77777777" w:rsidR="006C269A" w:rsidRPr="00457CE0" w:rsidRDefault="006C269A" w:rsidP="00AB05FB">
            <w:pPr>
              <w:pStyle w:val="BStabletextbold"/>
              <w:jc w:val="right"/>
            </w:pPr>
            <w:r w:rsidRPr="00556DF3">
              <w:t>159,469</w:t>
            </w:r>
          </w:p>
        </w:tc>
        <w:tc>
          <w:tcPr>
            <w:tcW w:w="1069" w:type="dxa"/>
            <w:shd w:val="clear" w:color="auto" w:fill="auto"/>
            <w:noWrap/>
          </w:tcPr>
          <w:p w14:paraId="19B1081D" w14:textId="77777777" w:rsidR="006C269A" w:rsidRPr="00457CE0" w:rsidRDefault="006C269A" w:rsidP="00AB05FB">
            <w:pPr>
              <w:pStyle w:val="BStabletextbold"/>
              <w:jc w:val="right"/>
            </w:pPr>
            <w:r w:rsidRPr="00556DF3">
              <w:t>96,429</w:t>
            </w:r>
          </w:p>
        </w:tc>
        <w:tc>
          <w:tcPr>
            <w:tcW w:w="1069" w:type="dxa"/>
            <w:shd w:val="clear" w:color="auto" w:fill="auto"/>
            <w:noWrap/>
          </w:tcPr>
          <w:p w14:paraId="3791022C" w14:textId="77777777" w:rsidR="006C269A" w:rsidRPr="00457CE0" w:rsidRDefault="006C269A" w:rsidP="00AB05FB">
            <w:pPr>
              <w:pStyle w:val="BStabletextbold"/>
              <w:jc w:val="right"/>
            </w:pPr>
            <w:r w:rsidRPr="00556DF3">
              <w:t>24,522</w:t>
            </w:r>
          </w:p>
        </w:tc>
        <w:tc>
          <w:tcPr>
            <w:tcW w:w="1069" w:type="dxa"/>
            <w:shd w:val="clear" w:color="auto" w:fill="auto"/>
            <w:noWrap/>
          </w:tcPr>
          <w:p w14:paraId="510D3052" w14:textId="77777777" w:rsidR="006C269A" w:rsidRPr="00457CE0" w:rsidRDefault="006C269A" w:rsidP="00AB05FB">
            <w:pPr>
              <w:pStyle w:val="BStabletextbold"/>
              <w:jc w:val="right"/>
            </w:pPr>
            <w:r w:rsidRPr="00556DF3">
              <w:t>-38,637</w:t>
            </w:r>
          </w:p>
        </w:tc>
        <w:tc>
          <w:tcPr>
            <w:tcW w:w="1069" w:type="dxa"/>
            <w:shd w:val="clear" w:color="auto" w:fill="auto"/>
            <w:noWrap/>
          </w:tcPr>
          <w:p w14:paraId="02038792" w14:textId="77777777" w:rsidR="006C269A" w:rsidRPr="00457CE0" w:rsidRDefault="006C269A" w:rsidP="00AB05FB">
            <w:pPr>
              <w:pStyle w:val="BStabletextbold"/>
              <w:jc w:val="right"/>
            </w:pPr>
            <w:r w:rsidRPr="00556DF3">
              <w:t>65,286</w:t>
            </w:r>
          </w:p>
        </w:tc>
      </w:tr>
      <w:tr w:rsidR="006C269A" w:rsidRPr="00457CE0" w14:paraId="50A35F0E" w14:textId="77777777" w:rsidTr="00AB05FB">
        <w:trPr>
          <w:cantSplit/>
          <w:trHeight w:val="20"/>
          <w:jc w:val="center"/>
        </w:trPr>
        <w:tc>
          <w:tcPr>
            <w:tcW w:w="2869" w:type="dxa"/>
            <w:shd w:val="clear" w:color="auto" w:fill="auto"/>
          </w:tcPr>
          <w:p w14:paraId="7E77BAE3" w14:textId="77777777" w:rsidR="006C269A" w:rsidRPr="00B02825" w:rsidRDefault="006C269A" w:rsidP="00AB05FB">
            <w:pPr>
              <w:pStyle w:val="BStabletextbold"/>
              <w:rPr>
                <w:color w:val="472D8C"/>
              </w:rPr>
            </w:pPr>
            <w:r w:rsidRPr="005A3994">
              <w:rPr>
                <w:i/>
                <w:iCs/>
              </w:rPr>
              <w:t xml:space="preserve">less </w:t>
            </w:r>
            <w:r w:rsidRPr="005A3994">
              <w:t xml:space="preserve">Net </w:t>
            </w:r>
            <w:r>
              <w:t>a</w:t>
            </w:r>
            <w:r w:rsidRPr="005A3994">
              <w:t xml:space="preserve">cquisition of </w:t>
            </w:r>
            <w:r>
              <w:t>n</w:t>
            </w:r>
            <w:r w:rsidRPr="005A3994">
              <w:t>on­</w:t>
            </w:r>
            <w:r>
              <w:t>f</w:t>
            </w:r>
            <w:r w:rsidRPr="005A3994">
              <w:t xml:space="preserve">inancial </w:t>
            </w:r>
            <w:r>
              <w:t>a</w:t>
            </w:r>
            <w:r w:rsidRPr="005A3994">
              <w:t>ssets</w:t>
            </w:r>
          </w:p>
        </w:tc>
        <w:tc>
          <w:tcPr>
            <w:tcW w:w="1068" w:type="dxa"/>
            <w:shd w:val="clear" w:color="auto" w:fill="auto"/>
          </w:tcPr>
          <w:p w14:paraId="52498C1A" w14:textId="77777777" w:rsidR="006C269A" w:rsidRPr="00B02825" w:rsidRDefault="006C269A" w:rsidP="00AB05FB">
            <w:pPr>
              <w:pStyle w:val="BTablefigureBold"/>
              <w:rPr>
                <w:color w:val="472D8C"/>
              </w:rPr>
            </w:pPr>
          </w:p>
        </w:tc>
        <w:tc>
          <w:tcPr>
            <w:tcW w:w="1069" w:type="dxa"/>
            <w:shd w:val="clear" w:color="auto" w:fill="auto"/>
            <w:noWrap/>
          </w:tcPr>
          <w:p w14:paraId="6A90A22D" w14:textId="77777777" w:rsidR="006C269A" w:rsidRPr="00B02825" w:rsidRDefault="006C269A" w:rsidP="00AB05FB">
            <w:pPr>
              <w:pStyle w:val="BTablefigureBold"/>
              <w:rPr>
                <w:color w:val="472D8C"/>
              </w:rPr>
            </w:pPr>
          </w:p>
        </w:tc>
        <w:tc>
          <w:tcPr>
            <w:tcW w:w="1069" w:type="dxa"/>
            <w:shd w:val="clear" w:color="auto" w:fill="auto"/>
            <w:noWrap/>
          </w:tcPr>
          <w:p w14:paraId="49AA854B" w14:textId="77777777" w:rsidR="006C269A" w:rsidRPr="00B02825" w:rsidRDefault="006C269A" w:rsidP="00AB05FB">
            <w:pPr>
              <w:pStyle w:val="BTablefigureBold"/>
              <w:rPr>
                <w:color w:val="472D8C"/>
              </w:rPr>
            </w:pPr>
          </w:p>
        </w:tc>
        <w:tc>
          <w:tcPr>
            <w:tcW w:w="1069" w:type="dxa"/>
            <w:shd w:val="clear" w:color="auto" w:fill="auto"/>
            <w:noWrap/>
          </w:tcPr>
          <w:p w14:paraId="2DC86C22" w14:textId="77777777" w:rsidR="006C269A" w:rsidRPr="00B02825" w:rsidRDefault="006C269A" w:rsidP="00AB05FB">
            <w:pPr>
              <w:pStyle w:val="BTablefigureBold"/>
              <w:rPr>
                <w:color w:val="472D8C"/>
              </w:rPr>
            </w:pPr>
          </w:p>
        </w:tc>
        <w:tc>
          <w:tcPr>
            <w:tcW w:w="1069" w:type="dxa"/>
            <w:shd w:val="clear" w:color="auto" w:fill="auto"/>
            <w:noWrap/>
          </w:tcPr>
          <w:p w14:paraId="7CE91EAD" w14:textId="77777777" w:rsidR="006C269A" w:rsidRPr="00B02825" w:rsidRDefault="006C269A" w:rsidP="00AB05FB">
            <w:pPr>
              <w:pStyle w:val="BTablefigureBold"/>
              <w:rPr>
                <w:color w:val="472D8C"/>
              </w:rPr>
            </w:pPr>
          </w:p>
        </w:tc>
        <w:tc>
          <w:tcPr>
            <w:tcW w:w="1069" w:type="dxa"/>
            <w:shd w:val="clear" w:color="auto" w:fill="auto"/>
            <w:noWrap/>
          </w:tcPr>
          <w:p w14:paraId="164ADA3F" w14:textId="77777777" w:rsidR="006C269A" w:rsidRPr="00B02825" w:rsidRDefault="006C269A" w:rsidP="00AB05FB">
            <w:pPr>
              <w:pStyle w:val="BTablefigureBold"/>
              <w:rPr>
                <w:color w:val="472D8C"/>
              </w:rPr>
            </w:pPr>
          </w:p>
        </w:tc>
      </w:tr>
      <w:tr w:rsidR="006C269A" w:rsidRPr="00D561A1" w14:paraId="490FAD76" w14:textId="77777777" w:rsidTr="00AB05FB">
        <w:trPr>
          <w:cantSplit/>
          <w:trHeight w:val="20"/>
          <w:jc w:val="center"/>
        </w:trPr>
        <w:tc>
          <w:tcPr>
            <w:tcW w:w="2869" w:type="dxa"/>
            <w:shd w:val="clear" w:color="auto" w:fill="auto"/>
          </w:tcPr>
          <w:p w14:paraId="26827075" w14:textId="77777777" w:rsidR="006C269A" w:rsidRPr="00D441E0" w:rsidRDefault="006C269A" w:rsidP="00AB05FB">
            <w:pPr>
              <w:pStyle w:val="BStabletext"/>
            </w:pPr>
            <w:r w:rsidRPr="005A3994">
              <w:t xml:space="preserve">Payments for </w:t>
            </w:r>
            <w:r>
              <w:t>n</w:t>
            </w:r>
            <w:r w:rsidRPr="005A3994">
              <w:t>on-</w:t>
            </w:r>
            <w:r>
              <w:t>f</w:t>
            </w:r>
            <w:r w:rsidRPr="005A3994">
              <w:t xml:space="preserve">inancial </w:t>
            </w:r>
            <w:r>
              <w:t>a</w:t>
            </w:r>
            <w:r w:rsidRPr="005A3994">
              <w:t>ssets</w:t>
            </w:r>
          </w:p>
        </w:tc>
        <w:tc>
          <w:tcPr>
            <w:tcW w:w="1068" w:type="dxa"/>
            <w:shd w:val="clear" w:color="auto" w:fill="auto"/>
          </w:tcPr>
          <w:p w14:paraId="75210035" w14:textId="77777777" w:rsidR="006C269A" w:rsidRPr="00457CE0" w:rsidRDefault="006C269A" w:rsidP="00AB05FB">
            <w:pPr>
              <w:pStyle w:val="Btablefigureunbold"/>
            </w:pPr>
            <w:r w:rsidRPr="00556DF3">
              <w:t>315,467</w:t>
            </w:r>
          </w:p>
        </w:tc>
        <w:tc>
          <w:tcPr>
            <w:tcW w:w="1069" w:type="dxa"/>
            <w:shd w:val="clear" w:color="auto" w:fill="auto"/>
            <w:noWrap/>
          </w:tcPr>
          <w:p w14:paraId="0E11EAF1" w14:textId="77777777" w:rsidR="006C269A" w:rsidRPr="00D561A1" w:rsidRDefault="006C269A" w:rsidP="00AB05FB">
            <w:pPr>
              <w:pStyle w:val="Btablefigureunbold"/>
            </w:pPr>
            <w:r w:rsidRPr="00556DF3">
              <w:t>245,547</w:t>
            </w:r>
          </w:p>
        </w:tc>
        <w:tc>
          <w:tcPr>
            <w:tcW w:w="1069" w:type="dxa"/>
            <w:shd w:val="clear" w:color="auto" w:fill="auto"/>
            <w:noWrap/>
          </w:tcPr>
          <w:p w14:paraId="606ED26D" w14:textId="77777777" w:rsidR="006C269A" w:rsidRPr="00D561A1" w:rsidRDefault="006C269A" w:rsidP="00AB05FB">
            <w:pPr>
              <w:pStyle w:val="Btablefigureunbold"/>
            </w:pPr>
            <w:r w:rsidRPr="00556DF3">
              <w:rPr>
                <w:rFonts w:cs="Times New Roman"/>
              </w:rPr>
              <w:t>346,458</w:t>
            </w:r>
          </w:p>
        </w:tc>
        <w:tc>
          <w:tcPr>
            <w:tcW w:w="1069" w:type="dxa"/>
            <w:shd w:val="clear" w:color="auto" w:fill="auto"/>
            <w:noWrap/>
          </w:tcPr>
          <w:p w14:paraId="168B8641" w14:textId="77777777" w:rsidR="006C269A" w:rsidRPr="00D561A1" w:rsidRDefault="006C269A" w:rsidP="00AB05FB">
            <w:pPr>
              <w:pStyle w:val="Btablefigureunbold"/>
            </w:pPr>
            <w:r w:rsidRPr="00556DF3">
              <w:rPr>
                <w:rFonts w:cs="Times New Roman"/>
              </w:rPr>
              <w:t>297,141</w:t>
            </w:r>
          </w:p>
        </w:tc>
        <w:tc>
          <w:tcPr>
            <w:tcW w:w="1069" w:type="dxa"/>
            <w:shd w:val="clear" w:color="auto" w:fill="auto"/>
            <w:noWrap/>
          </w:tcPr>
          <w:p w14:paraId="01AA1940" w14:textId="77777777" w:rsidR="006C269A" w:rsidRPr="00D561A1" w:rsidRDefault="006C269A" w:rsidP="00AB05FB">
            <w:pPr>
              <w:pStyle w:val="Btablefigureunbold"/>
            </w:pPr>
            <w:r w:rsidRPr="00556DF3">
              <w:rPr>
                <w:rFonts w:cs="Times New Roman"/>
              </w:rPr>
              <w:t>245,531</w:t>
            </w:r>
          </w:p>
        </w:tc>
        <w:tc>
          <w:tcPr>
            <w:tcW w:w="1069" w:type="dxa"/>
            <w:shd w:val="clear" w:color="auto" w:fill="auto"/>
            <w:noWrap/>
          </w:tcPr>
          <w:p w14:paraId="7597511D" w14:textId="77777777" w:rsidR="006C269A" w:rsidRPr="00D561A1" w:rsidRDefault="006C269A" w:rsidP="00AB05FB">
            <w:pPr>
              <w:pStyle w:val="Btablefigureunbold"/>
            </w:pPr>
            <w:r w:rsidRPr="00556DF3">
              <w:rPr>
                <w:rFonts w:cs="Times New Roman"/>
              </w:rPr>
              <w:t>150,091</w:t>
            </w:r>
          </w:p>
        </w:tc>
      </w:tr>
      <w:tr w:rsidR="006C269A" w:rsidRPr="00457CE0" w14:paraId="12887515" w14:textId="77777777" w:rsidTr="00AB05FB">
        <w:trPr>
          <w:cantSplit/>
          <w:trHeight w:val="20"/>
          <w:jc w:val="center"/>
        </w:trPr>
        <w:tc>
          <w:tcPr>
            <w:tcW w:w="2869" w:type="dxa"/>
            <w:shd w:val="clear" w:color="auto" w:fill="auto"/>
          </w:tcPr>
          <w:p w14:paraId="797E6AD8" w14:textId="77777777" w:rsidR="006C269A" w:rsidRPr="00D441E0" w:rsidRDefault="006C269A" w:rsidP="00AB05FB">
            <w:pPr>
              <w:pStyle w:val="BStabletext"/>
            </w:pPr>
            <w:r w:rsidRPr="005A3994">
              <w:t xml:space="preserve">Sales of </w:t>
            </w:r>
            <w:r>
              <w:t>n</w:t>
            </w:r>
            <w:r w:rsidRPr="005A3994">
              <w:t>on-</w:t>
            </w:r>
            <w:r>
              <w:t>f</w:t>
            </w:r>
            <w:r w:rsidRPr="005A3994">
              <w:t xml:space="preserve">inancial </w:t>
            </w:r>
            <w:r>
              <w:t>a</w:t>
            </w:r>
            <w:r w:rsidRPr="005A3994">
              <w:t>ssets</w:t>
            </w:r>
          </w:p>
        </w:tc>
        <w:tc>
          <w:tcPr>
            <w:tcW w:w="1068" w:type="dxa"/>
            <w:shd w:val="clear" w:color="auto" w:fill="auto"/>
          </w:tcPr>
          <w:p w14:paraId="01D5DEA7" w14:textId="77777777" w:rsidR="006C269A" w:rsidRPr="00457CE0" w:rsidRDefault="006C269A" w:rsidP="00AB05FB">
            <w:pPr>
              <w:pStyle w:val="Btablefigureunbold"/>
            </w:pPr>
            <w:r w:rsidRPr="00556DF3">
              <w:t>-110,966</w:t>
            </w:r>
          </w:p>
        </w:tc>
        <w:tc>
          <w:tcPr>
            <w:tcW w:w="1069" w:type="dxa"/>
            <w:shd w:val="clear" w:color="auto" w:fill="auto"/>
            <w:noWrap/>
          </w:tcPr>
          <w:p w14:paraId="04CB5BA7" w14:textId="77777777" w:rsidR="006C269A" w:rsidRPr="00457CE0" w:rsidRDefault="006C269A" w:rsidP="00AB05FB">
            <w:pPr>
              <w:pStyle w:val="Btablefigureunbold"/>
            </w:pPr>
            <w:r w:rsidRPr="00556DF3">
              <w:t>-121,306</w:t>
            </w:r>
          </w:p>
        </w:tc>
        <w:tc>
          <w:tcPr>
            <w:tcW w:w="1069" w:type="dxa"/>
            <w:shd w:val="clear" w:color="auto" w:fill="auto"/>
            <w:noWrap/>
          </w:tcPr>
          <w:p w14:paraId="0887C4E1" w14:textId="77777777" w:rsidR="006C269A" w:rsidRPr="00457CE0" w:rsidRDefault="006C269A" w:rsidP="00AB05FB">
            <w:pPr>
              <w:pStyle w:val="Btablefigureunbold"/>
            </w:pPr>
            <w:r w:rsidRPr="00556DF3">
              <w:rPr>
                <w:rFonts w:cs="Times New Roman"/>
              </w:rPr>
              <w:t>-101,691</w:t>
            </w:r>
          </w:p>
        </w:tc>
        <w:tc>
          <w:tcPr>
            <w:tcW w:w="1069" w:type="dxa"/>
            <w:shd w:val="clear" w:color="auto" w:fill="auto"/>
            <w:noWrap/>
          </w:tcPr>
          <w:p w14:paraId="5B98A07A" w14:textId="77777777" w:rsidR="006C269A" w:rsidRPr="00457CE0" w:rsidRDefault="006C269A" w:rsidP="00AB05FB">
            <w:pPr>
              <w:pStyle w:val="Btablefigureunbold"/>
            </w:pPr>
            <w:r w:rsidRPr="00556DF3">
              <w:rPr>
                <w:rFonts w:cs="Times New Roman"/>
              </w:rPr>
              <w:t>-189,056</w:t>
            </w:r>
          </w:p>
        </w:tc>
        <w:tc>
          <w:tcPr>
            <w:tcW w:w="1069" w:type="dxa"/>
            <w:shd w:val="clear" w:color="auto" w:fill="auto"/>
            <w:noWrap/>
          </w:tcPr>
          <w:p w14:paraId="09515479" w14:textId="77777777" w:rsidR="006C269A" w:rsidRPr="00457CE0" w:rsidRDefault="006C269A" w:rsidP="00AB05FB">
            <w:pPr>
              <w:pStyle w:val="Btablefigureunbold"/>
            </w:pPr>
            <w:r w:rsidRPr="00556DF3">
              <w:rPr>
                <w:rFonts w:cs="Times New Roman"/>
              </w:rPr>
              <w:t>-149,966</w:t>
            </w:r>
          </w:p>
        </w:tc>
        <w:tc>
          <w:tcPr>
            <w:tcW w:w="1069" w:type="dxa"/>
            <w:shd w:val="clear" w:color="auto" w:fill="auto"/>
            <w:noWrap/>
          </w:tcPr>
          <w:p w14:paraId="102264FA" w14:textId="77777777" w:rsidR="006C269A" w:rsidRPr="00457CE0" w:rsidRDefault="006C269A" w:rsidP="00AB05FB">
            <w:pPr>
              <w:pStyle w:val="Btablefigureunbold"/>
            </w:pPr>
            <w:r w:rsidRPr="00556DF3">
              <w:rPr>
                <w:rFonts w:cs="Times New Roman"/>
              </w:rPr>
              <w:t>-35,045</w:t>
            </w:r>
          </w:p>
        </w:tc>
      </w:tr>
      <w:tr w:rsidR="006C269A" w:rsidRPr="00457CE0" w14:paraId="283BE92A" w14:textId="77777777" w:rsidTr="00AB05FB">
        <w:trPr>
          <w:cantSplit/>
          <w:trHeight w:val="20"/>
          <w:jc w:val="center"/>
        </w:trPr>
        <w:tc>
          <w:tcPr>
            <w:tcW w:w="2869" w:type="dxa"/>
            <w:shd w:val="clear" w:color="auto" w:fill="auto"/>
          </w:tcPr>
          <w:p w14:paraId="18006B31" w14:textId="77777777" w:rsidR="006C269A" w:rsidRPr="00D441E0" w:rsidRDefault="006C269A" w:rsidP="00AB05FB">
            <w:pPr>
              <w:pStyle w:val="BStabletext"/>
            </w:pPr>
            <w:r>
              <w:t>Change in inventories</w:t>
            </w:r>
          </w:p>
        </w:tc>
        <w:tc>
          <w:tcPr>
            <w:tcW w:w="1068" w:type="dxa"/>
            <w:shd w:val="clear" w:color="auto" w:fill="auto"/>
          </w:tcPr>
          <w:p w14:paraId="631CF1FE" w14:textId="77777777" w:rsidR="006C269A" w:rsidRPr="00457CE0" w:rsidRDefault="006C269A" w:rsidP="00AB05FB">
            <w:pPr>
              <w:pStyle w:val="Btablefigureunbold"/>
            </w:pPr>
            <w:r w:rsidRPr="00556DF3">
              <w:t>-102,807</w:t>
            </w:r>
          </w:p>
        </w:tc>
        <w:tc>
          <w:tcPr>
            <w:tcW w:w="1069" w:type="dxa"/>
            <w:shd w:val="clear" w:color="auto" w:fill="auto"/>
            <w:noWrap/>
          </w:tcPr>
          <w:p w14:paraId="687C8A24" w14:textId="77777777" w:rsidR="006C269A" w:rsidRPr="00457CE0" w:rsidRDefault="006C269A" w:rsidP="00AB05FB">
            <w:pPr>
              <w:pStyle w:val="Btablefigureunbold"/>
            </w:pPr>
            <w:r w:rsidRPr="00556DF3">
              <w:t>-144,875</w:t>
            </w:r>
          </w:p>
        </w:tc>
        <w:tc>
          <w:tcPr>
            <w:tcW w:w="1069" w:type="dxa"/>
            <w:shd w:val="clear" w:color="auto" w:fill="auto"/>
            <w:noWrap/>
          </w:tcPr>
          <w:p w14:paraId="0CCC845D" w14:textId="77777777" w:rsidR="006C269A" w:rsidRPr="00457CE0" w:rsidRDefault="006C269A" w:rsidP="00AB05FB">
            <w:pPr>
              <w:pStyle w:val="Btablefigureunbold"/>
            </w:pPr>
            <w:r w:rsidRPr="00556DF3">
              <w:rPr>
                <w:rFonts w:cs="Times New Roman"/>
              </w:rPr>
              <w:t>18,851</w:t>
            </w:r>
          </w:p>
        </w:tc>
        <w:tc>
          <w:tcPr>
            <w:tcW w:w="1069" w:type="dxa"/>
            <w:shd w:val="clear" w:color="auto" w:fill="auto"/>
            <w:noWrap/>
          </w:tcPr>
          <w:p w14:paraId="1CFE8BE0" w14:textId="77777777" w:rsidR="006C269A" w:rsidRPr="00457CE0" w:rsidRDefault="006C269A" w:rsidP="00AB05FB">
            <w:pPr>
              <w:pStyle w:val="Btablefigureunbold"/>
            </w:pPr>
            <w:r w:rsidRPr="00556DF3">
              <w:rPr>
                <w:rFonts w:cs="Times New Roman"/>
              </w:rPr>
              <w:t>51,671</w:t>
            </w:r>
          </w:p>
        </w:tc>
        <w:tc>
          <w:tcPr>
            <w:tcW w:w="1069" w:type="dxa"/>
            <w:shd w:val="clear" w:color="auto" w:fill="auto"/>
            <w:noWrap/>
          </w:tcPr>
          <w:p w14:paraId="6C48CAAB" w14:textId="77777777" w:rsidR="006C269A" w:rsidRPr="00457CE0" w:rsidRDefault="006C269A" w:rsidP="00AB05FB">
            <w:pPr>
              <w:pStyle w:val="Btablefigureunbold"/>
            </w:pPr>
            <w:r w:rsidRPr="00556DF3">
              <w:rPr>
                <w:rFonts w:cs="Times New Roman"/>
              </w:rPr>
              <w:t>-39,665</w:t>
            </w:r>
          </w:p>
        </w:tc>
        <w:tc>
          <w:tcPr>
            <w:tcW w:w="1069" w:type="dxa"/>
            <w:shd w:val="clear" w:color="auto" w:fill="auto"/>
            <w:noWrap/>
          </w:tcPr>
          <w:p w14:paraId="3F93E819" w14:textId="77777777" w:rsidR="006C269A" w:rsidRPr="00457CE0" w:rsidRDefault="006C269A" w:rsidP="00AB05FB">
            <w:pPr>
              <w:pStyle w:val="Btablefigureunbold"/>
            </w:pPr>
            <w:r w:rsidRPr="00556DF3">
              <w:rPr>
                <w:rFonts w:cs="Times New Roman"/>
              </w:rPr>
              <w:t>10,679</w:t>
            </w:r>
          </w:p>
        </w:tc>
      </w:tr>
      <w:tr w:rsidR="006C269A" w:rsidRPr="00457CE0" w14:paraId="0CB5A538" w14:textId="77777777" w:rsidTr="00AB05FB">
        <w:trPr>
          <w:cantSplit/>
          <w:trHeight w:val="20"/>
          <w:jc w:val="center"/>
        </w:trPr>
        <w:tc>
          <w:tcPr>
            <w:tcW w:w="2869" w:type="dxa"/>
            <w:shd w:val="clear" w:color="auto" w:fill="auto"/>
          </w:tcPr>
          <w:p w14:paraId="1D6CC12F" w14:textId="77777777" w:rsidR="006C269A" w:rsidRPr="00D441E0" w:rsidRDefault="006C269A" w:rsidP="00AB05FB">
            <w:pPr>
              <w:pStyle w:val="BStabletext"/>
            </w:pPr>
            <w:r w:rsidRPr="005A3994">
              <w:t xml:space="preserve">Depreciation and </w:t>
            </w:r>
            <w:r>
              <w:t>a</w:t>
            </w:r>
            <w:r w:rsidRPr="005A3994">
              <w:t>mortisation</w:t>
            </w:r>
          </w:p>
        </w:tc>
        <w:tc>
          <w:tcPr>
            <w:tcW w:w="1068" w:type="dxa"/>
            <w:shd w:val="clear" w:color="auto" w:fill="auto"/>
          </w:tcPr>
          <w:p w14:paraId="703BE224" w14:textId="77777777" w:rsidR="006C269A" w:rsidRPr="00457CE0" w:rsidRDefault="006C269A" w:rsidP="00AB05FB">
            <w:pPr>
              <w:pStyle w:val="Btablefigureunbold"/>
            </w:pPr>
            <w:r w:rsidRPr="00556DF3">
              <w:t>-142,056</w:t>
            </w:r>
          </w:p>
        </w:tc>
        <w:tc>
          <w:tcPr>
            <w:tcW w:w="1069" w:type="dxa"/>
            <w:shd w:val="clear" w:color="auto" w:fill="auto"/>
            <w:noWrap/>
          </w:tcPr>
          <w:p w14:paraId="445F7684" w14:textId="77777777" w:rsidR="006C269A" w:rsidRPr="00457CE0" w:rsidRDefault="006C269A" w:rsidP="00AB05FB">
            <w:pPr>
              <w:pStyle w:val="Btablefigureunbold"/>
            </w:pPr>
            <w:r w:rsidRPr="00556DF3">
              <w:t>-145,988</w:t>
            </w:r>
          </w:p>
        </w:tc>
        <w:tc>
          <w:tcPr>
            <w:tcW w:w="1069" w:type="dxa"/>
            <w:shd w:val="clear" w:color="auto" w:fill="auto"/>
            <w:noWrap/>
          </w:tcPr>
          <w:p w14:paraId="1D526E1D" w14:textId="77777777" w:rsidR="006C269A" w:rsidRPr="00457CE0" w:rsidRDefault="006C269A" w:rsidP="00AB05FB">
            <w:pPr>
              <w:pStyle w:val="Btablefigureunbold"/>
            </w:pPr>
            <w:r w:rsidRPr="00556DF3">
              <w:rPr>
                <w:rFonts w:cs="Times New Roman"/>
              </w:rPr>
              <w:t>-159,215</w:t>
            </w:r>
          </w:p>
        </w:tc>
        <w:tc>
          <w:tcPr>
            <w:tcW w:w="1069" w:type="dxa"/>
            <w:shd w:val="clear" w:color="auto" w:fill="auto"/>
            <w:noWrap/>
          </w:tcPr>
          <w:p w14:paraId="7E56FEEF" w14:textId="77777777" w:rsidR="006C269A" w:rsidRPr="00457CE0" w:rsidRDefault="006C269A" w:rsidP="00AB05FB">
            <w:pPr>
              <w:pStyle w:val="Btablefigureunbold"/>
            </w:pPr>
            <w:r w:rsidRPr="00556DF3">
              <w:rPr>
                <w:rFonts w:cs="Times New Roman"/>
              </w:rPr>
              <w:t>-164,228</w:t>
            </w:r>
          </w:p>
        </w:tc>
        <w:tc>
          <w:tcPr>
            <w:tcW w:w="1069" w:type="dxa"/>
            <w:shd w:val="clear" w:color="auto" w:fill="auto"/>
            <w:noWrap/>
          </w:tcPr>
          <w:p w14:paraId="6A7F2410" w14:textId="77777777" w:rsidR="006C269A" w:rsidRPr="00457CE0" w:rsidRDefault="006C269A" w:rsidP="00AB05FB">
            <w:pPr>
              <w:pStyle w:val="Btablefigureunbold"/>
            </w:pPr>
            <w:r w:rsidRPr="00556DF3">
              <w:rPr>
                <w:rFonts w:cs="Times New Roman"/>
              </w:rPr>
              <w:t>-166,266</w:t>
            </w:r>
          </w:p>
        </w:tc>
        <w:tc>
          <w:tcPr>
            <w:tcW w:w="1069" w:type="dxa"/>
            <w:shd w:val="clear" w:color="auto" w:fill="auto"/>
            <w:noWrap/>
          </w:tcPr>
          <w:p w14:paraId="2A9762CA" w14:textId="77777777" w:rsidR="006C269A" w:rsidRPr="00457CE0" w:rsidRDefault="006C269A" w:rsidP="00AB05FB">
            <w:pPr>
              <w:pStyle w:val="Btablefigureunbold"/>
            </w:pPr>
            <w:r w:rsidRPr="00556DF3">
              <w:rPr>
                <w:rFonts w:cs="Times New Roman"/>
              </w:rPr>
              <w:t>-170,526</w:t>
            </w:r>
          </w:p>
        </w:tc>
      </w:tr>
      <w:tr w:rsidR="006C269A" w:rsidRPr="00457CE0" w14:paraId="238F6CFF" w14:textId="77777777" w:rsidTr="00AB05FB">
        <w:trPr>
          <w:cantSplit/>
          <w:trHeight w:val="20"/>
          <w:jc w:val="center"/>
        </w:trPr>
        <w:tc>
          <w:tcPr>
            <w:tcW w:w="2869" w:type="dxa"/>
            <w:shd w:val="clear" w:color="auto" w:fill="auto"/>
          </w:tcPr>
          <w:p w14:paraId="2F9013E9" w14:textId="77777777" w:rsidR="006C269A" w:rsidRPr="00D441E0" w:rsidRDefault="006C269A" w:rsidP="00AB05FB">
            <w:pPr>
              <w:pStyle w:val="BStabletext"/>
            </w:pPr>
            <w:r w:rsidRPr="005A3994">
              <w:t xml:space="preserve">Other </w:t>
            </w:r>
            <w:r>
              <w:t>m</w:t>
            </w:r>
            <w:r w:rsidRPr="005A3994">
              <w:t xml:space="preserve">ovements in </w:t>
            </w:r>
            <w:r>
              <w:t>n</w:t>
            </w:r>
            <w:r w:rsidRPr="005A3994">
              <w:t>on­</w:t>
            </w:r>
            <w:r>
              <w:t>f</w:t>
            </w:r>
            <w:r w:rsidRPr="005A3994">
              <w:t xml:space="preserve">inancial </w:t>
            </w:r>
            <w:r>
              <w:t>a</w:t>
            </w:r>
            <w:r w:rsidRPr="005A3994">
              <w:t>ssets</w:t>
            </w:r>
          </w:p>
        </w:tc>
        <w:tc>
          <w:tcPr>
            <w:tcW w:w="1068" w:type="dxa"/>
            <w:shd w:val="clear" w:color="auto" w:fill="auto"/>
          </w:tcPr>
          <w:p w14:paraId="45589ED2" w14:textId="77777777" w:rsidR="006C269A" w:rsidRPr="00457CE0" w:rsidRDefault="006C269A" w:rsidP="00AB05FB">
            <w:pPr>
              <w:pStyle w:val="Btablefigureunbold"/>
            </w:pPr>
            <w:r w:rsidRPr="00556DF3">
              <w:t>-18,314</w:t>
            </w:r>
          </w:p>
        </w:tc>
        <w:tc>
          <w:tcPr>
            <w:tcW w:w="1069" w:type="dxa"/>
            <w:shd w:val="clear" w:color="auto" w:fill="auto"/>
            <w:noWrap/>
          </w:tcPr>
          <w:p w14:paraId="73D1BB92" w14:textId="77777777" w:rsidR="006C269A" w:rsidRPr="00457CE0" w:rsidRDefault="006C269A" w:rsidP="00AB05FB">
            <w:pPr>
              <w:pStyle w:val="Btablefigureunbold"/>
            </w:pPr>
            <w:r w:rsidRPr="00556DF3">
              <w:t>-96,520</w:t>
            </w:r>
          </w:p>
        </w:tc>
        <w:tc>
          <w:tcPr>
            <w:tcW w:w="1069" w:type="dxa"/>
            <w:shd w:val="clear" w:color="auto" w:fill="auto"/>
            <w:noWrap/>
          </w:tcPr>
          <w:p w14:paraId="5015D5B6" w14:textId="77777777" w:rsidR="006C269A" w:rsidRPr="00457CE0" w:rsidRDefault="006C269A" w:rsidP="00AB05FB">
            <w:pPr>
              <w:pStyle w:val="Btablefigureunbold"/>
            </w:pPr>
            <w:r w:rsidRPr="00556DF3">
              <w:rPr>
                <w:rFonts w:cs="Times New Roman"/>
              </w:rPr>
              <w:t>-124,209</w:t>
            </w:r>
          </w:p>
        </w:tc>
        <w:tc>
          <w:tcPr>
            <w:tcW w:w="1069" w:type="dxa"/>
            <w:shd w:val="clear" w:color="auto" w:fill="auto"/>
            <w:noWrap/>
          </w:tcPr>
          <w:p w14:paraId="70B482C0" w14:textId="77777777" w:rsidR="006C269A" w:rsidRPr="00457CE0" w:rsidRDefault="006C269A" w:rsidP="00AB05FB">
            <w:pPr>
              <w:pStyle w:val="Btablefigureunbold"/>
            </w:pPr>
            <w:r w:rsidRPr="00556DF3">
              <w:rPr>
                <w:rFonts w:cs="Times New Roman"/>
              </w:rPr>
              <w:t>-45,802</w:t>
            </w:r>
          </w:p>
        </w:tc>
        <w:tc>
          <w:tcPr>
            <w:tcW w:w="1069" w:type="dxa"/>
            <w:shd w:val="clear" w:color="auto" w:fill="auto"/>
            <w:noWrap/>
          </w:tcPr>
          <w:p w14:paraId="58090592" w14:textId="77777777" w:rsidR="006C269A" w:rsidRPr="00457CE0" w:rsidRDefault="006C269A" w:rsidP="00AB05FB">
            <w:pPr>
              <w:pStyle w:val="Btablefigureunbold"/>
            </w:pPr>
            <w:r w:rsidRPr="00556DF3">
              <w:rPr>
                <w:rFonts w:cs="Times New Roman"/>
              </w:rPr>
              <w:t>-156,463</w:t>
            </w:r>
          </w:p>
        </w:tc>
        <w:tc>
          <w:tcPr>
            <w:tcW w:w="1069" w:type="dxa"/>
            <w:shd w:val="clear" w:color="auto" w:fill="auto"/>
            <w:noWrap/>
          </w:tcPr>
          <w:p w14:paraId="6D279BC3" w14:textId="77777777" w:rsidR="006C269A" w:rsidRPr="00457CE0" w:rsidRDefault="006C269A" w:rsidP="00AB05FB">
            <w:pPr>
              <w:pStyle w:val="Btablefigureunbold"/>
            </w:pPr>
            <w:r w:rsidRPr="00556DF3">
              <w:rPr>
                <w:rFonts w:cs="Times New Roman"/>
              </w:rPr>
              <w:t>-54,349</w:t>
            </w:r>
          </w:p>
        </w:tc>
      </w:tr>
      <w:tr w:rsidR="006C269A" w:rsidRPr="00457CE0" w14:paraId="48ABBF8B" w14:textId="77777777" w:rsidTr="00AB05FB">
        <w:trPr>
          <w:cantSplit/>
          <w:trHeight w:val="20"/>
          <w:jc w:val="center"/>
        </w:trPr>
        <w:tc>
          <w:tcPr>
            <w:tcW w:w="2869" w:type="dxa"/>
            <w:tcBorders>
              <w:bottom w:val="single" w:sz="4" w:space="0" w:color="auto"/>
            </w:tcBorders>
            <w:shd w:val="clear" w:color="auto" w:fill="auto"/>
          </w:tcPr>
          <w:p w14:paraId="50552E81" w14:textId="77777777" w:rsidR="006C269A" w:rsidRPr="00D441E0" w:rsidRDefault="006C269A" w:rsidP="00AB05FB">
            <w:pPr>
              <w:pStyle w:val="BStabletext"/>
            </w:pPr>
            <w:r w:rsidRPr="006C44E2">
              <w:rPr>
                <w:i/>
                <w:iCs/>
              </w:rPr>
              <w:t>Total net acquisition of non­financial assets</w:t>
            </w:r>
          </w:p>
        </w:tc>
        <w:tc>
          <w:tcPr>
            <w:tcW w:w="1068" w:type="dxa"/>
            <w:tcBorders>
              <w:bottom w:val="single" w:sz="4" w:space="0" w:color="auto"/>
            </w:tcBorders>
            <w:shd w:val="clear" w:color="auto" w:fill="auto"/>
          </w:tcPr>
          <w:p w14:paraId="6EE5E9B8" w14:textId="77777777" w:rsidR="006C269A" w:rsidRPr="00556DF3" w:rsidRDefault="006C269A" w:rsidP="00AB05FB">
            <w:pPr>
              <w:pStyle w:val="Btabletextitalic"/>
              <w:jc w:val="right"/>
            </w:pPr>
            <w:r w:rsidRPr="00556DF3">
              <w:t>-58,676</w:t>
            </w:r>
          </w:p>
        </w:tc>
        <w:tc>
          <w:tcPr>
            <w:tcW w:w="1069" w:type="dxa"/>
            <w:tcBorders>
              <w:bottom w:val="single" w:sz="4" w:space="0" w:color="auto"/>
            </w:tcBorders>
            <w:shd w:val="clear" w:color="auto" w:fill="auto"/>
            <w:noWrap/>
          </w:tcPr>
          <w:p w14:paraId="05443667" w14:textId="77777777" w:rsidR="006C269A" w:rsidRPr="00556DF3" w:rsidRDefault="006C269A" w:rsidP="00AB05FB">
            <w:pPr>
              <w:pStyle w:val="Btabletextitalic"/>
              <w:jc w:val="right"/>
            </w:pPr>
            <w:r w:rsidRPr="00556DF3">
              <w:t>-263,143</w:t>
            </w:r>
          </w:p>
        </w:tc>
        <w:tc>
          <w:tcPr>
            <w:tcW w:w="1069" w:type="dxa"/>
            <w:tcBorders>
              <w:bottom w:val="single" w:sz="4" w:space="0" w:color="auto"/>
            </w:tcBorders>
            <w:shd w:val="clear" w:color="auto" w:fill="auto"/>
            <w:noWrap/>
          </w:tcPr>
          <w:p w14:paraId="24E7B8F4" w14:textId="77777777" w:rsidR="006C269A" w:rsidRPr="00556DF3" w:rsidRDefault="006C269A" w:rsidP="00AB05FB">
            <w:pPr>
              <w:pStyle w:val="Btabletextitalic"/>
              <w:jc w:val="right"/>
            </w:pPr>
            <w:r w:rsidRPr="00556DF3">
              <w:t>-19,806</w:t>
            </w:r>
          </w:p>
        </w:tc>
        <w:tc>
          <w:tcPr>
            <w:tcW w:w="1069" w:type="dxa"/>
            <w:tcBorders>
              <w:bottom w:val="single" w:sz="4" w:space="0" w:color="auto"/>
            </w:tcBorders>
            <w:shd w:val="clear" w:color="auto" w:fill="auto"/>
            <w:noWrap/>
          </w:tcPr>
          <w:p w14:paraId="68AF3092" w14:textId="77777777" w:rsidR="006C269A" w:rsidRPr="00556DF3" w:rsidRDefault="006C269A" w:rsidP="00AB05FB">
            <w:pPr>
              <w:pStyle w:val="Btabletextitalic"/>
              <w:jc w:val="right"/>
            </w:pPr>
            <w:r w:rsidRPr="00556DF3">
              <w:t>-50,274</w:t>
            </w:r>
          </w:p>
        </w:tc>
        <w:tc>
          <w:tcPr>
            <w:tcW w:w="1069" w:type="dxa"/>
            <w:tcBorders>
              <w:bottom w:val="single" w:sz="4" w:space="0" w:color="auto"/>
            </w:tcBorders>
            <w:shd w:val="clear" w:color="auto" w:fill="auto"/>
            <w:noWrap/>
          </w:tcPr>
          <w:p w14:paraId="23E73944" w14:textId="77777777" w:rsidR="006C269A" w:rsidRPr="00556DF3" w:rsidRDefault="006C269A" w:rsidP="00AB05FB">
            <w:pPr>
              <w:pStyle w:val="Btabletextitalic"/>
              <w:jc w:val="right"/>
            </w:pPr>
            <w:r w:rsidRPr="00556DF3">
              <w:t>-266,829</w:t>
            </w:r>
          </w:p>
        </w:tc>
        <w:tc>
          <w:tcPr>
            <w:tcW w:w="1069" w:type="dxa"/>
            <w:tcBorders>
              <w:bottom w:val="single" w:sz="4" w:space="0" w:color="auto"/>
            </w:tcBorders>
            <w:shd w:val="clear" w:color="auto" w:fill="auto"/>
            <w:noWrap/>
          </w:tcPr>
          <w:p w14:paraId="788CB294" w14:textId="77777777" w:rsidR="006C269A" w:rsidRPr="00556DF3" w:rsidRDefault="006C269A" w:rsidP="00AB05FB">
            <w:pPr>
              <w:pStyle w:val="Btabletextitalic"/>
              <w:jc w:val="right"/>
            </w:pPr>
            <w:r w:rsidRPr="00556DF3">
              <w:t>-99,150</w:t>
            </w:r>
          </w:p>
        </w:tc>
      </w:tr>
      <w:tr w:rsidR="006C269A" w:rsidRPr="00556DF3" w14:paraId="0251E23A" w14:textId="77777777" w:rsidTr="00AB05FB">
        <w:trPr>
          <w:cantSplit/>
          <w:trHeight w:val="20"/>
          <w:jc w:val="center"/>
        </w:trPr>
        <w:tc>
          <w:tcPr>
            <w:tcW w:w="2869" w:type="dxa"/>
            <w:tcBorders>
              <w:top w:val="single" w:sz="4" w:space="0" w:color="auto"/>
              <w:bottom w:val="single" w:sz="4" w:space="0" w:color="auto"/>
            </w:tcBorders>
            <w:shd w:val="clear" w:color="auto" w:fill="auto"/>
          </w:tcPr>
          <w:p w14:paraId="7FE000FF" w14:textId="77777777" w:rsidR="006C269A" w:rsidRPr="00556DF3" w:rsidRDefault="006C269A" w:rsidP="00AB05FB">
            <w:pPr>
              <w:pStyle w:val="BStabletextbold"/>
              <w:rPr>
                <w:color w:val="472D8C"/>
              </w:rPr>
            </w:pPr>
            <w:r w:rsidRPr="00C75A48">
              <w:rPr>
                <w:color w:val="472D8C"/>
              </w:rPr>
              <w:t xml:space="preserve">Net lending </w:t>
            </w:r>
          </w:p>
        </w:tc>
        <w:tc>
          <w:tcPr>
            <w:tcW w:w="1068" w:type="dxa"/>
            <w:tcBorders>
              <w:top w:val="single" w:sz="4" w:space="0" w:color="auto"/>
              <w:bottom w:val="single" w:sz="4" w:space="0" w:color="auto"/>
            </w:tcBorders>
            <w:shd w:val="clear" w:color="auto" w:fill="auto"/>
          </w:tcPr>
          <w:p w14:paraId="4F933E1B" w14:textId="77777777" w:rsidR="006C269A" w:rsidRPr="00C75A48" w:rsidRDefault="006C269A" w:rsidP="00AB05FB">
            <w:pPr>
              <w:pStyle w:val="BStabletextbold"/>
              <w:jc w:val="right"/>
              <w:rPr>
                <w:color w:val="472D8C"/>
              </w:rPr>
            </w:pPr>
            <w:r w:rsidRPr="00556DF3">
              <w:rPr>
                <w:color w:val="472D8C"/>
              </w:rPr>
              <w:t>306,744</w:t>
            </w:r>
          </w:p>
        </w:tc>
        <w:tc>
          <w:tcPr>
            <w:tcW w:w="1069" w:type="dxa"/>
            <w:tcBorders>
              <w:top w:val="single" w:sz="4" w:space="0" w:color="auto"/>
              <w:bottom w:val="single" w:sz="4" w:space="0" w:color="auto"/>
            </w:tcBorders>
            <w:shd w:val="clear" w:color="auto" w:fill="auto"/>
            <w:noWrap/>
          </w:tcPr>
          <w:p w14:paraId="5EC27B3B" w14:textId="77777777" w:rsidR="006C269A" w:rsidRPr="00C75A48" w:rsidRDefault="006C269A" w:rsidP="00AB05FB">
            <w:pPr>
              <w:pStyle w:val="BStabletextbold"/>
              <w:jc w:val="right"/>
              <w:rPr>
                <w:color w:val="472D8C"/>
              </w:rPr>
            </w:pPr>
            <w:r w:rsidRPr="00556DF3">
              <w:rPr>
                <w:color w:val="472D8C"/>
              </w:rPr>
              <w:t>422,611</w:t>
            </w:r>
          </w:p>
        </w:tc>
        <w:tc>
          <w:tcPr>
            <w:tcW w:w="1069" w:type="dxa"/>
            <w:tcBorders>
              <w:top w:val="single" w:sz="4" w:space="0" w:color="auto"/>
              <w:bottom w:val="single" w:sz="4" w:space="0" w:color="auto"/>
            </w:tcBorders>
            <w:shd w:val="clear" w:color="auto" w:fill="auto"/>
            <w:noWrap/>
          </w:tcPr>
          <w:p w14:paraId="65FE7613" w14:textId="77777777" w:rsidR="006C269A" w:rsidRPr="00C75A48" w:rsidRDefault="006C269A" w:rsidP="00AB05FB">
            <w:pPr>
              <w:pStyle w:val="BStabletextbold"/>
              <w:jc w:val="right"/>
              <w:rPr>
                <w:color w:val="472D8C"/>
              </w:rPr>
            </w:pPr>
            <w:r w:rsidRPr="00556DF3">
              <w:rPr>
                <w:color w:val="472D8C"/>
              </w:rPr>
              <w:t>116,235</w:t>
            </w:r>
          </w:p>
        </w:tc>
        <w:tc>
          <w:tcPr>
            <w:tcW w:w="1069" w:type="dxa"/>
            <w:tcBorders>
              <w:top w:val="single" w:sz="4" w:space="0" w:color="auto"/>
              <w:bottom w:val="single" w:sz="4" w:space="0" w:color="auto"/>
            </w:tcBorders>
            <w:shd w:val="clear" w:color="auto" w:fill="auto"/>
            <w:noWrap/>
          </w:tcPr>
          <w:p w14:paraId="6E04A977" w14:textId="77777777" w:rsidR="006C269A" w:rsidRPr="00C75A48" w:rsidRDefault="006C269A" w:rsidP="00AB05FB">
            <w:pPr>
              <w:pStyle w:val="BStabletextbold"/>
              <w:jc w:val="right"/>
              <w:rPr>
                <w:color w:val="472D8C"/>
              </w:rPr>
            </w:pPr>
            <w:r w:rsidRPr="00556DF3">
              <w:rPr>
                <w:color w:val="472D8C"/>
              </w:rPr>
              <w:t>74,796</w:t>
            </w:r>
          </w:p>
        </w:tc>
        <w:tc>
          <w:tcPr>
            <w:tcW w:w="1069" w:type="dxa"/>
            <w:tcBorders>
              <w:top w:val="single" w:sz="4" w:space="0" w:color="auto"/>
              <w:bottom w:val="single" w:sz="4" w:space="0" w:color="auto"/>
            </w:tcBorders>
            <w:shd w:val="clear" w:color="auto" w:fill="auto"/>
            <w:noWrap/>
          </w:tcPr>
          <w:p w14:paraId="43E63005" w14:textId="77777777" w:rsidR="006C269A" w:rsidRPr="00C75A48" w:rsidRDefault="006C269A" w:rsidP="00AB05FB">
            <w:pPr>
              <w:pStyle w:val="BStabletextbold"/>
              <w:jc w:val="right"/>
              <w:rPr>
                <w:color w:val="472D8C"/>
              </w:rPr>
            </w:pPr>
            <w:r w:rsidRPr="00556DF3">
              <w:rPr>
                <w:color w:val="472D8C"/>
              </w:rPr>
              <w:t>228,192</w:t>
            </w:r>
          </w:p>
        </w:tc>
        <w:tc>
          <w:tcPr>
            <w:tcW w:w="1069" w:type="dxa"/>
            <w:tcBorders>
              <w:top w:val="single" w:sz="4" w:space="0" w:color="auto"/>
              <w:bottom w:val="single" w:sz="4" w:space="0" w:color="auto"/>
            </w:tcBorders>
            <w:shd w:val="clear" w:color="auto" w:fill="auto"/>
            <w:noWrap/>
          </w:tcPr>
          <w:p w14:paraId="70CCF7F8" w14:textId="77777777" w:rsidR="006C269A" w:rsidRPr="00C75A48" w:rsidRDefault="006C269A" w:rsidP="00AB05FB">
            <w:pPr>
              <w:pStyle w:val="BStabletextbold"/>
              <w:jc w:val="right"/>
              <w:rPr>
                <w:color w:val="472D8C"/>
              </w:rPr>
            </w:pPr>
            <w:r w:rsidRPr="00556DF3">
              <w:rPr>
                <w:color w:val="472D8C"/>
              </w:rPr>
              <w:t>164,436</w:t>
            </w:r>
          </w:p>
        </w:tc>
      </w:tr>
      <w:tr w:rsidR="006C269A" w:rsidRPr="00457CE0" w14:paraId="6A50ED2C" w14:textId="77777777" w:rsidTr="00AB05FB">
        <w:trPr>
          <w:cantSplit/>
          <w:trHeight w:val="20"/>
          <w:jc w:val="center"/>
        </w:trPr>
        <w:tc>
          <w:tcPr>
            <w:tcW w:w="2869" w:type="dxa"/>
            <w:tcBorders>
              <w:top w:val="single" w:sz="4" w:space="0" w:color="auto"/>
              <w:bottom w:val="single" w:sz="4" w:space="0" w:color="auto"/>
            </w:tcBorders>
            <w:shd w:val="clear" w:color="auto" w:fill="auto"/>
          </w:tcPr>
          <w:p w14:paraId="1A608BBC" w14:textId="77777777" w:rsidR="006C269A" w:rsidRPr="001913A8" w:rsidRDefault="006C269A" w:rsidP="00AB05FB">
            <w:pPr>
              <w:pStyle w:val="BStabletext"/>
              <w:rPr>
                <w:b/>
                <w:color w:val="472D8C"/>
              </w:rPr>
            </w:pPr>
          </w:p>
        </w:tc>
        <w:tc>
          <w:tcPr>
            <w:tcW w:w="1068" w:type="dxa"/>
            <w:tcBorders>
              <w:top w:val="single" w:sz="4" w:space="0" w:color="auto"/>
              <w:bottom w:val="single" w:sz="4" w:space="0" w:color="auto"/>
            </w:tcBorders>
            <w:shd w:val="clear" w:color="auto" w:fill="auto"/>
          </w:tcPr>
          <w:p w14:paraId="04DD7BC7" w14:textId="77777777" w:rsidR="006C269A" w:rsidRPr="001913A8" w:rsidRDefault="006C269A" w:rsidP="00AB05FB">
            <w:pPr>
              <w:pStyle w:val="Btablefigureunbold"/>
              <w:rPr>
                <w:color w:val="472D8C"/>
              </w:rPr>
            </w:pPr>
          </w:p>
        </w:tc>
        <w:tc>
          <w:tcPr>
            <w:tcW w:w="1069" w:type="dxa"/>
            <w:tcBorders>
              <w:top w:val="single" w:sz="4" w:space="0" w:color="auto"/>
              <w:bottom w:val="single" w:sz="4" w:space="0" w:color="auto"/>
            </w:tcBorders>
            <w:shd w:val="clear" w:color="auto" w:fill="auto"/>
            <w:noWrap/>
            <w:vAlign w:val="bottom"/>
          </w:tcPr>
          <w:p w14:paraId="3FE2288E" w14:textId="77777777" w:rsidR="006C269A" w:rsidRPr="001913A8" w:rsidRDefault="006C269A" w:rsidP="00AB05FB">
            <w:pPr>
              <w:pStyle w:val="Btablefigureunbold"/>
              <w:rPr>
                <w:color w:val="472D8C"/>
              </w:rPr>
            </w:pPr>
          </w:p>
        </w:tc>
        <w:tc>
          <w:tcPr>
            <w:tcW w:w="1069" w:type="dxa"/>
            <w:tcBorders>
              <w:top w:val="single" w:sz="4" w:space="0" w:color="auto"/>
              <w:bottom w:val="single" w:sz="4" w:space="0" w:color="auto"/>
            </w:tcBorders>
            <w:shd w:val="clear" w:color="auto" w:fill="auto"/>
            <w:noWrap/>
            <w:vAlign w:val="bottom"/>
          </w:tcPr>
          <w:p w14:paraId="623AB051" w14:textId="77777777" w:rsidR="006C269A" w:rsidRPr="001913A8" w:rsidRDefault="006C269A" w:rsidP="00AB05FB">
            <w:pPr>
              <w:pStyle w:val="Btablefigureunbold"/>
              <w:rPr>
                <w:color w:val="472D8C"/>
              </w:rPr>
            </w:pPr>
          </w:p>
        </w:tc>
        <w:tc>
          <w:tcPr>
            <w:tcW w:w="1069" w:type="dxa"/>
            <w:tcBorders>
              <w:top w:val="single" w:sz="4" w:space="0" w:color="auto"/>
              <w:bottom w:val="single" w:sz="4" w:space="0" w:color="auto"/>
            </w:tcBorders>
            <w:shd w:val="clear" w:color="auto" w:fill="auto"/>
            <w:noWrap/>
            <w:vAlign w:val="bottom"/>
          </w:tcPr>
          <w:p w14:paraId="008B0060" w14:textId="77777777" w:rsidR="006C269A" w:rsidRPr="001913A8" w:rsidRDefault="006C269A" w:rsidP="00AB05FB">
            <w:pPr>
              <w:pStyle w:val="Btablefigureunbold"/>
              <w:rPr>
                <w:color w:val="472D8C"/>
              </w:rPr>
            </w:pPr>
          </w:p>
        </w:tc>
        <w:tc>
          <w:tcPr>
            <w:tcW w:w="1069" w:type="dxa"/>
            <w:tcBorders>
              <w:top w:val="single" w:sz="4" w:space="0" w:color="auto"/>
              <w:bottom w:val="single" w:sz="4" w:space="0" w:color="auto"/>
            </w:tcBorders>
            <w:shd w:val="clear" w:color="auto" w:fill="auto"/>
            <w:noWrap/>
            <w:vAlign w:val="bottom"/>
          </w:tcPr>
          <w:p w14:paraId="6F9A1A65" w14:textId="77777777" w:rsidR="006C269A" w:rsidRPr="001913A8" w:rsidRDefault="006C269A" w:rsidP="00AB05FB">
            <w:pPr>
              <w:pStyle w:val="Btablefigureunbold"/>
              <w:rPr>
                <w:color w:val="472D8C"/>
              </w:rPr>
            </w:pPr>
          </w:p>
        </w:tc>
        <w:tc>
          <w:tcPr>
            <w:tcW w:w="1069" w:type="dxa"/>
            <w:tcBorders>
              <w:top w:val="single" w:sz="4" w:space="0" w:color="auto"/>
              <w:bottom w:val="single" w:sz="4" w:space="0" w:color="auto"/>
            </w:tcBorders>
            <w:shd w:val="clear" w:color="auto" w:fill="auto"/>
            <w:noWrap/>
            <w:vAlign w:val="bottom"/>
          </w:tcPr>
          <w:p w14:paraId="05F38563" w14:textId="77777777" w:rsidR="006C269A" w:rsidRPr="001913A8" w:rsidRDefault="006C269A" w:rsidP="00AB05FB">
            <w:pPr>
              <w:pStyle w:val="Btablefigureunbold"/>
              <w:rPr>
                <w:color w:val="472D8C"/>
              </w:rPr>
            </w:pPr>
          </w:p>
        </w:tc>
      </w:tr>
      <w:tr w:rsidR="006C269A" w:rsidRPr="00EB74AF" w14:paraId="6E34E718" w14:textId="77777777" w:rsidTr="00AB05FB">
        <w:trPr>
          <w:cantSplit/>
          <w:trHeight w:val="20"/>
          <w:jc w:val="center"/>
        </w:trPr>
        <w:tc>
          <w:tcPr>
            <w:tcW w:w="2869" w:type="dxa"/>
            <w:tcBorders>
              <w:top w:val="single" w:sz="4" w:space="0" w:color="auto"/>
              <w:left w:val="single" w:sz="4" w:space="0" w:color="auto"/>
            </w:tcBorders>
            <w:shd w:val="clear" w:color="auto" w:fill="auto"/>
            <w:vAlign w:val="center"/>
          </w:tcPr>
          <w:p w14:paraId="3DA79264" w14:textId="77777777" w:rsidR="006C269A" w:rsidRPr="00D561A1" w:rsidRDefault="006C269A" w:rsidP="00AB05FB">
            <w:pPr>
              <w:pStyle w:val="BStabletext"/>
            </w:pPr>
            <w:r w:rsidRPr="00E66108">
              <w:t>UPF net operating balance</w:t>
            </w:r>
          </w:p>
        </w:tc>
        <w:tc>
          <w:tcPr>
            <w:tcW w:w="1068" w:type="dxa"/>
            <w:tcBorders>
              <w:top w:val="single" w:sz="4" w:space="0" w:color="auto"/>
            </w:tcBorders>
            <w:shd w:val="clear" w:color="auto" w:fill="auto"/>
            <w:vAlign w:val="center"/>
          </w:tcPr>
          <w:p w14:paraId="60A7E543" w14:textId="77777777" w:rsidR="006C269A" w:rsidRPr="00556DF3" w:rsidRDefault="006C269A" w:rsidP="00AB05FB">
            <w:pPr>
              <w:pStyle w:val="BStableindent"/>
              <w:jc w:val="right"/>
            </w:pPr>
            <w:r w:rsidRPr="00556DF3">
              <w:t>248,068</w:t>
            </w:r>
          </w:p>
        </w:tc>
        <w:tc>
          <w:tcPr>
            <w:tcW w:w="1069" w:type="dxa"/>
            <w:tcBorders>
              <w:top w:val="single" w:sz="4" w:space="0" w:color="auto"/>
            </w:tcBorders>
            <w:shd w:val="clear" w:color="auto" w:fill="auto"/>
            <w:noWrap/>
            <w:vAlign w:val="center"/>
          </w:tcPr>
          <w:p w14:paraId="24131A80" w14:textId="77777777" w:rsidR="006C269A" w:rsidRPr="00556DF3" w:rsidRDefault="006C269A" w:rsidP="00AB05FB">
            <w:pPr>
              <w:pStyle w:val="BStableindent"/>
              <w:jc w:val="right"/>
            </w:pPr>
            <w:r w:rsidRPr="00556DF3">
              <w:t>159,469</w:t>
            </w:r>
          </w:p>
        </w:tc>
        <w:tc>
          <w:tcPr>
            <w:tcW w:w="1069" w:type="dxa"/>
            <w:tcBorders>
              <w:top w:val="single" w:sz="4" w:space="0" w:color="auto"/>
            </w:tcBorders>
            <w:shd w:val="clear" w:color="auto" w:fill="auto"/>
            <w:noWrap/>
            <w:vAlign w:val="center"/>
          </w:tcPr>
          <w:p w14:paraId="0BEC6E34" w14:textId="77777777" w:rsidR="006C269A" w:rsidRPr="00556DF3" w:rsidRDefault="006C269A" w:rsidP="00AB05FB">
            <w:pPr>
              <w:pStyle w:val="BStableindent"/>
              <w:jc w:val="right"/>
            </w:pPr>
            <w:r w:rsidRPr="00556DF3">
              <w:t>96,429</w:t>
            </w:r>
          </w:p>
        </w:tc>
        <w:tc>
          <w:tcPr>
            <w:tcW w:w="1069" w:type="dxa"/>
            <w:tcBorders>
              <w:top w:val="single" w:sz="4" w:space="0" w:color="auto"/>
            </w:tcBorders>
            <w:shd w:val="clear" w:color="auto" w:fill="auto"/>
            <w:noWrap/>
            <w:vAlign w:val="center"/>
          </w:tcPr>
          <w:p w14:paraId="084C823B" w14:textId="77777777" w:rsidR="006C269A" w:rsidRPr="00556DF3" w:rsidRDefault="006C269A" w:rsidP="00AB05FB">
            <w:pPr>
              <w:pStyle w:val="BStableindent"/>
              <w:jc w:val="right"/>
            </w:pPr>
            <w:r w:rsidRPr="00556DF3">
              <w:t>24,522</w:t>
            </w:r>
          </w:p>
        </w:tc>
        <w:tc>
          <w:tcPr>
            <w:tcW w:w="1069" w:type="dxa"/>
            <w:tcBorders>
              <w:top w:val="single" w:sz="4" w:space="0" w:color="auto"/>
            </w:tcBorders>
            <w:shd w:val="clear" w:color="auto" w:fill="auto"/>
            <w:noWrap/>
            <w:vAlign w:val="center"/>
          </w:tcPr>
          <w:p w14:paraId="7A2CD3E4" w14:textId="77777777" w:rsidR="006C269A" w:rsidRPr="00556DF3" w:rsidRDefault="006C269A" w:rsidP="00AB05FB">
            <w:pPr>
              <w:pStyle w:val="BStableindent"/>
              <w:jc w:val="right"/>
            </w:pPr>
            <w:r w:rsidRPr="00556DF3">
              <w:t>-38,637</w:t>
            </w:r>
          </w:p>
        </w:tc>
        <w:tc>
          <w:tcPr>
            <w:tcW w:w="1069" w:type="dxa"/>
            <w:tcBorders>
              <w:top w:val="single" w:sz="4" w:space="0" w:color="auto"/>
              <w:right w:val="single" w:sz="4" w:space="0" w:color="auto"/>
            </w:tcBorders>
            <w:shd w:val="clear" w:color="auto" w:fill="auto"/>
            <w:noWrap/>
            <w:vAlign w:val="center"/>
          </w:tcPr>
          <w:p w14:paraId="24C9D674" w14:textId="77777777" w:rsidR="006C269A" w:rsidRPr="00556DF3" w:rsidRDefault="006C269A" w:rsidP="00AB05FB">
            <w:pPr>
              <w:pStyle w:val="BStableindent"/>
              <w:jc w:val="right"/>
            </w:pPr>
            <w:r w:rsidRPr="00556DF3">
              <w:t>65,286</w:t>
            </w:r>
          </w:p>
        </w:tc>
      </w:tr>
      <w:tr w:rsidR="006C269A" w:rsidRPr="00556DF3" w14:paraId="618AED2B" w14:textId="77777777" w:rsidTr="00AB05FB">
        <w:trPr>
          <w:cantSplit/>
          <w:trHeight w:val="20"/>
          <w:jc w:val="center"/>
        </w:trPr>
        <w:tc>
          <w:tcPr>
            <w:tcW w:w="2869" w:type="dxa"/>
            <w:tcBorders>
              <w:left w:val="single" w:sz="4" w:space="0" w:color="auto"/>
              <w:bottom w:val="single" w:sz="4" w:space="0" w:color="auto"/>
            </w:tcBorders>
            <w:shd w:val="clear" w:color="auto" w:fill="auto"/>
          </w:tcPr>
          <w:p w14:paraId="7E928471" w14:textId="77777777" w:rsidR="006C269A" w:rsidRPr="00C75A48" w:rsidRDefault="006C269A" w:rsidP="00AB05FB">
            <w:pPr>
              <w:pStyle w:val="BStabletextbold"/>
              <w:rPr>
                <w:color w:val="472D8C"/>
              </w:rPr>
            </w:pPr>
            <w:r w:rsidRPr="00C75A48">
              <w:rPr>
                <w:color w:val="472D8C"/>
              </w:rPr>
              <w:t>HEADLINE NET OPERATING BALANCE</w:t>
            </w:r>
          </w:p>
        </w:tc>
        <w:tc>
          <w:tcPr>
            <w:tcW w:w="1068" w:type="dxa"/>
            <w:tcBorders>
              <w:bottom w:val="single" w:sz="4" w:space="0" w:color="auto"/>
            </w:tcBorders>
            <w:shd w:val="clear" w:color="auto" w:fill="auto"/>
          </w:tcPr>
          <w:p w14:paraId="55EFE5A6" w14:textId="77777777" w:rsidR="006C269A" w:rsidRPr="00C75A48" w:rsidRDefault="006C269A" w:rsidP="00AB05FB">
            <w:pPr>
              <w:pStyle w:val="BStabletextbold"/>
              <w:jc w:val="right"/>
              <w:rPr>
                <w:color w:val="472D8C"/>
              </w:rPr>
            </w:pPr>
            <w:r w:rsidRPr="00556DF3">
              <w:rPr>
                <w:color w:val="472D8C"/>
              </w:rPr>
              <w:t>248,068</w:t>
            </w:r>
          </w:p>
        </w:tc>
        <w:tc>
          <w:tcPr>
            <w:tcW w:w="1069" w:type="dxa"/>
            <w:tcBorders>
              <w:bottom w:val="single" w:sz="4" w:space="0" w:color="auto"/>
            </w:tcBorders>
            <w:shd w:val="clear" w:color="auto" w:fill="auto"/>
            <w:noWrap/>
          </w:tcPr>
          <w:p w14:paraId="6F4A0238" w14:textId="77777777" w:rsidR="006C269A" w:rsidRPr="00C75A48" w:rsidRDefault="006C269A" w:rsidP="00AB05FB">
            <w:pPr>
              <w:pStyle w:val="BStabletextbold"/>
              <w:jc w:val="right"/>
              <w:rPr>
                <w:color w:val="472D8C"/>
              </w:rPr>
            </w:pPr>
            <w:r w:rsidRPr="00556DF3">
              <w:rPr>
                <w:color w:val="472D8C"/>
              </w:rPr>
              <w:t>159,469</w:t>
            </w:r>
          </w:p>
        </w:tc>
        <w:tc>
          <w:tcPr>
            <w:tcW w:w="1069" w:type="dxa"/>
            <w:tcBorders>
              <w:bottom w:val="single" w:sz="4" w:space="0" w:color="auto"/>
            </w:tcBorders>
            <w:shd w:val="clear" w:color="auto" w:fill="auto"/>
            <w:noWrap/>
          </w:tcPr>
          <w:p w14:paraId="05441449" w14:textId="77777777" w:rsidR="006C269A" w:rsidRPr="00556DF3" w:rsidRDefault="006C269A" w:rsidP="00AB05FB">
            <w:pPr>
              <w:pStyle w:val="BStabletextbold"/>
              <w:jc w:val="right"/>
              <w:rPr>
                <w:color w:val="472D8C"/>
              </w:rPr>
            </w:pPr>
            <w:r w:rsidRPr="00556DF3">
              <w:rPr>
                <w:color w:val="472D8C"/>
              </w:rPr>
              <w:t>96,429</w:t>
            </w:r>
          </w:p>
          <w:p w14:paraId="1FCAE467" w14:textId="77777777" w:rsidR="006C269A" w:rsidRPr="00C75A48" w:rsidRDefault="006C269A" w:rsidP="00AB05FB">
            <w:pPr>
              <w:pStyle w:val="BStabletextbold"/>
              <w:jc w:val="right"/>
              <w:rPr>
                <w:color w:val="472D8C"/>
              </w:rPr>
            </w:pPr>
          </w:p>
        </w:tc>
        <w:tc>
          <w:tcPr>
            <w:tcW w:w="1069" w:type="dxa"/>
            <w:tcBorders>
              <w:bottom w:val="single" w:sz="4" w:space="0" w:color="auto"/>
            </w:tcBorders>
            <w:shd w:val="clear" w:color="auto" w:fill="auto"/>
            <w:noWrap/>
          </w:tcPr>
          <w:p w14:paraId="45A8F984" w14:textId="77777777" w:rsidR="006C269A" w:rsidRPr="00C75A48" w:rsidRDefault="006C269A" w:rsidP="00AB05FB">
            <w:pPr>
              <w:pStyle w:val="BStabletextbold"/>
              <w:jc w:val="right"/>
              <w:rPr>
                <w:color w:val="472D8C"/>
              </w:rPr>
            </w:pPr>
            <w:r w:rsidRPr="00556DF3">
              <w:rPr>
                <w:color w:val="472D8C"/>
              </w:rPr>
              <w:t>24,522</w:t>
            </w:r>
          </w:p>
        </w:tc>
        <w:tc>
          <w:tcPr>
            <w:tcW w:w="1069" w:type="dxa"/>
            <w:tcBorders>
              <w:bottom w:val="single" w:sz="4" w:space="0" w:color="auto"/>
            </w:tcBorders>
            <w:shd w:val="clear" w:color="auto" w:fill="auto"/>
            <w:noWrap/>
          </w:tcPr>
          <w:p w14:paraId="7E791C55" w14:textId="77777777" w:rsidR="006C269A" w:rsidRPr="00C75A48" w:rsidRDefault="006C269A" w:rsidP="00AB05FB">
            <w:pPr>
              <w:pStyle w:val="BStabletextbold"/>
              <w:jc w:val="right"/>
              <w:rPr>
                <w:color w:val="472D8C"/>
              </w:rPr>
            </w:pPr>
            <w:r w:rsidRPr="00556DF3">
              <w:rPr>
                <w:color w:val="472D8C"/>
              </w:rPr>
              <w:t>-38,637</w:t>
            </w:r>
          </w:p>
        </w:tc>
        <w:tc>
          <w:tcPr>
            <w:tcW w:w="1069" w:type="dxa"/>
            <w:tcBorders>
              <w:bottom w:val="single" w:sz="4" w:space="0" w:color="auto"/>
              <w:right w:val="single" w:sz="4" w:space="0" w:color="auto"/>
            </w:tcBorders>
            <w:shd w:val="clear" w:color="auto" w:fill="auto"/>
            <w:noWrap/>
          </w:tcPr>
          <w:p w14:paraId="0740F1DA" w14:textId="77777777" w:rsidR="006C269A" w:rsidRPr="00C75A48" w:rsidRDefault="006C269A" w:rsidP="00AB05FB">
            <w:pPr>
              <w:pStyle w:val="BStabletextbold"/>
              <w:jc w:val="right"/>
              <w:rPr>
                <w:color w:val="472D8C"/>
              </w:rPr>
            </w:pPr>
            <w:r w:rsidRPr="00556DF3">
              <w:rPr>
                <w:color w:val="472D8C"/>
              </w:rPr>
              <w:t>65,286</w:t>
            </w:r>
          </w:p>
        </w:tc>
      </w:tr>
    </w:tbl>
    <w:p w14:paraId="29B97492" w14:textId="77777777" w:rsidR="006C269A" w:rsidRPr="004B0596" w:rsidRDefault="006C269A" w:rsidP="00AB05FB">
      <w:pPr>
        <w:pStyle w:val="BNoteBold"/>
        <w:keepNext w:val="0"/>
        <w:ind w:left="-142"/>
      </w:pPr>
      <w:r w:rsidRPr="00601709">
        <w:t>Note:</w:t>
      </w:r>
      <w:r>
        <w:t xml:space="preserve"> </w:t>
      </w:r>
      <w:r w:rsidRPr="00556DF3">
        <w:rPr>
          <w:b w:val="0"/>
          <w:bCs/>
        </w:rPr>
        <w:t>Numbers may not add due to rounding.</w:t>
      </w:r>
    </w:p>
    <w:p w14:paraId="4AB9D8BC" w14:textId="77777777" w:rsidR="006C269A" w:rsidRDefault="006C269A">
      <w:pPr>
        <w:rPr>
          <w:b/>
          <w:iCs/>
          <w:color w:val="472D8C"/>
          <w:szCs w:val="18"/>
        </w:rPr>
      </w:pPr>
      <w:r>
        <w:br w:type="page"/>
      </w:r>
    </w:p>
    <w:p w14:paraId="56BC7A04" w14:textId="4E1677B0" w:rsidR="006C269A" w:rsidRDefault="006C269A" w:rsidP="00AB05FB">
      <w:pPr>
        <w:pStyle w:val="Caption"/>
        <w:keepNext w:val="0"/>
        <w:widowControl w:val="0"/>
      </w:pPr>
      <w:r>
        <w:lastRenderedPageBreak/>
        <w:t>Table D.</w:t>
      </w:r>
      <w:fldSimple w:instr=" SEQ Table \* ARABIC \s 2 ">
        <w:r w:rsidR="001478F3">
          <w:rPr>
            <w:noProof/>
          </w:rPr>
          <w:t>2</w:t>
        </w:r>
      </w:fldSimple>
      <w:r>
        <w:t>: Australian Capital Territory Public Trading Enterprises – Balance sheet</w:t>
      </w:r>
    </w:p>
    <w:tbl>
      <w:tblPr>
        <w:tblW w:w="10159" w:type="dxa"/>
        <w:jc w:val="center"/>
        <w:tblCellMar>
          <w:left w:w="45" w:type="dxa"/>
          <w:right w:w="45" w:type="dxa"/>
        </w:tblCellMar>
        <w:tblLook w:val="0000" w:firstRow="0" w:lastRow="0" w:firstColumn="0" w:lastColumn="0" w:noHBand="0" w:noVBand="0"/>
      </w:tblPr>
      <w:tblGrid>
        <w:gridCol w:w="2869"/>
        <w:gridCol w:w="1130"/>
        <w:gridCol w:w="1232"/>
        <w:gridCol w:w="1232"/>
        <w:gridCol w:w="1232"/>
        <w:gridCol w:w="1232"/>
        <w:gridCol w:w="1232"/>
      </w:tblGrid>
      <w:tr w:rsidR="006C269A" w:rsidRPr="006D5D15" w14:paraId="0F865A3B" w14:textId="77777777" w:rsidTr="00AB05FB">
        <w:trPr>
          <w:tblHeader/>
          <w:jc w:val="center"/>
        </w:trPr>
        <w:tc>
          <w:tcPr>
            <w:tcW w:w="2869" w:type="dxa"/>
            <w:tcBorders>
              <w:top w:val="single" w:sz="4" w:space="0" w:color="auto"/>
              <w:left w:val="nil"/>
              <w:bottom w:val="single" w:sz="4" w:space="0" w:color="auto"/>
              <w:right w:val="nil"/>
            </w:tcBorders>
            <w:shd w:val="clear" w:color="auto" w:fill="472D8C"/>
            <w:noWrap/>
          </w:tcPr>
          <w:p w14:paraId="17A1BD81" w14:textId="77777777" w:rsidR="006C269A" w:rsidRPr="00F25F0C" w:rsidRDefault="006C269A" w:rsidP="00AB05FB">
            <w:pPr>
              <w:pStyle w:val="EmptyCell0"/>
              <w:widowControl w:val="0"/>
              <w:rPr>
                <w:rFonts w:eastAsia="SimSun"/>
              </w:rPr>
            </w:pPr>
          </w:p>
        </w:tc>
        <w:tc>
          <w:tcPr>
            <w:tcW w:w="1130" w:type="dxa"/>
            <w:tcBorders>
              <w:top w:val="single" w:sz="4" w:space="0" w:color="auto"/>
              <w:left w:val="nil"/>
              <w:bottom w:val="single" w:sz="4" w:space="0" w:color="auto"/>
              <w:right w:val="nil"/>
            </w:tcBorders>
            <w:shd w:val="clear" w:color="auto" w:fill="472D8C"/>
          </w:tcPr>
          <w:p w14:paraId="32EFAD5E" w14:textId="77777777" w:rsidR="006C269A" w:rsidRPr="006D5D15" w:rsidRDefault="006C269A" w:rsidP="00AB05FB">
            <w:pPr>
              <w:pStyle w:val="BStableheading"/>
              <w:framePr w:wrap="auto" w:vAnchor="margin" w:yAlign="inline"/>
              <w:widowControl w:val="0"/>
              <w:rPr>
                <w:rFonts w:eastAsia="SimSun"/>
                <w:color w:val="FFFFFF" w:themeColor="background1"/>
                <w:lang w:val="en-AU"/>
              </w:rPr>
            </w:pPr>
            <w:r>
              <w:rPr>
                <w:rFonts w:eastAsia="SimSun"/>
                <w:color w:val="FFFFFF" w:themeColor="background1"/>
                <w:lang w:val="en-AU"/>
              </w:rPr>
              <w:t>2020-21</w:t>
            </w:r>
          </w:p>
          <w:p w14:paraId="2FDACF22" w14:textId="77777777" w:rsidR="006C269A" w:rsidRPr="006D5D15" w:rsidRDefault="006C269A" w:rsidP="00AB05FB">
            <w:pPr>
              <w:pStyle w:val="BStableheading"/>
              <w:framePr w:wrap="auto" w:vAnchor="margin" w:yAlign="inline"/>
              <w:widowControl w:val="0"/>
              <w:rPr>
                <w:rFonts w:eastAsia="SimSun"/>
                <w:color w:val="FFFFFF" w:themeColor="background1"/>
                <w:lang w:val="en-AU"/>
              </w:rPr>
            </w:pPr>
            <w:r w:rsidRPr="006D5D15">
              <w:rPr>
                <w:rFonts w:eastAsia="SimSun"/>
                <w:color w:val="FFFFFF" w:themeColor="background1"/>
                <w:lang w:val="en-AU"/>
              </w:rPr>
              <w:t>Budget</w:t>
            </w:r>
          </w:p>
          <w:p w14:paraId="6B6BF563" w14:textId="77777777" w:rsidR="00812777" w:rsidRDefault="00812777" w:rsidP="00AB05FB">
            <w:pPr>
              <w:pStyle w:val="BStableheading"/>
              <w:framePr w:wrap="around"/>
              <w:widowControl w:val="0"/>
              <w:rPr>
                <w:rFonts w:eastAsia="SimSun"/>
                <w:color w:val="FFFFFF" w:themeColor="background1"/>
                <w:lang w:val="en-AU"/>
              </w:rPr>
            </w:pPr>
          </w:p>
          <w:p w14:paraId="784918F9" w14:textId="155B522B"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232" w:type="dxa"/>
            <w:tcBorders>
              <w:top w:val="single" w:sz="4" w:space="0" w:color="auto"/>
              <w:left w:val="nil"/>
              <w:bottom w:val="single" w:sz="4" w:space="0" w:color="auto"/>
              <w:right w:val="nil"/>
            </w:tcBorders>
            <w:shd w:val="clear" w:color="auto" w:fill="472D8C"/>
            <w:noWrap/>
          </w:tcPr>
          <w:p w14:paraId="27500F8E"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4571813E" w14:textId="77777777" w:rsidR="006C269A" w:rsidRPr="006D5D15" w:rsidRDefault="006C269A" w:rsidP="00AB05FB">
            <w:pPr>
              <w:pStyle w:val="BStableheading"/>
              <w:framePr w:wrap="around"/>
              <w:widowControl w:val="0"/>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2E780C61"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232" w:type="dxa"/>
            <w:tcBorders>
              <w:top w:val="single" w:sz="4" w:space="0" w:color="auto"/>
              <w:left w:val="nil"/>
              <w:bottom w:val="single" w:sz="4" w:space="0" w:color="auto"/>
              <w:right w:val="nil"/>
            </w:tcBorders>
            <w:shd w:val="clear" w:color="auto" w:fill="472D8C"/>
            <w:noWrap/>
          </w:tcPr>
          <w:p w14:paraId="4E7FAB72"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12E115D3"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Budget</w:t>
            </w:r>
          </w:p>
          <w:p w14:paraId="600EF839" w14:textId="77777777" w:rsidR="006C269A" w:rsidRPr="006D5D15" w:rsidRDefault="006C269A" w:rsidP="00AB05FB">
            <w:pPr>
              <w:pStyle w:val="BStableheading"/>
              <w:framePr w:wrap="around"/>
              <w:widowControl w:val="0"/>
              <w:rPr>
                <w:rFonts w:eastAsia="SimSun"/>
                <w:color w:val="FFFFFF" w:themeColor="background1"/>
                <w:lang w:val="en-AU"/>
              </w:rPr>
            </w:pPr>
          </w:p>
          <w:p w14:paraId="395581DE"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232" w:type="dxa"/>
            <w:tcBorders>
              <w:top w:val="single" w:sz="4" w:space="0" w:color="auto"/>
              <w:left w:val="nil"/>
              <w:bottom w:val="single" w:sz="4" w:space="0" w:color="auto"/>
              <w:right w:val="nil"/>
            </w:tcBorders>
            <w:shd w:val="clear" w:color="auto" w:fill="472D8C"/>
            <w:noWrap/>
          </w:tcPr>
          <w:p w14:paraId="2063EF5A"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34E21109"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5FB448BB" w14:textId="77777777" w:rsidR="006C269A" w:rsidRPr="006D5D15" w:rsidRDefault="006C269A" w:rsidP="00AB05FB">
            <w:pPr>
              <w:pStyle w:val="BStableheading"/>
              <w:framePr w:wrap="around"/>
              <w:widowControl w:val="0"/>
              <w:rPr>
                <w:rFonts w:eastAsia="SimSun"/>
                <w:color w:val="FFFFFF" w:themeColor="background1"/>
                <w:lang w:val="en-AU"/>
              </w:rPr>
            </w:pPr>
          </w:p>
          <w:p w14:paraId="22570C32"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232" w:type="dxa"/>
            <w:tcBorders>
              <w:top w:val="single" w:sz="4" w:space="0" w:color="auto"/>
              <w:left w:val="nil"/>
              <w:bottom w:val="single" w:sz="4" w:space="0" w:color="auto"/>
              <w:right w:val="nil"/>
            </w:tcBorders>
            <w:shd w:val="clear" w:color="auto" w:fill="472D8C"/>
            <w:noWrap/>
          </w:tcPr>
          <w:p w14:paraId="007BA0FA"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21DB3CE3"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72BB8E6E" w14:textId="77777777" w:rsidR="006C269A" w:rsidRPr="006D5D15" w:rsidRDefault="006C269A" w:rsidP="00AB05FB">
            <w:pPr>
              <w:pStyle w:val="BStableheading"/>
              <w:framePr w:wrap="around"/>
              <w:widowControl w:val="0"/>
              <w:rPr>
                <w:rFonts w:eastAsia="SimSun"/>
                <w:color w:val="FFFFFF" w:themeColor="background1"/>
                <w:lang w:val="en-AU"/>
              </w:rPr>
            </w:pPr>
          </w:p>
          <w:p w14:paraId="2053FF9F"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232" w:type="dxa"/>
            <w:tcBorders>
              <w:top w:val="single" w:sz="4" w:space="0" w:color="auto"/>
              <w:left w:val="nil"/>
              <w:bottom w:val="single" w:sz="4" w:space="0" w:color="auto"/>
              <w:right w:val="nil"/>
            </w:tcBorders>
            <w:shd w:val="clear" w:color="auto" w:fill="472D8C"/>
            <w:noWrap/>
          </w:tcPr>
          <w:p w14:paraId="518236F9"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0B83E1DA"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5D7C112E" w14:textId="77777777" w:rsidR="006C269A" w:rsidRPr="006D5D15" w:rsidRDefault="006C269A" w:rsidP="00AB05FB">
            <w:pPr>
              <w:pStyle w:val="BStableheading"/>
              <w:framePr w:wrap="around"/>
              <w:widowControl w:val="0"/>
              <w:rPr>
                <w:rFonts w:eastAsia="SimSun"/>
                <w:color w:val="FFFFFF" w:themeColor="background1"/>
                <w:lang w:val="en-AU"/>
              </w:rPr>
            </w:pPr>
          </w:p>
          <w:p w14:paraId="7BABF942" w14:textId="77777777" w:rsidR="006C269A" w:rsidRPr="006D5D15" w:rsidRDefault="006C269A" w:rsidP="00AB05FB">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r>
      <w:tr w:rsidR="006C269A" w:rsidRPr="006D5D15" w14:paraId="3FE9E872" w14:textId="77777777" w:rsidTr="00AB05FB">
        <w:trPr>
          <w:tblHeader/>
          <w:jc w:val="center"/>
        </w:trPr>
        <w:tc>
          <w:tcPr>
            <w:tcW w:w="2869" w:type="dxa"/>
            <w:shd w:val="clear" w:color="auto" w:fill="auto"/>
            <w:noWrap/>
          </w:tcPr>
          <w:p w14:paraId="304049A6" w14:textId="77777777" w:rsidR="006C269A" w:rsidRPr="00E21387" w:rsidRDefault="006C269A" w:rsidP="00AB05FB">
            <w:pPr>
              <w:pStyle w:val="BStabletextbold"/>
            </w:pPr>
            <w:r w:rsidRPr="005A3994">
              <w:t xml:space="preserve">Financial </w:t>
            </w:r>
            <w:r>
              <w:t>a</w:t>
            </w:r>
            <w:r w:rsidRPr="005A3994">
              <w:t>ssets</w:t>
            </w:r>
          </w:p>
        </w:tc>
        <w:tc>
          <w:tcPr>
            <w:tcW w:w="1130" w:type="dxa"/>
            <w:shd w:val="clear" w:color="auto" w:fill="auto"/>
          </w:tcPr>
          <w:p w14:paraId="2D563255" w14:textId="77777777" w:rsidR="006C269A"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c>
          <w:tcPr>
            <w:tcW w:w="1232" w:type="dxa"/>
            <w:shd w:val="clear" w:color="auto" w:fill="auto"/>
            <w:noWrap/>
          </w:tcPr>
          <w:p w14:paraId="5ED5B63A" w14:textId="77777777" w:rsidR="006C269A" w:rsidRPr="006D5D15"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c>
          <w:tcPr>
            <w:tcW w:w="1232" w:type="dxa"/>
            <w:shd w:val="clear" w:color="auto" w:fill="auto"/>
            <w:noWrap/>
          </w:tcPr>
          <w:p w14:paraId="47BCB69F" w14:textId="77777777" w:rsidR="006C269A" w:rsidRPr="006D5D15"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c>
          <w:tcPr>
            <w:tcW w:w="1232" w:type="dxa"/>
            <w:shd w:val="clear" w:color="auto" w:fill="auto"/>
            <w:noWrap/>
          </w:tcPr>
          <w:p w14:paraId="2DB6CCA7" w14:textId="77777777" w:rsidR="006C269A" w:rsidRPr="006D5D15"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c>
          <w:tcPr>
            <w:tcW w:w="1232" w:type="dxa"/>
            <w:shd w:val="clear" w:color="auto" w:fill="auto"/>
            <w:noWrap/>
          </w:tcPr>
          <w:p w14:paraId="58D5E2CE" w14:textId="77777777" w:rsidR="006C269A" w:rsidRPr="006D5D15"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c>
          <w:tcPr>
            <w:tcW w:w="1232" w:type="dxa"/>
            <w:shd w:val="clear" w:color="auto" w:fill="auto"/>
            <w:noWrap/>
          </w:tcPr>
          <w:p w14:paraId="206AE542" w14:textId="77777777" w:rsidR="006C269A" w:rsidRPr="006D5D15" w:rsidRDefault="006C269A" w:rsidP="00AB05FB">
            <w:pPr>
              <w:pStyle w:val="Btablefigureunbold"/>
              <w:rPr>
                <w:rFonts w:eastAsia="SimSun"/>
                <w:color w:val="FFFFFF" w:themeColor="background1"/>
              </w:rPr>
            </w:pPr>
            <w:r w:rsidRPr="00063EE9">
              <w:rPr>
                <w:rFonts w:cs="Calibri"/>
                <w:color w:val="FFFFFF"/>
                <w:sz w:val="12"/>
                <w:highlight w:val="yellow"/>
              </w:rPr>
              <w:t xml:space="preserve"> </w:t>
            </w:r>
          </w:p>
        </w:tc>
      </w:tr>
      <w:tr w:rsidR="006C269A" w:rsidRPr="006D5D15" w14:paraId="407B010D" w14:textId="77777777" w:rsidTr="00AB05FB">
        <w:trPr>
          <w:tblHeader/>
          <w:jc w:val="center"/>
        </w:trPr>
        <w:tc>
          <w:tcPr>
            <w:tcW w:w="2869" w:type="dxa"/>
            <w:shd w:val="clear" w:color="auto" w:fill="auto"/>
            <w:noWrap/>
          </w:tcPr>
          <w:p w14:paraId="0B874498" w14:textId="77777777" w:rsidR="006C269A" w:rsidRPr="00E21387" w:rsidRDefault="006C269A" w:rsidP="00AB05FB">
            <w:pPr>
              <w:pStyle w:val="BStabletextunbold"/>
            </w:pPr>
            <w:r w:rsidRPr="005A3994">
              <w:t xml:space="preserve">Cash and </w:t>
            </w:r>
            <w:r>
              <w:t>d</w:t>
            </w:r>
            <w:r w:rsidRPr="005A3994">
              <w:t>eposits</w:t>
            </w:r>
          </w:p>
        </w:tc>
        <w:tc>
          <w:tcPr>
            <w:tcW w:w="1130" w:type="dxa"/>
            <w:shd w:val="clear" w:color="auto" w:fill="auto"/>
          </w:tcPr>
          <w:p w14:paraId="5F5F3343" w14:textId="77777777" w:rsidR="006C269A" w:rsidRPr="004748D8" w:rsidRDefault="006C269A" w:rsidP="00AB05FB">
            <w:pPr>
              <w:pStyle w:val="BStabletext"/>
              <w:jc w:val="right"/>
            </w:pPr>
            <w:r w:rsidRPr="004748D8">
              <w:t>129,581</w:t>
            </w:r>
          </w:p>
        </w:tc>
        <w:tc>
          <w:tcPr>
            <w:tcW w:w="1232" w:type="dxa"/>
            <w:shd w:val="clear" w:color="auto" w:fill="auto"/>
            <w:noWrap/>
          </w:tcPr>
          <w:p w14:paraId="623E8C72" w14:textId="77777777" w:rsidR="006C269A" w:rsidRPr="004748D8" w:rsidRDefault="006C269A" w:rsidP="00AB05FB">
            <w:pPr>
              <w:pStyle w:val="BStabletext"/>
              <w:jc w:val="right"/>
            </w:pPr>
            <w:r w:rsidRPr="004748D8">
              <w:t>325,146</w:t>
            </w:r>
          </w:p>
        </w:tc>
        <w:tc>
          <w:tcPr>
            <w:tcW w:w="1232" w:type="dxa"/>
            <w:shd w:val="clear" w:color="auto" w:fill="auto"/>
            <w:noWrap/>
            <w:vAlign w:val="bottom"/>
          </w:tcPr>
          <w:p w14:paraId="149EDBF7" w14:textId="77777777" w:rsidR="006C269A" w:rsidRPr="004748D8" w:rsidRDefault="006C269A" w:rsidP="00AB05FB">
            <w:pPr>
              <w:pStyle w:val="BStabletext"/>
              <w:jc w:val="right"/>
            </w:pPr>
            <w:r w:rsidRPr="004748D8">
              <w:t>142,247</w:t>
            </w:r>
          </w:p>
        </w:tc>
        <w:tc>
          <w:tcPr>
            <w:tcW w:w="1232" w:type="dxa"/>
            <w:shd w:val="clear" w:color="auto" w:fill="auto"/>
            <w:noWrap/>
            <w:vAlign w:val="bottom"/>
          </w:tcPr>
          <w:p w14:paraId="2D695172" w14:textId="77777777" w:rsidR="006C269A" w:rsidRPr="004748D8" w:rsidRDefault="006C269A" w:rsidP="00AB05FB">
            <w:pPr>
              <w:pStyle w:val="BStabletext"/>
              <w:jc w:val="right"/>
            </w:pPr>
            <w:r w:rsidRPr="004748D8">
              <w:t>150,501</w:t>
            </w:r>
          </w:p>
        </w:tc>
        <w:tc>
          <w:tcPr>
            <w:tcW w:w="1232" w:type="dxa"/>
            <w:shd w:val="clear" w:color="auto" w:fill="auto"/>
            <w:noWrap/>
            <w:vAlign w:val="bottom"/>
          </w:tcPr>
          <w:p w14:paraId="3C665D87" w14:textId="77777777" w:rsidR="006C269A" w:rsidRPr="004748D8" w:rsidRDefault="006C269A" w:rsidP="00AB05FB">
            <w:pPr>
              <w:pStyle w:val="BStabletext"/>
              <w:jc w:val="right"/>
            </w:pPr>
            <w:r w:rsidRPr="004748D8">
              <w:t>188,037</w:t>
            </w:r>
          </w:p>
        </w:tc>
        <w:tc>
          <w:tcPr>
            <w:tcW w:w="1232" w:type="dxa"/>
            <w:shd w:val="clear" w:color="auto" w:fill="auto"/>
            <w:noWrap/>
            <w:vAlign w:val="bottom"/>
          </w:tcPr>
          <w:p w14:paraId="3E1ED916" w14:textId="77777777" w:rsidR="006C269A" w:rsidRPr="004748D8" w:rsidRDefault="006C269A" w:rsidP="00AB05FB">
            <w:pPr>
              <w:pStyle w:val="BStabletext"/>
              <w:jc w:val="right"/>
            </w:pPr>
            <w:r w:rsidRPr="004748D8">
              <w:t>119,957</w:t>
            </w:r>
          </w:p>
        </w:tc>
      </w:tr>
      <w:tr w:rsidR="006C269A" w:rsidRPr="006D5D15" w14:paraId="2ACA5E02" w14:textId="77777777" w:rsidTr="00AB05FB">
        <w:trPr>
          <w:tblHeader/>
          <w:jc w:val="center"/>
        </w:trPr>
        <w:tc>
          <w:tcPr>
            <w:tcW w:w="2869" w:type="dxa"/>
            <w:shd w:val="clear" w:color="auto" w:fill="auto"/>
            <w:noWrap/>
          </w:tcPr>
          <w:p w14:paraId="49E42451" w14:textId="77777777" w:rsidR="006C269A" w:rsidRPr="00E21387" w:rsidRDefault="006C269A" w:rsidP="00AB05FB">
            <w:pPr>
              <w:pStyle w:val="BStabletextunbold"/>
            </w:pPr>
            <w:r w:rsidRPr="005A3994">
              <w:t xml:space="preserve">Advances </w:t>
            </w:r>
            <w:r>
              <w:t>p</w:t>
            </w:r>
            <w:r w:rsidRPr="005A3994">
              <w:t>aid</w:t>
            </w:r>
          </w:p>
        </w:tc>
        <w:tc>
          <w:tcPr>
            <w:tcW w:w="1130" w:type="dxa"/>
            <w:shd w:val="clear" w:color="auto" w:fill="auto"/>
          </w:tcPr>
          <w:p w14:paraId="50521409" w14:textId="77777777" w:rsidR="006C269A" w:rsidRPr="004748D8" w:rsidRDefault="006C269A" w:rsidP="00AB05FB">
            <w:pPr>
              <w:pStyle w:val="BStabletext"/>
              <w:jc w:val="right"/>
            </w:pPr>
            <w:r w:rsidRPr="004748D8">
              <w:t>9,103</w:t>
            </w:r>
          </w:p>
        </w:tc>
        <w:tc>
          <w:tcPr>
            <w:tcW w:w="1232" w:type="dxa"/>
            <w:shd w:val="clear" w:color="auto" w:fill="auto"/>
            <w:noWrap/>
          </w:tcPr>
          <w:p w14:paraId="77D78A96" w14:textId="77777777" w:rsidR="006C269A" w:rsidRPr="004748D8" w:rsidRDefault="006C269A" w:rsidP="00AB05FB">
            <w:pPr>
              <w:pStyle w:val="BStabletext"/>
              <w:jc w:val="right"/>
            </w:pPr>
            <w:r w:rsidRPr="004748D8">
              <w:t>927</w:t>
            </w:r>
          </w:p>
        </w:tc>
        <w:tc>
          <w:tcPr>
            <w:tcW w:w="1232" w:type="dxa"/>
            <w:shd w:val="clear" w:color="auto" w:fill="auto"/>
            <w:noWrap/>
            <w:vAlign w:val="bottom"/>
          </w:tcPr>
          <w:p w14:paraId="22EC9D39" w14:textId="77777777" w:rsidR="006C269A" w:rsidRPr="004748D8" w:rsidRDefault="006C269A" w:rsidP="00AB05FB">
            <w:pPr>
              <w:pStyle w:val="BStabletext"/>
              <w:jc w:val="right"/>
            </w:pPr>
            <w:r w:rsidRPr="004748D8">
              <w:t>0</w:t>
            </w:r>
          </w:p>
        </w:tc>
        <w:tc>
          <w:tcPr>
            <w:tcW w:w="1232" w:type="dxa"/>
            <w:shd w:val="clear" w:color="auto" w:fill="auto"/>
            <w:noWrap/>
            <w:vAlign w:val="bottom"/>
          </w:tcPr>
          <w:p w14:paraId="6A584994" w14:textId="77777777" w:rsidR="006C269A" w:rsidRPr="004748D8" w:rsidRDefault="006C269A" w:rsidP="00AB05FB">
            <w:pPr>
              <w:pStyle w:val="BStabletext"/>
              <w:jc w:val="right"/>
            </w:pPr>
            <w:r w:rsidRPr="004748D8">
              <w:t>0</w:t>
            </w:r>
          </w:p>
        </w:tc>
        <w:tc>
          <w:tcPr>
            <w:tcW w:w="1232" w:type="dxa"/>
            <w:shd w:val="clear" w:color="auto" w:fill="auto"/>
            <w:noWrap/>
            <w:vAlign w:val="bottom"/>
          </w:tcPr>
          <w:p w14:paraId="580BA39B" w14:textId="77777777" w:rsidR="006C269A" w:rsidRPr="004748D8" w:rsidRDefault="006C269A" w:rsidP="00AB05FB">
            <w:pPr>
              <w:pStyle w:val="BStabletext"/>
              <w:jc w:val="right"/>
            </w:pPr>
            <w:r w:rsidRPr="004748D8">
              <w:t>0</w:t>
            </w:r>
          </w:p>
        </w:tc>
        <w:tc>
          <w:tcPr>
            <w:tcW w:w="1232" w:type="dxa"/>
            <w:shd w:val="clear" w:color="auto" w:fill="auto"/>
            <w:noWrap/>
            <w:vAlign w:val="bottom"/>
          </w:tcPr>
          <w:p w14:paraId="51906047" w14:textId="77777777" w:rsidR="006C269A" w:rsidRPr="004748D8" w:rsidRDefault="006C269A" w:rsidP="00AB05FB">
            <w:pPr>
              <w:pStyle w:val="BStabletext"/>
              <w:jc w:val="right"/>
            </w:pPr>
            <w:r w:rsidRPr="004748D8">
              <w:t>0</w:t>
            </w:r>
          </w:p>
        </w:tc>
      </w:tr>
      <w:tr w:rsidR="006C269A" w:rsidRPr="006D5D15" w14:paraId="2FF7028C" w14:textId="77777777" w:rsidTr="00AB05FB">
        <w:trPr>
          <w:tblHeader/>
          <w:jc w:val="center"/>
        </w:trPr>
        <w:tc>
          <w:tcPr>
            <w:tcW w:w="2869" w:type="dxa"/>
            <w:shd w:val="clear" w:color="auto" w:fill="auto"/>
            <w:noWrap/>
          </w:tcPr>
          <w:p w14:paraId="308540E1" w14:textId="77777777" w:rsidR="006C269A" w:rsidRPr="00E21387" w:rsidRDefault="006C269A" w:rsidP="00AB05FB">
            <w:pPr>
              <w:pStyle w:val="BStabletextunbold"/>
            </w:pPr>
            <w:r w:rsidRPr="005A3994">
              <w:t xml:space="preserve">Investments and </w:t>
            </w:r>
            <w:r>
              <w:t>l</w:t>
            </w:r>
            <w:r w:rsidRPr="005A3994">
              <w:t>oans</w:t>
            </w:r>
          </w:p>
        </w:tc>
        <w:tc>
          <w:tcPr>
            <w:tcW w:w="1130" w:type="dxa"/>
            <w:shd w:val="clear" w:color="auto" w:fill="auto"/>
          </w:tcPr>
          <w:p w14:paraId="0316BC87" w14:textId="77777777" w:rsidR="006C269A" w:rsidRPr="004748D8" w:rsidRDefault="006C269A" w:rsidP="00AB05FB">
            <w:pPr>
              <w:pStyle w:val="BStabletext"/>
              <w:jc w:val="right"/>
            </w:pPr>
            <w:r w:rsidRPr="004748D8">
              <w:t>13,000</w:t>
            </w:r>
          </w:p>
        </w:tc>
        <w:tc>
          <w:tcPr>
            <w:tcW w:w="1232" w:type="dxa"/>
            <w:shd w:val="clear" w:color="auto" w:fill="auto"/>
            <w:noWrap/>
          </w:tcPr>
          <w:p w14:paraId="1A4B30C8" w14:textId="77777777" w:rsidR="006C269A" w:rsidRPr="004748D8" w:rsidRDefault="006C269A" w:rsidP="00AB05FB">
            <w:pPr>
              <w:pStyle w:val="BStabletext"/>
              <w:jc w:val="right"/>
            </w:pPr>
            <w:r w:rsidRPr="004748D8">
              <w:t>40,000</w:t>
            </w:r>
          </w:p>
        </w:tc>
        <w:tc>
          <w:tcPr>
            <w:tcW w:w="1232" w:type="dxa"/>
            <w:shd w:val="clear" w:color="auto" w:fill="auto"/>
            <w:noWrap/>
            <w:vAlign w:val="bottom"/>
          </w:tcPr>
          <w:p w14:paraId="519B22CD" w14:textId="77777777" w:rsidR="006C269A" w:rsidRPr="004748D8" w:rsidRDefault="006C269A" w:rsidP="00AB05FB">
            <w:pPr>
              <w:pStyle w:val="BStabletext"/>
              <w:jc w:val="right"/>
            </w:pPr>
            <w:r w:rsidRPr="004748D8">
              <w:t>40,000</w:t>
            </w:r>
          </w:p>
        </w:tc>
        <w:tc>
          <w:tcPr>
            <w:tcW w:w="1232" w:type="dxa"/>
            <w:shd w:val="clear" w:color="auto" w:fill="auto"/>
            <w:noWrap/>
            <w:vAlign w:val="bottom"/>
          </w:tcPr>
          <w:p w14:paraId="47930184" w14:textId="77777777" w:rsidR="006C269A" w:rsidRPr="004748D8" w:rsidRDefault="006C269A" w:rsidP="00AB05FB">
            <w:pPr>
              <w:pStyle w:val="BStabletext"/>
              <w:jc w:val="right"/>
            </w:pPr>
            <w:r w:rsidRPr="004748D8">
              <w:t>40,000</w:t>
            </w:r>
          </w:p>
        </w:tc>
        <w:tc>
          <w:tcPr>
            <w:tcW w:w="1232" w:type="dxa"/>
            <w:shd w:val="clear" w:color="auto" w:fill="auto"/>
            <w:noWrap/>
            <w:vAlign w:val="bottom"/>
          </w:tcPr>
          <w:p w14:paraId="6DAE0622" w14:textId="77777777" w:rsidR="006C269A" w:rsidRPr="004748D8" w:rsidRDefault="006C269A" w:rsidP="00AB05FB">
            <w:pPr>
              <w:pStyle w:val="BStabletext"/>
              <w:jc w:val="right"/>
            </w:pPr>
            <w:r w:rsidRPr="004748D8">
              <w:t>40,000</w:t>
            </w:r>
          </w:p>
        </w:tc>
        <w:tc>
          <w:tcPr>
            <w:tcW w:w="1232" w:type="dxa"/>
            <w:shd w:val="clear" w:color="auto" w:fill="auto"/>
            <w:noWrap/>
            <w:vAlign w:val="bottom"/>
          </w:tcPr>
          <w:p w14:paraId="482E36BE" w14:textId="77777777" w:rsidR="006C269A" w:rsidRPr="004748D8" w:rsidRDefault="006C269A" w:rsidP="00AB05FB">
            <w:pPr>
              <w:pStyle w:val="BStabletext"/>
              <w:jc w:val="right"/>
            </w:pPr>
            <w:r w:rsidRPr="004748D8">
              <w:t>40,000</w:t>
            </w:r>
          </w:p>
        </w:tc>
      </w:tr>
      <w:tr w:rsidR="006C269A" w:rsidRPr="006D5D15" w14:paraId="6C7E07FF" w14:textId="77777777" w:rsidTr="00AB05FB">
        <w:trPr>
          <w:tblHeader/>
          <w:jc w:val="center"/>
        </w:trPr>
        <w:tc>
          <w:tcPr>
            <w:tcW w:w="2869" w:type="dxa"/>
            <w:shd w:val="clear" w:color="auto" w:fill="auto"/>
            <w:noWrap/>
          </w:tcPr>
          <w:p w14:paraId="32298170" w14:textId="77777777" w:rsidR="006C269A" w:rsidRPr="00E21387" w:rsidRDefault="006C269A" w:rsidP="00AB05FB">
            <w:pPr>
              <w:pStyle w:val="BStabletextunbold"/>
            </w:pPr>
            <w:r w:rsidRPr="005A3994">
              <w:t>Receivables</w:t>
            </w:r>
          </w:p>
        </w:tc>
        <w:tc>
          <w:tcPr>
            <w:tcW w:w="1130" w:type="dxa"/>
            <w:shd w:val="clear" w:color="auto" w:fill="auto"/>
          </w:tcPr>
          <w:p w14:paraId="7D577196" w14:textId="77777777" w:rsidR="006C269A" w:rsidRPr="004748D8" w:rsidRDefault="006C269A" w:rsidP="00AB05FB">
            <w:pPr>
              <w:pStyle w:val="BStabletext"/>
              <w:jc w:val="right"/>
            </w:pPr>
            <w:r w:rsidRPr="004748D8">
              <w:t>103,980</w:t>
            </w:r>
          </w:p>
        </w:tc>
        <w:tc>
          <w:tcPr>
            <w:tcW w:w="1232" w:type="dxa"/>
            <w:shd w:val="clear" w:color="auto" w:fill="auto"/>
            <w:noWrap/>
          </w:tcPr>
          <w:p w14:paraId="1EAD87C6" w14:textId="77777777" w:rsidR="006C269A" w:rsidRPr="004748D8" w:rsidRDefault="006C269A" w:rsidP="00AB05FB">
            <w:pPr>
              <w:pStyle w:val="BStabletext"/>
              <w:jc w:val="right"/>
            </w:pPr>
            <w:r w:rsidRPr="004748D8">
              <w:t>87,207</w:t>
            </w:r>
          </w:p>
        </w:tc>
        <w:tc>
          <w:tcPr>
            <w:tcW w:w="1232" w:type="dxa"/>
            <w:shd w:val="clear" w:color="auto" w:fill="auto"/>
            <w:noWrap/>
            <w:vAlign w:val="bottom"/>
          </w:tcPr>
          <w:p w14:paraId="023E6936" w14:textId="77777777" w:rsidR="006C269A" w:rsidRPr="004748D8" w:rsidRDefault="006C269A" w:rsidP="00AB05FB">
            <w:pPr>
              <w:pStyle w:val="BStabletext"/>
              <w:jc w:val="right"/>
            </w:pPr>
            <w:r w:rsidRPr="004748D8">
              <w:t>69,568</w:t>
            </w:r>
          </w:p>
        </w:tc>
        <w:tc>
          <w:tcPr>
            <w:tcW w:w="1232" w:type="dxa"/>
            <w:shd w:val="clear" w:color="auto" w:fill="auto"/>
            <w:noWrap/>
            <w:vAlign w:val="bottom"/>
          </w:tcPr>
          <w:p w14:paraId="2F56EB86" w14:textId="77777777" w:rsidR="006C269A" w:rsidRPr="004748D8" w:rsidRDefault="006C269A" w:rsidP="00AB05FB">
            <w:pPr>
              <w:pStyle w:val="BStabletext"/>
              <w:jc w:val="right"/>
            </w:pPr>
            <w:r w:rsidRPr="004748D8">
              <w:t>73,726</w:t>
            </w:r>
          </w:p>
        </w:tc>
        <w:tc>
          <w:tcPr>
            <w:tcW w:w="1232" w:type="dxa"/>
            <w:shd w:val="clear" w:color="auto" w:fill="auto"/>
            <w:noWrap/>
            <w:vAlign w:val="bottom"/>
          </w:tcPr>
          <w:p w14:paraId="34964248" w14:textId="77777777" w:rsidR="006C269A" w:rsidRPr="004748D8" w:rsidRDefault="006C269A" w:rsidP="00AB05FB">
            <w:pPr>
              <w:pStyle w:val="BStabletext"/>
              <w:jc w:val="right"/>
            </w:pPr>
            <w:r w:rsidRPr="004748D8">
              <w:t>72,401</w:t>
            </w:r>
          </w:p>
        </w:tc>
        <w:tc>
          <w:tcPr>
            <w:tcW w:w="1232" w:type="dxa"/>
            <w:shd w:val="clear" w:color="auto" w:fill="auto"/>
            <w:noWrap/>
            <w:vAlign w:val="bottom"/>
          </w:tcPr>
          <w:p w14:paraId="0379A365" w14:textId="77777777" w:rsidR="006C269A" w:rsidRPr="004748D8" w:rsidRDefault="006C269A" w:rsidP="00AB05FB">
            <w:pPr>
              <w:pStyle w:val="BStabletext"/>
              <w:jc w:val="right"/>
            </w:pPr>
            <w:r w:rsidRPr="004748D8">
              <w:t>75,147</w:t>
            </w:r>
          </w:p>
        </w:tc>
      </w:tr>
      <w:tr w:rsidR="006C269A" w:rsidRPr="006D5D15" w14:paraId="376B2493" w14:textId="77777777" w:rsidTr="00AB05FB">
        <w:trPr>
          <w:tblHeader/>
          <w:jc w:val="center"/>
        </w:trPr>
        <w:tc>
          <w:tcPr>
            <w:tcW w:w="2869" w:type="dxa"/>
            <w:shd w:val="clear" w:color="auto" w:fill="auto"/>
            <w:noWrap/>
          </w:tcPr>
          <w:p w14:paraId="3A05A538" w14:textId="77777777" w:rsidR="006C269A" w:rsidRPr="00E21387" w:rsidRDefault="006C269A" w:rsidP="00AB05FB">
            <w:pPr>
              <w:pStyle w:val="BStabletextunbold"/>
            </w:pPr>
            <w:r>
              <w:t>Equity investments</w:t>
            </w:r>
          </w:p>
        </w:tc>
        <w:tc>
          <w:tcPr>
            <w:tcW w:w="1130" w:type="dxa"/>
            <w:shd w:val="clear" w:color="auto" w:fill="auto"/>
          </w:tcPr>
          <w:p w14:paraId="05A01842" w14:textId="77777777" w:rsidR="006C269A" w:rsidRPr="004748D8" w:rsidRDefault="006C269A" w:rsidP="00AB05FB">
            <w:pPr>
              <w:pStyle w:val="BStabletext"/>
              <w:jc w:val="right"/>
            </w:pPr>
            <w:r w:rsidRPr="004748D8">
              <w:t>1,047,451</w:t>
            </w:r>
          </w:p>
        </w:tc>
        <w:tc>
          <w:tcPr>
            <w:tcW w:w="1232" w:type="dxa"/>
            <w:shd w:val="clear" w:color="auto" w:fill="auto"/>
            <w:noWrap/>
          </w:tcPr>
          <w:p w14:paraId="69CF5751" w14:textId="77777777" w:rsidR="006C269A" w:rsidRPr="004748D8" w:rsidRDefault="006C269A" w:rsidP="00AB05FB">
            <w:pPr>
              <w:pStyle w:val="BStabletext"/>
              <w:jc w:val="right"/>
            </w:pPr>
            <w:r w:rsidRPr="004748D8">
              <w:t>969,514</w:t>
            </w:r>
          </w:p>
        </w:tc>
        <w:tc>
          <w:tcPr>
            <w:tcW w:w="1232" w:type="dxa"/>
            <w:shd w:val="clear" w:color="auto" w:fill="auto"/>
            <w:noWrap/>
            <w:vAlign w:val="bottom"/>
          </w:tcPr>
          <w:p w14:paraId="5255B93C" w14:textId="77777777" w:rsidR="006C269A" w:rsidRPr="004748D8" w:rsidRDefault="006C269A" w:rsidP="00AB05FB">
            <w:pPr>
              <w:pStyle w:val="BStabletext"/>
              <w:jc w:val="right"/>
            </w:pPr>
            <w:r w:rsidRPr="004748D8">
              <w:t>993,607</w:t>
            </w:r>
          </w:p>
        </w:tc>
        <w:tc>
          <w:tcPr>
            <w:tcW w:w="1232" w:type="dxa"/>
            <w:shd w:val="clear" w:color="auto" w:fill="auto"/>
            <w:noWrap/>
            <w:vAlign w:val="bottom"/>
          </w:tcPr>
          <w:p w14:paraId="3DB00179" w14:textId="77777777" w:rsidR="006C269A" w:rsidRPr="004748D8" w:rsidRDefault="006C269A" w:rsidP="00AB05FB">
            <w:pPr>
              <w:pStyle w:val="BStabletext"/>
              <w:jc w:val="right"/>
            </w:pPr>
            <w:r w:rsidRPr="004748D8">
              <w:t>1,010,828</w:t>
            </w:r>
          </w:p>
        </w:tc>
        <w:tc>
          <w:tcPr>
            <w:tcW w:w="1232" w:type="dxa"/>
            <w:shd w:val="clear" w:color="auto" w:fill="auto"/>
            <w:noWrap/>
            <w:vAlign w:val="bottom"/>
          </w:tcPr>
          <w:p w14:paraId="24354E29" w14:textId="77777777" w:rsidR="006C269A" w:rsidRPr="004748D8" w:rsidRDefault="006C269A" w:rsidP="00AB05FB">
            <w:pPr>
              <w:pStyle w:val="BStabletext"/>
              <w:jc w:val="right"/>
            </w:pPr>
            <w:r w:rsidRPr="004748D8">
              <w:t>1,020,466</w:t>
            </w:r>
          </w:p>
        </w:tc>
        <w:tc>
          <w:tcPr>
            <w:tcW w:w="1232" w:type="dxa"/>
            <w:shd w:val="clear" w:color="auto" w:fill="auto"/>
            <w:noWrap/>
            <w:vAlign w:val="bottom"/>
          </w:tcPr>
          <w:p w14:paraId="2C042E26" w14:textId="77777777" w:rsidR="006C269A" w:rsidRPr="004748D8" w:rsidRDefault="006C269A" w:rsidP="00AB05FB">
            <w:pPr>
              <w:pStyle w:val="BStabletext"/>
              <w:jc w:val="right"/>
            </w:pPr>
            <w:r w:rsidRPr="004748D8">
              <w:t>1,023,545</w:t>
            </w:r>
          </w:p>
        </w:tc>
      </w:tr>
      <w:tr w:rsidR="006C269A" w:rsidRPr="006D5D15" w14:paraId="04FFCF6C" w14:textId="77777777" w:rsidTr="00AB05FB">
        <w:trPr>
          <w:tblHeader/>
          <w:jc w:val="center"/>
        </w:trPr>
        <w:tc>
          <w:tcPr>
            <w:tcW w:w="2869" w:type="dxa"/>
            <w:shd w:val="clear" w:color="auto" w:fill="auto"/>
            <w:noWrap/>
          </w:tcPr>
          <w:p w14:paraId="2466DACB" w14:textId="77777777" w:rsidR="006C269A" w:rsidRPr="00E21387" w:rsidRDefault="006C269A" w:rsidP="00AB05FB">
            <w:pPr>
              <w:pStyle w:val="BStabletextbold"/>
            </w:pPr>
            <w:r w:rsidRPr="005A3994">
              <w:t xml:space="preserve">Total </w:t>
            </w:r>
            <w:r>
              <w:t>f</w:t>
            </w:r>
            <w:r w:rsidRPr="005A3994">
              <w:t xml:space="preserve">inancial </w:t>
            </w:r>
            <w:r>
              <w:t>a</w:t>
            </w:r>
            <w:r w:rsidRPr="005A3994">
              <w:t>ssets</w:t>
            </w:r>
          </w:p>
        </w:tc>
        <w:tc>
          <w:tcPr>
            <w:tcW w:w="1130" w:type="dxa"/>
            <w:shd w:val="clear" w:color="auto" w:fill="auto"/>
          </w:tcPr>
          <w:p w14:paraId="18E46ADA" w14:textId="77777777" w:rsidR="006C269A" w:rsidRPr="004748D8" w:rsidRDefault="006C269A" w:rsidP="00AB05FB">
            <w:pPr>
              <w:pStyle w:val="BStabletextbold"/>
              <w:jc w:val="right"/>
            </w:pPr>
            <w:r w:rsidRPr="004748D8">
              <w:t>1,303,115</w:t>
            </w:r>
          </w:p>
        </w:tc>
        <w:tc>
          <w:tcPr>
            <w:tcW w:w="1232" w:type="dxa"/>
            <w:shd w:val="clear" w:color="auto" w:fill="auto"/>
            <w:noWrap/>
          </w:tcPr>
          <w:p w14:paraId="0DE3DD27" w14:textId="77777777" w:rsidR="006C269A" w:rsidRPr="004748D8" w:rsidRDefault="006C269A" w:rsidP="00AB05FB">
            <w:pPr>
              <w:pStyle w:val="BStabletextbold"/>
              <w:jc w:val="right"/>
            </w:pPr>
            <w:r w:rsidRPr="004748D8">
              <w:t>1,422,794</w:t>
            </w:r>
          </w:p>
        </w:tc>
        <w:tc>
          <w:tcPr>
            <w:tcW w:w="1232" w:type="dxa"/>
            <w:shd w:val="clear" w:color="auto" w:fill="auto"/>
            <w:noWrap/>
            <w:vAlign w:val="bottom"/>
          </w:tcPr>
          <w:p w14:paraId="79A7DE3B" w14:textId="77777777" w:rsidR="006C269A" w:rsidRPr="004748D8" w:rsidRDefault="006C269A" w:rsidP="00AB05FB">
            <w:pPr>
              <w:pStyle w:val="BStabletextbold"/>
              <w:jc w:val="right"/>
            </w:pPr>
            <w:r w:rsidRPr="004748D8">
              <w:t>1,245,422</w:t>
            </w:r>
          </w:p>
        </w:tc>
        <w:tc>
          <w:tcPr>
            <w:tcW w:w="1232" w:type="dxa"/>
            <w:shd w:val="clear" w:color="auto" w:fill="auto"/>
            <w:noWrap/>
            <w:vAlign w:val="bottom"/>
          </w:tcPr>
          <w:p w14:paraId="38057F0F" w14:textId="77777777" w:rsidR="006C269A" w:rsidRPr="004748D8" w:rsidRDefault="006C269A" w:rsidP="00AB05FB">
            <w:pPr>
              <w:pStyle w:val="BStabletextbold"/>
              <w:jc w:val="right"/>
            </w:pPr>
            <w:r w:rsidRPr="004748D8">
              <w:t>1,275,055</w:t>
            </w:r>
          </w:p>
        </w:tc>
        <w:tc>
          <w:tcPr>
            <w:tcW w:w="1232" w:type="dxa"/>
            <w:shd w:val="clear" w:color="auto" w:fill="auto"/>
            <w:noWrap/>
            <w:vAlign w:val="bottom"/>
          </w:tcPr>
          <w:p w14:paraId="45E84594" w14:textId="77777777" w:rsidR="006C269A" w:rsidRPr="004748D8" w:rsidRDefault="006C269A" w:rsidP="00AB05FB">
            <w:pPr>
              <w:pStyle w:val="BStabletextbold"/>
              <w:jc w:val="right"/>
            </w:pPr>
            <w:r w:rsidRPr="004748D8">
              <w:t>1,320,904</w:t>
            </w:r>
          </w:p>
        </w:tc>
        <w:tc>
          <w:tcPr>
            <w:tcW w:w="1232" w:type="dxa"/>
            <w:shd w:val="clear" w:color="auto" w:fill="auto"/>
            <w:noWrap/>
            <w:vAlign w:val="bottom"/>
          </w:tcPr>
          <w:p w14:paraId="7AC22484" w14:textId="77777777" w:rsidR="006C269A" w:rsidRPr="004748D8" w:rsidRDefault="006C269A" w:rsidP="00AB05FB">
            <w:pPr>
              <w:pStyle w:val="BStabletextbold"/>
              <w:jc w:val="right"/>
            </w:pPr>
            <w:r w:rsidRPr="004748D8">
              <w:t>1,258,649</w:t>
            </w:r>
          </w:p>
        </w:tc>
      </w:tr>
      <w:tr w:rsidR="006C269A" w:rsidRPr="006D5D15" w14:paraId="7A9DE43D" w14:textId="77777777" w:rsidTr="00AB05FB">
        <w:trPr>
          <w:tblHeader/>
          <w:jc w:val="center"/>
        </w:trPr>
        <w:tc>
          <w:tcPr>
            <w:tcW w:w="2869" w:type="dxa"/>
            <w:shd w:val="clear" w:color="auto" w:fill="auto"/>
            <w:noWrap/>
            <w:vAlign w:val="bottom"/>
          </w:tcPr>
          <w:p w14:paraId="64C51243" w14:textId="77777777" w:rsidR="006C269A" w:rsidRPr="00E21387" w:rsidRDefault="006C269A" w:rsidP="00AB05FB">
            <w:pPr>
              <w:pStyle w:val="BStabletextbold"/>
            </w:pPr>
            <w:r w:rsidRPr="005A3994">
              <w:t>Non-</w:t>
            </w:r>
            <w:r>
              <w:t>f</w:t>
            </w:r>
            <w:r w:rsidRPr="005A3994">
              <w:t xml:space="preserve">inancial </w:t>
            </w:r>
            <w:r>
              <w:t>a</w:t>
            </w:r>
            <w:r w:rsidRPr="005A3994">
              <w:t>ssets</w:t>
            </w:r>
          </w:p>
        </w:tc>
        <w:tc>
          <w:tcPr>
            <w:tcW w:w="1130" w:type="dxa"/>
            <w:shd w:val="clear" w:color="auto" w:fill="auto"/>
          </w:tcPr>
          <w:p w14:paraId="775A7EBC" w14:textId="77777777" w:rsidR="006C269A" w:rsidRPr="00420FA4" w:rsidRDefault="006C269A" w:rsidP="00AB05FB">
            <w:pPr>
              <w:pStyle w:val="Btablefigureunbold"/>
            </w:pPr>
          </w:p>
        </w:tc>
        <w:tc>
          <w:tcPr>
            <w:tcW w:w="1232" w:type="dxa"/>
            <w:shd w:val="clear" w:color="auto" w:fill="auto"/>
            <w:noWrap/>
          </w:tcPr>
          <w:p w14:paraId="65BCEFCD" w14:textId="77777777" w:rsidR="006C269A" w:rsidRPr="00420FA4" w:rsidRDefault="006C269A" w:rsidP="00AB05FB">
            <w:pPr>
              <w:pStyle w:val="Btablefigureunbold"/>
            </w:pPr>
          </w:p>
        </w:tc>
        <w:tc>
          <w:tcPr>
            <w:tcW w:w="1232" w:type="dxa"/>
            <w:shd w:val="clear" w:color="auto" w:fill="auto"/>
            <w:noWrap/>
          </w:tcPr>
          <w:p w14:paraId="1C486EE8" w14:textId="77777777" w:rsidR="006C269A" w:rsidRPr="00420FA4" w:rsidRDefault="006C269A" w:rsidP="00AB05FB">
            <w:pPr>
              <w:pStyle w:val="Btablefigureunbold"/>
            </w:pPr>
          </w:p>
        </w:tc>
        <w:tc>
          <w:tcPr>
            <w:tcW w:w="1232" w:type="dxa"/>
            <w:shd w:val="clear" w:color="auto" w:fill="auto"/>
            <w:noWrap/>
          </w:tcPr>
          <w:p w14:paraId="21D36F2F" w14:textId="77777777" w:rsidR="006C269A" w:rsidRPr="00420FA4" w:rsidRDefault="006C269A" w:rsidP="00AB05FB">
            <w:pPr>
              <w:pStyle w:val="Btablefigureunbold"/>
            </w:pPr>
          </w:p>
        </w:tc>
        <w:tc>
          <w:tcPr>
            <w:tcW w:w="1232" w:type="dxa"/>
            <w:shd w:val="clear" w:color="auto" w:fill="auto"/>
            <w:noWrap/>
          </w:tcPr>
          <w:p w14:paraId="475D1AB1" w14:textId="77777777" w:rsidR="006C269A" w:rsidRPr="00420FA4" w:rsidRDefault="006C269A" w:rsidP="00AB05FB">
            <w:pPr>
              <w:pStyle w:val="Btablefigureunbold"/>
            </w:pPr>
          </w:p>
        </w:tc>
        <w:tc>
          <w:tcPr>
            <w:tcW w:w="1232" w:type="dxa"/>
            <w:shd w:val="clear" w:color="auto" w:fill="auto"/>
            <w:noWrap/>
          </w:tcPr>
          <w:p w14:paraId="59D5D01E" w14:textId="77777777" w:rsidR="006C269A" w:rsidRPr="00420FA4" w:rsidRDefault="006C269A" w:rsidP="00AB05FB">
            <w:pPr>
              <w:pStyle w:val="Btablefigureunbold"/>
            </w:pPr>
          </w:p>
        </w:tc>
      </w:tr>
      <w:tr w:rsidR="006C269A" w:rsidRPr="006D5D15" w14:paraId="13433C2A" w14:textId="77777777" w:rsidTr="00AB05FB">
        <w:trPr>
          <w:tblHeader/>
          <w:jc w:val="center"/>
        </w:trPr>
        <w:tc>
          <w:tcPr>
            <w:tcW w:w="2869" w:type="dxa"/>
            <w:shd w:val="clear" w:color="auto" w:fill="auto"/>
            <w:noWrap/>
          </w:tcPr>
          <w:p w14:paraId="1649F418" w14:textId="77777777" w:rsidR="006C269A" w:rsidRPr="00E21387" w:rsidRDefault="006C269A" w:rsidP="00AB05FB">
            <w:pPr>
              <w:pStyle w:val="BStabletextunbold"/>
            </w:pPr>
            <w:r w:rsidRPr="005A3994">
              <w:t>Produced</w:t>
            </w:r>
            <w:r>
              <w:t xml:space="preserve"> a</w:t>
            </w:r>
            <w:r w:rsidRPr="005A3994">
              <w:t>ssets</w:t>
            </w:r>
          </w:p>
        </w:tc>
        <w:tc>
          <w:tcPr>
            <w:tcW w:w="1130" w:type="dxa"/>
            <w:shd w:val="clear" w:color="auto" w:fill="auto"/>
          </w:tcPr>
          <w:p w14:paraId="2E2600FB"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tcPr>
          <w:p w14:paraId="030062DF"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40DDB5A4"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148E2A00"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2CEE0F2D"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43C90EA2" w14:textId="77777777" w:rsidR="006C269A" w:rsidRPr="00133FA5" w:rsidRDefault="006C269A" w:rsidP="00AB05FB">
            <w:pPr>
              <w:pStyle w:val="Btablefigureunbold"/>
              <w:rPr>
                <w:rFonts w:asciiTheme="minorHAnsi" w:hAnsiTheme="minorHAnsi" w:cstheme="minorHAnsi"/>
                <w:szCs w:val="20"/>
              </w:rPr>
            </w:pPr>
          </w:p>
        </w:tc>
      </w:tr>
      <w:tr w:rsidR="006C269A" w:rsidRPr="006D5D15" w14:paraId="267C08FC" w14:textId="77777777" w:rsidTr="00AB05FB">
        <w:trPr>
          <w:tblHeader/>
          <w:jc w:val="center"/>
        </w:trPr>
        <w:tc>
          <w:tcPr>
            <w:tcW w:w="2869" w:type="dxa"/>
            <w:shd w:val="clear" w:color="auto" w:fill="auto"/>
            <w:noWrap/>
          </w:tcPr>
          <w:p w14:paraId="1567CC89" w14:textId="77777777" w:rsidR="006C269A" w:rsidRPr="00E21387" w:rsidRDefault="006C269A" w:rsidP="00AB05FB">
            <w:pPr>
              <w:pStyle w:val="BStabletextunbold"/>
              <w:ind w:left="376"/>
            </w:pPr>
            <w:r w:rsidRPr="005A3994">
              <w:t xml:space="preserve">Property, </w:t>
            </w:r>
            <w:r>
              <w:t>p</w:t>
            </w:r>
            <w:r w:rsidRPr="005A3994">
              <w:t xml:space="preserve">lant and </w:t>
            </w:r>
            <w:r>
              <w:t>e</w:t>
            </w:r>
            <w:r w:rsidRPr="005A3994">
              <w:t>quipment</w:t>
            </w:r>
          </w:p>
        </w:tc>
        <w:tc>
          <w:tcPr>
            <w:tcW w:w="1130" w:type="dxa"/>
            <w:shd w:val="clear" w:color="auto" w:fill="auto"/>
          </w:tcPr>
          <w:p w14:paraId="4A1E5CDD"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4,982,147</w:t>
            </w:r>
          </w:p>
        </w:tc>
        <w:tc>
          <w:tcPr>
            <w:tcW w:w="1232" w:type="dxa"/>
            <w:shd w:val="clear" w:color="auto" w:fill="auto"/>
            <w:noWrap/>
          </w:tcPr>
          <w:p w14:paraId="09DD73DD"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5,364,380</w:t>
            </w:r>
          </w:p>
        </w:tc>
        <w:tc>
          <w:tcPr>
            <w:tcW w:w="1232" w:type="dxa"/>
            <w:shd w:val="clear" w:color="auto" w:fill="auto"/>
            <w:noWrap/>
            <w:vAlign w:val="bottom"/>
          </w:tcPr>
          <w:p w14:paraId="0FB2962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5,504,657</w:t>
            </w:r>
          </w:p>
        </w:tc>
        <w:tc>
          <w:tcPr>
            <w:tcW w:w="1232" w:type="dxa"/>
            <w:shd w:val="clear" w:color="auto" w:fill="auto"/>
            <w:noWrap/>
            <w:vAlign w:val="bottom"/>
          </w:tcPr>
          <w:p w14:paraId="5136A70A"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5,454,982</w:t>
            </w:r>
          </w:p>
        </w:tc>
        <w:tc>
          <w:tcPr>
            <w:tcW w:w="1232" w:type="dxa"/>
            <w:shd w:val="clear" w:color="auto" w:fill="auto"/>
            <w:noWrap/>
            <w:vAlign w:val="bottom"/>
          </w:tcPr>
          <w:p w14:paraId="38B2FAC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5,663,368</w:t>
            </w:r>
          </w:p>
        </w:tc>
        <w:tc>
          <w:tcPr>
            <w:tcW w:w="1232" w:type="dxa"/>
            <w:shd w:val="clear" w:color="auto" w:fill="auto"/>
            <w:noWrap/>
            <w:vAlign w:val="bottom"/>
          </w:tcPr>
          <w:p w14:paraId="454C9850"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5,699,943</w:t>
            </w:r>
          </w:p>
        </w:tc>
      </w:tr>
      <w:tr w:rsidR="006C269A" w:rsidRPr="006D5D15" w14:paraId="0213A77D" w14:textId="77777777" w:rsidTr="00AB05FB">
        <w:trPr>
          <w:tblHeader/>
          <w:jc w:val="center"/>
        </w:trPr>
        <w:tc>
          <w:tcPr>
            <w:tcW w:w="2869" w:type="dxa"/>
            <w:shd w:val="clear" w:color="auto" w:fill="auto"/>
            <w:noWrap/>
          </w:tcPr>
          <w:p w14:paraId="7F716FCE" w14:textId="77777777" w:rsidR="006C269A" w:rsidRPr="00E21387" w:rsidRDefault="006C269A" w:rsidP="00AB05FB">
            <w:pPr>
              <w:pStyle w:val="BStabletextunbold"/>
              <w:ind w:left="376"/>
            </w:pPr>
            <w:r w:rsidRPr="005A3994">
              <w:t xml:space="preserve">Investment </w:t>
            </w:r>
            <w:r>
              <w:t>p</w:t>
            </w:r>
            <w:r w:rsidRPr="005A3994">
              <w:t>roperties</w:t>
            </w:r>
          </w:p>
        </w:tc>
        <w:tc>
          <w:tcPr>
            <w:tcW w:w="1130" w:type="dxa"/>
            <w:shd w:val="clear" w:color="auto" w:fill="auto"/>
          </w:tcPr>
          <w:p w14:paraId="3DDB1DE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5,978</w:t>
            </w:r>
          </w:p>
        </w:tc>
        <w:tc>
          <w:tcPr>
            <w:tcW w:w="1232" w:type="dxa"/>
            <w:shd w:val="clear" w:color="auto" w:fill="auto"/>
            <w:noWrap/>
          </w:tcPr>
          <w:p w14:paraId="1A163E3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25,581</w:t>
            </w:r>
          </w:p>
        </w:tc>
        <w:tc>
          <w:tcPr>
            <w:tcW w:w="1232" w:type="dxa"/>
            <w:shd w:val="clear" w:color="auto" w:fill="auto"/>
            <w:noWrap/>
            <w:vAlign w:val="bottom"/>
          </w:tcPr>
          <w:p w14:paraId="625EB3E0"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25,587</w:t>
            </w:r>
          </w:p>
        </w:tc>
        <w:tc>
          <w:tcPr>
            <w:tcW w:w="1232" w:type="dxa"/>
            <w:shd w:val="clear" w:color="auto" w:fill="auto"/>
            <w:noWrap/>
            <w:vAlign w:val="bottom"/>
          </w:tcPr>
          <w:p w14:paraId="66279308"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25,593</w:t>
            </w:r>
          </w:p>
        </w:tc>
        <w:tc>
          <w:tcPr>
            <w:tcW w:w="1232" w:type="dxa"/>
            <w:shd w:val="clear" w:color="auto" w:fill="auto"/>
            <w:noWrap/>
            <w:vAlign w:val="bottom"/>
          </w:tcPr>
          <w:p w14:paraId="17408103"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25,599</w:t>
            </w:r>
          </w:p>
        </w:tc>
        <w:tc>
          <w:tcPr>
            <w:tcW w:w="1232" w:type="dxa"/>
            <w:shd w:val="clear" w:color="auto" w:fill="auto"/>
            <w:noWrap/>
            <w:vAlign w:val="bottom"/>
          </w:tcPr>
          <w:p w14:paraId="20A2012C"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25,605</w:t>
            </w:r>
          </w:p>
        </w:tc>
      </w:tr>
      <w:tr w:rsidR="006C269A" w:rsidRPr="006D5D15" w14:paraId="46C827BE" w14:textId="77777777" w:rsidTr="00AB05FB">
        <w:trPr>
          <w:tblHeader/>
          <w:jc w:val="center"/>
        </w:trPr>
        <w:tc>
          <w:tcPr>
            <w:tcW w:w="2869" w:type="dxa"/>
            <w:shd w:val="clear" w:color="auto" w:fill="auto"/>
            <w:noWrap/>
          </w:tcPr>
          <w:p w14:paraId="470D2A38" w14:textId="77777777" w:rsidR="006C269A" w:rsidRPr="00E21387" w:rsidRDefault="006C269A" w:rsidP="00AB05FB">
            <w:pPr>
              <w:pStyle w:val="BStabletextunbold"/>
              <w:ind w:left="376"/>
            </w:pPr>
            <w:r w:rsidRPr="005A3994">
              <w:t>Intangibles</w:t>
            </w:r>
          </w:p>
        </w:tc>
        <w:tc>
          <w:tcPr>
            <w:tcW w:w="1130" w:type="dxa"/>
            <w:shd w:val="clear" w:color="auto" w:fill="auto"/>
          </w:tcPr>
          <w:p w14:paraId="5F198EF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41,164</w:t>
            </w:r>
          </w:p>
        </w:tc>
        <w:tc>
          <w:tcPr>
            <w:tcW w:w="1232" w:type="dxa"/>
            <w:shd w:val="clear" w:color="auto" w:fill="auto"/>
            <w:noWrap/>
          </w:tcPr>
          <w:p w14:paraId="728DBA45"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41,896</w:t>
            </w:r>
          </w:p>
        </w:tc>
        <w:tc>
          <w:tcPr>
            <w:tcW w:w="1232" w:type="dxa"/>
            <w:shd w:val="clear" w:color="auto" w:fill="auto"/>
            <w:noWrap/>
            <w:vAlign w:val="bottom"/>
          </w:tcPr>
          <w:p w14:paraId="422FD989"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50,959</w:t>
            </w:r>
          </w:p>
        </w:tc>
        <w:tc>
          <w:tcPr>
            <w:tcW w:w="1232" w:type="dxa"/>
            <w:shd w:val="clear" w:color="auto" w:fill="auto"/>
            <w:noWrap/>
            <w:vAlign w:val="bottom"/>
          </w:tcPr>
          <w:p w14:paraId="40B928F9"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59,562</w:t>
            </w:r>
          </w:p>
        </w:tc>
        <w:tc>
          <w:tcPr>
            <w:tcW w:w="1232" w:type="dxa"/>
            <w:shd w:val="clear" w:color="auto" w:fill="auto"/>
            <w:noWrap/>
            <w:vAlign w:val="bottom"/>
          </w:tcPr>
          <w:p w14:paraId="1A65A7E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58,967</w:t>
            </w:r>
          </w:p>
        </w:tc>
        <w:tc>
          <w:tcPr>
            <w:tcW w:w="1232" w:type="dxa"/>
            <w:shd w:val="clear" w:color="auto" w:fill="auto"/>
            <w:noWrap/>
            <w:vAlign w:val="bottom"/>
          </w:tcPr>
          <w:p w14:paraId="48E6514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51,514</w:t>
            </w:r>
          </w:p>
        </w:tc>
      </w:tr>
      <w:tr w:rsidR="006C269A" w:rsidRPr="006D5D15" w14:paraId="20D63C28" w14:textId="77777777" w:rsidTr="00AB05FB">
        <w:trPr>
          <w:tblHeader/>
          <w:jc w:val="center"/>
        </w:trPr>
        <w:tc>
          <w:tcPr>
            <w:tcW w:w="2869" w:type="dxa"/>
            <w:shd w:val="clear" w:color="auto" w:fill="auto"/>
            <w:noWrap/>
          </w:tcPr>
          <w:p w14:paraId="07A98AE7" w14:textId="77777777" w:rsidR="006C269A" w:rsidRPr="00E21387" w:rsidRDefault="006C269A" w:rsidP="00AB05FB">
            <w:pPr>
              <w:pStyle w:val="BStabletextunbold"/>
              <w:ind w:left="376"/>
            </w:pPr>
            <w:r w:rsidRPr="005A3994">
              <w:t>Inventories</w:t>
            </w:r>
          </w:p>
        </w:tc>
        <w:tc>
          <w:tcPr>
            <w:tcW w:w="1130" w:type="dxa"/>
            <w:shd w:val="clear" w:color="auto" w:fill="auto"/>
          </w:tcPr>
          <w:p w14:paraId="0E428275"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413,632</w:t>
            </w:r>
          </w:p>
        </w:tc>
        <w:tc>
          <w:tcPr>
            <w:tcW w:w="1232" w:type="dxa"/>
            <w:shd w:val="clear" w:color="auto" w:fill="auto"/>
            <w:noWrap/>
          </w:tcPr>
          <w:p w14:paraId="2893815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371,564</w:t>
            </w:r>
          </w:p>
        </w:tc>
        <w:tc>
          <w:tcPr>
            <w:tcW w:w="1232" w:type="dxa"/>
            <w:shd w:val="clear" w:color="auto" w:fill="auto"/>
            <w:noWrap/>
            <w:vAlign w:val="bottom"/>
          </w:tcPr>
          <w:p w14:paraId="3DD6DC33"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390,415</w:t>
            </w:r>
          </w:p>
        </w:tc>
        <w:tc>
          <w:tcPr>
            <w:tcW w:w="1232" w:type="dxa"/>
            <w:shd w:val="clear" w:color="auto" w:fill="auto"/>
            <w:noWrap/>
            <w:vAlign w:val="bottom"/>
          </w:tcPr>
          <w:p w14:paraId="76CA5D53"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442,086</w:t>
            </w:r>
          </w:p>
        </w:tc>
        <w:tc>
          <w:tcPr>
            <w:tcW w:w="1232" w:type="dxa"/>
            <w:shd w:val="clear" w:color="auto" w:fill="auto"/>
            <w:noWrap/>
            <w:vAlign w:val="bottom"/>
          </w:tcPr>
          <w:p w14:paraId="4C6B4053"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402,421</w:t>
            </w:r>
          </w:p>
        </w:tc>
        <w:tc>
          <w:tcPr>
            <w:tcW w:w="1232" w:type="dxa"/>
            <w:shd w:val="clear" w:color="auto" w:fill="auto"/>
            <w:noWrap/>
            <w:vAlign w:val="bottom"/>
          </w:tcPr>
          <w:p w14:paraId="498F7DB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413,100</w:t>
            </w:r>
          </w:p>
        </w:tc>
      </w:tr>
      <w:tr w:rsidR="006C269A" w:rsidRPr="006D5D15" w14:paraId="5B5F5F19" w14:textId="77777777" w:rsidTr="00AB05FB">
        <w:trPr>
          <w:tblHeader/>
          <w:jc w:val="center"/>
        </w:trPr>
        <w:tc>
          <w:tcPr>
            <w:tcW w:w="2869" w:type="dxa"/>
            <w:shd w:val="clear" w:color="auto" w:fill="auto"/>
            <w:noWrap/>
          </w:tcPr>
          <w:p w14:paraId="55CE953C" w14:textId="77777777" w:rsidR="006C269A" w:rsidRPr="00E21387" w:rsidRDefault="006C269A" w:rsidP="00AB05FB">
            <w:pPr>
              <w:pStyle w:val="BStabletextunbold"/>
              <w:ind w:left="376"/>
            </w:pPr>
            <w:r>
              <w:rPr>
                <w:lang w:val="en-US"/>
              </w:rPr>
              <w:t>Non-current a</w:t>
            </w:r>
            <w:r w:rsidRPr="005A3994">
              <w:t xml:space="preserve">ssets </w:t>
            </w:r>
            <w:r>
              <w:t>h</w:t>
            </w:r>
            <w:r w:rsidRPr="005A3994">
              <w:t xml:space="preserve">eld for </w:t>
            </w:r>
            <w:r>
              <w:t>s</w:t>
            </w:r>
            <w:r w:rsidRPr="005A3994">
              <w:t>ale</w:t>
            </w:r>
          </w:p>
        </w:tc>
        <w:tc>
          <w:tcPr>
            <w:tcW w:w="1130" w:type="dxa"/>
            <w:shd w:val="clear" w:color="auto" w:fill="auto"/>
          </w:tcPr>
          <w:p w14:paraId="713FFC4E"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13,129</w:t>
            </w:r>
          </w:p>
        </w:tc>
        <w:tc>
          <w:tcPr>
            <w:tcW w:w="1232" w:type="dxa"/>
            <w:shd w:val="clear" w:color="auto" w:fill="auto"/>
            <w:noWrap/>
          </w:tcPr>
          <w:p w14:paraId="3EBF308D"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12,988</w:t>
            </w:r>
          </w:p>
        </w:tc>
        <w:tc>
          <w:tcPr>
            <w:tcW w:w="1232" w:type="dxa"/>
            <w:shd w:val="clear" w:color="auto" w:fill="auto"/>
            <w:noWrap/>
            <w:vAlign w:val="bottom"/>
          </w:tcPr>
          <w:p w14:paraId="47B6609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11,226</w:t>
            </w:r>
          </w:p>
        </w:tc>
        <w:tc>
          <w:tcPr>
            <w:tcW w:w="1232" w:type="dxa"/>
            <w:shd w:val="clear" w:color="auto" w:fill="auto"/>
            <w:noWrap/>
            <w:vAlign w:val="bottom"/>
          </w:tcPr>
          <w:p w14:paraId="3AA3A897"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7,247</w:t>
            </w:r>
          </w:p>
        </w:tc>
        <w:tc>
          <w:tcPr>
            <w:tcW w:w="1232" w:type="dxa"/>
            <w:shd w:val="clear" w:color="auto" w:fill="auto"/>
            <w:noWrap/>
            <w:vAlign w:val="bottom"/>
          </w:tcPr>
          <w:p w14:paraId="338783B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6,132</w:t>
            </w:r>
          </w:p>
        </w:tc>
        <w:tc>
          <w:tcPr>
            <w:tcW w:w="1232" w:type="dxa"/>
            <w:shd w:val="clear" w:color="auto" w:fill="auto"/>
            <w:noWrap/>
            <w:vAlign w:val="bottom"/>
          </w:tcPr>
          <w:p w14:paraId="70D5F686"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5,017</w:t>
            </w:r>
          </w:p>
        </w:tc>
      </w:tr>
      <w:tr w:rsidR="006C269A" w:rsidRPr="006D5D15" w14:paraId="67580D4E" w14:textId="77777777" w:rsidTr="00AB05FB">
        <w:trPr>
          <w:tblHeader/>
          <w:jc w:val="center"/>
        </w:trPr>
        <w:tc>
          <w:tcPr>
            <w:tcW w:w="2869" w:type="dxa"/>
            <w:shd w:val="clear" w:color="auto" w:fill="auto"/>
            <w:noWrap/>
          </w:tcPr>
          <w:p w14:paraId="74D03BFD" w14:textId="77777777" w:rsidR="006C269A" w:rsidRPr="00E21387" w:rsidRDefault="006C269A" w:rsidP="00AB05FB">
            <w:pPr>
              <w:pStyle w:val="BStabletextunbold"/>
              <w:ind w:left="376"/>
            </w:pPr>
            <w:r w:rsidRPr="005A3994">
              <w:t xml:space="preserve">Capital </w:t>
            </w:r>
            <w:r>
              <w:t>w</w:t>
            </w:r>
            <w:r w:rsidRPr="005A3994">
              <w:t>orks-in-</w:t>
            </w:r>
            <w:r>
              <w:t>p</w:t>
            </w:r>
            <w:r w:rsidRPr="005A3994">
              <w:t>rogress</w:t>
            </w:r>
          </w:p>
        </w:tc>
        <w:tc>
          <w:tcPr>
            <w:tcW w:w="1130" w:type="dxa"/>
            <w:shd w:val="clear" w:color="auto" w:fill="auto"/>
          </w:tcPr>
          <w:p w14:paraId="739A470D"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300,111</w:t>
            </w:r>
          </w:p>
        </w:tc>
        <w:tc>
          <w:tcPr>
            <w:tcW w:w="1232" w:type="dxa"/>
            <w:shd w:val="clear" w:color="auto" w:fill="auto"/>
            <w:noWrap/>
          </w:tcPr>
          <w:p w14:paraId="00A4BE87"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156,128</w:t>
            </w:r>
          </w:p>
        </w:tc>
        <w:tc>
          <w:tcPr>
            <w:tcW w:w="1232" w:type="dxa"/>
            <w:shd w:val="clear" w:color="auto" w:fill="auto"/>
            <w:noWrap/>
            <w:vAlign w:val="bottom"/>
          </w:tcPr>
          <w:p w14:paraId="4B2DFDC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205,749</w:t>
            </w:r>
          </w:p>
        </w:tc>
        <w:tc>
          <w:tcPr>
            <w:tcW w:w="1232" w:type="dxa"/>
            <w:shd w:val="clear" w:color="auto" w:fill="auto"/>
            <w:noWrap/>
            <w:vAlign w:val="bottom"/>
          </w:tcPr>
          <w:p w14:paraId="3E6ED3F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199,449</w:t>
            </w:r>
          </w:p>
        </w:tc>
        <w:tc>
          <w:tcPr>
            <w:tcW w:w="1232" w:type="dxa"/>
            <w:shd w:val="clear" w:color="auto" w:fill="auto"/>
            <w:noWrap/>
            <w:vAlign w:val="bottom"/>
          </w:tcPr>
          <w:p w14:paraId="3CC61035"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160,154</w:t>
            </w:r>
          </w:p>
        </w:tc>
        <w:tc>
          <w:tcPr>
            <w:tcW w:w="1232" w:type="dxa"/>
            <w:shd w:val="clear" w:color="auto" w:fill="auto"/>
            <w:noWrap/>
            <w:vAlign w:val="bottom"/>
          </w:tcPr>
          <w:p w14:paraId="15688F8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124,291</w:t>
            </w:r>
          </w:p>
        </w:tc>
      </w:tr>
      <w:tr w:rsidR="006C269A" w:rsidRPr="006D5D15" w14:paraId="06B8258E" w14:textId="77777777" w:rsidTr="00AB05FB">
        <w:trPr>
          <w:tblHeader/>
          <w:jc w:val="center"/>
        </w:trPr>
        <w:tc>
          <w:tcPr>
            <w:tcW w:w="2869" w:type="dxa"/>
            <w:shd w:val="clear" w:color="auto" w:fill="auto"/>
            <w:noWrap/>
          </w:tcPr>
          <w:p w14:paraId="3803578E" w14:textId="77777777" w:rsidR="006C269A" w:rsidRPr="00E21387" w:rsidRDefault="006C269A" w:rsidP="00AB05FB">
            <w:pPr>
              <w:pStyle w:val="BStabletextunbold"/>
            </w:pPr>
            <w:r w:rsidRPr="005A3994">
              <w:t>Non-</w:t>
            </w:r>
            <w:r>
              <w:t>p</w:t>
            </w:r>
            <w:r w:rsidRPr="005A3994">
              <w:t>roduced</w:t>
            </w:r>
            <w:r>
              <w:t xml:space="preserve"> a</w:t>
            </w:r>
            <w:r w:rsidRPr="005A3994">
              <w:t>ssets</w:t>
            </w:r>
          </w:p>
        </w:tc>
        <w:tc>
          <w:tcPr>
            <w:tcW w:w="1130" w:type="dxa"/>
            <w:shd w:val="clear" w:color="auto" w:fill="auto"/>
          </w:tcPr>
          <w:p w14:paraId="7342C3D7"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tcPr>
          <w:p w14:paraId="63600677"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75E4EAB4"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6A0CF5AC"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0E39B21C"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5672A1DB" w14:textId="77777777" w:rsidR="006C269A" w:rsidRPr="00133FA5" w:rsidRDefault="006C269A" w:rsidP="00AB05FB">
            <w:pPr>
              <w:pStyle w:val="Btablefigureunbold"/>
              <w:rPr>
                <w:rFonts w:asciiTheme="minorHAnsi" w:hAnsiTheme="minorHAnsi" w:cstheme="minorHAnsi"/>
                <w:szCs w:val="20"/>
              </w:rPr>
            </w:pPr>
          </w:p>
        </w:tc>
      </w:tr>
      <w:tr w:rsidR="006C269A" w:rsidRPr="006D5D15" w14:paraId="54EA7088" w14:textId="77777777" w:rsidTr="00AB05FB">
        <w:trPr>
          <w:tblHeader/>
          <w:jc w:val="center"/>
        </w:trPr>
        <w:tc>
          <w:tcPr>
            <w:tcW w:w="2869" w:type="dxa"/>
            <w:shd w:val="clear" w:color="auto" w:fill="auto"/>
            <w:noWrap/>
          </w:tcPr>
          <w:p w14:paraId="618567A4" w14:textId="77777777" w:rsidR="006C269A" w:rsidRPr="00E21387" w:rsidRDefault="006C269A" w:rsidP="00AB05FB">
            <w:pPr>
              <w:pStyle w:val="BStabletextunbold"/>
              <w:ind w:left="517" w:hanging="376"/>
            </w:pPr>
            <w:r w:rsidRPr="005A3994">
              <w:t xml:space="preserve">Property, </w:t>
            </w:r>
            <w:r>
              <w:t>p</w:t>
            </w:r>
            <w:r w:rsidRPr="005A3994">
              <w:t xml:space="preserve">lant and </w:t>
            </w:r>
            <w:r>
              <w:t>e</w:t>
            </w:r>
            <w:r w:rsidRPr="005A3994">
              <w:t>quipment</w:t>
            </w:r>
          </w:p>
        </w:tc>
        <w:tc>
          <w:tcPr>
            <w:tcW w:w="1130" w:type="dxa"/>
            <w:shd w:val="clear" w:color="auto" w:fill="auto"/>
          </w:tcPr>
          <w:p w14:paraId="55E5DB1D"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3,880,806</w:t>
            </w:r>
          </w:p>
        </w:tc>
        <w:tc>
          <w:tcPr>
            <w:tcW w:w="1232" w:type="dxa"/>
            <w:shd w:val="clear" w:color="auto" w:fill="auto"/>
            <w:noWrap/>
          </w:tcPr>
          <w:p w14:paraId="6E13CDE2"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4,877,826</w:t>
            </w:r>
          </w:p>
        </w:tc>
        <w:tc>
          <w:tcPr>
            <w:tcW w:w="1232" w:type="dxa"/>
            <w:shd w:val="clear" w:color="auto" w:fill="auto"/>
            <w:noWrap/>
            <w:vAlign w:val="bottom"/>
          </w:tcPr>
          <w:p w14:paraId="08CE5BF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4,898,028</w:t>
            </w:r>
          </w:p>
        </w:tc>
        <w:tc>
          <w:tcPr>
            <w:tcW w:w="1232" w:type="dxa"/>
            <w:shd w:val="clear" w:color="auto" w:fill="auto"/>
            <w:noWrap/>
            <w:vAlign w:val="bottom"/>
          </w:tcPr>
          <w:p w14:paraId="6FAA5510"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4,893,105</w:t>
            </w:r>
          </w:p>
        </w:tc>
        <w:tc>
          <w:tcPr>
            <w:tcW w:w="1232" w:type="dxa"/>
            <w:shd w:val="clear" w:color="auto" w:fill="auto"/>
            <w:noWrap/>
            <w:vAlign w:val="bottom"/>
          </w:tcPr>
          <w:p w14:paraId="748E343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4,874,314</w:t>
            </w:r>
          </w:p>
        </w:tc>
        <w:tc>
          <w:tcPr>
            <w:tcW w:w="1232" w:type="dxa"/>
            <w:shd w:val="clear" w:color="auto" w:fill="auto"/>
            <w:noWrap/>
            <w:vAlign w:val="bottom"/>
          </w:tcPr>
          <w:p w14:paraId="0E75B697"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4,896,009</w:t>
            </w:r>
          </w:p>
        </w:tc>
      </w:tr>
      <w:tr w:rsidR="006C269A" w:rsidRPr="006D5D15" w14:paraId="67CBD8BB" w14:textId="77777777" w:rsidTr="00AB05FB">
        <w:trPr>
          <w:tblHeader/>
          <w:jc w:val="center"/>
        </w:trPr>
        <w:tc>
          <w:tcPr>
            <w:tcW w:w="2869" w:type="dxa"/>
            <w:shd w:val="clear" w:color="auto" w:fill="auto"/>
            <w:noWrap/>
          </w:tcPr>
          <w:p w14:paraId="40EBFBA8" w14:textId="77777777" w:rsidR="006C269A" w:rsidRPr="00E21387" w:rsidRDefault="006C269A" w:rsidP="00AB05FB">
            <w:pPr>
              <w:pStyle w:val="BStabletextunbold"/>
              <w:ind w:left="0" w:firstLine="0"/>
            </w:pPr>
            <w:r w:rsidRPr="005A3994">
              <w:t xml:space="preserve">Other </w:t>
            </w:r>
            <w:r>
              <w:t>n</w:t>
            </w:r>
            <w:r w:rsidRPr="005A3994">
              <w:t>on-</w:t>
            </w:r>
            <w:r>
              <w:t>f</w:t>
            </w:r>
            <w:r w:rsidRPr="005A3994">
              <w:t xml:space="preserve">inancial </w:t>
            </w:r>
            <w:r>
              <w:t>a</w:t>
            </w:r>
            <w:r w:rsidRPr="005A3994">
              <w:t>ssets</w:t>
            </w:r>
          </w:p>
        </w:tc>
        <w:tc>
          <w:tcPr>
            <w:tcW w:w="1130" w:type="dxa"/>
            <w:shd w:val="clear" w:color="auto" w:fill="auto"/>
          </w:tcPr>
          <w:p w14:paraId="3822253D"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tcPr>
          <w:p w14:paraId="10FB5A66"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15C7A83D"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278DF3F1"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0BD43ED8" w14:textId="77777777" w:rsidR="006C269A" w:rsidRPr="00133FA5" w:rsidRDefault="006C269A" w:rsidP="00AB05FB">
            <w:pPr>
              <w:pStyle w:val="Btablefigureunbold"/>
              <w:rPr>
                <w:rFonts w:asciiTheme="minorHAnsi" w:hAnsiTheme="minorHAnsi" w:cstheme="minorHAnsi"/>
                <w:szCs w:val="20"/>
              </w:rPr>
            </w:pPr>
          </w:p>
        </w:tc>
        <w:tc>
          <w:tcPr>
            <w:tcW w:w="1232" w:type="dxa"/>
            <w:shd w:val="clear" w:color="auto" w:fill="auto"/>
            <w:noWrap/>
            <w:vAlign w:val="bottom"/>
          </w:tcPr>
          <w:p w14:paraId="687B9339" w14:textId="77777777" w:rsidR="006C269A" w:rsidRPr="00133FA5" w:rsidRDefault="006C269A" w:rsidP="00AB05FB">
            <w:pPr>
              <w:pStyle w:val="Btablefigureunbold"/>
              <w:rPr>
                <w:rFonts w:asciiTheme="minorHAnsi" w:hAnsiTheme="minorHAnsi" w:cstheme="minorHAnsi"/>
                <w:szCs w:val="20"/>
              </w:rPr>
            </w:pPr>
          </w:p>
        </w:tc>
      </w:tr>
      <w:tr w:rsidR="006C269A" w:rsidRPr="006D5D15" w14:paraId="207DE3E4" w14:textId="77777777" w:rsidTr="00AB05FB">
        <w:trPr>
          <w:tblHeader/>
          <w:jc w:val="center"/>
        </w:trPr>
        <w:tc>
          <w:tcPr>
            <w:tcW w:w="2869" w:type="dxa"/>
            <w:shd w:val="clear" w:color="auto" w:fill="auto"/>
            <w:noWrap/>
          </w:tcPr>
          <w:p w14:paraId="124674C6" w14:textId="77777777" w:rsidR="006C269A" w:rsidRPr="00E21387" w:rsidRDefault="006C269A" w:rsidP="00AB05FB">
            <w:pPr>
              <w:pStyle w:val="BStabletextunbold"/>
              <w:ind w:left="376"/>
            </w:pPr>
            <w:r w:rsidRPr="005A3994">
              <w:t xml:space="preserve">Deferred </w:t>
            </w:r>
            <w:r>
              <w:t>t</w:t>
            </w:r>
            <w:r w:rsidRPr="005A3994">
              <w:t xml:space="preserve">ax </w:t>
            </w:r>
            <w:r>
              <w:t>a</w:t>
            </w:r>
            <w:r w:rsidRPr="005A3994">
              <w:t>ssets</w:t>
            </w:r>
          </w:p>
        </w:tc>
        <w:tc>
          <w:tcPr>
            <w:tcW w:w="1130" w:type="dxa"/>
            <w:shd w:val="clear" w:color="auto" w:fill="auto"/>
          </w:tcPr>
          <w:p w14:paraId="33FA868E"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21,513</w:t>
            </w:r>
          </w:p>
        </w:tc>
        <w:tc>
          <w:tcPr>
            <w:tcW w:w="1232" w:type="dxa"/>
            <w:shd w:val="clear" w:color="auto" w:fill="auto"/>
            <w:noWrap/>
          </w:tcPr>
          <w:p w14:paraId="2D08B906"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18,105</w:t>
            </w:r>
          </w:p>
        </w:tc>
        <w:tc>
          <w:tcPr>
            <w:tcW w:w="1232" w:type="dxa"/>
            <w:shd w:val="clear" w:color="auto" w:fill="auto"/>
            <w:noWrap/>
            <w:vAlign w:val="bottom"/>
          </w:tcPr>
          <w:p w14:paraId="42AEE0F0"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18,105</w:t>
            </w:r>
          </w:p>
        </w:tc>
        <w:tc>
          <w:tcPr>
            <w:tcW w:w="1232" w:type="dxa"/>
            <w:shd w:val="clear" w:color="auto" w:fill="auto"/>
            <w:noWrap/>
            <w:vAlign w:val="bottom"/>
          </w:tcPr>
          <w:p w14:paraId="49F83526"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18,105</w:t>
            </w:r>
          </w:p>
        </w:tc>
        <w:tc>
          <w:tcPr>
            <w:tcW w:w="1232" w:type="dxa"/>
            <w:shd w:val="clear" w:color="auto" w:fill="auto"/>
            <w:noWrap/>
            <w:vAlign w:val="bottom"/>
          </w:tcPr>
          <w:p w14:paraId="521BC41A"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18,105</w:t>
            </w:r>
          </w:p>
        </w:tc>
        <w:tc>
          <w:tcPr>
            <w:tcW w:w="1232" w:type="dxa"/>
            <w:shd w:val="clear" w:color="auto" w:fill="auto"/>
            <w:noWrap/>
            <w:vAlign w:val="bottom"/>
          </w:tcPr>
          <w:p w14:paraId="0E3EF65C"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18,105</w:t>
            </w:r>
          </w:p>
        </w:tc>
      </w:tr>
      <w:tr w:rsidR="006C269A" w:rsidRPr="006D5D15" w14:paraId="6D6816AE" w14:textId="77777777" w:rsidTr="00AB05FB">
        <w:trPr>
          <w:tblHeader/>
          <w:jc w:val="center"/>
        </w:trPr>
        <w:tc>
          <w:tcPr>
            <w:tcW w:w="2869" w:type="dxa"/>
            <w:shd w:val="clear" w:color="auto" w:fill="auto"/>
            <w:noWrap/>
          </w:tcPr>
          <w:p w14:paraId="189C6BB6" w14:textId="77777777" w:rsidR="006C269A" w:rsidRPr="00E21387" w:rsidRDefault="006C269A" w:rsidP="00AB05FB">
            <w:pPr>
              <w:pStyle w:val="BStabletextunbold"/>
              <w:ind w:left="376"/>
            </w:pPr>
            <w:r w:rsidRPr="005A3994">
              <w:t xml:space="preserve">Other </w:t>
            </w:r>
            <w:r>
              <w:t>n</w:t>
            </w:r>
            <w:r w:rsidRPr="005A3994">
              <w:t>on-</w:t>
            </w:r>
            <w:r>
              <w:t>f</w:t>
            </w:r>
            <w:r w:rsidRPr="005A3994">
              <w:t xml:space="preserve">inancial </w:t>
            </w:r>
            <w:r>
              <w:t>a</w:t>
            </w:r>
            <w:r w:rsidRPr="005A3994">
              <w:t>ssets</w:t>
            </w:r>
          </w:p>
        </w:tc>
        <w:tc>
          <w:tcPr>
            <w:tcW w:w="1130" w:type="dxa"/>
            <w:shd w:val="clear" w:color="auto" w:fill="auto"/>
          </w:tcPr>
          <w:p w14:paraId="43DCDC57"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385</w:t>
            </w:r>
          </w:p>
        </w:tc>
        <w:tc>
          <w:tcPr>
            <w:tcW w:w="1232" w:type="dxa"/>
            <w:shd w:val="clear" w:color="auto" w:fill="auto"/>
            <w:noWrap/>
          </w:tcPr>
          <w:p w14:paraId="0AFDCA6E"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szCs w:val="20"/>
              </w:rPr>
              <w:t>0</w:t>
            </w:r>
          </w:p>
        </w:tc>
        <w:tc>
          <w:tcPr>
            <w:tcW w:w="1232" w:type="dxa"/>
            <w:shd w:val="clear" w:color="auto" w:fill="auto"/>
            <w:noWrap/>
            <w:vAlign w:val="bottom"/>
          </w:tcPr>
          <w:p w14:paraId="454B82C0"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0</w:t>
            </w:r>
          </w:p>
        </w:tc>
        <w:tc>
          <w:tcPr>
            <w:tcW w:w="1232" w:type="dxa"/>
            <w:shd w:val="clear" w:color="auto" w:fill="auto"/>
            <w:noWrap/>
            <w:vAlign w:val="bottom"/>
          </w:tcPr>
          <w:p w14:paraId="7CE3E0B4"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0</w:t>
            </w:r>
          </w:p>
        </w:tc>
        <w:tc>
          <w:tcPr>
            <w:tcW w:w="1232" w:type="dxa"/>
            <w:shd w:val="clear" w:color="auto" w:fill="auto"/>
            <w:noWrap/>
            <w:vAlign w:val="bottom"/>
          </w:tcPr>
          <w:p w14:paraId="4D305B3E"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0</w:t>
            </w:r>
          </w:p>
        </w:tc>
        <w:tc>
          <w:tcPr>
            <w:tcW w:w="1232" w:type="dxa"/>
            <w:shd w:val="clear" w:color="auto" w:fill="auto"/>
            <w:noWrap/>
            <w:vAlign w:val="bottom"/>
          </w:tcPr>
          <w:p w14:paraId="53292B1F" w14:textId="77777777" w:rsidR="006C269A" w:rsidRPr="00133FA5" w:rsidRDefault="006C269A" w:rsidP="00AB05FB">
            <w:pPr>
              <w:pStyle w:val="Btablefigureunbold"/>
              <w:rPr>
                <w:rFonts w:asciiTheme="minorHAnsi" w:hAnsiTheme="minorHAnsi" w:cstheme="minorHAnsi"/>
                <w:szCs w:val="20"/>
              </w:rPr>
            </w:pPr>
            <w:r w:rsidRPr="00133FA5">
              <w:rPr>
                <w:rFonts w:asciiTheme="minorHAnsi" w:hAnsiTheme="minorHAnsi" w:cstheme="minorHAnsi"/>
                <w:color w:val="000000"/>
                <w:szCs w:val="20"/>
              </w:rPr>
              <w:t>0</w:t>
            </w:r>
          </w:p>
        </w:tc>
      </w:tr>
      <w:tr w:rsidR="006C269A" w:rsidRPr="006D5D15" w14:paraId="2BEC0777" w14:textId="77777777" w:rsidTr="00AB05FB">
        <w:trPr>
          <w:tblHeader/>
          <w:jc w:val="center"/>
        </w:trPr>
        <w:tc>
          <w:tcPr>
            <w:tcW w:w="2869" w:type="dxa"/>
            <w:tcBorders>
              <w:bottom w:val="single" w:sz="4" w:space="0" w:color="auto"/>
            </w:tcBorders>
            <w:shd w:val="clear" w:color="auto" w:fill="auto"/>
            <w:noWrap/>
          </w:tcPr>
          <w:p w14:paraId="4D3B09EC" w14:textId="77777777" w:rsidR="006C269A" w:rsidRPr="00550D36" w:rsidRDefault="006C269A" w:rsidP="00AB05FB">
            <w:pPr>
              <w:pStyle w:val="BStabletextbold"/>
              <w:rPr>
                <w:color w:val="472D8C"/>
              </w:rPr>
            </w:pPr>
            <w:r w:rsidRPr="005A3994">
              <w:t xml:space="preserve">Total </w:t>
            </w:r>
            <w:r>
              <w:t>n</w:t>
            </w:r>
            <w:r w:rsidRPr="005A3994">
              <w:t>on-</w:t>
            </w:r>
            <w:r>
              <w:t>f</w:t>
            </w:r>
            <w:r w:rsidRPr="005A3994">
              <w:t xml:space="preserve">inancial </w:t>
            </w:r>
            <w:r>
              <w:t>a</w:t>
            </w:r>
            <w:r w:rsidRPr="005A3994">
              <w:t>ssets</w:t>
            </w:r>
          </w:p>
        </w:tc>
        <w:tc>
          <w:tcPr>
            <w:tcW w:w="1130" w:type="dxa"/>
            <w:tcBorders>
              <w:bottom w:val="single" w:sz="4" w:space="0" w:color="auto"/>
            </w:tcBorders>
            <w:shd w:val="clear" w:color="auto" w:fill="auto"/>
          </w:tcPr>
          <w:p w14:paraId="6CF86E2F" w14:textId="77777777" w:rsidR="006C269A" w:rsidRPr="00133FA5" w:rsidRDefault="006C269A" w:rsidP="00AB05FB">
            <w:pPr>
              <w:pStyle w:val="BTablefigureBold"/>
            </w:pPr>
            <w:r w:rsidRPr="00133FA5">
              <w:rPr>
                <w:rFonts w:asciiTheme="minorHAnsi" w:hAnsiTheme="minorHAnsi" w:cstheme="minorHAnsi"/>
                <w:szCs w:val="20"/>
              </w:rPr>
              <w:t>9,658,865</w:t>
            </w:r>
          </w:p>
        </w:tc>
        <w:tc>
          <w:tcPr>
            <w:tcW w:w="1232" w:type="dxa"/>
            <w:tcBorders>
              <w:bottom w:val="single" w:sz="4" w:space="0" w:color="auto"/>
            </w:tcBorders>
            <w:shd w:val="clear" w:color="auto" w:fill="auto"/>
            <w:noWrap/>
          </w:tcPr>
          <w:p w14:paraId="11A7FDE8" w14:textId="77777777" w:rsidR="006C269A" w:rsidRPr="00133FA5" w:rsidRDefault="006C269A" w:rsidP="00AB05FB">
            <w:pPr>
              <w:pStyle w:val="BTablefigureBold"/>
            </w:pPr>
            <w:r w:rsidRPr="00133FA5">
              <w:rPr>
                <w:rFonts w:asciiTheme="minorHAnsi" w:hAnsiTheme="minorHAnsi" w:cstheme="minorHAnsi"/>
                <w:szCs w:val="20"/>
              </w:rPr>
              <w:t>10,868,468</w:t>
            </w:r>
          </w:p>
        </w:tc>
        <w:tc>
          <w:tcPr>
            <w:tcW w:w="1232" w:type="dxa"/>
            <w:tcBorders>
              <w:bottom w:val="single" w:sz="4" w:space="0" w:color="auto"/>
            </w:tcBorders>
            <w:shd w:val="clear" w:color="auto" w:fill="auto"/>
            <w:noWrap/>
            <w:vAlign w:val="bottom"/>
          </w:tcPr>
          <w:p w14:paraId="74C4786E" w14:textId="77777777" w:rsidR="006C269A" w:rsidRPr="00133FA5" w:rsidRDefault="006C269A" w:rsidP="00AB05FB">
            <w:pPr>
              <w:pStyle w:val="BTablefigureBold"/>
            </w:pPr>
            <w:r w:rsidRPr="00133FA5">
              <w:rPr>
                <w:rFonts w:asciiTheme="minorHAnsi" w:hAnsiTheme="minorHAnsi" w:cstheme="minorHAnsi"/>
                <w:color w:val="000000"/>
                <w:szCs w:val="20"/>
              </w:rPr>
              <w:t>11,104,726</w:t>
            </w:r>
          </w:p>
        </w:tc>
        <w:tc>
          <w:tcPr>
            <w:tcW w:w="1232" w:type="dxa"/>
            <w:tcBorders>
              <w:bottom w:val="single" w:sz="4" w:space="0" w:color="auto"/>
            </w:tcBorders>
            <w:shd w:val="clear" w:color="auto" w:fill="auto"/>
            <w:noWrap/>
            <w:vAlign w:val="bottom"/>
          </w:tcPr>
          <w:p w14:paraId="304D1B48" w14:textId="77777777" w:rsidR="006C269A" w:rsidRPr="00133FA5" w:rsidRDefault="006C269A" w:rsidP="00AB05FB">
            <w:pPr>
              <w:pStyle w:val="BTablefigureBold"/>
            </w:pPr>
            <w:r w:rsidRPr="00133FA5">
              <w:rPr>
                <w:rFonts w:asciiTheme="minorHAnsi" w:hAnsiTheme="minorHAnsi" w:cstheme="minorHAnsi"/>
                <w:color w:val="000000"/>
                <w:szCs w:val="20"/>
              </w:rPr>
              <w:t>11,100,129</w:t>
            </w:r>
          </w:p>
        </w:tc>
        <w:tc>
          <w:tcPr>
            <w:tcW w:w="1232" w:type="dxa"/>
            <w:tcBorders>
              <w:bottom w:val="single" w:sz="4" w:space="0" w:color="auto"/>
            </w:tcBorders>
            <w:shd w:val="clear" w:color="auto" w:fill="auto"/>
            <w:noWrap/>
            <w:vAlign w:val="bottom"/>
          </w:tcPr>
          <w:p w14:paraId="191C74CC" w14:textId="77777777" w:rsidR="006C269A" w:rsidRPr="00133FA5" w:rsidRDefault="006C269A" w:rsidP="00AB05FB">
            <w:pPr>
              <w:pStyle w:val="BTablefigureBold"/>
            </w:pPr>
            <w:r w:rsidRPr="00133FA5">
              <w:rPr>
                <w:rFonts w:asciiTheme="minorHAnsi" w:hAnsiTheme="minorHAnsi" w:cstheme="minorHAnsi"/>
                <w:color w:val="000000"/>
                <w:szCs w:val="20"/>
              </w:rPr>
              <w:t>11,209,060</w:t>
            </w:r>
          </w:p>
        </w:tc>
        <w:tc>
          <w:tcPr>
            <w:tcW w:w="1232" w:type="dxa"/>
            <w:tcBorders>
              <w:bottom w:val="single" w:sz="4" w:space="0" w:color="auto"/>
            </w:tcBorders>
            <w:shd w:val="clear" w:color="auto" w:fill="auto"/>
            <w:noWrap/>
            <w:vAlign w:val="bottom"/>
          </w:tcPr>
          <w:p w14:paraId="73B96F34" w14:textId="77777777" w:rsidR="006C269A" w:rsidRPr="00133FA5" w:rsidRDefault="006C269A" w:rsidP="00AB05FB">
            <w:pPr>
              <w:pStyle w:val="BTablefigureBold"/>
            </w:pPr>
            <w:r w:rsidRPr="00133FA5">
              <w:rPr>
                <w:rFonts w:asciiTheme="minorHAnsi" w:hAnsiTheme="minorHAnsi" w:cstheme="minorHAnsi"/>
                <w:color w:val="000000"/>
                <w:szCs w:val="20"/>
              </w:rPr>
              <w:t>11,233,584</w:t>
            </w:r>
          </w:p>
        </w:tc>
      </w:tr>
      <w:tr w:rsidR="006C269A" w:rsidRPr="006D5D15" w14:paraId="395F5EDE" w14:textId="77777777" w:rsidTr="00AB05FB">
        <w:trPr>
          <w:tblHeader/>
          <w:jc w:val="center"/>
        </w:trPr>
        <w:tc>
          <w:tcPr>
            <w:tcW w:w="2869" w:type="dxa"/>
            <w:tcBorders>
              <w:top w:val="single" w:sz="4" w:space="0" w:color="auto"/>
              <w:bottom w:val="single" w:sz="4" w:space="0" w:color="auto"/>
            </w:tcBorders>
            <w:shd w:val="clear" w:color="auto" w:fill="auto"/>
            <w:noWrap/>
          </w:tcPr>
          <w:p w14:paraId="18E73786" w14:textId="77777777" w:rsidR="006C269A" w:rsidRPr="00C75A48" w:rsidRDefault="006C269A" w:rsidP="00AB05FB">
            <w:pPr>
              <w:pStyle w:val="BStabletextbold"/>
              <w:rPr>
                <w:color w:val="472D8C"/>
              </w:rPr>
            </w:pPr>
            <w:r w:rsidRPr="00C75A48">
              <w:rPr>
                <w:color w:val="472D8C"/>
              </w:rPr>
              <w:t>Total assets</w:t>
            </w:r>
          </w:p>
        </w:tc>
        <w:tc>
          <w:tcPr>
            <w:tcW w:w="1130" w:type="dxa"/>
            <w:tcBorders>
              <w:top w:val="single" w:sz="4" w:space="0" w:color="auto"/>
              <w:bottom w:val="single" w:sz="4" w:space="0" w:color="auto"/>
            </w:tcBorders>
            <w:shd w:val="clear" w:color="auto" w:fill="auto"/>
          </w:tcPr>
          <w:p w14:paraId="7949DA9B" w14:textId="77777777" w:rsidR="006C269A" w:rsidRPr="00C75A48" w:rsidRDefault="006C269A" w:rsidP="00AB05FB">
            <w:pPr>
              <w:pStyle w:val="BStabletextbold"/>
              <w:jc w:val="right"/>
              <w:rPr>
                <w:color w:val="472D8C"/>
              </w:rPr>
            </w:pPr>
            <w:r w:rsidRPr="00133FA5">
              <w:rPr>
                <w:color w:val="472D8C"/>
              </w:rPr>
              <w:t>10,961,980</w:t>
            </w:r>
          </w:p>
        </w:tc>
        <w:tc>
          <w:tcPr>
            <w:tcW w:w="1232" w:type="dxa"/>
            <w:tcBorders>
              <w:top w:val="single" w:sz="4" w:space="0" w:color="auto"/>
              <w:bottom w:val="single" w:sz="4" w:space="0" w:color="auto"/>
            </w:tcBorders>
            <w:shd w:val="clear" w:color="auto" w:fill="auto"/>
            <w:noWrap/>
          </w:tcPr>
          <w:p w14:paraId="21545EBA" w14:textId="77777777" w:rsidR="006C269A" w:rsidRPr="00C75A48" w:rsidRDefault="006C269A" w:rsidP="00AB05FB">
            <w:pPr>
              <w:pStyle w:val="BStabletextbold"/>
              <w:jc w:val="right"/>
              <w:rPr>
                <w:color w:val="472D8C"/>
              </w:rPr>
            </w:pPr>
            <w:r w:rsidRPr="00133FA5">
              <w:rPr>
                <w:color w:val="472D8C"/>
              </w:rPr>
              <w:t>12,291,261</w:t>
            </w:r>
          </w:p>
        </w:tc>
        <w:tc>
          <w:tcPr>
            <w:tcW w:w="1232" w:type="dxa"/>
            <w:tcBorders>
              <w:top w:val="single" w:sz="4" w:space="0" w:color="auto"/>
              <w:bottom w:val="single" w:sz="4" w:space="0" w:color="auto"/>
            </w:tcBorders>
            <w:shd w:val="clear" w:color="auto" w:fill="auto"/>
            <w:noWrap/>
          </w:tcPr>
          <w:p w14:paraId="3CC2C722" w14:textId="77777777" w:rsidR="006C269A" w:rsidRPr="00C75A48" w:rsidRDefault="006C269A" w:rsidP="00AB05FB">
            <w:pPr>
              <w:pStyle w:val="BStabletextbold"/>
              <w:jc w:val="right"/>
              <w:rPr>
                <w:color w:val="472D8C"/>
              </w:rPr>
            </w:pPr>
            <w:r w:rsidRPr="00133FA5">
              <w:rPr>
                <w:color w:val="472D8C"/>
              </w:rPr>
              <w:t>12,350,148</w:t>
            </w:r>
          </w:p>
        </w:tc>
        <w:tc>
          <w:tcPr>
            <w:tcW w:w="1232" w:type="dxa"/>
            <w:tcBorders>
              <w:top w:val="single" w:sz="4" w:space="0" w:color="auto"/>
              <w:bottom w:val="single" w:sz="4" w:space="0" w:color="auto"/>
            </w:tcBorders>
            <w:shd w:val="clear" w:color="auto" w:fill="auto"/>
            <w:noWrap/>
          </w:tcPr>
          <w:p w14:paraId="175E3AB9" w14:textId="77777777" w:rsidR="006C269A" w:rsidRPr="00C75A48" w:rsidRDefault="006C269A" w:rsidP="00AB05FB">
            <w:pPr>
              <w:pStyle w:val="BStabletextbold"/>
              <w:jc w:val="right"/>
              <w:rPr>
                <w:color w:val="472D8C"/>
              </w:rPr>
            </w:pPr>
            <w:r w:rsidRPr="00133FA5">
              <w:rPr>
                <w:color w:val="472D8C"/>
              </w:rPr>
              <w:t>12,375,184</w:t>
            </w:r>
          </w:p>
        </w:tc>
        <w:tc>
          <w:tcPr>
            <w:tcW w:w="1232" w:type="dxa"/>
            <w:tcBorders>
              <w:top w:val="single" w:sz="4" w:space="0" w:color="auto"/>
              <w:bottom w:val="single" w:sz="4" w:space="0" w:color="auto"/>
            </w:tcBorders>
            <w:shd w:val="clear" w:color="auto" w:fill="auto"/>
            <w:noWrap/>
          </w:tcPr>
          <w:p w14:paraId="14FF76BE" w14:textId="77777777" w:rsidR="006C269A" w:rsidRPr="00C75A48" w:rsidRDefault="006C269A" w:rsidP="00AB05FB">
            <w:pPr>
              <w:pStyle w:val="BStabletextbold"/>
              <w:jc w:val="right"/>
              <w:rPr>
                <w:color w:val="472D8C"/>
              </w:rPr>
            </w:pPr>
            <w:r w:rsidRPr="00133FA5">
              <w:rPr>
                <w:color w:val="472D8C"/>
              </w:rPr>
              <w:t>12,529,964</w:t>
            </w:r>
          </w:p>
        </w:tc>
        <w:tc>
          <w:tcPr>
            <w:tcW w:w="1232" w:type="dxa"/>
            <w:tcBorders>
              <w:top w:val="single" w:sz="4" w:space="0" w:color="auto"/>
              <w:bottom w:val="single" w:sz="4" w:space="0" w:color="auto"/>
            </w:tcBorders>
            <w:shd w:val="clear" w:color="auto" w:fill="auto"/>
            <w:noWrap/>
          </w:tcPr>
          <w:p w14:paraId="277B1EF5" w14:textId="77777777" w:rsidR="006C269A" w:rsidRPr="00C75A48" w:rsidRDefault="006C269A" w:rsidP="00AB05FB">
            <w:pPr>
              <w:pStyle w:val="BStabletextbold"/>
              <w:jc w:val="right"/>
              <w:rPr>
                <w:color w:val="472D8C"/>
              </w:rPr>
            </w:pPr>
            <w:r w:rsidRPr="00133FA5">
              <w:rPr>
                <w:color w:val="472D8C"/>
              </w:rPr>
              <w:t>12,492,233</w:t>
            </w:r>
          </w:p>
        </w:tc>
      </w:tr>
      <w:tr w:rsidR="006C269A" w:rsidRPr="006D5D15" w14:paraId="179FD32B" w14:textId="77777777" w:rsidTr="00AB05FB">
        <w:trPr>
          <w:tblHeader/>
          <w:jc w:val="center"/>
        </w:trPr>
        <w:tc>
          <w:tcPr>
            <w:tcW w:w="2869" w:type="dxa"/>
            <w:shd w:val="clear" w:color="auto" w:fill="auto"/>
            <w:noWrap/>
            <w:vAlign w:val="bottom"/>
          </w:tcPr>
          <w:p w14:paraId="1AC73787" w14:textId="77777777" w:rsidR="006C269A" w:rsidRPr="00E21387" w:rsidRDefault="006C269A" w:rsidP="00AB05FB">
            <w:pPr>
              <w:pStyle w:val="BStabletextbold"/>
            </w:pPr>
            <w:r w:rsidRPr="005A3994">
              <w:t>Liabilities</w:t>
            </w:r>
          </w:p>
        </w:tc>
        <w:tc>
          <w:tcPr>
            <w:tcW w:w="1130" w:type="dxa"/>
            <w:shd w:val="clear" w:color="auto" w:fill="auto"/>
          </w:tcPr>
          <w:p w14:paraId="67A9F774" w14:textId="77777777" w:rsidR="006C269A" w:rsidRPr="00420FA4" w:rsidRDefault="006C269A" w:rsidP="00AB05FB">
            <w:pPr>
              <w:pStyle w:val="BStabletextbold"/>
            </w:pPr>
          </w:p>
        </w:tc>
        <w:tc>
          <w:tcPr>
            <w:tcW w:w="1232" w:type="dxa"/>
            <w:shd w:val="clear" w:color="auto" w:fill="auto"/>
            <w:noWrap/>
          </w:tcPr>
          <w:p w14:paraId="7E870CEE" w14:textId="77777777" w:rsidR="006C269A" w:rsidRPr="00420FA4" w:rsidRDefault="006C269A" w:rsidP="00AB05FB">
            <w:pPr>
              <w:pStyle w:val="BStabletextbold"/>
            </w:pPr>
          </w:p>
        </w:tc>
        <w:tc>
          <w:tcPr>
            <w:tcW w:w="1232" w:type="dxa"/>
            <w:shd w:val="clear" w:color="auto" w:fill="auto"/>
            <w:noWrap/>
          </w:tcPr>
          <w:p w14:paraId="1E0806F7" w14:textId="77777777" w:rsidR="006C269A" w:rsidRPr="00420FA4" w:rsidRDefault="006C269A" w:rsidP="00AB05FB">
            <w:pPr>
              <w:pStyle w:val="BStabletextbold"/>
            </w:pPr>
          </w:p>
        </w:tc>
        <w:tc>
          <w:tcPr>
            <w:tcW w:w="1232" w:type="dxa"/>
            <w:shd w:val="clear" w:color="auto" w:fill="auto"/>
            <w:noWrap/>
          </w:tcPr>
          <w:p w14:paraId="34FFF8FD" w14:textId="77777777" w:rsidR="006C269A" w:rsidRPr="00420FA4" w:rsidRDefault="006C269A" w:rsidP="00AB05FB">
            <w:pPr>
              <w:pStyle w:val="BStabletextbold"/>
            </w:pPr>
          </w:p>
        </w:tc>
        <w:tc>
          <w:tcPr>
            <w:tcW w:w="1232" w:type="dxa"/>
            <w:shd w:val="clear" w:color="auto" w:fill="auto"/>
            <w:noWrap/>
          </w:tcPr>
          <w:p w14:paraId="5AFFD1C8" w14:textId="77777777" w:rsidR="006C269A" w:rsidRPr="00420FA4" w:rsidRDefault="006C269A" w:rsidP="00AB05FB">
            <w:pPr>
              <w:pStyle w:val="BStabletextbold"/>
            </w:pPr>
          </w:p>
        </w:tc>
        <w:tc>
          <w:tcPr>
            <w:tcW w:w="1232" w:type="dxa"/>
            <w:shd w:val="clear" w:color="auto" w:fill="auto"/>
            <w:noWrap/>
          </w:tcPr>
          <w:p w14:paraId="231FD7A0" w14:textId="77777777" w:rsidR="006C269A" w:rsidRPr="00420FA4" w:rsidRDefault="006C269A" w:rsidP="00AB05FB">
            <w:pPr>
              <w:pStyle w:val="BStabletextbold"/>
            </w:pPr>
          </w:p>
        </w:tc>
      </w:tr>
      <w:tr w:rsidR="006C269A" w:rsidRPr="006D5D15" w14:paraId="08B57D0E" w14:textId="77777777" w:rsidTr="00AB05FB">
        <w:trPr>
          <w:tblHeader/>
          <w:jc w:val="center"/>
        </w:trPr>
        <w:tc>
          <w:tcPr>
            <w:tcW w:w="2869" w:type="dxa"/>
            <w:shd w:val="clear" w:color="auto" w:fill="auto"/>
            <w:noWrap/>
          </w:tcPr>
          <w:p w14:paraId="6974DB61" w14:textId="77777777" w:rsidR="006C269A" w:rsidRPr="00E21387" w:rsidRDefault="006C269A" w:rsidP="00AB05FB">
            <w:pPr>
              <w:pStyle w:val="BStabletextunbold"/>
            </w:pPr>
            <w:r w:rsidRPr="005A3994">
              <w:t xml:space="preserve">Advances </w:t>
            </w:r>
            <w:r>
              <w:t>r</w:t>
            </w:r>
            <w:r w:rsidRPr="005A3994">
              <w:t>eceived</w:t>
            </w:r>
          </w:p>
        </w:tc>
        <w:tc>
          <w:tcPr>
            <w:tcW w:w="1130" w:type="dxa"/>
            <w:shd w:val="clear" w:color="auto" w:fill="auto"/>
          </w:tcPr>
          <w:p w14:paraId="4311125F" w14:textId="77777777" w:rsidR="006C269A" w:rsidRPr="00133FA5" w:rsidRDefault="006C269A" w:rsidP="00AB05FB">
            <w:pPr>
              <w:pStyle w:val="Btablefigureunbold"/>
            </w:pPr>
            <w:r w:rsidRPr="00133FA5">
              <w:t>1,877,147</w:t>
            </w:r>
          </w:p>
        </w:tc>
        <w:tc>
          <w:tcPr>
            <w:tcW w:w="1232" w:type="dxa"/>
            <w:shd w:val="clear" w:color="auto" w:fill="auto"/>
            <w:noWrap/>
          </w:tcPr>
          <w:p w14:paraId="00FAA334" w14:textId="77777777" w:rsidR="006C269A" w:rsidRPr="00133FA5" w:rsidRDefault="006C269A" w:rsidP="00AB05FB">
            <w:pPr>
              <w:pStyle w:val="Btablefigureunbold"/>
            </w:pPr>
            <w:r w:rsidRPr="00133FA5">
              <w:t>1,878,690</w:t>
            </w:r>
          </w:p>
        </w:tc>
        <w:tc>
          <w:tcPr>
            <w:tcW w:w="1232" w:type="dxa"/>
            <w:shd w:val="clear" w:color="auto" w:fill="auto"/>
            <w:noWrap/>
            <w:vAlign w:val="bottom"/>
          </w:tcPr>
          <w:p w14:paraId="2A53A974" w14:textId="77777777" w:rsidR="006C269A" w:rsidRPr="00133FA5" w:rsidRDefault="006C269A" w:rsidP="00AB05FB">
            <w:pPr>
              <w:pStyle w:val="Btablefigureunbold"/>
            </w:pPr>
            <w:r w:rsidRPr="00133FA5">
              <w:t>1,921,206</w:t>
            </w:r>
          </w:p>
        </w:tc>
        <w:tc>
          <w:tcPr>
            <w:tcW w:w="1232" w:type="dxa"/>
            <w:shd w:val="clear" w:color="auto" w:fill="auto"/>
            <w:noWrap/>
            <w:vAlign w:val="bottom"/>
          </w:tcPr>
          <w:p w14:paraId="66989D62" w14:textId="77777777" w:rsidR="006C269A" w:rsidRPr="00133FA5" w:rsidRDefault="006C269A" w:rsidP="00AB05FB">
            <w:pPr>
              <w:pStyle w:val="Btablefigureunbold"/>
            </w:pPr>
            <w:r w:rsidRPr="00133FA5">
              <w:t>1,927,666</w:t>
            </w:r>
          </w:p>
        </w:tc>
        <w:tc>
          <w:tcPr>
            <w:tcW w:w="1232" w:type="dxa"/>
            <w:shd w:val="clear" w:color="auto" w:fill="auto"/>
            <w:noWrap/>
            <w:vAlign w:val="bottom"/>
          </w:tcPr>
          <w:p w14:paraId="07DAA091" w14:textId="77777777" w:rsidR="006C269A" w:rsidRPr="00133FA5" w:rsidRDefault="006C269A" w:rsidP="00AB05FB">
            <w:pPr>
              <w:pStyle w:val="Btablefigureunbold"/>
            </w:pPr>
            <w:r w:rsidRPr="00133FA5">
              <w:t>1,973,829</w:t>
            </w:r>
          </w:p>
        </w:tc>
        <w:tc>
          <w:tcPr>
            <w:tcW w:w="1232" w:type="dxa"/>
            <w:shd w:val="clear" w:color="auto" w:fill="auto"/>
            <w:noWrap/>
            <w:vAlign w:val="bottom"/>
          </w:tcPr>
          <w:p w14:paraId="694EA24E" w14:textId="77777777" w:rsidR="006C269A" w:rsidRPr="00133FA5" w:rsidRDefault="006C269A" w:rsidP="00AB05FB">
            <w:pPr>
              <w:pStyle w:val="Btablefigureunbold"/>
            </w:pPr>
            <w:r w:rsidRPr="00133FA5">
              <w:t>2,014,251</w:t>
            </w:r>
          </w:p>
        </w:tc>
      </w:tr>
      <w:tr w:rsidR="006C269A" w:rsidRPr="006D5D15" w14:paraId="53C3C19A" w14:textId="77777777" w:rsidTr="00AB05FB">
        <w:trPr>
          <w:tblHeader/>
          <w:jc w:val="center"/>
        </w:trPr>
        <w:tc>
          <w:tcPr>
            <w:tcW w:w="2869" w:type="dxa"/>
            <w:shd w:val="clear" w:color="auto" w:fill="auto"/>
            <w:noWrap/>
          </w:tcPr>
          <w:p w14:paraId="358B3916" w14:textId="77777777" w:rsidR="006C269A" w:rsidRPr="005A3994" w:rsidRDefault="006C269A" w:rsidP="00AB05FB">
            <w:pPr>
              <w:pStyle w:val="BStabletextunbold"/>
            </w:pPr>
            <w:r>
              <w:t>Borrowings</w:t>
            </w:r>
          </w:p>
        </w:tc>
        <w:tc>
          <w:tcPr>
            <w:tcW w:w="1130" w:type="dxa"/>
            <w:shd w:val="clear" w:color="auto" w:fill="auto"/>
          </w:tcPr>
          <w:p w14:paraId="3919C0E8" w14:textId="77777777" w:rsidR="006C269A" w:rsidRPr="00133FA5" w:rsidRDefault="006C269A" w:rsidP="00AB05FB">
            <w:pPr>
              <w:pStyle w:val="Btablefigureunbold"/>
            </w:pPr>
          </w:p>
        </w:tc>
        <w:tc>
          <w:tcPr>
            <w:tcW w:w="1232" w:type="dxa"/>
            <w:shd w:val="clear" w:color="auto" w:fill="auto"/>
            <w:noWrap/>
          </w:tcPr>
          <w:p w14:paraId="2C0A5BCD" w14:textId="77777777" w:rsidR="006C269A" w:rsidRPr="00133FA5" w:rsidRDefault="006C269A" w:rsidP="00AB05FB">
            <w:pPr>
              <w:pStyle w:val="Btablefigureunbold"/>
            </w:pPr>
          </w:p>
        </w:tc>
        <w:tc>
          <w:tcPr>
            <w:tcW w:w="1232" w:type="dxa"/>
            <w:shd w:val="clear" w:color="auto" w:fill="auto"/>
            <w:noWrap/>
            <w:vAlign w:val="bottom"/>
          </w:tcPr>
          <w:p w14:paraId="247080F2" w14:textId="77777777" w:rsidR="006C269A" w:rsidRPr="00133FA5" w:rsidRDefault="006C269A" w:rsidP="00AB05FB">
            <w:pPr>
              <w:pStyle w:val="Btablefigureunbold"/>
            </w:pPr>
          </w:p>
        </w:tc>
        <w:tc>
          <w:tcPr>
            <w:tcW w:w="1232" w:type="dxa"/>
            <w:shd w:val="clear" w:color="auto" w:fill="auto"/>
            <w:noWrap/>
            <w:vAlign w:val="bottom"/>
          </w:tcPr>
          <w:p w14:paraId="0B0F839B" w14:textId="77777777" w:rsidR="006C269A" w:rsidRPr="00133FA5" w:rsidRDefault="006C269A" w:rsidP="00AB05FB">
            <w:pPr>
              <w:pStyle w:val="Btablefigureunbold"/>
            </w:pPr>
          </w:p>
        </w:tc>
        <w:tc>
          <w:tcPr>
            <w:tcW w:w="1232" w:type="dxa"/>
            <w:shd w:val="clear" w:color="auto" w:fill="auto"/>
            <w:noWrap/>
            <w:vAlign w:val="bottom"/>
          </w:tcPr>
          <w:p w14:paraId="6D3893EB" w14:textId="77777777" w:rsidR="006C269A" w:rsidRPr="00133FA5" w:rsidRDefault="006C269A" w:rsidP="00AB05FB">
            <w:pPr>
              <w:pStyle w:val="Btablefigureunbold"/>
            </w:pPr>
          </w:p>
        </w:tc>
        <w:tc>
          <w:tcPr>
            <w:tcW w:w="1232" w:type="dxa"/>
            <w:shd w:val="clear" w:color="auto" w:fill="auto"/>
            <w:noWrap/>
            <w:vAlign w:val="bottom"/>
          </w:tcPr>
          <w:p w14:paraId="2E8F8A92" w14:textId="77777777" w:rsidR="006C269A" w:rsidRPr="00133FA5" w:rsidRDefault="006C269A" w:rsidP="00AB05FB">
            <w:pPr>
              <w:pStyle w:val="Btablefigureunbold"/>
            </w:pPr>
          </w:p>
        </w:tc>
      </w:tr>
      <w:tr w:rsidR="006C269A" w:rsidRPr="006D5D15" w14:paraId="43B8C785" w14:textId="77777777" w:rsidTr="00AB05FB">
        <w:trPr>
          <w:tblHeader/>
          <w:jc w:val="center"/>
        </w:trPr>
        <w:tc>
          <w:tcPr>
            <w:tcW w:w="2869" w:type="dxa"/>
            <w:shd w:val="clear" w:color="auto" w:fill="auto"/>
            <w:noWrap/>
          </w:tcPr>
          <w:p w14:paraId="17E7247D" w14:textId="77777777" w:rsidR="006C269A" w:rsidRPr="00E21387" w:rsidRDefault="006C269A" w:rsidP="00AB05FB">
            <w:pPr>
              <w:pStyle w:val="BStabletextunbold"/>
              <w:ind w:left="376"/>
            </w:pPr>
            <w:r>
              <w:t>Lease liabilities</w:t>
            </w:r>
          </w:p>
        </w:tc>
        <w:tc>
          <w:tcPr>
            <w:tcW w:w="1130" w:type="dxa"/>
            <w:shd w:val="clear" w:color="auto" w:fill="auto"/>
          </w:tcPr>
          <w:p w14:paraId="196F8656" w14:textId="77777777" w:rsidR="006C269A" w:rsidRPr="00133FA5" w:rsidRDefault="006C269A" w:rsidP="00AB05FB">
            <w:pPr>
              <w:pStyle w:val="Btablefigureunbold"/>
            </w:pPr>
            <w:r w:rsidRPr="00133FA5">
              <w:t>305,676</w:t>
            </w:r>
          </w:p>
        </w:tc>
        <w:tc>
          <w:tcPr>
            <w:tcW w:w="1232" w:type="dxa"/>
            <w:shd w:val="clear" w:color="auto" w:fill="auto"/>
            <w:noWrap/>
            <w:vAlign w:val="bottom"/>
          </w:tcPr>
          <w:p w14:paraId="66814A30" w14:textId="77777777" w:rsidR="006C269A" w:rsidRPr="00133FA5" w:rsidRDefault="006C269A" w:rsidP="00AB05FB">
            <w:pPr>
              <w:pStyle w:val="Btablefigureunbold"/>
            </w:pPr>
            <w:r>
              <w:rPr>
                <w:rFonts w:cs="Calibri"/>
                <w:color w:val="000000"/>
                <w:sz w:val="22"/>
              </w:rPr>
              <w:t>5,009</w:t>
            </w:r>
          </w:p>
        </w:tc>
        <w:tc>
          <w:tcPr>
            <w:tcW w:w="1232" w:type="dxa"/>
            <w:shd w:val="clear" w:color="auto" w:fill="auto"/>
            <w:noWrap/>
            <w:vAlign w:val="bottom"/>
          </w:tcPr>
          <w:p w14:paraId="0907EF14" w14:textId="77777777" w:rsidR="006C269A" w:rsidRPr="00133FA5" w:rsidRDefault="006C269A" w:rsidP="00AB05FB">
            <w:pPr>
              <w:pStyle w:val="Btablefigureunbold"/>
            </w:pPr>
            <w:r>
              <w:rPr>
                <w:rFonts w:cs="Calibri"/>
                <w:color w:val="000000"/>
                <w:sz w:val="22"/>
              </w:rPr>
              <w:t>4,332</w:t>
            </w:r>
          </w:p>
        </w:tc>
        <w:tc>
          <w:tcPr>
            <w:tcW w:w="1232" w:type="dxa"/>
            <w:shd w:val="clear" w:color="auto" w:fill="auto"/>
            <w:noWrap/>
            <w:vAlign w:val="bottom"/>
          </w:tcPr>
          <w:p w14:paraId="106B8B5D" w14:textId="77777777" w:rsidR="006C269A" w:rsidRPr="00133FA5" w:rsidRDefault="006C269A" w:rsidP="00AB05FB">
            <w:pPr>
              <w:pStyle w:val="Btablefigureunbold"/>
            </w:pPr>
            <w:r>
              <w:rPr>
                <w:rFonts w:cs="Calibri"/>
                <w:color w:val="000000"/>
                <w:sz w:val="22"/>
              </w:rPr>
              <w:t>4,235</w:t>
            </w:r>
          </w:p>
        </w:tc>
        <w:tc>
          <w:tcPr>
            <w:tcW w:w="1232" w:type="dxa"/>
            <w:shd w:val="clear" w:color="auto" w:fill="auto"/>
            <w:noWrap/>
            <w:vAlign w:val="bottom"/>
          </w:tcPr>
          <w:p w14:paraId="08CE3200" w14:textId="77777777" w:rsidR="006C269A" w:rsidRPr="00133FA5" w:rsidRDefault="006C269A" w:rsidP="00AB05FB">
            <w:pPr>
              <w:pStyle w:val="Btablefigureunbold"/>
            </w:pPr>
            <w:r>
              <w:rPr>
                <w:rFonts w:cs="Calibri"/>
                <w:color w:val="000000"/>
                <w:sz w:val="22"/>
              </w:rPr>
              <w:t>4,168</w:t>
            </w:r>
          </w:p>
        </w:tc>
        <w:tc>
          <w:tcPr>
            <w:tcW w:w="1232" w:type="dxa"/>
            <w:shd w:val="clear" w:color="auto" w:fill="auto"/>
            <w:noWrap/>
            <w:vAlign w:val="bottom"/>
          </w:tcPr>
          <w:p w14:paraId="6960DADA" w14:textId="77777777" w:rsidR="006C269A" w:rsidRPr="00133FA5" w:rsidRDefault="006C269A" w:rsidP="00AB05FB">
            <w:pPr>
              <w:pStyle w:val="Btablefigureunbold"/>
            </w:pPr>
            <w:r>
              <w:rPr>
                <w:rFonts w:cs="Calibri"/>
                <w:color w:val="000000"/>
                <w:sz w:val="22"/>
              </w:rPr>
              <w:t>4,168</w:t>
            </w:r>
          </w:p>
        </w:tc>
      </w:tr>
      <w:tr w:rsidR="006C269A" w:rsidRPr="006D5D15" w14:paraId="089BF49C" w14:textId="77777777" w:rsidTr="00AB05FB">
        <w:trPr>
          <w:tblHeader/>
          <w:jc w:val="center"/>
        </w:trPr>
        <w:tc>
          <w:tcPr>
            <w:tcW w:w="2869" w:type="dxa"/>
            <w:shd w:val="clear" w:color="auto" w:fill="auto"/>
            <w:noWrap/>
          </w:tcPr>
          <w:p w14:paraId="22CB097E" w14:textId="77777777" w:rsidR="006C269A" w:rsidRPr="005A3994" w:rsidRDefault="006C269A" w:rsidP="00AB05FB">
            <w:pPr>
              <w:pStyle w:val="BStabletextunbold"/>
              <w:ind w:left="376"/>
            </w:pPr>
            <w:r>
              <w:t>Other borrowings</w:t>
            </w:r>
          </w:p>
        </w:tc>
        <w:tc>
          <w:tcPr>
            <w:tcW w:w="1130" w:type="dxa"/>
            <w:shd w:val="clear" w:color="auto" w:fill="auto"/>
          </w:tcPr>
          <w:p w14:paraId="6237E7E2" w14:textId="77777777" w:rsidR="006C269A" w:rsidRPr="00133FA5" w:rsidRDefault="006C269A" w:rsidP="00AB05FB">
            <w:pPr>
              <w:pStyle w:val="Btablefigureunbold"/>
            </w:pPr>
            <w:r>
              <w:t>0</w:t>
            </w:r>
          </w:p>
        </w:tc>
        <w:tc>
          <w:tcPr>
            <w:tcW w:w="1232" w:type="dxa"/>
            <w:shd w:val="clear" w:color="auto" w:fill="auto"/>
            <w:noWrap/>
            <w:vAlign w:val="bottom"/>
          </w:tcPr>
          <w:p w14:paraId="15C7C363" w14:textId="77777777" w:rsidR="006C269A" w:rsidRPr="00133FA5" w:rsidRDefault="006C269A" w:rsidP="00AB05FB">
            <w:pPr>
              <w:pStyle w:val="Btablefigureunbold"/>
            </w:pPr>
            <w:r>
              <w:rPr>
                <w:rFonts w:cs="Calibri"/>
                <w:color w:val="000000"/>
                <w:sz w:val="22"/>
              </w:rPr>
              <w:t>304,684</w:t>
            </w:r>
          </w:p>
        </w:tc>
        <w:tc>
          <w:tcPr>
            <w:tcW w:w="1232" w:type="dxa"/>
            <w:shd w:val="clear" w:color="auto" w:fill="auto"/>
            <w:noWrap/>
            <w:vAlign w:val="bottom"/>
          </w:tcPr>
          <w:p w14:paraId="2B9F713A" w14:textId="77777777" w:rsidR="006C269A" w:rsidRPr="00133FA5" w:rsidRDefault="006C269A" w:rsidP="00AB05FB">
            <w:pPr>
              <w:pStyle w:val="Btablefigureunbold"/>
            </w:pPr>
            <w:r>
              <w:rPr>
                <w:rFonts w:cs="Calibri"/>
                <w:color w:val="000000"/>
                <w:sz w:val="22"/>
              </w:rPr>
              <w:t>288,380</w:t>
            </w:r>
          </w:p>
        </w:tc>
        <w:tc>
          <w:tcPr>
            <w:tcW w:w="1232" w:type="dxa"/>
            <w:shd w:val="clear" w:color="auto" w:fill="auto"/>
            <w:noWrap/>
            <w:vAlign w:val="bottom"/>
          </w:tcPr>
          <w:p w14:paraId="1EC783C2" w14:textId="77777777" w:rsidR="006C269A" w:rsidRPr="00133FA5" w:rsidRDefault="006C269A" w:rsidP="00AB05FB">
            <w:pPr>
              <w:pStyle w:val="Btablefigureunbold"/>
            </w:pPr>
            <w:r>
              <w:rPr>
                <w:rFonts w:cs="Calibri"/>
                <w:color w:val="000000"/>
                <w:sz w:val="22"/>
              </w:rPr>
              <w:t>277,286</w:t>
            </w:r>
          </w:p>
        </w:tc>
        <w:tc>
          <w:tcPr>
            <w:tcW w:w="1232" w:type="dxa"/>
            <w:shd w:val="clear" w:color="auto" w:fill="auto"/>
            <w:noWrap/>
            <w:vAlign w:val="bottom"/>
          </w:tcPr>
          <w:p w14:paraId="67165A1A" w14:textId="77777777" w:rsidR="006C269A" w:rsidRPr="00133FA5" w:rsidRDefault="006C269A" w:rsidP="00AB05FB">
            <w:pPr>
              <w:pStyle w:val="Btablefigureunbold"/>
            </w:pPr>
            <w:r>
              <w:rPr>
                <w:rFonts w:cs="Calibri"/>
                <w:color w:val="000000"/>
                <w:sz w:val="22"/>
              </w:rPr>
              <w:t>266,563</w:t>
            </w:r>
          </w:p>
        </w:tc>
        <w:tc>
          <w:tcPr>
            <w:tcW w:w="1232" w:type="dxa"/>
            <w:shd w:val="clear" w:color="auto" w:fill="auto"/>
            <w:noWrap/>
            <w:vAlign w:val="bottom"/>
          </w:tcPr>
          <w:p w14:paraId="5F8B933A" w14:textId="77777777" w:rsidR="006C269A" w:rsidRPr="00133FA5" w:rsidRDefault="006C269A" w:rsidP="00AB05FB">
            <w:pPr>
              <w:pStyle w:val="Btablefigureunbold"/>
            </w:pPr>
            <w:r>
              <w:rPr>
                <w:rFonts w:cs="Calibri"/>
                <w:color w:val="000000"/>
                <w:sz w:val="22"/>
              </w:rPr>
              <w:t>255,065</w:t>
            </w:r>
          </w:p>
        </w:tc>
      </w:tr>
      <w:tr w:rsidR="006C269A" w:rsidRPr="006D5D15" w14:paraId="2A4BD0AF" w14:textId="77777777" w:rsidTr="00AB05FB">
        <w:trPr>
          <w:tblHeader/>
          <w:jc w:val="center"/>
        </w:trPr>
        <w:tc>
          <w:tcPr>
            <w:tcW w:w="2869" w:type="dxa"/>
            <w:shd w:val="clear" w:color="auto" w:fill="auto"/>
            <w:noWrap/>
          </w:tcPr>
          <w:p w14:paraId="6203C4A9" w14:textId="77777777" w:rsidR="006C269A" w:rsidRPr="00E21387" w:rsidRDefault="006C269A" w:rsidP="00AB05FB">
            <w:pPr>
              <w:pStyle w:val="BStabletextunbold"/>
            </w:pPr>
            <w:r w:rsidRPr="005A3994">
              <w:t xml:space="preserve">Employee </w:t>
            </w:r>
            <w:r>
              <w:t>b</w:t>
            </w:r>
            <w:r w:rsidRPr="005A3994">
              <w:t xml:space="preserve">enefits </w:t>
            </w:r>
          </w:p>
        </w:tc>
        <w:tc>
          <w:tcPr>
            <w:tcW w:w="1130" w:type="dxa"/>
            <w:shd w:val="clear" w:color="auto" w:fill="auto"/>
          </w:tcPr>
          <w:p w14:paraId="459C65E1" w14:textId="77777777" w:rsidR="006C269A" w:rsidRPr="00133FA5" w:rsidRDefault="006C269A" w:rsidP="00AB05FB">
            <w:pPr>
              <w:pStyle w:val="Btablefigureunbold"/>
            </w:pPr>
            <w:r w:rsidRPr="00133FA5">
              <w:t>80,203</w:t>
            </w:r>
          </w:p>
        </w:tc>
        <w:tc>
          <w:tcPr>
            <w:tcW w:w="1232" w:type="dxa"/>
            <w:shd w:val="clear" w:color="auto" w:fill="auto"/>
            <w:noWrap/>
          </w:tcPr>
          <w:p w14:paraId="1BFD4474" w14:textId="77777777" w:rsidR="006C269A" w:rsidRPr="00133FA5" w:rsidRDefault="006C269A" w:rsidP="00AB05FB">
            <w:pPr>
              <w:pStyle w:val="Btablefigureunbold"/>
            </w:pPr>
            <w:r w:rsidRPr="00133FA5">
              <w:t>78,173</w:t>
            </w:r>
          </w:p>
        </w:tc>
        <w:tc>
          <w:tcPr>
            <w:tcW w:w="1232" w:type="dxa"/>
            <w:shd w:val="clear" w:color="auto" w:fill="auto"/>
            <w:noWrap/>
            <w:vAlign w:val="bottom"/>
          </w:tcPr>
          <w:p w14:paraId="5E37D634" w14:textId="77777777" w:rsidR="006C269A" w:rsidRPr="00133FA5" w:rsidRDefault="006C269A" w:rsidP="00AB05FB">
            <w:pPr>
              <w:pStyle w:val="Btablefigureunbold"/>
            </w:pPr>
            <w:r w:rsidRPr="00133FA5">
              <w:t>79,795</w:t>
            </w:r>
          </w:p>
        </w:tc>
        <w:tc>
          <w:tcPr>
            <w:tcW w:w="1232" w:type="dxa"/>
            <w:shd w:val="clear" w:color="auto" w:fill="auto"/>
            <w:noWrap/>
            <w:vAlign w:val="bottom"/>
          </w:tcPr>
          <w:p w14:paraId="1F216E59" w14:textId="77777777" w:rsidR="006C269A" w:rsidRPr="00133FA5" w:rsidRDefault="006C269A" w:rsidP="00AB05FB">
            <w:pPr>
              <w:pStyle w:val="Btablefigureunbold"/>
            </w:pPr>
            <w:r w:rsidRPr="00133FA5">
              <w:t>81,543</w:t>
            </w:r>
          </w:p>
        </w:tc>
        <w:tc>
          <w:tcPr>
            <w:tcW w:w="1232" w:type="dxa"/>
            <w:shd w:val="clear" w:color="auto" w:fill="auto"/>
            <w:noWrap/>
            <w:vAlign w:val="bottom"/>
          </w:tcPr>
          <w:p w14:paraId="6092FD8F" w14:textId="77777777" w:rsidR="006C269A" w:rsidRPr="00133FA5" w:rsidRDefault="006C269A" w:rsidP="00AB05FB">
            <w:pPr>
              <w:pStyle w:val="Btablefigureunbold"/>
            </w:pPr>
            <w:r w:rsidRPr="00133FA5">
              <w:t>83,430</w:t>
            </w:r>
          </w:p>
        </w:tc>
        <w:tc>
          <w:tcPr>
            <w:tcW w:w="1232" w:type="dxa"/>
            <w:shd w:val="clear" w:color="auto" w:fill="auto"/>
            <w:noWrap/>
            <w:vAlign w:val="bottom"/>
          </w:tcPr>
          <w:p w14:paraId="02163DC1" w14:textId="77777777" w:rsidR="006C269A" w:rsidRPr="00133FA5" w:rsidRDefault="006C269A" w:rsidP="00AB05FB">
            <w:pPr>
              <w:pStyle w:val="Btablefigureunbold"/>
            </w:pPr>
            <w:r w:rsidRPr="00133FA5">
              <w:t>85,465</w:t>
            </w:r>
          </w:p>
        </w:tc>
      </w:tr>
      <w:tr w:rsidR="006C269A" w:rsidRPr="006D5D15" w14:paraId="5F85B4F9" w14:textId="77777777" w:rsidTr="00AB05FB">
        <w:trPr>
          <w:tblHeader/>
          <w:jc w:val="center"/>
        </w:trPr>
        <w:tc>
          <w:tcPr>
            <w:tcW w:w="2869" w:type="dxa"/>
            <w:shd w:val="clear" w:color="auto" w:fill="auto"/>
            <w:noWrap/>
          </w:tcPr>
          <w:p w14:paraId="39918C90" w14:textId="77777777" w:rsidR="006C269A" w:rsidRPr="00E21387" w:rsidRDefault="006C269A" w:rsidP="00AB05FB">
            <w:pPr>
              <w:pStyle w:val="BStabletextunbold"/>
            </w:pPr>
            <w:r w:rsidRPr="005A3994">
              <w:rPr>
                <w:rFonts w:hint="eastAsia"/>
              </w:rPr>
              <w:t xml:space="preserve">Other </w:t>
            </w:r>
            <w:r>
              <w:t>p</w:t>
            </w:r>
            <w:r w:rsidRPr="005A3994">
              <w:rPr>
                <w:rFonts w:hint="eastAsia"/>
              </w:rPr>
              <w:t>rovisions</w:t>
            </w:r>
          </w:p>
        </w:tc>
        <w:tc>
          <w:tcPr>
            <w:tcW w:w="1130" w:type="dxa"/>
            <w:shd w:val="clear" w:color="auto" w:fill="auto"/>
          </w:tcPr>
          <w:p w14:paraId="1FCA49A1" w14:textId="77777777" w:rsidR="006C269A" w:rsidRPr="00133FA5" w:rsidRDefault="006C269A" w:rsidP="00AB05FB">
            <w:pPr>
              <w:pStyle w:val="Btablefigureunbold"/>
            </w:pPr>
            <w:r w:rsidRPr="00133FA5">
              <w:t>136,026</w:t>
            </w:r>
          </w:p>
        </w:tc>
        <w:tc>
          <w:tcPr>
            <w:tcW w:w="1232" w:type="dxa"/>
            <w:shd w:val="clear" w:color="auto" w:fill="auto"/>
            <w:noWrap/>
          </w:tcPr>
          <w:p w14:paraId="2E776CBF" w14:textId="77777777" w:rsidR="006C269A" w:rsidRPr="00133FA5" w:rsidRDefault="006C269A" w:rsidP="00AB05FB">
            <w:pPr>
              <w:pStyle w:val="Btablefigureunbold"/>
            </w:pPr>
            <w:r w:rsidRPr="00133FA5">
              <w:t>178,110</w:t>
            </w:r>
          </w:p>
        </w:tc>
        <w:tc>
          <w:tcPr>
            <w:tcW w:w="1232" w:type="dxa"/>
            <w:shd w:val="clear" w:color="auto" w:fill="auto"/>
            <w:noWrap/>
            <w:vAlign w:val="bottom"/>
          </w:tcPr>
          <w:p w14:paraId="3693AB43" w14:textId="77777777" w:rsidR="006C269A" w:rsidRPr="00133FA5" w:rsidRDefault="006C269A" w:rsidP="00AB05FB">
            <w:pPr>
              <w:pStyle w:val="Btablefigureunbold"/>
            </w:pPr>
            <w:r w:rsidRPr="00133FA5">
              <w:t>181,410</w:t>
            </w:r>
          </w:p>
        </w:tc>
        <w:tc>
          <w:tcPr>
            <w:tcW w:w="1232" w:type="dxa"/>
            <w:shd w:val="clear" w:color="auto" w:fill="auto"/>
            <w:noWrap/>
            <w:vAlign w:val="bottom"/>
          </w:tcPr>
          <w:p w14:paraId="5A1DF4F1" w14:textId="77777777" w:rsidR="006C269A" w:rsidRPr="00133FA5" w:rsidRDefault="006C269A" w:rsidP="00AB05FB">
            <w:pPr>
              <w:pStyle w:val="Btablefigureunbold"/>
            </w:pPr>
            <w:r w:rsidRPr="00133FA5">
              <w:t>179,049</w:t>
            </w:r>
          </w:p>
        </w:tc>
        <w:tc>
          <w:tcPr>
            <w:tcW w:w="1232" w:type="dxa"/>
            <w:shd w:val="clear" w:color="auto" w:fill="auto"/>
            <w:noWrap/>
            <w:vAlign w:val="bottom"/>
          </w:tcPr>
          <w:p w14:paraId="4A4AA5F4" w14:textId="77777777" w:rsidR="006C269A" w:rsidRPr="00133FA5" w:rsidRDefault="006C269A" w:rsidP="00AB05FB">
            <w:pPr>
              <w:pStyle w:val="Btablefigureunbold"/>
            </w:pPr>
            <w:r w:rsidRPr="00133FA5">
              <w:t>179,405</w:t>
            </w:r>
          </w:p>
        </w:tc>
        <w:tc>
          <w:tcPr>
            <w:tcW w:w="1232" w:type="dxa"/>
            <w:shd w:val="clear" w:color="auto" w:fill="auto"/>
            <w:noWrap/>
            <w:vAlign w:val="bottom"/>
          </w:tcPr>
          <w:p w14:paraId="2CCD6AC4" w14:textId="77777777" w:rsidR="006C269A" w:rsidRPr="00133FA5" w:rsidRDefault="006C269A" w:rsidP="00AB05FB">
            <w:pPr>
              <w:pStyle w:val="Btablefigureunbold"/>
            </w:pPr>
            <w:r w:rsidRPr="00133FA5">
              <w:t>180,352</w:t>
            </w:r>
          </w:p>
        </w:tc>
      </w:tr>
      <w:tr w:rsidR="006C269A" w:rsidRPr="006D5D15" w14:paraId="0405D017" w14:textId="77777777" w:rsidTr="00AB05FB">
        <w:trPr>
          <w:tblHeader/>
          <w:jc w:val="center"/>
        </w:trPr>
        <w:tc>
          <w:tcPr>
            <w:tcW w:w="2869" w:type="dxa"/>
            <w:shd w:val="clear" w:color="auto" w:fill="auto"/>
            <w:noWrap/>
          </w:tcPr>
          <w:p w14:paraId="277C9125" w14:textId="77777777" w:rsidR="006C269A" w:rsidRPr="00E21387" w:rsidRDefault="006C269A" w:rsidP="00AB05FB">
            <w:pPr>
              <w:pStyle w:val="BStabletextunbold"/>
            </w:pPr>
            <w:r w:rsidRPr="005A3994">
              <w:t>Payables</w:t>
            </w:r>
          </w:p>
        </w:tc>
        <w:tc>
          <w:tcPr>
            <w:tcW w:w="1130" w:type="dxa"/>
            <w:shd w:val="clear" w:color="auto" w:fill="auto"/>
          </w:tcPr>
          <w:p w14:paraId="70D9065D" w14:textId="77777777" w:rsidR="006C269A" w:rsidRPr="00133FA5" w:rsidRDefault="006C269A" w:rsidP="00AB05FB">
            <w:pPr>
              <w:pStyle w:val="Btablefigureunbold"/>
            </w:pPr>
            <w:r w:rsidRPr="00133FA5">
              <w:t>174,813</w:t>
            </w:r>
          </w:p>
        </w:tc>
        <w:tc>
          <w:tcPr>
            <w:tcW w:w="1232" w:type="dxa"/>
            <w:shd w:val="clear" w:color="auto" w:fill="auto"/>
            <w:noWrap/>
          </w:tcPr>
          <w:p w14:paraId="50D61A64" w14:textId="77777777" w:rsidR="006C269A" w:rsidRPr="00133FA5" w:rsidRDefault="006C269A" w:rsidP="00AB05FB">
            <w:pPr>
              <w:pStyle w:val="Btablefigureunbold"/>
            </w:pPr>
            <w:r w:rsidRPr="00133FA5">
              <w:t>181,557</w:t>
            </w:r>
          </w:p>
        </w:tc>
        <w:tc>
          <w:tcPr>
            <w:tcW w:w="1232" w:type="dxa"/>
            <w:shd w:val="clear" w:color="auto" w:fill="auto"/>
            <w:noWrap/>
            <w:vAlign w:val="bottom"/>
          </w:tcPr>
          <w:p w14:paraId="40BF4ADD" w14:textId="77777777" w:rsidR="006C269A" w:rsidRPr="00133FA5" w:rsidRDefault="006C269A" w:rsidP="00AB05FB">
            <w:pPr>
              <w:pStyle w:val="Btablefigureunbold"/>
            </w:pPr>
            <w:r w:rsidRPr="00133FA5">
              <w:t>178,259</w:t>
            </w:r>
          </w:p>
        </w:tc>
        <w:tc>
          <w:tcPr>
            <w:tcW w:w="1232" w:type="dxa"/>
            <w:shd w:val="clear" w:color="auto" w:fill="auto"/>
            <w:noWrap/>
            <w:vAlign w:val="bottom"/>
          </w:tcPr>
          <w:p w14:paraId="05A7E6A4" w14:textId="77777777" w:rsidR="006C269A" w:rsidRPr="00133FA5" w:rsidRDefault="006C269A" w:rsidP="00AB05FB">
            <w:pPr>
              <w:pStyle w:val="Btablefigureunbold"/>
            </w:pPr>
            <w:r w:rsidRPr="00133FA5">
              <w:t>194,044</w:t>
            </w:r>
          </w:p>
        </w:tc>
        <w:tc>
          <w:tcPr>
            <w:tcW w:w="1232" w:type="dxa"/>
            <w:shd w:val="clear" w:color="auto" w:fill="auto"/>
            <w:noWrap/>
            <w:vAlign w:val="bottom"/>
          </w:tcPr>
          <w:p w14:paraId="1547D9B4" w14:textId="77777777" w:rsidR="006C269A" w:rsidRPr="00133FA5" w:rsidRDefault="006C269A" w:rsidP="00AB05FB">
            <w:pPr>
              <w:pStyle w:val="Btablefigureunbold"/>
            </w:pPr>
            <w:r w:rsidRPr="00133FA5">
              <w:t>211,888</w:t>
            </w:r>
          </w:p>
        </w:tc>
        <w:tc>
          <w:tcPr>
            <w:tcW w:w="1232" w:type="dxa"/>
            <w:shd w:val="clear" w:color="auto" w:fill="auto"/>
            <w:noWrap/>
            <w:vAlign w:val="bottom"/>
          </w:tcPr>
          <w:p w14:paraId="007783BE" w14:textId="77777777" w:rsidR="006C269A" w:rsidRPr="00133FA5" w:rsidRDefault="006C269A" w:rsidP="00AB05FB">
            <w:pPr>
              <w:pStyle w:val="Btablefigureunbold"/>
            </w:pPr>
            <w:r w:rsidRPr="00133FA5">
              <w:t>194,589</w:t>
            </w:r>
          </w:p>
        </w:tc>
      </w:tr>
      <w:tr w:rsidR="006C269A" w:rsidRPr="006D5D15" w14:paraId="61FC80D7" w14:textId="77777777" w:rsidTr="00AB05FB">
        <w:trPr>
          <w:tblHeader/>
          <w:jc w:val="center"/>
        </w:trPr>
        <w:tc>
          <w:tcPr>
            <w:tcW w:w="2869" w:type="dxa"/>
            <w:shd w:val="clear" w:color="auto" w:fill="auto"/>
            <w:noWrap/>
          </w:tcPr>
          <w:p w14:paraId="6E0CC172" w14:textId="77777777" w:rsidR="006C269A" w:rsidRPr="00E21387" w:rsidRDefault="006C269A" w:rsidP="00AB05FB">
            <w:pPr>
              <w:pStyle w:val="BStabletextunbold"/>
            </w:pPr>
            <w:r>
              <w:t>Contract liabilities</w:t>
            </w:r>
          </w:p>
        </w:tc>
        <w:tc>
          <w:tcPr>
            <w:tcW w:w="1130" w:type="dxa"/>
            <w:shd w:val="clear" w:color="auto" w:fill="auto"/>
          </w:tcPr>
          <w:p w14:paraId="7A661580" w14:textId="77777777" w:rsidR="006C269A" w:rsidRPr="00133FA5" w:rsidRDefault="006C269A" w:rsidP="00AB05FB">
            <w:pPr>
              <w:pStyle w:val="Btablefigureunbold"/>
            </w:pPr>
            <w:r w:rsidRPr="00133FA5">
              <w:t>18,685</w:t>
            </w:r>
          </w:p>
        </w:tc>
        <w:tc>
          <w:tcPr>
            <w:tcW w:w="1232" w:type="dxa"/>
            <w:shd w:val="clear" w:color="auto" w:fill="auto"/>
            <w:noWrap/>
          </w:tcPr>
          <w:p w14:paraId="3953BD6C" w14:textId="77777777" w:rsidR="006C269A" w:rsidRPr="00133FA5" w:rsidRDefault="006C269A" w:rsidP="00AB05FB">
            <w:pPr>
              <w:pStyle w:val="Btablefigureunbold"/>
            </w:pPr>
            <w:r w:rsidRPr="00133FA5">
              <w:t>18,639</w:t>
            </w:r>
          </w:p>
        </w:tc>
        <w:tc>
          <w:tcPr>
            <w:tcW w:w="1232" w:type="dxa"/>
            <w:shd w:val="clear" w:color="auto" w:fill="auto"/>
            <w:noWrap/>
            <w:vAlign w:val="bottom"/>
          </w:tcPr>
          <w:p w14:paraId="5C969DB1" w14:textId="77777777" w:rsidR="006C269A" w:rsidRPr="00133FA5" w:rsidRDefault="006C269A" w:rsidP="00AB05FB">
            <w:pPr>
              <w:pStyle w:val="Btablefigureunbold"/>
            </w:pPr>
            <w:r w:rsidRPr="00133FA5">
              <w:t>18,464</w:t>
            </w:r>
          </w:p>
        </w:tc>
        <w:tc>
          <w:tcPr>
            <w:tcW w:w="1232" w:type="dxa"/>
            <w:shd w:val="clear" w:color="auto" w:fill="auto"/>
            <w:noWrap/>
            <w:vAlign w:val="bottom"/>
          </w:tcPr>
          <w:p w14:paraId="192C77C1" w14:textId="77777777" w:rsidR="006C269A" w:rsidRPr="00133FA5" w:rsidRDefault="006C269A" w:rsidP="00AB05FB">
            <w:pPr>
              <w:pStyle w:val="Btablefigureunbold"/>
            </w:pPr>
            <w:r w:rsidRPr="00133FA5">
              <w:t>18,305</w:t>
            </w:r>
          </w:p>
        </w:tc>
        <w:tc>
          <w:tcPr>
            <w:tcW w:w="1232" w:type="dxa"/>
            <w:shd w:val="clear" w:color="auto" w:fill="auto"/>
            <w:noWrap/>
            <w:vAlign w:val="bottom"/>
          </w:tcPr>
          <w:p w14:paraId="59FAE288" w14:textId="77777777" w:rsidR="006C269A" w:rsidRPr="00133FA5" w:rsidRDefault="006C269A" w:rsidP="00AB05FB">
            <w:pPr>
              <w:pStyle w:val="Btablefigureunbold"/>
            </w:pPr>
            <w:r w:rsidRPr="00133FA5">
              <w:t>18,305</w:t>
            </w:r>
          </w:p>
        </w:tc>
        <w:tc>
          <w:tcPr>
            <w:tcW w:w="1232" w:type="dxa"/>
            <w:shd w:val="clear" w:color="auto" w:fill="auto"/>
            <w:noWrap/>
            <w:vAlign w:val="bottom"/>
          </w:tcPr>
          <w:p w14:paraId="08D156D3" w14:textId="77777777" w:rsidR="006C269A" w:rsidRPr="00133FA5" w:rsidRDefault="006C269A" w:rsidP="00AB05FB">
            <w:pPr>
              <w:pStyle w:val="Btablefigureunbold"/>
            </w:pPr>
            <w:r w:rsidRPr="00133FA5">
              <w:t>18,305</w:t>
            </w:r>
          </w:p>
        </w:tc>
      </w:tr>
      <w:tr w:rsidR="006C269A" w:rsidRPr="006D5D15" w14:paraId="57EF226C" w14:textId="77777777" w:rsidTr="00AB05FB">
        <w:trPr>
          <w:tblHeader/>
          <w:jc w:val="center"/>
        </w:trPr>
        <w:tc>
          <w:tcPr>
            <w:tcW w:w="2869" w:type="dxa"/>
            <w:shd w:val="clear" w:color="auto" w:fill="auto"/>
            <w:noWrap/>
          </w:tcPr>
          <w:p w14:paraId="2EE7AE0B" w14:textId="77777777" w:rsidR="006C269A" w:rsidRPr="00550D36" w:rsidRDefault="006C269A" w:rsidP="00AB05FB">
            <w:pPr>
              <w:pStyle w:val="BStabletextunbold"/>
            </w:pPr>
            <w:r w:rsidRPr="005A3994">
              <w:t xml:space="preserve">Other </w:t>
            </w:r>
            <w:r>
              <w:t>l</w:t>
            </w:r>
            <w:r w:rsidRPr="005A3994">
              <w:t>iabilities</w:t>
            </w:r>
          </w:p>
        </w:tc>
        <w:tc>
          <w:tcPr>
            <w:tcW w:w="1130" w:type="dxa"/>
            <w:shd w:val="clear" w:color="auto" w:fill="auto"/>
          </w:tcPr>
          <w:p w14:paraId="090CB218" w14:textId="77777777" w:rsidR="006C269A" w:rsidRPr="00133FA5" w:rsidRDefault="006C269A" w:rsidP="00AB05FB">
            <w:pPr>
              <w:pStyle w:val="Btablefigureunbold"/>
            </w:pPr>
          </w:p>
        </w:tc>
        <w:tc>
          <w:tcPr>
            <w:tcW w:w="1232" w:type="dxa"/>
            <w:shd w:val="clear" w:color="auto" w:fill="auto"/>
            <w:noWrap/>
          </w:tcPr>
          <w:p w14:paraId="4718EAE1" w14:textId="77777777" w:rsidR="006C269A" w:rsidRPr="00133FA5" w:rsidRDefault="006C269A" w:rsidP="00AB05FB">
            <w:pPr>
              <w:pStyle w:val="Btablefigureunbold"/>
            </w:pPr>
          </w:p>
        </w:tc>
        <w:tc>
          <w:tcPr>
            <w:tcW w:w="1232" w:type="dxa"/>
            <w:shd w:val="clear" w:color="auto" w:fill="auto"/>
            <w:noWrap/>
            <w:vAlign w:val="bottom"/>
          </w:tcPr>
          <w:p w14:paraId="21F7A15E" w14:textId="77777777" w:rsidR="006C269A" w:rsidRPr="00133FA5" w:rsidRDefault="006C269A" w:rsidP="00AB05FB">
            <w:pPr>
              <w:pStyle w:val="Btablefigureunbold"/>
            </w:pPr>
          </w:p>
        </w:tc>
        <w:tc>
          <w:tcPr>
            <w:tcW w:w="1232" w:type="dxa"/>
            <w:shd w:val="clear" w:color="auto" w:fill="auto"/>
            <w:noWrap/>
            <w:vAlign w:val="bottom"/>
          </w:tcPr>
          <w:p w14:paraId="33F64EA4" w14:textId="77777777" w:rsidR="006C269A" w:rsidRPr="00133FA5" w:rsidRDefault="006C269A" w:rsidP="00AB05FB">
            <w:pPr>
              <w:pStyle w:val="Btablefigureunbold"/>
            </w:pPr>
          </w:p>
        </w:tc>
        <w:tc>
          <w:tcPr>
            <w:tcW w:w="1232" w:type="dxa"/>
            <w:shd w:val="clear" w:color="auto" w:fill="auto"/>
            <w:noWrap/>
            <w:vAlign w:val="bottom"/>
          </w:tcPr>
          <w:p w14:paraId="0B33CBF6" w14:textId="77777777" w:rsidR="006C269A" w:rsidRPr="00133FA5" w:rsidRDefault="006C269A" w:rsidP="00AB05FB">
            <w:pPr>
              <w:pStyle w:val="Btablefigureunbold"/>
            </w:pPr>
          </w:p>
        </w:tc>
        <w:tc>
          <w:tcPr>
            <w:tcW w:w="1232" w:type="dxa"/>
            <w:shd w:val="clear" w:color="auto" w:fill="auto"/>
            <w:noWrap/>
            <w:vAlign w:val="bottom"/>
          </w:tcPr>
          <w:p w14:paraId="5D2462CC" w14:textId="77777777" w:rsidR="006C269A" w:rsidRPr="00133FA5" w:rsidRDefault="006C269A" w:rsidP="00AB05FB">
            <w:pPr>
              <w:pStyle w:val="Btablefigureunbold"/>
            </w:pPr>
          </w:p>
        </w:tc>
      </w:tr>
      <w:tr w:rsidR="006C269A" w:rsidRPr="006D5D15" w14:paraId="02555F85" w14:textId="77777777" w:rsidTr="00AB05FB">
        <w:trPr>
          <w:tblHeader/>
          <w:jc w:val="center"/>
        </w:trPr>
        <w:tc>
          <w:tcPr>
            <w:tcW w:w="2869" w:type="dxa"/>
            <w:shd w:val="clear" w:color="auto" w:fill="auto"/>
            <w:noWrap/>
          </w:tcPr>
          <w:p w14:paraId="0C085BCF" w14:textId="77777777" w:rsidR="006C269A" w:rsidRPr="00E21387" w:rsidRDefault="006C269A" w:rsidP="00AB05FB">
            <w:pPr>
              <w:pStyle w:val="BStabletextunbold"/>
              <w:ind w:left="376"/>
            </w:pPr>
            <w:r w:rsidRPr="005A3994">
              <w:t xml:space="preserve">Current </w:t>
            </w:r>
            <w:r>
              <w:t>t</w:t>
            </w:r>
            <w:r w:rsidRPr="005A3994">
              <w:t xml:space="preserve">ax </w:t>
            </w:r>
            <w:r>
              <w:t>l</w:t>
            </w:r>
            <w:r w:rsidRPr="005A3994">
              <w:t>iability</w:t>
            </w:r>
          </w:p>
        </w:tc>
        <w:tc>
          <w:tcPr>
            <w:tcW w:w="1130" w:type="dxa"/>
            <w:shd w:val="clear" w:color="auto" w:fill="auto"/>
          </w:tcPr>
          <w:p w14:paraId="37B6CE1F" w14:textId="77777777" w:rsidR="006C269A" w:rsidRPr="00133FA5" w:rsidRDefault="006C269A" w:rsidP="00AB05FB">
            <w:pPr>
              <w:pStyle w:val="Btablefigureunbold"/>
            </w:pPr>
            <w:r w:rsidRPr="00133FA5">
              <w:t>48,959</w:t>
            </w:r>
          </w:p>
        </w:tc>
        <w:tc>
          <w:tcPr>
            <w:tcW w:w="1232" w:type="dxa"/>
            <w:shd w:val="clear" w:color="auto" w:fill="auto"/>
            <w:noWrap/>
          </w:tcPr>
          <w:p w14:paraId="7B0E3E65" w14:textId="77777777" w:rsidR="006C269A" w:rsidRPr="00133FA5" w:rsidRDefault="006C269A" w:rsidP="00AB05FB">
            <w:pPr>
              <w:pStyle w:val="Btablefigureunbold"/>
            </w:pPr>
            <w:r w:rsidRPr="00133FA5">
              <w:t>131,198</w:t>
            </w:r>
          </w:p>
        </w:tc>
        <w:tc>
          <w:tcPr>
            <w:tcW w:w="1232" w:type="dxa"/>
            <w:shd w:val="clear" w:color="auto" w:fill="auto"/>
            <w:noWrap/>
            <w:vAlign w:val="bottom"/>
          </w:tcPr>
          <w:p w14:paraId="6C7C9F4D" w14:textId="77777777" w:rsidR="006C269A" w:rsidRPr="00133FA5" w:rsidRDefault="006C269A" w:rsidP="00AB05FB">
            <w:pPr>
              <w:pStyle w:val="Btablefigureunbold"/>
            </w:pPr>
            <w:r w:rsidRPr="00133FA5">
              <w:t>31,311</w:t>
            </w:r>
          </w:p>
        </w:tc>
        <w:tc>
          <w:tcPr>
            <w:tcW w:w="1232" w:type="dxa"/>
            <w:shd w:val="clear" w:color="auto" w:fill="auto"/>
            <w:noWrap/>
            <w:vAlign w:val="bottom"/>
          </w:tcPr>
          <w:p w14:paraId="03F83B7F" w14:textId="77777777" w:rsidR="006C269A" w:rsidRPr="00133FA5" w:rsidRDefault="006C269A" w:rsidP="00AB05FB">
            <w:pPr>
              <w:pStyle w:val="Btablefigureunbold"/>
            </w:pPr>
            <w:r w:rsidRPr="00133FA5">
              <w:t>38,454</w:t>
            </w:r>
          </w:p>
        </w:tc>
        <w:tc>
          <w:tcPr>
            <w:tcW w:w="1232" w:type="dxa"/>
            <w:shd w:val="clear" w:color="auto" w:fill="auto"/>
            <w:noWrap/>
            <w:vAlign w:val="bottom"/>
          </w:tcPr>
          <w:p w14:paraId="650F279D" w14:textId="77777777" w:rsidR="006C269A" w:rsidRPr="00133FA5" w:rsidRDefault="006C269A" w:rsidP="00AB05FB">
            <w:pPr>
              <w:pStyle w:val="Btablefigureunbold"/>
            </w:pPr>
            <w:r w:rsidRPr="00133FA5">
              <w:t>-14,617</w:t>
            </w:r>
          </w:p>
        </w:tc>
        <w:tc>
          <w:tcPr>
            <w:tcW w:w="1232" w:type="dxa"/>
            <w:shd w:val="clear" w:color="auto" w:fill="auto"/>
            <w:noWrap/>
            <w:vAlign w:val="bottom"/>
          </w:tcPr>
          <w:p w14:paraId="116F9FE2" w14:textId="77777777" w:rsidR="006C269A" w:rsidRPr="00133FA5" w:rsidRDefault="006C269A" w:rsidP="00AB05FB">
            <w:pPr>
              <w:pStyle w:val="Btablefigureunbold"/>
            </w:pPr>
            <w:r w:rsidRPr="00133FA5">
              <w:t>11,109</w:t>
            </w:r>
          </w:p>
        </w:tc>
      </w:tr>
      <w:tr w:rsidR="006C269A" w:rsidRPr="006D5D15" w14:paraId="70232043" w14:textId="77777777" w:rsidTr="00AB05FB">
        <w:trPr>
          <w:tblHeader/>
          <w:jc w:val="center"/>
        </w:trPr>
        <w:tc>
          <w:tcPr>
            <w:tcW w:w="2869" w:type="dxa"/>
            <w:shd w:val="clear" w:color="auto" w:fill="auto"/>
            <w:noWrap/>
          </w:tcPr>
          <w:p w14:paraId="203E308F" w14:textId="77777777" w:rsidR="006C269A" w:rsidRPr="00C75A48" w:rsidRDefault="006C269A" w:rsidP="00AB05FB">
            <w:pPr>
              <w:pStyle w:val="BStabletextunbold"/>
              <w:ind w:left="376"/>
            </w:pPr>
            <w:r w:rsidRPr="005A3994">
              <w:t xml:space="preserve">Deferred </w:t>
            </w:r>
            <w:r>
              <w:t>t</w:t>
            </w:r>
            <w:r w:rsidRPr="005A3994">
              <w:t xml:space="preserve">ax </w:t>
            </w:r>
            <w:r>
              <w:t>l</w:t>
            </w:r>
            <w:r w:rsidRPr="005A3994">
              <w:t>iability</w:t>
            </w:r>
          </w:p>
        </w:tc>
        <w:tc>
          <w:tcPr>
            <w:tcW w:w="1130" w:type="dxa"/>
            <w:shd w:val="clear" w:color="auto" w:fill="auto"/>
          </w:tcPr>
          <w:p w14:paraId="0CD99D1F" w14:textId="77777777" w:rsidR="006C269A" w:rsidRPr="00133FA5" w:rsidRDefault="006C269A" w:rsidP="00AB05FB">
            <w:pPr>
              <w:pStyle w:val="Btablefigureunbold"/>
            </w:pPr>
            <w:r w:rsidRPr="00133FA5">
              <w:t>647,830</w:t>
            </w:r>
          </w:p>
        </w:tc>
        <w:tc>
          <w:tcPr>
            <w:tcW w:w="1232" w:type="dxa"/>
            <w:shd w:val="clear" w:color="auto" w:fill="auto"/>
            <w:noWrap/>
          </w:tcPr>
          <w:p w14:paraId="136D571A" w14:textId="77777777" w:rsidR="006C269A" w:rsidRPr="00133FA5" w:rsidRDefault="006C269A" w:rsidP="00AB05FB">
            <w:pPr>
              <w:pStyle w:val="Btablefigureunbold"/>
            </w:pPr>
            <w:r w:rsidRPr="00133FA5">
              <w:t>566,633</w:t>
            </w:r>
          </w:p>
        </w:tc>
        <w:tc>
          <w:tcPr>
            <w:tcW w:w="1232" w:type="dxa"/>
            <w:shd w:val="clear" w:color="auto" w:fill="auto"/>
            <w:noWrap/>
            <w:vAlign w:val="bottom"/>
          </w:tcPr>
          <w:p w14:paraId="64B333B2" w14:textId="77777777" w:rsidR="006C269A" w:rsidRPr="00133FA5" w:rsidRDefault="006C269A" w:rsidP="00AB05FB">
            <w:pPr>
              <w:pStyle w:val="Btablefigureunbold"/>
            </w:pPr>
            <w:r w:rsidRPr="00133FA5">
              <w:t>567,867</w:t>
            </w:r>
          </w:p>
        </w:tc>
        <w:tc>
          <w:tcPr>
            <w:tcW w:w="1232" w:type="dxa"/>
            <w:shd w:val="clear" w:color="auto" w:fill="auto"/>
            <w:noWrap/>
            <w:vAlign w:val="bottom"/>
          </w:tcPr>
          <w:p w14:paraId="49D316CB" w14:textId="77777777" w:rsidR="006C269A" w:rsidRPr="00133FA5" w:rsidRDefault="006C269A" w:rsidP="00AB05FB">
            <w:pPr>
              <w:pStyle w:val="Btablefigureunbold"/>
            </w:pPr>
            <w:r w:rsidRPr="00133FA5">
              <w:t>548,038</w:t>
            </w:r>
          </w:p>
        </w:tc>
        <w:tc>
          <w:tcPr>
            <w:tcW w:w="1232" w:type="dxa"/>
            <w:shd w:val="clear" w:color="auto" w:fill="auto"/>
            <w:noWrap/>
            <w:vAlign w:val="bottom"/>
          </w:tcPr>
          <w:p w14:paraId="421E4F80" w14:textId="77777777" w:rsidR="006C269A" w:rsidRPr="00133FA5" w:rsidRDefault="006C269A" w:rsidP="00AB05FB">
            <w:pPr>
              <w:pStyle w:val="Btablefigureunbold"/>
            </w:pPr>
            <w:r w:rsidRPr="00133FA5">
              <w:t>559,101</w:t>
            </w:r>
          </w:p>
        </w:tc>
        <w:tc>
          <w:tcPr>
            <w:tcW w:w="1232" w:type="dxa"/>
            <w:shd w:val="clear" w:color="auto" w:fill="auto"/>
            <w:noWrap/>
            <w:vAlign w:val="bottom"/>
          </w:tcPr>
          <w:p w14:paraId="1FDCAE9A" w14:textId="77777777" w:rsidR="006C269A" w:rsidRPr="00133FA5" w:rsidRDefault="006C269A" w:rsidP="00AB05FB">
            <w:pPr>
              <w:pStyle w:val="Btablefigureunbold"/>
            </w:pPr>
            <w:r w:rsidRPr="00133FA5">
              <w:t>541,963</w:t>
            </w:r>
          </w:p>
        </w:tc>
      </w:tr>
      <w:tr w:rsidR="006C269A" w:rsidRPr="006D5D15" w14:paraId="643D6D7D" w14:textId="77777777" w:rsidTr="00AB05FB">
        <w:trPr>
          <w:tblHeader/>
          <w:jc w:val="center"/>
        </w:trPr>
        <w:tc>
          <w:tcPr>
            <w:tcW w:w="2869" w:type="dxa"/>
            <w:tcBorders>
              <w:bottom w:val="single" w:sz="4" w:space="0" w:color="auto"/>
            </w:tcBorders>
            <w:shd w:val="clear" w:color="auto" w:fill="auto"/>
            <w:noWrap/>
          </w:tcPr>
          <w:p w14:paraId="0E998DC6" w14:textId="77777777" w:rsidR="006C269A" w:rsidRPr="00C75A48" w:rsidRDefault="006C269A" w:rsidP="00AB05FB">
            <w:pPr>
              <w:pStyle w:val="BStabletextunbold"/>
              <w:ind w:left="376"/>
            </w:pPr>
            <w:r w:rsidRPr="005A3994">
              <w:t xml:space="preserve">Other </w:t>
            </w:r>
            <w:r>
              <w:t>l</w:t>
            </w:r>
            <w:r w:rsidRPr="005A3994">
              <w:t>iabilities</w:t>
            </w:r>
          </w:p>
        </w:tc>
        <w:tc>
          <w:tcPr>
            <w:tcW w:w="1130" w:type="dxa"/>
            <w:tcBorders>
              <w:bottom w:val="single" w:sz="4" w:space="0" w:color="auto"/>
            </w:tcBorders>
            <w:shd w:val="clear" w:color="auto" w:fill="auto"/>
          </w:tcPr>
          <w:p w14:paraId="33E099E8" w14:textId="77777777" w:rsidR="006C269A" w:rsidRPr="00133FA5" w:rsidRDefault="006C269A" w:rsidP="00AB05FB">
            <w:pPr>
              <w:pStyle w:val="Btablefigureunbold"/>
            </w:pPr>
            <w:r w:rsidRPr="00133FA5">
              <w:t>60,153</w:t>
            </w:r>
          </w:p>
        </w:tc>
        <w:tc>
          <w:tcPr>
            <w:tcW w:w="1232" w:type="dxa"/>
            <w:tcBorders>
              <w:bottom w:val="single" w:sz="4" w:space="0" w:color="auto"/>
            </w:tcBorders>
            <w:shd w:val="clear" w:color="auto" w:fill="auto"/>
            <w:noWrap/>
          </w:tcPr>
          <w:p w14:paraId="4A7D1CDE" w14:textId="77777777" w:rsidR="006C269A" w:rsidRPr="00133FA5" w:rsidRDefault="006C269A" w:rsidP="00AB05FB">
            <w:pPr>
              <w:pStyle w:val="Btablefigureunbold"/>
            </w:pPr>
            <w:r w:rsidRPr="00133FA5">
              <w:t>73,605</w:t>
            </w:r>
          </w:p>
        </w:tc>
        <w:tc>
          <w:tcPr>
            <w:tcW w:w="1232" w:type="dxa"/>
            <w:tcBorders>
              <w:bottom w:val="single" w:sz="4" w:space="0" w:color="auto"/>
            </w:tcBorders>
            <w:shd w:val="clear" w:color="auto" w:fill="auto"/>
            <w:noWrap/>
            <w:vAlign w:val="bottom"/>
          </w:tcPr>
          <w:p w14:paraId="3CC94458" w14:textId="77777777" w:rsidR="006C269A" w:rsidRPr="00133FA5" w:rsidRDefault="006C269A" w:rsidP="00AB05FB">
            <w:pPr>
              <w:pStyle w:val="Btablefigureunbold"/>
            </w:pPr>
            <w:r w:rsidRPr="00133FA5">
              <w:t>58,517</w:t>
            </w:r>
          </w:p>
        </w:tc>
        <w:tc>
          <w:tcPr>
            <w:tcW w:w="1232" w:type="dxa"/>
            <w:tcBorders>
              <w:bottom w:val="single" w:sz="4" w:space="0" w:color="auto"/>
            </w:tcBorders>
            <w:shd w:val="clear" w:color="auto" w:fill="auto"/>
            <w:noWrap/>
            <w:vAlign w:val="bottom"/>
          </w:tcPr>
          <w:p w14:paraId="104FB9B1" w14:textId="77777777" w:rsidR="006C269A" w:rsidRPr="00133FA5" w:rsidRDefault="006C269A" w:rsidP="00AB05FB">
            <w:pPr>
              <w:pStyle w:val="Btablefigureunbold"/>
            </w:pPr>
            <w:r w:rsidRPr="00133FA5">
              <w:t>92,188</w:t>
            </w:r>
          </w:p>
        </w:tc>
        <w:tc>
          <w:tcPr>
            <w:tcW w:w="1232" w:type="dxa"/>
            <w:tcBorders>
              <w:bottom w:val="single" w:sz="4" w:space="0" w:color="auto"/>
            </w:tcBorders>
            <w:shd w:val="clear" w:color="auto" w:fill="auto"/>
            <w:noWrap/>
            <w:vAlign w:val="bottom"/>
          </w:tcPr>
          <w:p w14:paraId="5D9366FC" w14:textId="77777777" w:rsidR="006C269A" w:rsidRPr="00133FA5" w:rsidRDefault="006C269A" w:rsidP="00AB05FB">
            <w:pPr>
              <w:pStyle w:val="Btablefigureunbold"/>
            </w:pPr>
            <w:r w:rsidRPr="00133FA5">
              <w:t>68,747</w:t>
            </w:r>
          </w:p>
        </w:tc>
        <w:tc>
          <w:tcPr>
            <w:tcW w:w="1232" w:type="dxa"/>
            <w:tcBorders>
              <w:bottom w:val="single" w:sz="4" w:space="0" w:color="auto"/>
            </w:tcBorders>
            <w:shd w:val="clear" w:color="auto" w:fill="auto"/>
            <w:noWrap/>
            <w:vAlign w:val="bottom"/>
          </w:tcPr>
          <w:p w14:paraId="7AE2A769" w14:textId="77777777" w:rsidR="006C269A" w:rsidRPr="00133FA5" w:rsidRDefault="006C269A" w:rsidP="00AB05FB">
            <w:pPr>
              <w:pStyle w:val="Btablefigureunbold"/>
            </w:pPr>
            <w:r w:rsidRPr="00133FA5">
              <w:t>57,695</w:t>
            </w:r>
          </w:p>
        </w:tc>
      </w:tr>
      <w:tr w:rsidR="006C269A" w:rsidRPr="00472CCD" w14:paraId="159E23BF" w14:textId="77777777" w:rsidTr="00AB05FB">
        <w:trPr>
          <w:tblHeader/>
          <w:jc w:val="center"/>
        </w:trPr>
        <w:tc>
          <w:tcPr>
            <w:tcW w:w="2869" w:type="dxa"/>
            <w:tcBorders>
              <w:top w:val="single" w:sz="4" w:space="0" w:color="auto"/>
              <w:bottom w:val="single" w:sz="4" w:space="0" w:color="auto"/>
            </w:tcBorders>
            <w:shd w:val="clear" w:color="auto" w:fill="auto"/>
            <w:noWrap/>
          </w:tcPr>
          <w:p w14:paraId="239E487A" w14:textId="77777777" w:rsidR="006C269A" w:rsidRPr="00C75A48" w:rsidRDefault="006C269A" w:rsidP="00AB05FB">
            <w:pPr>
              <w:pStyle w:val="BStabletextbold"/>
              <w:rPr>
                <w:color w:val="472D8C"/>
              </w:rPr>
            </w:pPr>
            <w:r w:rsidRPr="00C75A48">
              <w:rPr>
                <w:color w:val="472D8C"/>
              </w:rPr>
              <w:t>Total liabilities</w:t>
            </w:r>
          </w:p>
        </w:tc>
        <w:tc>
          <w:tcPr>
            <w:tcW w:w="1130" w:type="dxa"/>
            <w:tcBorders>
              <w:top w:val="single" w:sz="4" w:space="0" w:color="auto"/>
              <w:bottom w:val="single" w:sz="4" w:space="0" w:color="auto"/>
            </w:tcBorders>
            <w:shd w:val="clear" w:color="auto" w:fill="auto"/>
          </w:tcPr>
          <w:p w14:paraId="0A4F31A9" w14:textId="77777777" w:rsidR="006C269A" w:rsidRPr="00C75A48" w:rsidRDefault="006C269A" w:rsidP="00AB05FB">
            <w:pPr>
              <w:pStyle w:val="BStabletextbold"/>
              <w:jc w:val="right"/>
              <w:rPr>
                <w:color w:val="472D8C"/>
              </w:rPr>
            </w:pPr>
            <w:r w:rsidRPr="00472CCD">
              <w:rPr>
                <w:color w:val="472D8C"/>
              </w:rPr>
              <w:t>3,349,492</w:t>
            </w:r>
          </w:p>
        </w:tc>
        <w:tc>
          <w:tcPr>
            <w:tcW w:w="1232" w:type="dxa"/>
            <w:tcBorders>
              <w:top w:val="single" w:sz="4" w:space="0" w:color="auto"/>
              <w:bottom w:val="single" w:sz="4" w:space="0" w:color="auto"/>
            </w:tcBorders>
            <w:shd w:val="clear" w:color="auto" w:fill="auto"/>
            <w:noWrap/>
          </w:tcPr>
          <w:p w14:paraId="1B30E2DC" w14:textId="77777777" w:rsidR="006C269A" w:rsidRPr="00C75A48" w:rsidRDefault="006C269A" w:rsidP="00AB05FB">
            <w:pPr>
              <w:pStyle w:val="BStabletextbold"/>
              <w:jc w:val="right"/>
              <w:rPr>
                <w:color w:val="472D8C"/>
              </w:rPr>
            </w:pPr>
            <w:r w:rsidRPr="00472CCD">
              <w:rPr>
                <w:color w:val="472D8C"/>
              </w:rPr>
              <w:t>3,416,300</w:t>
            </w:r>
          </w:p>
        </w:tc>
        <w:tc>
          <w:tcPr>
            <w:tcW w:w="1232" w:type="dxa"/>
            <w:tcBorders>
              <w:top w:val="single" w:sz="4" w:space="0" w:color="auto"/>
              <w:bottom w:val="single" w:sz="4" w:space="0" w:color="auto"/>
            </w:tcBorders>
            <w:shd w:val="clear" w:color="auto" w:fill="auto"/>
            <w:noWrap/>
          </w:tcPr>
          <w:p w14:paraId="3D7BC9D2" w14:textId="77777777" w:rsidR="006C269A" w:rsidRPr="00C75A48" w:rsidRDefault="006C269A" w:rsidP="00AB05FB">
            <w:pPr>
              <w:pStyle w:val="BStabletextbold"/>
              <w:jc w:val="right"/>
              <w:rPr>
                <w:color w:val="472D8C"/>
              </w:rPr>
            </w:pPr>
            <w:r w:rsidRPr="00472CCD">
              <w:rPr>
                <w:color w:val="472D8C"/>
              </w:rPr>
              <w:t>3,329,541</w:t>
            </w:r>
          </w:p>
        </w:tc>
        <w:tc>
          <w:tcPr>
            <w:tcW w:w="1232" w:type="dxa"/>
            <w:tcBorders>
              <w:top w:val="single" w:sz="4" w:space="0" w:color="auto"/>
              <w:bottom w:val="single" w:sz="4" w:space="0" w:color="auto"/>
            </w:tcBorders>
            <w:shd w:val="clear" w:color="auto" w:fill="auto"/>
            <w:noWrap/>
          </w:tcPr>
          <w:p w14:paraId="50FA4418" w14:textId="77777777" w:rsidR="006C269A" w:rsidRPr="00C75A48" w:rsidRDefault="006C269A" w:rsidP="00AB05FB">
            <w:pPr>
              <w:pStyle w:val="BStabletextbold"/>
              <w:jc w:val="right"/>
              <w:rPr>
                <w:color w:val="472D8C"/>
              </w:rPr>
            </w:pPr>
            <w:r w:rsidRPr="00472CCD">
              <w:rPr>
                <w:color w:val="472D8C"/>
              </w:rPr>
              <w:t>3,360,808</w:t>
            </w:r>
          </w:p>
        </w:tc>
        <w:tc>
          <w:tcPr>
            <w:tcW w:w="1232" w:type="dxa"/>
            <w:tcBorders>
              <w:top w:val="single" w:sz="4" w:space="0" w:color="auto"/>
              <w:bottom w:val="single" w:sz="4" w:space="0" w:color="auto"/>
            </w:tcBorders>
            <w:shd w:val="clear" w:color="auto" w:fill="auto"/>
            <w:noWrap/>
          </w:tcPr>
          <w:p w14:paraId="2C133F83" w14:textId="77777777" w:rsidR="006C269A" w:rsidRPr="00C75A48" w:rsidRDefault="006C269A" w:rsidP="00AB05FB">
            <w:pPr>
              <w:pStyle w:val="BStabletextbold"/>
              <w:jc w:val="right"/>
              <w:rPr>
                <w:color w:val="472D8C"/>
              </w:rPr>
            </w:pPr>
            <w:r w:rsidRPr="00472CCD">
              <w:rPr>
                <w:color w:val="472D8C"/>
              </w:rPr>
              <w:t>3,350,819</w:t>
            </w:r>
          </w:p>
        </w:tc>
        <w:tc>
          <w:tcPr>
            <w:tcW w:w="1232" w:type="dxa"/>
            <w:tcBorders>
              <w:top w:val="single" w:sz="4" w:space="0" w:color="auto"/>
              <w:bottom w:val="single" w:sz="4" w:space="0" w:color="auto"/>
            </w:tcBorders>
            <w:shd w:val="clear" w:color="auto" w:fill="auto"/>
            <w:noWrap/>
          </w:tcPr>
          <w:p w14:paraId="7978428D" w14:textId="77777777" w:rsidR="006C269A" w:rsidRPr="00C75A48" w:rsidRDefault="006C269A" w:rsidP="00AB05FB">
            <w:pPr>
              <w:pStyle w:val="BStabletextbold"/>
              <w:jc w:val="right"/>
              <w:rPr>
                <w:color w:val="472D8C"/>
              </w:rPr>
            </w:pPr>
            <w:r w:rsidRPr="00472CCD">
              <w:rPr>
                <w:color w:val="472D8C"/>
              </w:rPr>
              <w:t>3,362,962</w:t>
            </w:r>
          </w:p>
        </w:tc>
      </w:tr>
      <w:tr w:rsidR="006C269A" w:rsidRPr="006D5D15" w14:paraId="6757568F" w14:textId="77777777" w:rsidTr="00AB05FB">
        <w:trPr>
          <w:tblHeader/>
          <w:jc w:val="center"/>
        </w:trPr>
        <w:tc>
          <w:tcPr>
            <w:tcW w:w="2869" w:type="dxa"/>
            <w:tcBorders>
              <w:top w:val="single" w:sz="4" w:space="0" w:color="auto"/>
              <w:bottom w:val="single" w:sz="4" w:space="0" w:color="auto"/>
            </w:tcBorders>
            <w:shd w:val="clear" w:color="auto" w:fill="auto"/>
            <w:noWrap/>
            <w:vAlign w:val="bottom"/>
          </w:tcPr>
          <w:p w14:paraId="6ECE0810" w14:textId="77777777" w:rsidR="006C269A" w:rsidRPr="00C75A48" w:rsidRDefault="006C269A" w:rsidP="00AB05FB">
            <w:pPr>
              <w:pStyle w:val="BStabletextbold"/>
              <w:rPr>
                <w:color w:val="472D8C"/>
              </w:rPr>
            </w:pPr>
            <w:r w:rsidRPr="00C75A48">
              <w:rPr>
                <w:color w:val="472D8C"/>
              </w:rPr>
              <w:t>Net assets</w:t>
            </w:r>
          </w:p>
        </w:tc>
        <w:tc>
          <w:tcPr>
            <w:tcW w:w="1130" w:type="dxa"/>
            <w:tcBorders>
              <w:top w:val="single" w:sz="4" w:space="0" w:color="auto"/>
              <w:bottom w:val="single" w:sz="4" w:space="0" w:color="auto"/>
            </w:tcBorders>
            <w:shd w:val="clear" w:color="auto" w:fill="auto"/>
          </w:tcPr>
          <w:p w14:paraId="7118380F" w14:textId="77777777" w:rsidR="006C269A" w:rsidRPr="00C75A48" w:rsidRDefault="006C269A" w:rsidP="00AB05FB">
            <w:pPr>
              <w:pStyle w:val="BTablefigureBold"/>
              <w:rPr>
                <w:color w:val="472D8C"/>
              </w:rPr>
            </w:pPr>
            <w:r w:rsidRPr="00472CCD">
              <w:rPr>
                <w:color w:val="472D8C"/>
                <w:szCs w:val="20"/>
              </w:rPr>
              <w:t>7,612,488</w:t>
            </w:r>
          </w:p>
        </w:tc>
        <w:tc>
          <w:tcPr>
            <w:tcW w:w="1232" w:type="dxa"/>
            <w:tcBorders>
              <w:top w:val="single" w:sz="4" w:space="0" w:color="auto"/>
              <w:bottom w:val="single" w:sz="4" w:space="0" w:color="auto"/>
            </w:tcBorders>
            <w:shd w:val="clear" w:color="auto" w:fill="auto"/>
            <w:noWrap/>
          </w:tcPr>
          <w:p w14:paraId="492B872B" w14:textId="77777777" w:rsidR="006C269A" w:rsidRPr="00C75A48" w:rsidRDefault="006C269A" w:rsidP="00AB05FB">
            <w:pPr>
              <w:pStyle w:val="BTablefigureBold"/>
              <w:rPr>
                <w:color w:val="472D8C"/>
              </w:rPr>
            </w:pPr>
            <w:r w:rsidRPr="00472CCD">
              <w:rPr>
                <w:color w:val="472D8C"/>
                <w:szCs w:val="20"/>
              </w:rPr>
              <w:t>8,874,961</w:t>
            </w:r>
          </w:p>
        </w:tc>
        <w:tc>
          <w:tcPr>
            <w:tcW w:w="1232" w:type="dxa"/>
            <w:tcBorders>
              <w:top w:val="single" w:sz="4" w:space="0" w:color="auto"/>
              <w:bottom w:val="single" w:sz="4" w:space="0" w:color="auto"/>
            </w:tcBorders>
            <w:shd w:val="clear" w:color="auto" w:fill="auto"/>
            <w:noWrap/>
          </w:tcPr>
          <w:p w14:paraId="25ED4FDE" w14:textId="77777777" w:rsidR="006C269A" w:rsidRPr="00C75A48" w:rsidRDefault="006C269A" w:rsidP="00AB05FB">
            <w:pPr>
              <w:pStyle w:val="BTablefigureBold"/>
              <w:rPr>
                <w:color w:val="472D8C"/>
              </w:rPr>
            </w:pPr>
            <w:r w:rsidRPr="00472CCD">
              <w:rPr>
                <w:rFonts w:cs="Times New Roman"/>
                <w:color w:val="472D8C"/>
                <w:szCs w:val="20"/>
              </w:rPr>
              <w:t>9,020,607</w:t>
            </w:r>
          </w:p>
        </w:tc>
        <w:tc>
          <w:tcPr>
            <w:tcW w:w="1232" w:type="dxa"/>
            <w:tcBorders>
              <w:top w:val="single" w:sz="4" w:space="0" w:color="auto"/>
              <w:bottom w:val="single" w:sz="4" w:space="0" w:color="auto"/>
            </w:tcBorders>
            <w:shd w:val="clear" w:color="auto" w:fill="auto"/>
            <w:noWrap/>
          </w:tcPr>
          <w:p w14:paraId="1C1DC9EC" w14:textId="77777777" w:rsidR="006C269A" w:rsidRPr="00C75A48" w:rsidRDefault="006C269A" w:rsidP="00AB05FB">
            <w:pPr>
              <w:pStyle w:val="BTablefigureBold"/>
              <w:rPr>
                <w:color w:val="472D8C"/>
              </w:rPr>
            </w:pPr>
            <w:r w:rsidRPr="00472CCD">
              <w:rPr>
                <w:rFonts w:cs="Times New Roman"/>
                <w:color w:val="472D8C"/>
                <w:szCs w:val="20"/>
              </w:rPr>
              <w:t>9,014,376</w:t>
            </w:r>
          </w:p>
        </w:tc>
        <w:tc>
          <w:tcPr>
            <w:tcW w:w="1232" w:type="dxa"/>
            <w:tcBorders>
              <w:top w:val="single" w:sz="4" w:space="0" w:color="auto"/>
              <w:bottom w:val="single" w:sz="4" w:space="0" w:color="auto"/>
            </w:tcBorders>
            <w:shd w:val="clear" w:color="auto" w:fill="auto"/>
            <w:noWrap/>
          </w:tcPr>
          <w:p w14:paraId="3DD82725" w14:textId="77777777" w:rsidR="006C269A" w:rsidRPr="00C75A48" w:rsidRDefault="006C269A" w:rsidP="00AB05FB">
            <w:pPr>
              <w:pStyle w:val="BTablefigureBold"/>
              <w:rPr>
                <w:color w:val="472D8C"/>
              </w:rPr>
            </w:pPr>
            <w:r w:rsidRPr="00472CCD">
              <w:rPr>
                <w:rFonts w:cs="Times New Roman"/>
                <w:color w:val="472D8C"/>
                <w:szCs w:val="20"/>
              </w:rPr>
              <w:t>9,179,145</w:t>
            </w:r>
          </w:p>
        </w:tc>
        <w:tc>
          <w:tcPr>
            <w:tcW w:w="1232" w:type="dxa"/>
            <w:tcBorders>
              <w:top w:val="single" w:sz="4" w:space="0" w:color="auto"/>
              <w:bottom w:val="single" w:sz="4" w:space="0" w:color="auto"/>
            </w:tcBorders>
            <w:shd w:val="clear" w:color="auto" w:fill="auto"/>
            <w:noWrap/>
          </w:tcPr>
          <w:p w14:paraId="28628A10" w14:textId="77777777" w:rsidR="006C269A" w:rsidRPr="00C75A48" w:rsidRDefault="006C269A" w:rsidP="00AB05FB">
            <w:pPr>
              <w:pStyle w:val="BTablefigureBold"/>
              <w:rPr>
                <w:color w:val="472D8C"/>
              </w:rPr>
            </w:pPr>
            <w:r w:rsidRPr="00472CCD">
              <w:rPr>
                <w:rFonts w:cs="Times New Roman"/>
                <w:color w:val="472D8C"/>
                <w:szCs w:val="20"/>
              </w:rPr>
              <w:t>9,129,271</w:t>
            </w:r>
          </w:p>
        </w:tc>
      </w:tr>
      <w:tr w:rsidR="006C269A" w:rsidRPr="006D5D15" w14:paraId="4030B4AC" w14:textId="77777777" w:rsidTr="00AB05FB">
        <w:trPr>
          <w:tblHeader/>
          <w:jc w:val="center"/>
        </w:trPr>
        <w:tc>
          <w:tcPr>
            <w:tcW w:w="2869" w:type="dxa"/>
            <w:tcBorders>
              <w:top w:val="single" w:sz="4" w:space="0" w:color="auto"/>
            </w:tcBorders>
            <w:shd w:val="clear" w:color="auto" w:fill="auto"/>
            <w:noWrap/>
          </w:tcPr>
          <w:p w14:paraId="1CA0A87C" w14:textId="77777777" w:rsidR="006C269A" w:rsidRPr="00E21387" w:rsidRDefault="006C269A" w:rsidP="00AB05FB">
            <w:pPr>
              <w:pStyle w:val="BStabletextunbold"/>
            </w:pPr>
            <w:r w:rsidRPr="00B56605">
              <w:t xml:space="preserve">Accumulated </w:t>
            </w:r>
            <w:r>
              <w:t>f</w:t>
            </w:r>
            <w:r w:rsidRPr="00B56605">
              <w:t>unds</w:t>
            </w:r>
          </w:p>
        </w:tc>
        <w:tc>
          <w:tcPr>
            <w:tcW w:w="1130" w:type="dxa"/>
            <w:tcBorders>
              <w:top w:val="single" w:sz="4" w:space="0" w:color="auto"/>
            </w:tcBorders>
            <w:shd w:val="clear" w:color="auto" w:fill="auto"/>
          </w:tcPr>
          <w:p w14:paraId="5A6C4C2D" w14:textId="77777777" w:rsidR="006C269A" w:rsidRPr="00472CCD" w:rsidRDefault="006C269A" w:rsidP="00AB05FB">
            <w:pPr>
              <w:pStyle w:val="Btablefigureunbold"/>
            </w:pPr>
            <w:r w:rsidRPr="00472CCD">
              <w:t>3,339,983</w:t>
            </w:r>
          </w:p>
        </w:tc>
        <w:tc>
          <w:tcPr>
            <w:tcW w:w="1232" w:type="dxa"/>
            <w:tcBorders>
              <w:top w:val="single" w:sz="4" w:space="0" w:color="auto"/>
            </w:tcBorders>
            <w:shd w:val="clear" w:color="auto" w:fill="auto"/>
            <w:noWrap/>
          </w:tcPr>
          <w:p w14:paraId="07B33DDB" w14:textId="77777777" w:rsidR="006C269A" w:rsidRPr="00472CCD" w:rsidRDefault="006C269A" w:rsidP="00AB05FB">
            <w:pPr>
              <w:pStyle w:val="Btablefigureunbold"/>
            </w:pPr>
            <w:r w:rsidRPr="00472CCD">
              <w:t>3,435,095</w:t>
            </w:r>
          </w:p>
        </w:tc>
        <w:tc>
          <w:tcPr>
            <w:tcW w:w="1232" w:type="dxa"/>
            <w:tcBorders>
              <w:top w:val="single" w:sz="4" w:space="0" w:color="auto"/>
            </w:tcBorders>
            <w:shd w:val="clear" w:color="auto" w:fill="auto"/>
            <w:noWrap/>
            <w:vAlign w:val="bottom"/>
          </w:tcPr>
          <w:p w14:paraId="0258B66E" w14:textId="77777777" w:rsidR="006C269A" w:rsidRPr="00472CCD" w:rsidRDefault="006C269A" w:rsidP="00AB05FB">
            <w:pPr>
              <w:pStyle w:val="Btablefigureunbold"/>
            </w:pPr>
            <w:r w:rsidRPr="00472CCD">
              <w:t>3,499,246</w:t>
            </w:r>
          </w:p>
        </w:tc>
        <w:tc>
          <w:tcPr>
            <w:tcW w:w="1232" w:type="dxa"/>
            <w:tcBorders>
              <w:top w:val="single" w:sz="4" w:space="0" w:color="auto"/>
            </w:tcBorders>
            <w:shd w:val="clear" w:color="auto" w:fill="auto"/>
            <w:noWrap/>
            <w:vAlign w:val="bottom"/>
          </w:tcPr>
          <w:p w14:paraId="205B5276" w14:textId="77777777" w:rsidR="006C269A" w:rsidRPr="00472CCD" w:rsidRDefault="006C269A" w:rsidP="00AB05FB">
            <w:pPr>
              <w:pStyle w:val="Btablefigureunbold"/>
            </w:pPr>
            <w:r w:rsidRPr="00472CCD">
              <w:t>3,513,734</w:t>
            </w:r>
          </w:p>
        </w:tc>
        <w:tc>
          <w:tcPr>
            <w:tcW w:w="1232" w:type="dxa"/>
            <w:tcBorders>
              <w:top w:val="single" w:sz="4" w:space="0" w:color="auto"/>
            </w:tcBorders>
            <w:shd w:val="clear" w:color="auto" w:fill="auto"/>
            <w:noWrap/>
            <w:vAlign w:val="bottom"/>
          </w:tcPr>
          <w:p w14:paraId="6A772AB2" w14:textId="77777777" w:rsidR="006C269A" w:rsidRPr="00472CCD" w:rsidRDefault="006C269A" w:rsidP="00AB05FB">
            <w:pPr>
              <w:pStyle w:val="Btablefigureunbold"/>
            </w:pPr>
            <w:r w:rsidRPr="00472CCD">
              <w:t>3,501,535</w:t>
            </w:r>
          </w:p>
        </w:tc>
        <w:tc>
          <w:tcPr>
            <w:tcW w:w="1232" w:type="dxa"/>
            <w:tcBorders>
              <w:top w:val="single" w:sz="4" w:space="0" w:color="auto"/>
            </w:tcBorders>
            <w:shd w:val="clear" w:color="auto" w:fill="auto"/>
            <w:noWrap/>
            <w:vAlign w:val="bottom"/>
          </w:tcPr>
          <w:p w14:paraId="78ADD77C" w14:textId="77777777" w:rsidR="006C269A" w:rsidRPr="00472CCD" w:rsidRDefault="006C269A" w:rsidP="00AB05FB">
            <w:pPr>
              <w:pStyle w:val="Btablefigureunbold"/>
            </w:pPr>
            <w:r w:rsidRPr="00472CCD">
              <w:t>3,422,355</w:t>
            </w:r>
          </w:p>
        </w:tc>
      </w:tr>
      <w:tr w:rsidR="006C269A" w:rsidRPr="006D5D15" w14:paraId="1B27ECAB" w14:textId="77777777" w:rsidTr="00AB05FB">
        <w:trPr>
          <w:tblHeader/>
          <w:jc w:val="center"/>
        </w:trPr>
        <w:tc>
          <w:tcPr>
            <w:tcW w:w="2869" w:type="dxa"/>
            <w:shd w:val="clear" w:color="auto" w:fill="auto"/>
            <w:noWrap/>
          </w:tcPr>
          <w:p w14:paraId="278FF171" w14:textId="77777777" w:rsidR="006C269A" w:rsidRPr="00550D36" w:rsidRDefault="006C269A" w:rsidP="00AB05FB">
            <w:pPr>
              <w:pStyle w:val="BStabletextunbold"/>
              <w:rPr>
                <w:color w:val="472D8C"/>
              </w:rPr>
            </w:pPr>
            <w:r w:rsidRPr="00B56605">
              <w:t xml:space="preserve">Asset </w:t>
            </w:r>
            <w:r>
              <w:t>r</w:t>
            </w:r>
            <w:r w:rsidRPr="00B56605">
              <w:t xml:space="preserve">evaluation </w:t>
            </w:r>
            <w:r>
              <w:t>s</w:t>
            </w:r>
            <w:r w:rsidRPr="00B56605">
              <w:t>urplus</w:t>
            </w:r>
          </w:p>
        </w:tc>
        <w:tc>
          <w:tcPr>
            <w:tcW w:w="1130" w:type="dxa"/>
            <w:shd w:val="clear" w:color="auto" w:fill="auto"/>
          </w:tcPr>
          <w:p w14:paraId="582E566A" w14:textId="77777777" w:rsidR="006C269A" w:rsidRPr="00472CCD" w:rsidRDefault="006C269A" w:rsidP="00AB05FB">
            <w:pPr>
              <w:pStyle w:val="Btablefigureunbold"/>
            </w:pPr>
            <w:r>
              <w:t>4,272,505</w:t>
            </w:r>
          </w:p>
        </w:tc>
        <w:tc>
          <w:tcPr>
            <w:tcW w:w="1232" w:type="dxa"/>
            <w:shd w:val="clear" w:color="auto" w:fill="auto"/>
            <w:noWrap/>
          </w:tcPr>
          <w:p w14:paraId="04B5FC99" w14:textId="77777777" w:rsidR="006C269A" w:rsidRPr="00472CCD" w:rsidRDefault="006C269A" w:rsidP="00AB05FB">
            <w:pPr>
              <w:pStyle w:val="Btablefigureunbold"/>
            </w:pPr>
            <w:r>
              <w:t>5,439,866</w:t>
            </w:r>
          </w:p>
        </w:tc>
        <w:tc>
          <w:tcPr>
            <w:tcW w:w="1232" w:type="dxa"/>
            <w:shd w:val="clear" w:color="auto" w:fill="auto"/>
            <w:noWrap/>
            <w:vAlign w:val="bottom"/>
          </w:tcPr>
          <w:p w14:paraId="54A83620" w14:textId="77777777" w:rsidR="006C269A" w:rsidRPr="00472CCD" w:rsidRDefault="006C269A" w:rsidP="00AB05FB">
            <w:pPr>
              <w:pStyle w:val="Btablefigureunbold"/>
            </w:pPr>
            <w:r w:rsidRPr="00472CCD">
              <w:t>5,521,361</w:t>
            </w:r>
          </w:p>
        </w:tc>
        <w:tc>
          <w:tcPr>
            <w:tcW w:w="1232" w:type="dxa"/>
            <w:shd w:val="clear" w:color="auto" w:fill="auto"/>
            <w:noWrap/>
            <w:vAlign w:val="bottom"/>
          </w:tcPr>
          <w:p w14:paraId="54313A79" w14:textId="77777777" w:rsidR="006C269A" w:rsidRPr="00472CCD" w:rsidRDefault="006C269A" w:rsidP="00AB05FB">
            <w:pPr>
              <w:pStyle w:val="Btablefigureunbold"/>
            </w:pPr>
            <w:r w:rsidRPr="00472CCD">
              <w:t>5,500,642</w:t>
            </w:r>
          </w:p>
        </w:tc>
        <w:tc>
          <w:tcPr>
            <w:tcW w:w="1232" w:type="dxa"/>
            <w:shd w:val="clear" w:color="auto" w:fill="auto"/>
            <w:noWrap/>
            <w:vAlign w:val="bottom"/>
          </w:tcPr>
          <w:p w14:paraId="7F9D0D6B" w14:textId="77777777" w:rsidR="006C269A" w:rsidRPr="00472CCD" w:rsidRDefault="006C269A" w:rsidP="00AB05FB">
            <w:pPr>
              <w:pStyle w:val="Btablefigureunbold"/>
            </w:pPr>
            <w:r w:rsidRPr="00472CCD">
              <w:t>5,677,610</w:t>
            </w:r>
          </w:p>
        </w:tc>
        <w:tc>
          <w:tcPr>
            <w:tcW w:w="1232" w:type="dxa"/>
            <w:shd w:val="clear" w:color="auto" w:fill="auto"/>
            <w:noWrap/>
            <w:vAlign w:val="bottom"/>
          </w:tcPr>
          <w:p w14:paraId="4718BD6E" w14:textId="77777777" w:rsidR="006C269A" w:rsidRPr="00472CCD" w:rsidRDefault="006C269A" w:rsidP="00AB05FB">
            <w:pPr>
              <w:pStyle w:val="Btablefigureunbold"/>
            </w:pPr>
            <w:r w:rsidRPr="00472CCD">
              <w:t>5,706,916</w:t>
            </w:r>
          </w:p>
        </w:tc>
      </w:tr>
      <w:tr w:rsidR="006C269A" w:rsidRPr="00472CCD" w14:paraId="21A2C047" w14:textId="77777777" w:rsidTr="00AB05FB">
        <w:trPr>
          <w:trHeight w:val="160"/>
          <w:tblHeader/>
          <w:jc w:val="center"/>
        </w:trPr>
        <w:tc>
          <w:tcPr>
            <w:tcW w:w="2869" w:type="dxa"/>
            <w:tcBorders>
              <w:top w:val="single" w:sz="4" w:space="0" w:color="auto"/>
              <w:bottom w:val="single" w:sz="4" w:space="0" w:color="auto"/>
            </w:tcBorders>
            <w:shd w:val="clear" w:color="auto" w:fill="auto"/>
            <w:noWrap/>
          </w:tcPr>
          <w:p w14:paraId="65AF2F70" w14:textId="77777777" w:rsidR="006C269A" w:rsidRPr="00C75A48" w:rsidRDefault="006C269A" w:rsidP="00AB05FB">
            <w:pPr>
              <w:pStyle w:val="BStabletextbold"/>
              <w:rPr>
                <w:color w:val="472D8C"/>
              </w:rPr>
            </w:pPr>
            <w:r w:rsidRPr="00C75A48">
              <w:rPr>
                <w:color w:val="472D8C"/>
              </w:rPr>
              <w:t>Net worth</w:t>
            </w:r>
          </w:p>
        </w:tc>
        <w:tc>
          <w:tcPr>
            <w:tcW w:w="1130" w:type="dxa"/>
            <w:tcBorders>
              <w:top w:val="single" w:sz="4" w:space="0" w:color="auto"/>
              <w:bottom w:val="single" w:sz="4" w:space="0" w:color="auto"/>
            </w:tcBorders>
            <w:shd w:val="clear" w:color="auto" w:fill="auto"/>
          </w:tcPr>
          <w:p w14:paraId="0CBBDB4B" w14:textId="77777777" w:rsidR="006C269A" w:rsidRPr="00C75A48" w:rsidRDefault="006C269A" w:rsidP="00AB05FB">
            <w:pPr>
              <w:pStyle w:val="BStabletextbold"/>
              <w:jc w:val="right"/>
              <w:rPr>
                <w:color w:val="472D8C"/>
              </w:rPr>
            </w:pPr>
            <w:r w:rsidRPr="00472CCD">
              <w:rPr>
                <w:color w:val="472D8C"/>
              </w:rPr>
              <w:t>7,612,488</w:t>
            </w:r>
          </w:p>
        </w:tc>
        <w:tc>
          <w:tcPr>
            <w:tcW w:w="1232" w:type="dxa"/>
            <w:tcBorders>
              <w:top w:val="single" w:sz="4" w:space="0" w:color="auto"/>
              <w:bottom w:val="single" w:sz="4" w:space="0" w:color="auto"/>
            </w:tcBorders>
            <w:shd w:val="clear" w:color="auto" w:fill="auto"/>
            <w:noWrap/>
          </w:tcPr>
          <w:p w14:paraId="1DD88C89" w14:textId="77777777" w:rsidR="006C269A" w:rsidRPr="00C75A48" w:rsidRDefault="006C269A" w:rsidP="00AB05FB">
            <w:pPr>
              <w:pStyle w:val="BStabletextbold"/>
              <w:jc w:val="right"/>
              <w:rPr>
                <w:color w:val="472D8C"/>
              </w:rPr>
            </w:pPr>
            <w:r w:rsidRPr="00472CCD">
              <w:rPr>
                <w:color w:val="472D8C"/>
              </w:rPr>
              <w:t>8,874,961</w:t>
            </w:r>
          </w:p>
        </w:tc>
        <w:tc>
          <w:tcPr>
            <w:tcW w:w="1232" w:type="dxa"/>
            <w:tcBorders>
              <w:top w:val="single" w:sz="4" w:space="0" w:color="auto"/>
              <w:bottom w:val="single" w:sz="4" w:space="0" w:color="auto"/>
            </w:tcBorders>
            <w:shd w:val="clear" w:color="auto" w:fill="auto"/>
            <w:noWrap/>
          </w:tcPr>
          <w:p w14:paraId="179437C4" w14:textId="77777777" w:rsidR="006C269A" w:rsidRPr="00C75A48" w:rsidRDefault="006C269A" w:rsidP="00AB05FB">
            <w:pPr>
              <w:pStyle w:val="BStabletextbold"/>
              <w:jc w:val="right"/>
              <w:rPr>
                <w:color w:val="472D8C"/>
              </w:rPr>
            </w:pPr>
            <w:r w:rsidRPr="00472CCD">
              <w:rPr>
                <w:color w:val="472D8C"/>
              </w:rPr>
              <w:t>9,020,607</w:t>
            </w:r>
          </w:p>
        </w:tc>
        <w:tc>
          <w:tcPr>
            <w:tcW w:w="1232" w:type="dxa"/>
            <w:tcBorders>
              <w:top w:val="single" w:sz="4" w:space="0" w:color="auto"/>
              <w:bottom w:val="single" w:sz="4" w:space="0" w:color="auto"/>
            </w:tcBorders>
            <w:shd w:val="clear" w:color="auto" w:fill="auto"/>
            <w:noWrap/>
          </w:tcPr>
          <w:p w14:paraId="2C2C256F" w14:textId="77777777" w:rsidR="006C269A" w:rsidRPr="00C75A48" w:rsidRDefault="006C269A" w:rsidP="00AB05FB">
            <w:pPr>
              <w:pStyle w:val="BStabletextbold"/>
              <w:jc w:val="right"/>
              <w:rPr>
                <w:color w:val="472D8C"/>
              </w:rPr>
            </w:pPr>
            <w:r w:rsidRPr="00472CCD">
              <w:rPr>
                <w:color w:val="472D8C"/>
              </w:rPr>
              <w:t>9,014,376</w:t>
            </w:r>
          </w:p>
        </w:tc>
        <w:tc>
          <w:tcPr>
            <w:tcW w:w="1232" w:type="dxa"/>
            <w:tcBorders>
              <w:top w:val="single" w:sz="4" w:space="0" w:color="auto"/>
              <w:bottom w:val="single" w:sz="4" w:space="0" w:color="auto"/>
            </w:tcBorders>
            <w:shd w:val="clear" w:color="auto" w:fill="auto"/>
            <w:noWrap/>
          </w:tcPr>
          <w:p w14:paraId="34A4D4E3" w14:textId="77777777" w:rsidR="006C269A" w:rsidRPr="00C75A48" w:rsidRDefault="006C269A" w:rsidP="00AB05FB">
            <w:pPr>
              <w:pStyle w:val="BStabletextbold"/>
              <w:jc w:val="right"/>
              <w:rPr>
                <w:color w:val="472D8C"/>
              </w:rPr>
            </w:pPr>
            <w:r w:rsidRPr="00472CCD">
              <w:rPr>
                <w:color w:val="472D8C"/>
              </w:rPr>
              <w:t>9,179,145</w:t>
            </w:r>
          </w:p>
        </w:tc>
        <w:tc>
          <w:tcPr>
            <w:tcW w:w="1232" w:type="dxa"/>
            <w:tcBorders>
              <w:top w:val="single" w:sz="4" w:space="0" w:color="auto"/>
              <w:bottom w:val="single" w:sz="4" w:space="0" w:color="auto"/>
            </w:tcBorders>
            <w:shd w:val="clear" w:color="auto" w:fill="auto"/>
            <w:noWrap/>
          </w:tcPr>
          <w:p w14:paraId="3287DFD5" w14:textId="77777777" w:rsidR="006C269A" w:rsidRPr="00C75A48" w:rsidRDefault="006C269A" w:rsidP="00AB05FB">
            <w:pPr>
              <w:pStyle w:val="BStabletextbold"/>
              <w:jc w:val="right"/>
              <w:rPr>
                <w:color w:val="472D8C"/>
              </w:rPr>
            </w:pPr>
            <w:r w:rsidRPr="00472CCD">
              <w:rPr>
                <w:color w:val="472D8C"/>
              </w:rPr>
              <w:t>9,129,271</w:t>
            </w:r>
          </w:p>
        </w:tc>
      </w:tr>
      <w:tr w:rsidR="006C269A" w:rsidRPr="006D5D15" w14:paraId="0A59AC64" w14:textId="77777777" w:rsidTr="00AB05FB">
        <w:trPr>
          <w:tblHeader/>
          <w:jc w:val="center"/>
        </w:trPr>
        <w:tc>
          <w:tcPr>
            <w:tcW w:w="2869" w:type="dxa"/>
            <w:tcBorders>
              <w:top w:val="single" w:sz="4" w:space="0" w:color="auto"/>
              <w:bottom w:val="single" w:sz="4" w:space="0" w:color="auto"/>
            </w:tcBorders>
            <w:shd w:val="clear" w:color="auto" w:fill="auto"/>
            <w:noWrap/>
          </w:tcPr>
          <w:p w14:paraId="7BB72BB9" w14:textId="77777777" w:rsidR="006C269A" w:rsidRPr="00550D36" w:rsidRDefault="006C269A" w:rsidP="00AB05FB">
            <w:pPr>
              <w:pStyle w:val="BStabletextbold"/>
              <w:rPr>
                <w:color w:val="472D8C"/>
              </w:rPr>
            </w:pPr>
          </w:p>
        </w:tc>
        <w:tc>
          <w:tcPr>
            <w:tcW w:w="1130" w:type="dxa"/>
            <w:tcBorders>
              <w:top w:val="single" w:sz="4" w:space="0" w:color="auto"/>
              <w:bottom w:val="single" w:sz="4" w:space="0" w:color="auto"/>
            </w:tcBorders>
            <w:shd w:val="clear" w:color="auto" w:fill="auto"/>
          </w:tcPr>
          <w:p w14:paraId="3D15406F" w14:textId="77777777" w:rsidR="006C269A" w:rsidRPr="00550D36" w:rsidRDefault="006C269A" w:rsidP="00AB05FB">
            <w:pPr>
              <w:pStyle w:val="BTablefigureBold"/>
              <w:rPr>
                <w:color w:val="472D8C"/>
              </w:rPr>
            </w:pPr>
          </w:p>
        </w:tc>
        <w:tc>
          <w:tcPr>
            <w:tcW w:w="1232" w:type="dxa"/>
            <w:tcBorders>
              <w:top w:val="single" w:sz="4" w:space="0" w:color="auto"/>
              <w:bottom w:val="single" w:sz="4" w:space="0" w:color="auto"/>
            </w:tcBorders>
            <w:shd w:val="clear" w:color="auto" w:fill="auto"/>
            <w:noWrap/>
          </w:tcPr>
          <w:p w14:paraId="7355AF46" w14:textId="77777777" w:rsidR="006C269A" w:rsidRPr="00550D36" w:rsidRDefault="006C269A" w:rsidP="00AB05FB">
            <w:pPr>
              <w:pStyle w:val="BTablefigureBold"/>
              <w:rPr>
                <w:color w:val="472D8C"/>
              </w:rPr>
            </w:pPr>
          </w:p>
        </w:tc>
        <w:tc>
          <w:tcPr>
            <w:tcW w:w="1232" w:type="dxa"/>
            <w:tcBorders>
              <w:top w:val="single" w:sz="4" w:space="0" w:color="auto"/>
              <w:bottom w:val="single" w:sz="4" w:space="0" w:color="auto"/>
            </w:tcBorders>
            <w:shd w:val="clear" w:color="auto" w:fill="auto"/>
            <w:noWrap/>
            <w:vAlign w:val="bottom"/>
          </w:tcPr>
          <w:p w14:paraId="3931FF2D" w14:textId="77777777" w:rsidR="006C269A" w:rsidRPr="00550D36" w:rsidRDefault="006C269A" w:rsidP="00AB05FB">
            <w:pPr>
              <w:pStyle w:val="BTablefigureBold"/>
              <w:rPr>
                <w:color w:val="472D8C"/>
              </w:rPr>
            </w:pPr>
          </w:p>
        </w:tc>
        <w:tc>
          <w:tcPr>
            <w:tcW w:w="1232" w:type="dxa"/>
            <w:tcBorders>
              <w:top w:val="single" w:sz="4" w:space="0" w:color="auto"/>
              <w:bottom w:val="single" w:sz="4" w:space="0" w:color="auto"/>
            </w:tcBorders>
            <w:shd w:val="clear" w:color="auto" w:fill="auto"/>
            <w:noWrap/>
            <w:vAlign w:val="bottom"/>
          </w:tcPr>
          <w:p w14:paraId="4E1726CE" w14:textId="77777777" w:rsidR="006C269A" w:rsidRPr="00550D36" w:rsidRDefault="006C269A" w:rsidP="00AB05FB">
            <w:pPr>
              <w:pStyle w:val="BTablefigureBold"/>
              <w:rPr>
                <w:color w:val="472D8C"/>
              </w:rPr>
            </w:pPr>
          </w:p>
        </w:tc>
        <w:tc>
          <w:tcPr>
            <w:tcW w:w="1232" w:type="dxa"/>
            <w:tcBorders>
              <w:top w:val="single" w:sz="4" w:space="0" w:color="auto"/>
              <w:bottom w:val="single" w:sz="4" w:space="0" w:color="auto"/>
            </w:tcBorders>
            <w:shd w:val="clear" w:color="auto" w:fill="auto"/>
            <w:noWrap/>
            <w:vAlign w:val="bottom"/>
          </w:tcPr>
          <w:p w14:paraId="69389549" w14:textId="77777777" w:rsidR="006C269A" w:rsidRPr="00550D36" w:rsidRDefault="006C269A" w:rsidP="00AB05FB">
            <w:pPr>
              <w:pStyle w:val="BTablefigureBold"/>
              <w:rPr>
                <w:color w:val="472D8C"/>
              </w:rPr>
            </w:pPr>
          </w:p>
        </w:tc>
        <w:tc>
          <w:tcPr>
            <w:tcW w:w="1232" w:type="dxa"/>
            <w:tcBorders>
              <w:top w:val="single" w:sz="4" w:space="0" w:color="auto"/>
              <w:bottom w:val="single" w:sz="4" w:space="0" w:color="auto"/>
            </w:tcBorders>
            <w:shd w:val="clear" w:color="auto" w:fill="auto"/>
            <w:noWrap/>
            <w:vAlign w:val="bottom"/>
          </w:tcPr>
          <w:p w14:paraId="3AC3F34D" w14:textId="77777777" w:rsidR="006C269A" w:rsidRPr="00550D36" w:rsidRDefault="006C269A" w:rsidP="00AB05FB">
            <w:pPr>
              <w:pStyle w:val="BTablefigureBold"/>
              <w:rPr>
                <w:color w:val="472D8C"/>
              </w:rPr>
            </w:pPr>
          </w:p>
        </w:tc>
      </w:tr>
      <w:tr w:rsidR="006C269A" w:rsidRPr="00472CCD" w14:paraId="18C3F4E2" w14:textId="77777777" w:rsidTr="00AB05FB">
        <w:trPr>
          <w:tblHeader/>
          <w:jc w:val="center"/>
        </w:trPr>
        <w:tc>
          <w:tcPr>
            <w:tcW w:w="2869" w:type="dxa"/>
            <w:tcBorders>
              <w:top w:val="single" w:sz="4" w:space="0" w:color="auto"/>
            </w:tcBorders>
            <w:shd w:val="clear" w:color="auto" w:fill="auto"/>
            <w:noWrap/>
          </w:tcPr>
          <w:p w14:paraId="2D371C85" w14:textId="77777777" w:rsidR="006C269A" w:rsidRPr="00C75A48" w:rsidRDefault="006C269A" w:rsidP="00AB05FB">
            <w:pPr>
              <w:pStyle w:val="BStabletextbold"/>
              <w:rPr>
                <w:color w:val="472D8C"/>
              </w:rPr>
            </w:pPr>
            <w:r w:rsidRPr="00C75A48">
              <w:rPr>
                <w:color w:val="472D8C"/>
              </w:rPr>
              <w:t>Net financial worth</w:t>
            </w:r>
          </w:p>
        </w:tc>
        <w:tc>
          <w:tcPr>
            <w:tcW w:w="1130" w:type="dxa"/>
            <w:tcBorders>
              <w:top w:val="single" w:sz="4" w:space="0" w:color="auto"/>
            </w:tcBorders>
            <w:shd w:val="clear" w:color="auto" w:fill="auto"/>
          </w:tcPr>
          <w:p w14:paraId="364DE9E4" w14:textId="77777777" w:rsidR="006C269A" w:rsidRPr="00C75A48" w:rsidRDefault="006C269A" w:rsidP="00AB05FB">
            <w:pPr>
              <w:pStyle w:val="BStabletextbold"/>
              <w:jc w:val="right"/>
              <w:rPr>
                <w:color w:val="472D8C"/>
              </w:rPr>
            </w:pPr>
            <w:r w:rsidRPr="00472CCD">
              <w:rPr>
                <w:color w:val="472D8C"/>
              </w:rPr>
              <w:t>-2,046,377</w:t>
            </w:r>
          </w:p>
        </w:tc>
        <w:tc>
          <w:tcPr>
            <w:tcW w:w="1232" w:type="dxa"/>
            <w:tcBorders>
              <w:top w:val="single" w:sz="4" w:space="0" w:color="auto"/>
            </w:tcBorders>
            <w:shd w:val="clear" w:color="auto" w:fill="auto"/>
            <w:noWrap/>
          </w:tcPr>
          <w:p w14:paraId="6612A5EB" w14:textId="77777777" w:rsidR="006C269A" w:rsidRPr="00C75A48" w:rsidRDefault="006C269A" w:rsidP="00AB05FB">
            <w:pPr>
              <w:pStyle w:val="BStabletextbold"/>
              <w:jc w:val="right"/>
              <w:rPr>
                <w:color w:val="472D8C"/>
              </w:rPr>
            </w:pPr>
            <w:r w:rsidRPr="00472CCD">
              <w:rPr>
                <w:color w:val="472D8C"/>
              </w:rPr>
              <w:t>-1,993,506</w:t>
            </w:r>
          </w:p>
        </w:tc>
        <w:tc>
          <w:tcPr>
            <w:tcW w:w="1232" w:type="dxa"/>
            <w:tcBorders>
              <w:top w:val="single" w:sz="4" w:space="0" w:color="auto"/>
            </w:tcBorders>
            <w:shd w:val="clear" w:color="auto" w:fill="auto"/>
            <w:noWrap/>
            <w:vAlign w:val="bottom"/>
          </w:tcPr>
          <w:p w14:paraId="74741D42" w14:textId="77777777" w:rsidR="006C269A" w:rsidRPr="00C75A48" w:rsidRDefault="006C269A" w:rsidP="00AB05FB">
            <w:pPr>
              <w:pStyle w:val="BStabletextbold"/>
              <w:jc w:val="right"/>
              <w:rPr>
                <w:color w:val="472D8C"/>
              </w:rPr>
            </w:pPr>
            <w:r w:rsidRPr="00472CCD">
              <w:rPr>
                <w:color w:val="472D8C"/>
              </w:rPr>
              <w:t>-2,084,119</w:t>
            </w:r>
          </w:p>
        </w:tc>
        <w:tc>
          <w:tcPr>
            <w:tcW w:w="1232" w:type="dxa"/>
            <w:tcBorders>
              <w:top w:val="single" w:sz="4" w:space="0" w:color="auto"/>
            </w:tcBorders>
            <w:shd w:val="clear" w:color="auto" w:fill="auto"/>
            <w:noWrap/>
            <w:vAlign w:val="bottom"/>
          </w:tcPr>
          <w:p w14:paraId="2593549B" w14:textId="77777777" w:rsidR="006C269A" w:rsidRPr="00C75A48" w:rsidRDefault="006C269A" w:rsidP="00AB05FB">
            <w:pPr>
              <w:pStyle w:val="BStabletextbold"/>
              <w:jc w:val="right"/>
              <w:rPr>
                <w:color w:val="472D8C"/>
              </w:rPr>
            </w:pPr>
            <w:r w:rsidRPr="00472CCD">
              <w:rPr>
                <w:color w:val="472D8C"/>
              </w:rPr>
              <w:t>-2,085,753</w:t>
            </w:r>
          </w:p>
        </w:tc>
        <w:tc>
          <w:tcPr>
            <w:tcW w:w="1232" w:type="dxa"/>
            <w:tcBorders>
              <w:top w:val="single" w:sz="4" w:space="0" w:color="auto"/>
            </w:tcBorders>
            <w:shd w:val="clear" w:color="auto" w:fill="auto"/>
            <w:noWrap/>
            <w:vAlign w:val="bottom"/>
          </w:tcPr>
          <w:p w14:paraId="202179E1" w14:textId="77777777" w:rsidR="006C269A" w:rsidRPr="00C75A48" w:rsidRDefault="006C269A" w:rsidP="00AB05FB">
            <w:pPr>
              <w:pStyle w:val="BStabletextbold"/>
              <w:jc w:val="right"/>
              <w:rPr>
                <w:color w:val="472D8C"/>
              </w:rPr>
            </w:pPr>
            <w:r w:rsidRPr="00472CCD">
              <w:rPr>
                <w:color w:val="472D8C"/>
              </w:rPr>
              <w:t>-2,029,915</w:t>
            </w:r>
          </w:p>
        </w:tc>
        <w:tc>
          <w:tcPr>
            <w:tcW w:w="1232" w:type="dxa"/>
            <w:tcBorders>
              <w:top w:val="single" w:sz="4" w:space="0" w:color="auto"/>
            </w:tcBorders>
            <w:shd w:val="clear" w:color="auto" w:fill="auto"/>
            <w:noWrap/>
            <w:vAlign w:val="bottom"/>
          </w:tcPr>
          <w:p w14:paraId="3F4D6FB9" w14:textId="77777777" w:rsidR="006C269A" w:rsidRPr="00C75A48" w:rsidRDefault="006C269A" w:rsidP="00AB05FB">
            <w:pPr>
              <w:pStyle w:val="BStabletextbold"/>
              <w:jc w:val="right"/>
              <w:rPr>
                <w:color w:val="472D8C"/>
              </w:rPr>
            </w:pPr>
            <w:r w:rsidRPr="00472CCD">
              <w:rPr>
                <w:color w:val="472D8C"/>
              </w:rPr>
              <w:t>-2,104,313</w:t>
            </w:r>
          </w:p>
        </w:tc>
      </w:tr>
      <w:tr w:rsidR="006C269A" w:rsidRPr="00472CCD" w14:paraId="115E4DF2" w14:textId="77777777" w:rsidTr="00AB05FB">
        <w:trPr>
          <w:tblHeader/>
          <w:jc w:val="center"/>
        </w:trPr>
        <w:tc>
          <w:tcPr>
            <w:tcW w:w="2869" w:type="dxa"/>
            <w:tcBorders>
              <w:bottom w:val="single" w:sz="4" w:space="0" w:color="auto"/>
            </w:tcBorders>
            <w:shd w:val="clear" w:color="auto" w:fill="auto"/>
            <w:noWrap/>
          </w:tcPr>
          <w:p w14:paraId="3096526D" w14:textId="77777777" w:rsidR="006C269A" w:rsidRPr="00C75A48" w:rsidRDefault="006C269A" w:rsidP="00AB05FB">
            <w:pPr>
              <w:pStyle w:val="BStabletextbold"/>
              <w:rPr>
                <w:color w:val="472D8C"/>
              </w:rPr>
            </w:pPr>
            <w:r w:rsidRPr="00C75A48">
              <w:rPr>
                <w:color w:val="472D8C"/>
              </w:rPr>
              <w:t>Net debt</w:t>
            </w:r>
          </w:p>
        </w:tc>
        <w:tc>
          <w:tcPr>
            <w:tcW w:w="1130" w:type="dxa"/>
            <w:tcBorders>
              <w:bottom w:val="single" w:sz="4" w:space="0" w:color="auto"/>
            </w:tcBorders>
            <w:shd w:val="clear" w:color="auto" w:fill="auto"/>
          </w:tcPr>
          <w:p w14:paraId="11E4EEA6" w14:textId="77777777" w:rsidR="006C269A" w:rsidRPr="00C75A48" w:rsidRDefault="006C269A" w:rsidP="00AB05FB">
            <w:pPr>
              <w:pStyle w:val="BStabletextbold"/>
              <w:jc w:val="right"/>
              <w:rPr>
                <w:color w:val="472D8C"/>
              </w:rPr>
            </w:pPr>
            <w:r w:rsidRPr="00472CCD">
              <w:rPr>
                <w:color w:val="472D8C"/>
              </w:rPr>
              <w:t>2,031,139</w:t>
            </w:r>
          </w:p>
        </w:tc>
        <w:tc>
          <w:tcPr>
            <w:tcW w:w="1232" w:type="dxa"/>
            <w:tcBorders>
              <w:bottom w:val="single" w:sz="4" w:space="0" w:color="auto"/>
            </w:tcBorders>
            <w:shd w:val="clear" w:color="auto" w:fill="auto"/>
            <w:noWrap/>
          </w:tcPr>
          <w:p w14:paraId="16A421FC" w14:textId="77777777" w:rsidR="006C269A" w:rsidRPr="00C75A48" w:rsidRDefault="006C269A" w:rsidP="00AB05FB">
            <w:pPr>
              <w:pStyle w:val="BStabletextbold"/>
              <w:jc w:val="right"/>
              <w:rPr>
                <w:color w:val="472D8C"/>
              </w:rPr>
            </w:pPr>
            <w:r w:rsidRPr="00472CCD">
              <w:rPr>
                <w:color w:val="472D8C"/>
              </w:rPr>
              <w:t>1,517,627</w:t>
            </w:r>
          </w:p>
        </w:tc>
        <w:tc>
          <w:tcPr>
            <w:tcW w:w="1232" w:type="dxa"/>
            <w:tcBorders>
              <w:bottom w:val="single" w:sz="4" w:space="0" w:color="auto"/>
            </w:tcBorders>
            <w:shd w:val="clear" w:color="auto" w:fill="auto"/>
            <w:noWrap/>
            <w:vAlign w:val="bottom"/>
          </w:tcPr>
          <w:p w14:paraId="31B8858F" w14:textId="77777777" w:rsidR="006C269A" w:rsidRPr="00C75A48" w:rsidRDefault="006C269A" w:rsidP="00AB05FB">
            <w:pPr>
              <w:pStyle w:val="BStabletextbold"/>
              <w:jc w:val="right"/>
              <w:rPr>
                <w:color w:val="472D8C"/>
              </w:rPr>
            </w:pPr>
            <w:r w:rsidRPr="00472CCD">
              <w:rPr>
                <w:color w:val="472D8C"/>
              </w:rPr>
              <w:t>1,743,291</w:t>
            </w:r>
          </w:p>
        </w:tc>
        <w:tc>
          <w:tcPr>
            <w:tcW w:w="1232" w:type="dxa"/>
            <w:tcBorders>
              <w:bottom w:val="single" w:sz="4" w:space="0" w:color="auto"/>
            </w:tcBorders>
            <w:shd w:val="clear" w:color="auto" w:fill="auto"/>
            <w:noWrap/>
            <w:vAlign w:val="bottom"/>
          </w:tcPr>
          <w:p w14:paraId="0EE87D98" w14:textId="77777777" w:rsidR="006C269A" w:rsidRPr="00C75A48" w:rsidRDefault="006C269A" w:rsidP="00AB05FB">
            <w:pPr>
              <w:pStyle w:val="BStabletextbold"/>
              <w:jc w:val="right"/>
              <w:rPr>
                <w:color w:val="472D8C"/>
              </w:rPr>
            </w:pPr>
            <w:r w:rsidRPr="00472CCD">
              <w:rPr>
                <w:color w:val="472D8C"/>
              </w:rPr>
              <w:t>1,741,400</w:t>
            </w:r>
          </w:p>
        </w:tc>
        <w:tc>
          <w:tcPr>
            <w:tcW w:w="1232" w:type="dxa"/>
            <w:tcBorders>
              <w:bottom w:val="single" w:sz="4" w:space="0" w:color="auto"/>
            </w:tcBorders>
            <w:shd w:val="clear" w:color="auto" w:fill="auto"/>
            <w:noWrap/>
            <w:vAlign w:val="bottom"/>
          </w:tcPr>
          <w:p w14:paraId="0826DE01" w14:textId="77777777" w:rsidR="006C269A" w:rsidRPr="00C75A48" w:rsidRDefault="006C269A" w:rsidP="00AB05FB">
            <w:pPr>
              <w:pStyle w:val="BStabletextbold"/>
              <w:jc w:val="right"/>
              <w:rPr>
                <w:color w:val="472D8C"/>
              </w:rPr>
            </w:pPr>
            <w:r w:rsidRPr="00472CCD">
              <w:rPr>
                <w:color w:val="472D8C"/>
              </w:rPr>
              <w:t>1,749,960</w:t>
            </w:r>
          </w:p>
        </w:tc>
        <w:tc>
          <w:tcPr>
            <w:tcW w:w="1232" w:type="dxa"/>
            <w:tcBorders>
              <w:bottom w:val="single" w:sz="4" w:space="0" w:color="auto"/>
            </w:tcBorders>
            <w:shd w:val="clear" w:color="auto" w:fill="auto"/>
            <w:noWrap/>
            <w:vAlign w:val="bottom"/>
          </w:tcPr>
          <w:p w14:paraId="561F7F2A" w14:textId="77777777" w:rsidR="006C269A" w:rsidRPr="00C75A48" w:rsidRDefault="006C269A" w:rsidP="00AB05FB">
            <w:pPr>
              <w:pStyle w:val="BStabletextbold"/>
              <w:jc w:val="right"/>
              <w:rPr>
                <w:color w:val="472D8C"/>
              </w:rPr>
            </w:pPr>
            <w:r w:rsidRPr="00472CCD">
              <w:rPr>
                <w:color w:val="472D8C"/>
              </w:rPr>
              <w:t>1,858,462</w:t>
            </w:r>
          </w:p>
        </w:tc>
      </w:tr>
    </w:tbl>
    <w:p w14:paraId="69E0EEAA" w14:textId="77777777" w:rsidR="006C269A" w:rsidRPr="007C345B" w:rsidRDefault="006C269A" w:rsidP="00AB05FB">
      <w:pPr>
        <w:pStyle w:val="BNoteBold"/>
        <w:ind w:left="-567"/>
      </w:pPr>
      <w:r w:rsidRPr="007C345B">
        <w:t>Note:</w:t>
      </w:r>
      <w:r>
        <w:t xml:space="preserve"> </w:t>
      </w:r>
      <w:r w:rsidRPr="00472CCD">
        <w:rPr>
          <w:b w:val="0"/>
          <w:bCs/>
        </w:rPr>
        <w:t>Numbers may not add due to rounding.</w:t>
      </w:r>
    </w:p>
    <w:p w14:paraId="7530E0F9" w14:textId="77777777" w:rsidR="006C269A" w:rsidRPr="00FF2A14" w:rsidRDefault="006C269A" w:rsidP="006C269A">
      <w:pPr>
        <w:pStyle w:val="BNotelist"/>
        <w:numPr>
          <w:ilvl w:val="0"/>
          <w:numId w:val="14"/>
        </w:numPr>
      </w:pPr>
      <w:r w:rsidRPr="00FF2A14">
        <w:br w:type="page"/>
      </w:r>
    </w:p>
    <w:p w14:paraId="6F339BE7" w14:textId="0CFD1985" w:rsidR="006C269A" w:rsidRDefault="006C269A" w:rsidP="00AB05FB">
      <w:pPr>
        <w:pStyle w:val="Caption"/>
      </w:pPr>
      <w:r>
        <w:lastRenderedPageBreak/>
        <w:t>Table D.</w:t>
      </w:r>
      <w:fldSimple w:instr=" SEQ Table \* ARABIC \s 2 ">
        <w:r w:rsidR="001478F3">
          <w:rPr>
            <w:noProof/>
          </w:rPr>
          <w:t>3</w:t>
        </w:r>
      </w:fldSimple>
      <w:r>
        <w:t>: Australian Capital Territory Public Trading Enterprises – Statement of changes in equity</w:t>
      </w:r>
    </w:p>
    <w:tbl>
      <w:tblPr>
        <w:tblW w:w="9295" w:type="dxa"/>
        <w:jc w:val="center"/>
        <w:tblLayout w:type="fixed"/>
        <w:tblCellMar>
          <w:left w:w="45" w:type="dxa"/>
          <w:right w:w="45" w:type="dxa"/>
        </w:tblCellMar>
        <w:tblLook w:val="0000" w:firstRow="0" w:lastRow="0" w:firstColumn="0" w:lastColumn="0" w:noHBand="0" w:noVBand="0"/>
      </w:tblPr>
      <w:tblGrid>
        <w:gridCol w:w="2864"/>
        <w:gridCol w:w="1070"/>
        <w:gridCol w:w="1070"/>
        <w:gridCol w:w="1070"/>
        <w:gridCol w:w="1070"/>
        <w:gridCol w:w="1070"/>
        <w:gridCol w:w="1068"/>
        <w:gridCol w:w="13"/>
      </w:tblGrid>
      <w:tr w:rsidR="006C269A" w:rsidRPr="006D5D15" w14:paraId="4A1CB363" w14:textId="77777777" w:rsidTr="00AB05FB">
        <w:trPr>
          <w:gridAfter w:val="1"/>
          <w:wAfter w:w="13" w:type="dxa"/>
          <w:cantSplit/>
          <w:tblHeader/>
          <w:jc w:val="center"/>
        </w:trPr>
        <w:tc>
          <w:tcPr>
            <w:tcW w:w="2864" w:type="dxa"/>
            <w:tcBorders>
              <w:top w:val="single" w:sz="4" w:space="0" w:color="auto"/>
              <w:left w:val="nil"/>
              <w:bottom w:val="single" w:sz="4" w:space="0" w:color="auto"/>
              <w:right w:val="nil"/>
            </w:tcBorders>
            <w:shd w:val="clear" w:color="auto" w:fill="472D8C"/>
            <w:noWrap/>
          </w:tcPr>
          <w:p w14:paraId="29F0D90B" w14:textId="77777777" w:rsidR="006C269A" w:rsidRPr="00F25F0C" w:rsidRDefault="006C269A" w:rsidP="00AB05FB">
            <w:pPr>
              <w:pStyle w:val="EmptyCell0"/>
              <w:rPr>
                <w:rFonts w:eastAsia="SimSun"/>
              </w:rPr>
            </w:pPr>
          </w:p>
        </w:tc>
        <w:tc>
          <w:tcPr>
            <w:tcW w:w="1070" w:type="dxa"/>
            <w:tcBorders>
              <w:top w:val="single" w:sz="4" w:space="0" w:color="auto"/>
              <w:left w:val="nil"/>
              <w:bottom w:val="single" w:sz="4" w:space="0" w:color="auto"/>
              <w:right w:val="nil"/>
            </w:tcBorders>
            <w:shd w:val="clear" w:color="auto" w:fill="472D8C"/>
          </w:tcPr>
          <w:p w14:paraId="17C332AC" w14:textId="77777777" w:rsidR="006C269A" w:rsidRPr="006D5D15" w:rsidRDefault="006C269A" w:rsidP="00AB05FB">
            <w:pPr>
              <w:pStyle w:val="BStableheading"/>
              <w:framePr w:wrap="auto" w:vAnchor="margin" w:yAlign="inline"/>
              <w:rPr>
                <w:rFonts w:eastAsia="SimSun"/>
                <w:color w:val="FFFFFF" w:themeColor="background1"/>
                <w:lang w:val="en-AU"/>
              </w:rPr>
            </w:pPr>
            <w:r>
              <w:rPr>
                <w:rFonts w:eastAsia="SimSun"/>
                <w:color w:val="FFFFFF" w:themeColor="background1"/>
                <w:lang w:val="en-AU"/>
              </w:rPr>
              <w:t>2020-21</w:t>
            </w:r>
          </w:p>
          <w:p w14:paraId="367BA263" w14:textId="77777777" w:rsidR="006C269A" w:rsidRPr="006D5D15" w:rsidRDefault="006C269A" w:rsidP="00AB05FB">
            <w:pPr>
              <w:pStyle w:val="BStableheading"/>
              <w:framePr w:wrap="auto" w:vAnchor="margin" w:yAlign="inline"/>
              <w:rPr>
                <w:rFonts w:eastAsia="SimSun"/>
                <w:color w:val="FFFFFF" w:themeColor="background1"/>
                <w:lang w:val="en-AU"/>
              </w:rPr>
            </w:pPr>
            <w:r w:rsidRPr="006D5D15">
              <w:rPr>
                <w:rFonts w:eastAsia="SimSun"/>
                <w:color w:val="FFFFFF" w:themeColor="background1"/>
                <w:lang w:val="en-AU"/>
              </w:rPr>
              <w:t>Budget</w:t>
            </w:r>
          </w:p>
          <w:p w14:paraId="401188C1" w14:textId="77777777" w:rsidR="006C269A" w:rsidRDefault="006C269A" w:rsidP="00AB05FB">
            <w:pPr>
              <w:pStyle w:val="BStableheading"/>
              <w:framePr w:wrap="around"/>
              <w:rPr>
                <w:rFonts w:eastAsia="SimSun"/>
                <w:color w:val="FFFFFF" w:themeColor="background1"/>
                <w:lang w:val="en-AU"/>
              </w:rPr>
            </w:pPr>
          </w:p>
          <w:p w14:paraId="7BB83751"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70" w:type="dxa"/>
            <w:tcBorders>
              <w:top w:val="single" w:sz="4" w:space="0" w:color="auto"/>
              <w:left w:val="nil"/>
              <w:bottom w:val="single" w:sz="4" w:space="0" w:color="auto"/>
              <w:right w:val="nil"/>
            </w:tcBorders>
            <w:shd w:val="clear" w:color="auto" w:fill="472D8C"/>
            <w:noWrap/>
          </w:tcPr>
          <w:p w14:paraId="652F0B25"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58CB79DC" w14:textId="77777777" w:rsidR="006C269A" w:rsidRPr="006D5D15" w:rsidRDefault="006C269A" w:rsidP="00AB05FB">
            <w:pPr>
              <w:pStyle w:val="BStableheading"/>
              <w:framePr w:wrap="around"/>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110ECA96"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70" w:type="dxa"/>
            <w:tcBorders>
              <w:top w:val="single" w:sz="4" w:space="0" w:color="auto"/>
              <w:left w:val="nil"/>
              <w:bottom w:val="single" w:sz="4" w:space="0" w:color="auto"/>
              <w:right w:val="nil"/>
            </w:tcBorders>
            <w:shd w:val="clear" w:color="auto" w:fill="472D8C"/>
            <w:noWrap/>
          </w:tcPr>
          <w:p w14:paraId="7F7E91EA"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35B0AB67"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Budget</w:t>
            </w:r>
          </w:p>
          <w:p w14:paraId="55AC6FC0" w14:textId="77777777" w:rsidR="006C269A" w:rsidRPr="006D5D15" w:rsidRDefault="006C269A" w:rsidP="00AB05FB">
            <w:pPr>
              <w:pStyle w:val="BStableheading"/>
              <w:framePr w:wrap="around"/>
              <w:rPr>
                <w:rFonts w:eastAsia="SimSun"/>
                <w:color w:val="FFFFFF" w:themeColor="background1"/>
                <w:lang w:val="en-AU"/>
              </w:rPr>
            </w:pPr>
          </w:p>
          <w:p w14:paraId="5347F0B7"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70" w:type="dxa"/>
            <w:tcBorders>
              <w:top w:val="single" w:sz="4" w:space="0" w:color="auto"/>
              <w:left w:val="nil"/>
              <w:bottom w:val="single" w:sz="4" w:space="0" w:color="auto"/>
              <w:right w:val="nil"/>
            </w:tcBorders>
            <w:shd w:val="clear" w:color="auto" w:fill="472D8C"/>
            <w:noWrap/>
          </w:tcPr>
          <w:p w14:paraId="09EA7FC4"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0434292B"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601C1B7B" w14:textId="77777777" w:rsidR="006C269A" w:rsidRPr="006D5D15" w:rsidRDefault="006C269A" w:rsidP="00AB05FB">
            <w:pPr>
              <w:pStyle w:val="BStableheading"/>
              <w:framePr w:wrap="around"/>
              <w:rPr>
                <w:rFonts w:eastAsia="SimSun"/>
                <w:color w:val="FFFFFF" w:themeColor="background1"/>
                <w:lang w:val="en-AU"/>
              </w:rPr>
            </w:pPr>
          </w:p>
          <w:p w14:paraId="315714C0"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70" w:type="dxa"/>
            <w:tcBorders>
              <w:top w:val="single" w:sz="4" w:space="0" w:color="auto"/>
              <w:left w:val="nil"/>
              <w:bottom w:val="single" w:sz="4" w:space="0" w:color="auto"/>
              <w:right w:val="nil"/>
            </w:tcBorders>
            <w:shd w:val="clear" w:color="auto" w:fill="472D8C"/>
            <w:noWrap/>
          </w:tcPr>
          <w:p w14:paraId="74C3E622"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1A60A522"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08ABC9B8" w14:textId="77777777" w:rsidR="006C269A" w:rsidRPr="006D5D15" w:rsidRDefault="006C269A" w:rsidP="00AB05FB">
            <w:pPr>
              <w:pStyle w:val="BStableheading"/>
              <w:framePr w:wrap="around"/>
              <w:rPr>
                <w:rFonts w:eastAsia="SimSun"/>
                <w:color w:val="FFFFFF" w:themeColor="background1"/>
                <w:lang w:val="en-AU"/>
              </w:rPr>
            </w:pPr>
          </w:p>
          <w:p w14:paraId="41664C72"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8" w:type="dxa"/>
            <w:tcBorders>
              <w:top w:val="single" w:sz="4" w:space="0" w:color="auto"/>
              <w:left w:val="nil"/>
              <w:bottom w:val="single" w:sz="4" w:space="0" w:color="auto"/>
              <w:right w:val="nil"/>
            </w:tcBorders>
            <w:shd w:val="clear" w:color="auto" w:fill="472D8C"/>
            <w:noWrap/>
          </w:tcPr>
          <w:p w14:paraId="0C8F7886"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770F6E9D"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2613773F" w14:textId="77777777" w:rsidR="006C269A" w:rsidRPr="006D5D15" w:rsidRDefault="006C269A" w:rsidP="00AB05FB">
            <w:pPr>
              <w:pStyle w:val="BStableheading"/>
              <w:framePr w:wrap="around"/>
              <w:rPr>
                <w:rFonts w:eastAsia="SimSun"/>
                <w:color w:val="FFFFFF" w:themeColor="background1"/>
                <w:lang w:val="en-AU"/>
              </w:rPr>
            </w:pPr>
          </w:p>
          <w:p w14:paraId="53D26941" w14:textId="77777777" w:rsidR="006C269A" w:rsidRPr="006D5D15" w:rsidRDefault="006C269A" w:rsidP="00AB05FB">
            <w:pPr>
              <w:pStyle w:val="BStableheading"/>
              <w:framePr w:wrap="around"/>
              <w:rPr>
                <w:rFonts w:eastAsia="SimSun"/>
                <w:color w:val="FFFFFF" w:themeColor="background1"/>
                <w:lang w:val="en-AU"/>
              </w:rPr>
            </w:pPr>
            <w:r w:rsidRPr="006D5D15">
              <w:rPr>
                <w:rFonts w:eastAsia="SimSun"/>
                <w:color w:val="FFFFFF" w:themeColor="background1"/>
                <w:lang w:val="en-AU"/>
              </w:rPr>
              <w:t>$’000</w:t>
            </w:r>
          </w:p>
        </w:tc>
      </w:tr>
      <w:tr w:rsidR="006C269A" w:rsidRPr="006D5D15" w14:paraId="5F77B369" w14:textId="77777777" w:rsidTr="00AB05FB">
        <w:trPr>
          <w:gridAfter w:val="1"/>
          <w:wAfter w:w="13" w:type="dxa"/>
          <w:cantSplit/>
          <w:tblHeader/>
          <w:jc w:val="center"/>
        </w:trPr>
        <w:tc>
          <w:tcPr>
            <w:tcW w:w="2864" w:type="dxa"/>
            <w:shd w:val="clear" w:color="auto" w:fill="auto"/>
            <w:noWrap/>
          </w:tcPr>
          <w:p w14:paraId="4A1AAF76" w14:textId="77777777" w:rsidR="006C269A" w:rsidRPr="00F25F0C" w:rsidRDefault="006C269A" w:rsidP="00AB05FB">
            <w:pPr>
              <w:pStyle w:val="BStabletextbold"/>
              <w:rPr>
                <w:rFonts w:eastAsia="SimSun"/>
              </w:rPr>
            </w:pPr>
            <w:r w:rsidRPr="00B56605">
              <w:t xml:space="preserve">Opening </w:t>
            </w:r>
            <w:r>
              <w:t>e</w:t>
            </w:r>
            <w:r w:rsidRPr="00B56605">
              <w:t>quity</w:t>
            </w:r>
          </w:p>
        </w:tc>
        <w:tc>
          <w:tcPr>
            <w:tcW w:w="1070" w:type="dxa"/>
            <w:shd w:val="clear" w:color="auto" w:fill="auto"/>
          </w:tcPr>
          <w:p w14:paraId="7CCA1B2E" w14:textId="77777777" w:rsidR="006C269A" w:rsidRDefault="006C269A" w:rsidP="00AB05FB">
            <w:pPr>
              <w:pStyle w:val="Btablefigureunbold"/>
            </w:pPr>
            <w:r w:rsidRPr="00063EE9">
              <w:rPr>
                <w:highlight w:val="yellow"/>
              </w:rPr>
              <w:t xml:space="preserve"> </w:t>
            </w:r>
          </w:p>
        </w:tc>
        <w:tc>
          <w:tcPr>
            <w:tcW w:w="1070" w:type="dxa"/>
            <w:shd w:val="clear" w:color="auto" w:fill="auto"/>
            <w:noWrap/>
          </w:tcPr>
          <w:p w14:paraId="7081A154" w14:textId="77777777" w:rsidR="006C269A" w:rsidRPr="006D5D15" w:rsidRDefault="006C269A" w:rsidP="00AB05FB">
            <w:pPr>
              <w:pStyle w:val="Btablefigureunbold"/>
            </w:pPr>
            <w:r w:rsidRPr="00063EE9">
              <w:rPr>
                <w:highlight w:val="yellow"/>
              </w:rPr>
              <w:t xml:space="preserve"> </w:t>
            </w:r>
          </w:p>
        </w:tc>
        <w:tc>
          <w:tcPr>
            <w:tcW w:w="1070" w:type="dxa"/>
            <w:shd w:val="clear" w:color="auto" w:fill="auto"/>
            <w:noWrap/>
          </w:tcPr>
          <w:p w14:paraId="381709D4" w14:textId="77777777" w:rsidR="006C269A" w:rsidRPr="006D5D15" w:rsidRDefault="006C269A" w:rsidP="00AB05FB">
            <w:pPr>
              <w:pStyle w:val="Btablefigureunbold"/>
            </w:pPr>
            <w:r w:rsidRPr="00063EE9">
              <w:rPr>
                <w:highlight w:val="yellow"/>
              </w:rPr>
              <w:t xml:space="preserve"> </w:t>
            </w:r>
          </w:p>
        </w:tc>
        <w:tc>
          <w:tcPr>
            <w:tcW w:w="1070" w:type="dxa"/>
            <w:shd w:val="clear" w:color="auto" w:fill="auto"/>
            <w:noWrap/>
          </w:tcPr>
          <w:p w14:paraId="66E0DCA9" w14:textId="77777777" w:rsidR="006C269A" w:rsidRPr="006D5D15" w:rsidRDefault="006C269A" w:rsidP="00AB05FB">
            <w:pPr>
              <w:pStyle w:val="Btablefigureunbold"/>
            </w:pPr>
            <w:r w:rsidRPr="00063EE9">
              <w:rPr>
                <w:highlight w:val="yellow"/>
              </w:rPr>
              <w:t xml:space="preserve"> </w:t>
            </w:r>
          </w:p>
        </w:tc>
        <w:tc>
          <w:tcPr>
            <w:tcW w:w="1070" w:type="dxa"/>
            <w:shd w:val="clear" w:color="auto" w:fill="auto"/>
            <w:noWrap/>
          </w:tcPr>
          <w:p w14:paraId="5B7E26A5" w14:textId="77777777" w:rsidR="006C269A" w:rsidRPr="006D5D15" w:rsidRDefault="006C269A" w:rsidP="00AB05FB">
            <w:pPr>
              <w:pStyle w:val="Btablefigureunbold"/>
            </w:pPr>
            <w:r w:rsidRPr="00063EE9">
              <w:rPr>
                <w:highlight w:val="yellow"/>
              </w:rPr>
              <w:t xml:space="preserve"> </w:t>
            </w:r>
          </w:p>
        </w:tc>
        <w:tc>
          <w:tcPr>
            <w:tcW w:w="1068" w:type="dxa"/>
            <w:shd w:val="clear" w:color="auto" w:fill="auto"/>
            <w:noWrap/>
          </w:tcPr>
          <w:p w14:paraId="119D6D53" w14:textId="77777777" w:rsidR="006C269A" w:rsidRPr="006D5D15" w:rsidRDefault="006C269A" w:rsidP="00AB05FB">
            <w:pPr>
              <w:pStyle w:val="Btablefigureunbold"/>
            </w:pPr>
            <w:r w:rsidRPr="00063EE9">
              <w:rPr>
                <w:highlight w:val="yellow"/>
              </w:rPr>
              <w:t xml:space="preserve"> </w:t>
            </w:r>
          </w:p>
        </w:tc>
      </w:tr>
      <w:tr w:rsidR="006C269A" w:rsidRPr="006D5D15" w14:paraId="5DDC945C" w14:textId="77777777" w:rsidTr="00AB05FB">
        <w:trPr>
          <w:gridAfter w:val="1"/>
          <w:wAfter w:w="13" w:type="dxa"/>
          <w:cantSplit/>
          <w:tblHeader/>
          <w:jc w:val="center"/>
        </w:trPr>
        <w:tc>
          <w:tcPr>
            <w:tcW w:w="2864" w:type="dxa"/>
            <w:shd w:val="clear" w:color="auto" w:fill="auto"/>
            <w:noWrap/>
          </w:tcPr>
          <w:p w14:paraId="0E2AAE12" w14:textId="77777777" w:rsidR="006C269A" w:rsidRPr="00F25F0C" w:rsidRDefault="006C269A" w:rsidP="00AB05FB">
            <w:pPr>
              <w:pStyle w:val="BStabletext"/>
              <w:rPr>
                <w:rFonts w:eastAsia="SimSun"/>
              </w:rPr>
            </w:pPr>
            <w:r w:rsidRPr="00B56605">
              <w:t xml:space="preserve">Opening </w:t>
            </w:r>
            <w:r>
              <w:t>a</w:t>
            </w:r>
            <w:r w:rsidRPr="00B56605">
              <w:t xml:space="preserve">ccumulated </w:t>
            </w:r>
            <w:r>
              <w:t>f</w:t>
            </w:r>
            <w:r w:rsidRPr="00B56605">
              <w:t>unds</w:t>
            </w:r>
          </w:p>
        </w:tc>
        <w:tc>
          <w:tcPr>
            <w:tcW w:w="1070" w:type="dxa"/>
            <w:shd w:val="clear" w:color="auto" w:fill="auto"/>
          </w:tcPr>
          <w:p w14:paraId="1664A3BC" w14:textId="77777777" w:rsidR="006C269A" w:rsidRPr="00FC02A8" w:rsidRDefault="006C269A" w:rsidP="00AB05FB">
            <w:pPr>
              <w:pStyle w:val="Btablefigureunbold"/>
            </w:pPr>
            <w:r w:rsidRPr="00FC02A8">
              <w:t>3,279,392</w:t>
            </w:r>
          </w:p>
        </w:tc>
        <w:tc>
          <w:tcPr>
            <w:tcW w:w="1070" w:type="dxa"/>
            <w:shd w:val="clear" w:color="auto" w:fill="auto"/>
            <w:noWrap/>
          </w:tcPr>
          <w:p w14:paraId="2DEA29CE" w14:textId="77777777" w:rsidR="006C269A" w:rsidRPr="00FC02A8" w:rsidRDefault="006C269A" w:rsidP="00AB05FB">
            <w:pPr>
              <w:pStyle w:val="Btablefigureunbold"/>
            </w:pPr>
            <w:r w:rsidRPr="00FC02A8">
              <w:t>3,279,392</w:t>
            </w:r>
          </w:p>
        </w:tc>
        <w:tc>
          <w:tcPr>
            <w:tcW w:w="1070" w:type="dxa"/>
            <w:shd w:val="clear" w:color="auto" w:fill="auto"/>
            <w:noWrap/>
            <w:vAlign w:val="bottom"/>
          </w:tcPr>
          <w:p w14:paraId="0B529AC2" w14:textId="77777777" w:rsidR="006C269A" w:rsidRPr="00FC02A8" w:rsidRDefault="006C269A" w:rsidP="00AB05FB">
            <w:pPr>
              <w:pStyle w:val="Btablefigureunbold"/>
            </w:pPr>
            <w:r w:rsidRPr="00FC02A8">
              <w:t>3,435,095</w:t>
            </w:r>
          </w:p>
        </w:tc>
        <w:tc>
          <w:tcPr>
            <w:tcW w:w="1070" w:type="dxa"/>
            <w:shd w:val="clear" w:color="auto" w:fill="auto"/>
            <w:noWrap/>
            <w:vAlign w:val="bottom"/>
          </w:tcPr>
          <w:p w14:paraId="7B07AC8F" w14:textId="77777777" w:rsidR="006C269A" w:rsidRPr="00FC02A8" w:rsidRDefault="006C269A" w:rsidP="00AB05FB">
            <w:pPr>
              <w:pStyle w:val="Btablefigureunbold"/>
            </w:pPr>
            <w:r w:rsidRPr="00FC02A8">
              <w:t>3,499,246</w:t>
            </w:r>
          </w:p>
        </w:tc>
        <w:tc>
          <w:tcPr>
            <w:tcW w:w="1070" w:type="dxa"/>
            <w:shd w:val="clear" w:color="auto" w:fill="auto"/>
            <w:noWrap/>
            <w:vAlign w:val="bottom"/>
          </w:tcPr>
          <w:p w14:paraId="7073F0F8" w14:textId="77777777" w:rsidR="006C269A" w:rsidRPr="00FC02A8" w:rsidRDefault="006C269A" w:rsidP="00AB05FB">
            <w:pPr>
              <w:pStyle w:val="Btablefigureunbold"/>
            </w:pPr>
            <w:r w:rsidRPr="00FC02A8">
              <w:t>3,513,734</w:t>
            </w:r>
          </w:p>
        </w:tc>
        <w:tc>
          <w:tcPr>
            <w:tcW w:w="1068" w:type="dxa"/>
            <w:shd w:val="clear" w:color="auto" w:fill="auto"/>
            <w:noWrap/>
            <w:vAlign w:val="bottom"/>
          </w:tcPr>
          <w:p w14:paraId="2AF04039" w14:textId="77777777" w:rsidR="006C269A" w:rsidRPr="00FC02A8" w:rsidRDefault="006C269A" w:rsidP="00AB05FB">
            <w:pPr>
              <w:pStyle w:val="Btablefigureunbold"/>
            </w:pPr>
            <w:r w:rsidRPr="00FC02A8">
              <w:t>3,501,535</w:t>
            </w:r>
          </w:p>
        </w:tc>
      </w:tr>
      <w:tr w:rsidR="006C269A" w:rsidRPr="006D5D15" w14:paraId="0354BF0D" w14:textId="77777777" w:rsidTr="00AB05FB">
        <w:trPr>
          <w:gridAfter w:val="1"/>
          <w:wAfter w:w="13" w:type="dxa"/>
          <w:cantSplit/>
          <w:tblHeader/>
          <w:jc w:val="center"/>
        </w:trPr>
        <w:tc>
          <w:tcPr>
            <w:tcW w:w="2864" w:type="dxa"/>
            <w:shd w:val="clear" w:color="auto" w:fill="auto"/>
            <w:noWrap/>
          </w:tcPr>
          <w:p w14:paraId="72347C76" w14:textId="77777777" w:rsidR="006C269A" w:rsidRPr="00F25F0C" w:rsidRDefault="006C269A" w:rsidP="00AB05FB">
            <w:pPr>
              <w:pStyle w:val="BStabletext"/>
              <w:rPr>
                <w:rFonts w:eastAsia="SimSun"/>
              </w:rPr>
            </w:pPr>
            <w:r w:rsidRPr="00B56605">
              <w:t>Opening</w:t>
            </w:r>
            <w:r>
              <w:t xml:space="preserve"> a</w:t>
            </w:r>
            <w:r w:rsidRPr="00B56605">
              <w:t xml:space="preserve">sset </w:t>
            </w:r>
            <w:r>
              <w:t>r</w:t>
            </w:r>
            <w:r w:rsidRPr="00B56605">
              <w:t xml:space="preserve">evaluation </w:t>
            </w:r>
            <w:r>
              <w:t>s</w:t>
            </w:r>
            <w:r w:rsidRPr="00B56605">
              <w:t>urplus</w:t>
            </w:r>
          </w:p>
        </w:tc>
        <w:tc>
          <w:tcPr>
            <w:tcW w:w="1070" w:type="dxa"/>
            <w:shd w:val="clear" w:color="auto" w:fill="auto"/>
          </w:tcPr>
          <w:p w14:paraId="6297C269" w14:textId="77777777" w:rsidR="006C269A" w:rsidRPr="00FC02A8" w:rsidRDefault="006C269A" w:rsidP="00AB05FB">
            <w:pPr>
              <w:pStyle w:val="Btablefigureunbold"/>
            </w:pPr>
            <w:r w:rsidRPr="00FC02A8">
              <w:t>4,343,600</w:t>
            </w:r>
          </w:p>
        </w:tc>
        <w:tc>
          <w:tcPr>
            <w:tcW w:w="1070" w:type="dxa"/>
            <w:shd w:val="clear" w:color="auto" w:fill="auto"/>
            <w:noWrap/>
          </w:tcPr>
          <w:p w14:paraId="730A269C" w14:textId="77777777" w:rsidR="006C269A" w:rsidRPr="00FC02A8" w:rsidRDefault="006C269A" w:rsidP="00AB05FB">
            <w:pPr>
              <w:pStyle w:val="Btablefigureunbold"/>
            </w:pPr>
            <w:r w:rsidRPr="00FC02A8">
              <w:t>4,343,600</w:t>
            </w:r>
          </w:p>
        </w:tc>
        <w:tc>
          <w:tcPr>
            <w:tcW w:w="1070" w:type="dxa"/>
            <w:shd w:val="clear" w:color="auto" w:fill="auto"/>
            <w:noWrap/>
            <w:vAlign w:val="bottom"/>
          </w:tcPr>
          <w:p w14:paraId="67782129" w14:textId="77777777" w:rsidR="006C269A" w:rsidRPr="00FC02A8" w:rsidRDefault="006C269A" w:rsidP="00AB05FB">
            <w:pPr>
              <w:pStyle w:val="Btablefigureunbold"/>
            </w:pPr>
            <w:r w:rsidRPr="00FC02A8">
              <w:t>5,439,866</w:t>
            </w:r>
          </w:p>
        </w:tc>
        <w:tc>
          <w:tcPr>
            <w:tcW w:w="1070" w:type="dxa"/>
            <w:shd w:val="clear" w:color="auto" w:fill="auto"/>
            <w:noWrap/>
            <w:vAlign w:val="bottom"/>
          </w:tcPr>
          <w:p w14:paraId="069D10B8" w14:textId="77777777" w:rsidR="006C269A" w:rsidRPr="00FC02A8" w:rsidRDefault="006C269A" w:rsidP="00AB05FB">
            <w:pPr>
              <w:pStyle w:val="Btablefigureunbold"/>
            </w:pPr>
            <w:r w:rsidRPr="00FC02A8">
              <w:t>5,521,361</w:t>
            </w:r>
          </w:p>
        </w:tc>
        <w:tc>
          <w:tcPr>
            <w:tcW w:w="1070" w:type="dxa"/>
            <w:shd w:val="clear" w:color="auto" w:fill="auto"/>
            <w:noWrap/>
            <w:vAlign w:val="bottom"/>
          </w:tcPr>
          <w:p w14:paraId="529708C2" w14:textId="77777777" w:rsidR="006C269A" w:rsidRPr="00FC02A8" w:rsidRDefault="006C269A" w:rsidP="00AB05FB">
            <w:pPr>
              <w:pStyle w:val="Btablefigureunbold"/>
            </w:pPr>
            <w:r w:rsidRPr="00FC02A8">
              <w:t>5,500,642</w:t>
            </w:r>
          </w:p>
        </w:tc>
        <w:tc>
          <w:tcPr>
            <w:tcW w:w="1068" w:type="dxa"/>
            <w:shd w:val="clear" w:color="auto" w:fill="auto"/>
            <w:noWrap/>
            <w:vAlign w:val="bottom"/>
          </w:tcPr>
          <w:p w14:paraId="0737D0DF" w14:textId="77777777" w:rsidR="006C269A" w:rsidRPr="00FC02A8" w:rsidRDefault="006C269A" w:rsidP="00AB05FB">
            <w:pPr>
              <w:pStyle w:val="Btablefigureunbold"/>
            </w:pPr>
            <w:r w:rsidRPr="00FC02A8">
              <w:t>5,677,610</w:t>
            </w:r>
          </w:p>
        </w:tc>
      </w:tr>
      <w:tr w:rsidR="006C269A" w:rsidRPr="006D5D15" w14:paraId="7D5C6A6A" w14:textId="77777777" w:rsidTr="00AB05FB">
        <w:trPr>
          <w:gridAfter w:val="1"/>
          <w:wAfter w:w="13" w:type="dxa"/>
          <w:cantSplit/>
          <w:tblHeader/>
          <w:jc w:val="center"/>
        </w:trPr>
        <w:tc>
          <w:tcPr>
            <w:tcW w:w="2864" w:type="dxa"/>
            <w:shd w:val="clear" w:color="auto" w:fill="auto"/>
            <w:noWrap/>
          </w:tcPr>
          <w:p w14:paraId="65320680" w14:textId="77777777" w:rsidR="006C269A" w:rsidRPr="00F25F0C" w:rsidRDefault="006C269A" w:rsidP="00AB05FB">
            <w:pPr>
              <w:pStyle w:val="BStabletextbold"/>
              <w:rPr>
                <w:rFonts w:eastAsia="SimSun"/>
              </w:rPr>
            </w:pPr>
            <w:r w:rsidRPr="00B56605">
              <w:t xml:space="preserve">Opening </w:t>
            </w:r>
            <w:r>
              <w:t>b</w:t>
            </w:r>
            <w:r w:rsidRPr="00B56605">
              <w:t>alance</w:t>
            </w:r>
          </w:p>
        </w:tc>
        <w:tc>
          <w:tcPr>
            <w:tcW w:w="1070" w:type="dxa"/>
            <w:shd w:val="clear" w:color="auto" w:fill="auto"/>
          </w:tcPr>
          <w:p w14:paraId="4B303FDB" w14:textId="77777777" w:rsidR="006C269A" w:rsidRPr="00FC02A8" w:rsidRDefault="006C269A" w:rsidP="00AB05FB">
            <w:pPr>
              <w:pStyle w:val="BTablefigureBold"/>
            </w:pPr>
            <w:r w:rsidRPr="00FC02A8">
              <w:t>7,622,993</w:t>
            </w:r>
          </w:p>
        </w:tc>
        <w:tc>
          <w:tcPr>
            <w:tcW w:w="1070" w:type="dxa"/>
            <w:shd w:val="clear" w:color="auto" w:fill="auto"/>
            <w:noWrap/>
          </w:tcPr>
          <w:p w14:paraId="150E9FDC" w14:textId="77777777" w:rsidR="006C269A" w:rsidRPr="00FC02A8" w:rsidRDefault="006C269A" w:rsidP="00AB05FB">
            <w:pPr>
              <w:pStyle w:val="BTablefigureBold"/>
            </w:pPr>
            <w:r w:rsidRPr="00FC02A8">
              <w:t>7,622,993</w:t>
            </w:r>
          </w:p>
        </w:tc>
        <w:tc>
          <w:tcPr>
            <w:tcW w:w="1070" w:type="dxa"/>
            <w:shd w:val="clear" w:color="auto" w:fill="auto"/>
            <w:noWrap/>
            <w:vAlign w:val="bottom"/>
          </w:tcPr>
          <w:p w14:paraId="6D177297" w14:textId="77777777" w:rsidR="006C269A" w:rsidRPr="00FC02A8" w:rsidRDefault="006C269A" w:rsidP="00AB05FB">
            <w:pPr>
              <w:pStyle w:val="BTablefigureBold"/>
            </w:pPr>
            <w:r w:rsidRPr="00FC02A8">
              <w:t>8,874,961</w:t>
            </w:r>
          </w:p>
        </w:tc>
        <w:tc>
          <w:tcPr>
            <w:tcW w:w="1070" w:type="dxa"/>
            <w:shd w:val="clear" w:color="auto" w:fill="auto"/>
            <w:noWrap/>
            <w:vAlign w:val="bottom"/>
          </w:tcPr>
          <w:p w14:paraId="3794097C" w14:textId="77777777" w:rsidR="006C269A" w:rsidRPr="00FC02A8" w:rsidRDefault="006C269A" w:rsidP="00AB05FB">
            <w:pPr>
              <w:pStyle w:val="BTablefigureBold"/>
            </w:pPr>
            <w:r w:rsidRPr="00FC02A8">
              <w:t>9,020,607</w:t>
            </w:r>
          </w:p>
        </w:tc>
        <w:tc>
          <w:tcPr>
            <w:tcW w:w="1070" w:type="dxa"/>
            <w:shd w:val="clear" w:color="auto" w:fill="auto"/>
            <w:noWrap/>
            <w:vAlign w:val="bottom"/>
          </w:tcPr>
          <w:p w14:paraId="453CB2FD" w14:textId="77777777" w:rsidR="006C269A" w:rsidRPr="00FC02A8" w:rsidRDefault="006C269A" w:rsidP="00AB05FB">
            <w:pPr>
              <w:pStyle w:val="BTablefigureBold"/>
            </w:pPr>
            <w:r w:rsidRPr="00FC02A8">
              <w:t>9,014,376</w:t>
            </w:r>
          </w:p>
        </w:tc>
        <w:tc>
          <w:tcPr>
            <w:tcW w:w="1068" w:type="dxa"/>
            <w:shd w:val="clear" w:color="auto" w:fill="auto"/>
            <w:noWrap/>
            <w:vAlign w:val="bottom"/>
          </w:tcPr>
          <w:p w14:paraId="44AB5EB0" w14:textId="77777777" w:rsidR="006C269A" w:rsidRPr="00FC02A8" w:rsidRDefault="006C269A" w:rsidP="00AB05FB">
            <w:pPr>
              <w:pStyle w:val="BTablefigureBold"/>
            </w:pPr>
            <w:r w:rsidRPr="00FC02A8">
              <w:t>9,179,145</w:t>
            </w:r>
          </w:p>
        </w:tc>
      </w:tr>
      <w:tr w:rsidR="006C269A" w:rsidRPr="006D5D15" w14:paraId="2BEB0E9C" w14:textId="77777777" w:rsidTr="00AB05FB">
        <w:trPr>
          <w:gridAfter w:val="1"/>
          <w:wAfter w:w="13" w:type="dxa"/>
          <w:cantSplit/>
          <w:tblHeader/>
          <w:jc w:val="center"/>
        </w:trPr>
        <w:tc>
          <w:tcPr>
            <w:tcW w:w="2864" w:type="dxa"/>
            <w:shd w:val="clear" w:color="auto" w:fill="auto"/>
            <w:noWrap/>
            <w:vAlign w:val="bottom"/>
          </w:tcPr>
          <w:p w14:paraId="5D6B5499" w14:textId="77777777" w:rsidR="006C269A" w:rsidRPr="00F25F0C" w:rsidRDefault="006C269A" w:rsidP="00AB05FB">
            <w:pPr>
              <w:pStyle w:val="BStabletextbold"/>
              <w:rPr>
                <w:rFonts w:eastAsia="SimSun"/>
              </w:rPr>
            </w:pPr>
            <w:r w:rsidRPr="00B56605">
              <w:t xml:space="preserve">Comprehensive </w:t>
            </w:r>
            <w:r>
              <w:t>i</w:t>
            </w:r>
            <w:r w:rsidRPr="00B56605">
              <w:t>ncome</w:t>
            </w:r>
          </w:p>
        </w:tc>
        <w:tc>
          <w:tcPr>
            <w:tcW w:w="1070" w:type="dxa"/>
            <w:shd w:val="clear" w:color="auto" w:fill="auto"/>
          </w:tcPr>
          <w:p w14:paraId="79996797" w14:textId="77777777" w:rsidR="006C269A" w:rsidRDefault="006C269A" w:rsidP="00AB05FB">
            <w:pPr>
              <w:pStyle w:val="Btablefigureunbold"/>
            </w:pPr>
          </w:p>
        </w:tc>
        <w:tc>
          <w:tcPr>
            <w:tcW w:w="1070" w:type="dxa"/>
            <w:shd w:val="clear" w:color="auto" w:fill="auto"/>
            <w:noWrap/>
          </w:tcPr>
          <w:p w14:paraId="0D280F48" w14:textId="77777777" w:rsidR="006C269A" w:rsidRPr="006D5D15" w:rsidRDefault="006C269A" w:rsidP="00AB05FB">
            <w:pPr>
              <w:pStyle w:val="Btablefigureunbold"/>
            </w:pPr>
          </w:p>
        </w:tc>
        <w:tc>
          <w:tcPr>
            <w:tcW w:w="1070" w:type="dxa"/>
            <w:shd w:val="clear" w:color="auto" w:fill="auto"/>
            <w:noWrap/>
          </w:tcPr>
          <w:p w14:paraId="54DF07B5" w14:textId="77777777" w:rsidR="006C269A" w:rsidRPr="006D5D15" w:rsidRDefault="006C269A" w:rsidP="00AB05FB">
            <w:pPr>
              <w:pStyle w:val="Btablefigureunbold"/>
            </w:pPr>
          </w:p>
        </w:tc>
        <w:tc>
          <w:tcPr>
            <w:tcW w:w="1070" w:type="dxa"/>
            <w:shd w:val="clear" w:color="auto" w:fill="auto"/>
            <w:noWrap/>
          </w:tcPr>
          <w:p w14:paraId="0B37A0B2" w14:textId="77777777" w:rsidR="006C269A" w:rsidRPr="006D5D15" w:rsidRDefault="006C269A" w:rsidP="00AB05FB">
            <w:pPr>
              <w:pStyle w:val="Btablefigureunbold"/>
            </w:pPr>
          </w:p>
        </w:tc>
        <w:tc>
          <w:tcPr>
            <w:tcW w:w="1070" w:type="dxa"/>
            <w:shd w:val="clear" w:color="auto" w:fill="auto"/>
            <w:noWrap/>
          </w:tcPr>
          <w:p w14:paraId="701C7C64" w14:textId="77777777" w:rsidR="006C269A" w:rsidRPr="006D5D15" w:rsidRDefault="006C269A" w:rsidP="00AB05FB">
            <w:pPr>
              <w:pStyle w:val="Btablefigureunbold"/>
            </w:pPr>
          </w:p>
        </w:tc>
        <w:tc>
          <w:tcPr>
            <w:tcW w:w="1068" w:type="dxa"/>
            <w:shd w:val="clear" w:color="auto" w:fill="auto"/>
            <w:noWrap/>
          </w:tcPr>
          <w:p w14:paraId="0FDCFD38" w14:textId="77777777" w:rsidR="006C269A" w:rsidRPr="006D5D15" w:rsidRDefault="006C269A" w:rsidP="00AB05FB">
            <w:pPr>
              <w:pStyle w:val="Btablefigureunbold"/>
            </w:pPr>
          </w:p>
        </w:tc>
      </w:tr>
      <w:tr w:rsidR="006C269A" w:rsidRPr="006D5D15" w14:paraId="45FE2FF6" w14:textId="77777777" w:rsidTr="00AB05FB">
        <w:trPr>
          <w:gridAfter w:val="1"/>
          <w:wAfter w:w="13" w:type="dxa"/>
          <w:cantSplit/>
          <w:tblHeader/>
          <w:jc w:val="center"/>
        </w:trPr>
        <w:tc>
          <w:tcPr>
            <w:tcW w:w="2864" w:type="dxa"/>
            <w:shd w:val="clear" w:color="auto" w:fill="auto"/>
            <w:noWrap/>
          </w:tcPr>
          <w:p w14:paraId="739C322A" w14:textId="77777777" w:rsidR="006C269A" w:rsidRPr="00931AF8" w:rsidRDefault="006C269A" w:rsidP="00AB05FB">
            <w:pPr>
              <w:pStyle w:val="BStabletext"/>
              <w:rPr>
                <w:rFonts w:eastAsia="SimSun"/>
                <w:i/>
                <w:iCs/>
              </w:rPr>
            </w:pPr>
            <w:r w:rsidRPr="00931AF8">
              <w:rPr>
                <w:i/>
                <w:iCs/>
              </w:rPr>
              <w:t>Included in accumulated funds:</w:t>
            </w:r>
          </w:p>
        </w:tc>
        <w:tc>
          <w:tcPr>
            <w:tcW w:w="1070" w:type="dxa"/>
            <w:shd w:val="clear" w:color="auto" w:fill="auto"/>
          </w:tcPr>
          <w:p w14:paraId="4A3D57A3" w14:textId="77777777" w:rsidR="006C269A" w:rsidRDefault="006C269A" w:rsidP="00AB05FB">
            <w:pPr>
              <w:pStyle w:val="Btablefigureunbold"/>
            </w:pPr>
          </w:p>
        </w:tc>
        <w:tc>
          <w:tcPr>
            <w:tcW w:w="1070" w:type="dxa"/>
            <w:shd w:val="clear" w:color="auto" w:fill="auto"/>
            <w:noWrap/>
          </w:tcPr>
          <w:p w14:paraId="2E57F516" w14:textId="77777777" w:rsidR="006C269A" w:rsidRPr="006D5D15" w:rsidRDefault="006C269A" w:rsidP="00AB05FB">
            <w:pPr>
              <w:pStyle w:val="Btablefigureunbold"/>
            </w:pPr>
          </w:p>
        </w:tc>
        <w:tc>
          <w:tcPr>
            <w:tcW w:w="1070" w:type="dxa"/>
            <w:shd w:val="clear" w:color="auto" w:fill="auto"/>
            <w:noWrap/>
          </w:tcPr>
          <w:p w14:paraId="7F6223E8" w14:textId="77777777" w:rsidR="006C269A" w:rsidRPr="006D5D15" w:rsidRDefault="006C269A" w:rsidP="00AB05FB">
            <w:pPr>
              <w:pStyle w:val="Btablefigureunbold"/>
            </w:pPr>
          </w:p>
        </w:tc>
        <w:tc>
          <w:tcPr>
            <w:tcW w:w="1070" w:type="dxa"/>
            <w:shd w:val="clear" w:color="auto" w:fill="auto"/>
            <w:noWrap/>
          </w:tcPr>
          <w:p w14:paraId="73087017" w14:textId="77777777" w:rsidR="006C269A" w:rsidRPr="006D5D15" w:rsidRDefault="006C269A" w:rsidP="00AB05FB">
            <w:pPr>
              <w:pStyle w:val="Btablefigureunbold"/>
            </w:pPr>
          </w:p>
        </w:tc>
        <w:tc>
          <w:tcPr>
            <w:tcW w:w="1070" w:type="dxa"/>
            <w:shd w:val="clear" w:color="auto" w:fill="auto"/>
            <w:noWrap/>
          </w:tcPr>
          <w:p w14:paraId="25C12974" w14:textId="77777777" w:rsidR="006C269A" w:rsidRPr="006D5D15" w:rsidRDefault="006C269A" w:rsidP="00AB05FB">
            <w:pPr>
              <w:pStyle w:val="Btablefigureunbold"/>
            </w:pPr>
          </w:p>
        </w:tc>
        <w:tc>
          <w:tcPr>
            <w:tcW w:w="1068" w:type="dxa"/>
            <w:shd w:val="clear" w:color="auto" w:fill="auto"/>
            <w:noWrap/>
          </w:tcPr>
          <w:p w14:paraId="7E600DCB" w14:textId="77777777" w:rsidR="006C269A" w:rsidRPr="006D5D15" w:rsidRDefault="006C269A" w:rsidP="00AB05FB">
            <w:pPr>
              <w:pStyle w:val="Btablefigureunbold"/>
            </w:pPr>
          </w:p>
        </w:tc>
      </w:tr>
      <w:tr w:rsidR="006C269A" w:rsidRPr="006D5D15" w14:paraId="3AFF5760" w14:textId="77777777" w:rsidTr="00AB05FB">
        <w:trPr>
          <w:gridAfter w:val="1"/>
          <w:wAfter w:w="13" w:type="dxa"/>
          <w:cantSplit/>
          <w:tblHeader/>
          <w:jc w:val="center"/>
        </w:trPr>
        <w:tc>
          <w:tcPr>
            <w:tcW w:w="2864" w:type="dxa"/>
            <w:shd w:val="clear" w:color="auto" w:fill="auto"/>
            <w:noWrap/>
          </w:tcPr>
          <w:p w14:paraId="4382DD17" w14:textId="77777777" w:rsidR="006C269A" w:rsidRPr="00F25F0C" w:rsidRDefault="006C269A" w:rsidP="00AB05FB">
            <w:pPr>
              <w:pStyle w:val="BStabletext"/>
              <w:rPr>
                <w:rFonts w:eastAsia="SimSun"/>
              </w:rPr>
            </w:pPr>
            <w:r w:rsidRPr="0083261C">
              <w:rPr>
                <w:iCs/>
              </w:rPr>
              <w:t>Operating result for the period</w:t>
            </w:r>
          </w:p>
        </w:tc>
        <w:tc>
          <w:tcPr>
            <w:tcW w:w="1070" w:type="dxa"/>
            <w:shd w:val="clear" w:color="auto" w:fill="auto"/>
          </w:tcPr>
          <w:p w14:paraId="0E688457" w14:textId="77777777" w:rsidR="006C269A" w:rsidRPr="0095558A" w:rsidRDefault="006C269A" w:rsidP="00AB05FB">
            <w:pPr>
              <w:pStyle w:val="Btablefigureunbold"/>
            </w:pPr>
            <w:r w:rsidRPr="0095558A">
              <w:t>266,244</w:t>
            </w:r>
          </w:p>
        </w:tc>
        <w:tc>
          <w:tcPr>
            <w:tcW w:w="1070" w:type="dxa"/>
            <w:shd w:val="clear" w:color="auto" w:fill="auto"/>
            <w:noWrap/>
          </w:tcPr>
          <w:p w14:paraId="5AA9ADEF" w14:textId="77777777" w:rsidR="006C269A" w:rsidRPr="0095558A" w:rsidRDefault="006C269A" w:rsidP="00AB05FB">
            <w:pPr>
              <w:pStyle w:val="Btablefigureunbold"/>
            </w:pPr>
            <w:r w:rsidRPr="0095558A">
              <w:t>259,488</w:t>
            </w:r>
          </w:p>
        </w:tc>
        <w:tc>
          <w:tcPr>
            <w:tcW w:w="1070" w:type="dxa"/>
            <w:shd w:val="clear" w:color="auto" w:fill="auto"/>
            <w:noWrap/>
            <w:vAlign w:val="bottom"/>
          </w:tcPr>
          <w:p w14:paraId="3A8289BC" w14:textId="77777777" w:rsidR="006C269A" w:rsidRPr="0095558A" w:rsidRDefault="006C269A" w:rsidP="00AB05FB">
            <w:pPr>
              <w:pStyle w:val="Btablefigureunbold"/>
            </w:pPr>
            <w:r w:rsidRPr="0095558A">
              <w:t>48,914</w:t>
            </w:r>
          </w:p>
        </w:tc>
        <w:tc>
          <w:tcPr>
            <w:tcW w:w="1070" w:type="dxa"/>
            <w:shd w:val="clear" w:color="auto" w:fill="auto"/>
            <w:noWrap/>
            <w:vAlign w:val="bottom"/>
          </w:tcPr>
          <w:p w14:paraId="3CEAB7F4" w14:textId="77777777" w:rsidR="006C269A" w:rsidRPr="0095558A" w:rsidRDefault="006C269A" w:rsidP="00AB05FB">
            <w:pPr>
              <w:pStyle w:val="Btablefigureunbold"/>
            </w:pPr>
            <w:r w:rsidRPr="0095558A">
              <w:t>95,182</w:t>
            </w:r>
          </w:p>
        </w:tc>
        <w:tc>
          <w:tcPr>
            <w:tcW w:w="1070" w:type="dxa"/>
            <w:shd w:val="clear" w:color="auto" w:fill="auto"/>
            <w:noWrap/>
            <w:vAlign w:val="bottom"/>
          </w:tcPr>
          <w:p w14:paraId="139FF07F" w14:textId="77777777" w:rsidR="006C269A" w:rsidRPr="0095558A" w:rsidRDefault="006C269A" w:rsidP="00AB05FB">
            <w:pPr>
              <w:pStyle w:val="Btablefigureunbold"/>
            </w:pPr>
            <w:r>
              <w:t>-</w:t>
            </w:r>
            <w:r w:rsidRPr="0095558A">
              <w:t>12,105</w:t>
            </w:r>
          </w:p>
        </w:tc>
        <w:tc>
          <w:tcPr>
            <w:tcW w:w="1068" w:type="dxa"/>
            <w:shd w:val="clear" w:color="auto" w:fill="auto"/>
            <w:noWrap/>
            <w:vAlign w:val="bottom"/>
          </w:tcPr>
          <w:p w14:paraId="79D9FE57" w14:textId="77777777" w:rsidR="006C269A" w:rsidRPr="0095558A" w:rsidRDefault="006C269A" w:rsidP="00AB05FB">
            <w:pPr>
              <w:pStyle w:val="Btablefigureunbold"/>
            </w:pPr>
            <w:r w:rsidRPr="0095558A">
              <w:t>70,228</w:t>
            </w:r>
          </w:p>
        </w:tc>
      </w:tr>
      <w:tr w:rsidR="006C269A" w:rsidRPr="006D5D15" w14:paraId="715CCD00" w14:textId="77777777" w:rsidTr="00AB05FB">
        <w:trPr>
          <w:gridAfter w:val="1"/>
          <w:wAfter w:w="13" w:type="dxa"/>
          <w:cantSplit/>
          <w:tblHeader/>
          <w:jc w:val="center"/>
        </w:trPr>
        <w:tc>
          <w:tcPr>
            <w:tcW w:w="2864" w:type="dxa"/>
            <w:shd w:val="clear" w:color="auto" w:fill="auto"/>
            <w:noWrap/>
          </w:tcPr>
          <w:p w14:paraId="70C7DCCE" w14:textId="77777777" w:rsidR="006C269A" w:rsidRPr="00F25F0C" w:rsidRDefault="006C269A" w:rsidP="00AB05FB">
            <w:pPr>
              <w:pStyle w:val="BStabletext"/>
              <w:rPr>
                <w:rFonts w:eastAsia="SimSun"/>
              </w:rPr>
            </w:pPr>
            <w:r w:rsidRPr="0083261C">
              <w:rPr>
                <w:iCs/>
              </w:rPr>
              <w:t>Other movements</w:t>
            </w:r>
          </w:p>
        </w:tc>
        <w:tc>
          <w:tcPr>
            <w:tcW w:w="1070" w:type="dxa"/>
            <w:shd w:val="clear" w:color="auto" w:fill="auto"/>
          </w:tcPr>
          <w:p w14:paraId="3E6ED05C" w14:textId="77777777" w:rsidR="006C269A" w:rsidRPr="0095558A" w:rsidRDefault="006C269A" w:rsidP="00AB05FB">
            <w:pPr>
              <w:pStyle w:val="Btablefigureunbold"/>
            </w:pPr>
            <w:r w:rsidRPr="0095558A">
              <w:t>0</w:t>
            </w:r>
          </w:p>
        </w:tc>
        <w:tc>
          <w:tcPr>
            <w:tcW w:w="1070" w:type="dxa"/>
            <w:shd w:val="clear" w:color="auto" w:fill="auto"/>
            <w:noWrap/>
          </w:tcPr>
          <w:p w14:paraId="3C3C2746" w14:textId="77777777" w:rsidR="006C269A" w:rsidRPr="0095558A" w:rsidRDefault="006C269A" w:rsidP="00AB05FB">
            <w:pPr>
              <w:pStyle w:val="Btablefigureunbold"/>
            </w:pPr>
            <w:r w:rsidRPr="0095558A">
              <w:t>4,476</w:t>
            </w:r>
          </w:p>
        </w:tc>
        <w:tc>
          <w:tcPr>
            <w:tcW w:w="1070" w:type="dxa"/>
            <w:shd w:val="clear" w:color="auto" w:fill="auto"/>
            <w:noWrap/>
            <w:vAlign w:val="bottom"/>
          </w:tcPr>
          <w:p w14:paraId="6ABB77B4" w14:textId="77777777" w:rsidR="006C269A" w:rsidRPr="0095558A" w:rsidRDefault="006C269A" w:rsidP="00AB05FB">
            <w:pPr>
              <w:pStyle w:val="Btablefigureunbold"/>
            </w:pPr>
            <w:r>
              <w:t>0</w:t>
            </w:r>
            <w:r w:rsidRPr="0095558A">
              <w:t xml:space="preserve">  </w:t>
            </w:r>
          </w:p>
        </w:tc>
        <w:tc>
          <w:tcPr>
            <w:tcW w:w="1070" w:type="dxa"/>
            <w:shd w:val="clear" w:color="auto" w:fill="auto"/>
            <w:noWrap/>
          </w:tcPr>
          <w:p w14:paraId="34EC14F9" w14:textId="77777777" w:rsidR="006C269A" w:rsidRPr="0095558A" w:rsidRDefault="006C269A" w:rsidP="00AB05FB">
            <w:pPr>
              <w:pStyle w:val="Btablefigureunbold"/>
            </w:pPr>
            <w:r w:rsidRPr="0095558A">
              <w:t>0</w:t>
            </w:r>
          </w:p>
        </w:tc>
        <w:tc>
          <w:tcPr>
            <w:tcW w:w="1070" w:type="dxa"/>
            <w:shd w:val="clear" w:color="auto" w:fill="auto"/>
            <w:noWrap/>
            <w:vAlign w:val="bottom"/>
          </w:tcPr>
          <w:p w14:paraId="5FED7377" w14:textId="77777777" w:rsidR="006C269A" w:rsidRPr="0095558A" w:rsidRDefault="006C269A" w:rsidP="00AB05FB">
            <w:pPr>
              <w:pStyle w:val="Btablefigureunbold"/>
            </w:pPr>
            <w:r>
              <w:t>0</w:t>
            </w:r>
          </w:p>
        </w:tc>
        <w:tc>
          <w:tcPr>
            <w:tcW w:w="1068" w:type="dxa"/>
            <w:shd w:val="clear" w:color="auto" w:fill="auto"/>
            <w:noWrap/>
            <w:vAlign w:val="bottom"/>
          </w:tcPr>
          <w:p w14:paraId="3373825C" w14:textId="77777777" w:rsidR="006C269A" w:rsidRPr="0095558A" w:rsidRDefault="006C269A" w:rsidP="00AB05FB">
            <w:pPr>
              <w:pStyle w:val="Btablefigureunbold"/>
            </w:pPr>
            <w:r>
              <w:t>0</w:t>
            </w:r>
          </w:p>
        </w:tc>
      </w:tr>
      <w:tr w:rsidR="006C269A" w:rsidRPr="0095558A" w14:paraId="4E503D5E" w14:textId="77777777" w:rsidTr="00AB05FB">
        <w:trPr>
          <w:gridAfter w:val="1"/>
          <w:wAfter w:w="13" w:type="dxa"/>
          <w:cantSplit/>
          <w:tblHeader/>
          <w:jc w:val="center"/>
        </w:trPr>
        <w:tc>
          <w:tcPr>
            <w:tcW w:w="2864" w:type="dxa"/>
            <w:shd w:val="clear" w:color="auto" w:fill="auto"/>
            <w:noWrap/>
          </w:tcPr>
          <w:p w14:paraId="10316114" w14:textId="77777777" w:rsidR="006C269A" w:rsidRPr="0095558A" w:rsidRDefault="006C269A" w:rsidP="00AB05FB">
            <w:pPr>
              <w:pStyle w:val="BStabletext"/>
              <w:rPr>
                <w:rFonts w:eastAsia="SimSun"/>
                <w:i/>
                <w:iCs/>
              </w:rPr>
            </w:pPr>
            <w:r w:rsidRPr="0095558A">
              <w:rPr>
                <w:i/>
                <w:iCs/>
                <w:lang w:val="en-US"/>
              </w:rPr>
              <w:t>I</w:t>
            </w:r>
            <w:r w:rsidRPr="0095558A">
              <w:rPr>
                <w:i/>
                <w:iCs/>
              </w:rPr>
              <w:t>ncluded in asset revaluation surplus:</w:t>
            </w:r>
          </w:p>
        </w:tc>
        <w:tc>
          <w:tcPr>
            <w:tcW w:w="1070" w:type="dxa"/>
            <w:shd w:val="clear" w:color="auto" w:fill="auto"/>
          </w:tcPr>
          <w:p w14:paraId="5165FB48" w14:textId="77777777" w:rsidR="006C269A" w:rsidRPr="0095558A" w:rsidRDefault="006C269A" w:rsidP="00AB05FB">
            <w:pPr>
              <w:pStyle w:val="Btablefigureunbold"/>
              <w:rPr>
                <w:i/>
                <w:iCs/>
              </w:rPr>
            </w:pPr>
          </w:p>
        </w:tc>
        <w:tc>
          <w:tcPr>
            <w:tcW w:w="1070" w:type="dxa"/>
            <w:shd w:val="clear" w:color="auto" w:fill="auto"/>
            <w:noWrap/>
          </w:tcPr>
          <w:p w14:paraId="5065C9C7" w14:textId="77777777" w:rsidR="006C269A" w:rsidRPr="0095558A" w:rsidRDefault="006C269A" w:rsidP="00AB05FB">
            <w:pPr>
              <w:pStyle w:val="Btablefigureunbold"/>
              <w:rPr>
                <w:i/>
                <w:iCs/>
              </w:rPr>
            </w:pPr>
          </w:p>
        </w:tc>
        <w:tc>
          <w:tcPr>
            <w:tcW w:w="1070" w:type="dxa"/>
            <w:shd w:val="clear" w:color="auto" w:fill="auto"/>
            <w:noWrap/>
            <w:vAlign w:val="bottom"/>
          </w:tcPr>
          <w:p w14:paraId="6BFAC237" w14:textId="77777777" w:rsidR="006C269A" w:rsidRPr="0095558A" w:rsidRDefault="006C269A" w:rsidP="00AB05FB">
            <w:pPr>
              <w:pStyle w:val="Btablefigureunbold"/>
              <w:rPr>
                <w:i/>
                <w:iCs/>
              </w:rPr>
            </w:pPr>
          </w:p>
        </w:tc>
        <w:tc>
          <w:tcPr>
            <w:tcW w:w="1070" w:type="dxa"/>
            <w:shd w:val="clear" w:color="auto" w:fill="auto"/>
            <w:noWrap/>
            <w:vAlign w:val="bottom"/>
          </w:tcPr>
          <w:p w14:paraId="0DF9998A" w14:textId="77777777" w:rsidR="006C269A" w:rsidRPr="0095558A" w:rsidRDefault="006C269A" w:rsidP="00AB05FB">
            <w:pPr>
              <w:pStyle w:val="Btablefigureunbold"/>
              <w:rPr>
                <w:i/>
                <w:iCs/>
              </w:rPr>
            </w:pPr>
          </w:p>
        </w:tc>
        <w:tc>
          <w:tcPr>
            <w:tcW w:w="1070" w:type="dxa"/>
            <w:shd w:val="clear" w:color="auto" w:fill="auto"/>
            <w:noWrap/>
            <w:vAlign w:val="bottom"/>
          </w:tcPr>
          <w:p w14:paraId="3B8409CA" w14:textId="77777777" w:rsidR="006C269A" w:rsidRPr="0095558A" w:rsidRDefault="006C269A" w:rsidP="00AB05FB">
            <w:pPr>
              <w:pStyle w:val="Btablefigureunbold"/>
              <w:rPr>
                <w:i/>
                <w:iCs/>
              </w:rPr>
            </w:pPr>
          </w:p>
        </w:tc>
        <w:tc>
          <w:tcPr>
            <w:tcW w:w="1068" w:type="dxa"/>
            <w:shd w:val="clear" w:color="auto" w:fill="auto"/>
            <w:noWrap/>
            <w:vAlign w:val="bottom"/>
          </w:tcPr>
          <w:p w14:paraId="53786F3C" w14:textId="77777777" w:rsidR="006C269A" w:rsidRPr="0095558A" w:rsidRDefault="006C269A" w:rsidP="00AB05FB">
            <w:pPr>
              <w:pStyle w:val="Btablefigureunbold"/>
              <w:rPr>
                <w:i/>
                <w:iCs/>
              </w:rPr>
            </w:pPr>
          </w:p>
        </w:tc>
      </w:tr>
      <w:tr w:rsidR="006C269A" w:rsidRPr="006D5D15" w14:paraId="7BD169B4" w14:textId="77777777" w:rsidTr="00AB05FB">
        <w:trPr>
          <w:gridAfter w:val="1"/>
          <w:wAfter w:w="13" w:type="dxa"/>
          <w:cantSplit/>
          <w:tblHeader/>
          <w:jc w:val="center"/>
        </w:trPr>
        <w:tc>
          <w:tcPr>
            <w:tcW w:w="2864" w:type="dxa"/>
            <w:shd w:val="clear" w:color="auto" w:fill="auto"/>
            <w:noWrap/>
          </w:tcPr>
          <w:p w14:paraId="774F208D" w14:textId="77777777" w:rsidR="006C269A" w:rsidRPr="00F25F0C" w:rsidRDefault="006C269A" w:rsidP="00AB05FB">
            <w:pPr>
              <w:pStyle w:val="BStabletext"/>
              <w:rPr>
                <w:rFonts w:eastAsia="SimSun"/>
              </w:rPr>
            </w:pPr>
            <w:r w:rsidRPr="00B56605">
              <w:t>Increase/(</w:t>
            </w:r>
            <w:r>
              <w:t>d</w:t>
            </w:r>
            <w:r w:rsidRPr="00B56605">
              <w:t xml:space="preserve">ecrease) in </w:t>
            </w:r>
            <w:r>
              <w:t>a</w:t>
            </w:r>
            <w:r w:rsidRPr="00B56605">
              <w:t xml:space="preserve">sset </w:t>
            </w:r>
            <w:r>
              <w:t>r</w:t>
            </w:r>
            <w:r w:rsidRPr="00B56605">
              <w:t xml:space="preserve">evaluation </w:t>
            </w:r>
            <w:r>
              <w:t>r</w:t>
            </w:r>
            <w:r w:rsidRPr="00B56605">
              <w:t xml:space="preserve">eserve </w:t>
            </w:r>
            <w:r>
              <w:t>s</w:t>
            </w:r>
            <w:r w:rsidRPr="00B56605">
              <w:t xml:space="preserve">urpluses due to </w:t>
            </w:r>
            <w:r>
              <w:t>r</w:t>
            </w:r>
            <w:r w:rsidRPr="00B56605">
              <w:t>evaluations</w:t>
            </w:r>
          </w:p>
        </w:tc>
        <w:tc>
          <w:tcPr>
            <w:tcW w:w="1070" w:type="dxa"/>
            <w:shd w:val="clear" w:color="auto" w:fill="auto"/>
          </w:tcPr>
          <w:p w14:paraId="31A0C685" w14:textId="77777777" w:rsidR="006C269A" w:rsidRPr="0095558A" w:rsidRDefault="006C269A" w:rsidP="00AB05FB">
            <w:pPr>
              <w:pStyle w:val="Btablefigureunbold"/>
            </w:pPr>
            <w:r w:rsidRPr="0095558A">
              <w:t>-49,095</w:t>
            </w:r>
          </w:p>
        </w:tc>
        <w:tc>
          <w:tcPr>
            <w:tcW w:w="1070" w:type="dxa"/>
            <w:shd w:val="clear" w:color="auto" w:fill="auto"/>
            <w:noWrap/>
          </w:tcPr>
          <w:p w14:paraId="7FECBB8C" w14:textId="77777777" w:rsidR="006C269A" w:rsidRPr="0095558A" w:rsidRDefault="006C269A" w:rsidP="00AB05FB">
            <w:pPr>
              <w:pStyle w:val="Btablefigureunbold"/>
            </w:pPr>
            <w:r w:rsidRPr="0095558A">
              <w:t>1,193,166</w:t>
            </w:r>
          </w:p>
        </w:tc>
        <w:tc>
          <w:tcPr>
            <w:tcW w:w="1070" w:type="dxa"/>
            <w:shd w:val="clear" w:color="auto" w:fill="auto"/>
            <w:noWrap/>
          </w:tcPr>
          <w:p w14:paraId="37E3E4E4" w14:textId="77777777" w:rsidR="006C269A" w:rsidRPr="0095558A" w:rsidRDefault="006C269A" w:rsidP="00AB05FB">
            <w:pPr>
              <w:pStyle w:val="Btablefigureunbold"/>
            </w:pPr>
            <w:r w:rsidRPr="0095558A">
              <w:t>103,495</w:t>
            </w:r>
          </w:p>
        </w:tc>
        <w:tc>
          <w:tcPr>
            <w:tcW w:w="1070" w:type="dxa"/>
            <w:shd w:val="clear" w:color="auto" w:fill="auto"/>
            <w:noWrap/>
          </w:tcPr>
          <w:p w14:paraId="3CD0E28F" w14:textId="77777777" w:rsidR="006C269A" w:rsidRPr="0095558A" w:rsidRDefault="006C269A" w:rsidP="00AB05FB">
            <w:pPr>
              <w:pStyle w:val="Btablefigureunbold"/>
            </w:pPr>
            <w:r w:rsidRPr="0095558A">
              <w:t>1,281</w:t>
            </w:r>
          </w:p>
        </w:tc>
        <w:tc>
          <w:tcPr>
            <w:tcW w:w="1070" w:type="dxa"/>
            <w:shd w:val="clear" w:color="auto" w:fill="auto"/>
            <w:noWrap/>
          </w:tcPr>
          <w:p w14:paraId="349058B9" w14:textId="77777777" w:rsidR="006C269A" w:rsidRPr="0095558A" w:rsidRDefault="006C269A" w:rsidP="00AB05FB">
            <w:pPr>
              <w:pStyle w:val="Btablefigureunbold"/>
            </w:pPr>
            <w:r w:rsidRPr="0095558A">
              <w:t>198,968</w:t>
            </w:r>
          </w:p>
        </w:tc>
        <w:tc>
          <w:tcPr>
            <w:tcW w:w="1068" w:type="dxa"/>
            <w:shd w:val="clear" w:color="auto" w:fill="auto"/>
            <w:noWrap/>
          </w:tcPr>
          <w:p w14:paraId="20A883B5" w14:textId="77777777" w:rsidR="006C269A" w:rsidRPr="0095558A" w:rsidRDefault="006C269A" w:rsidP="00AB05FB">
            <w:pPr>
              <w:pStyle w:val="Btablefigureunbold"/>
            </w:pPr>
            <w:r w:rsidRPr="0095558A">
              <w:t>51,306</w:t>
            </w:r>
          </w:p>
        </w:tc>
      </w:tr>
      <w:tr w:rsidR="006C269A" w:rsidRPr="006D5D15" w14:paraId="6270B2F8" w14:textId="77777777" w:rsidTr="00AB05FB">
        <w:trPr>
          <w:gridAfter w:val="1"/>
          <w:wAfter w:w="13" w:type="dxa"/>
          <w:cantSplit/>
          <w:tblHeader/>
          <w:jc w:val="center"/>
        </w:trPr>
        <w:tc>
          <w:tcPr>
            <w:tcW w:w="2864" w:type="dxa"/>
            <w:shd w:val="clear" w:color="auto" w:fill="auto"/>
            <w:noWrap/>
          </w:tcPr>
          <w:p w14:paraId="2BD10C03" w14:textId="77777777" w:rsidR="006C269A" w:rsidRPr="004629D6" w:rsidRDefault="006C269A" w:rsidP="00AB05FB">
            <w:pPr>
              <w:pStyle w:val="BStabletextbold"/>
            </w:pPr>
            <w:r w:rsidRPr="00B56605">
              <w:t xml:space="preserve">Total </w:t>
            </w:r>
            <w:r>
              <w:t>c</w:t>
            </w:r>
            <w:r w:rsidRPr="00B56605">
              <w:t xml:space="preserve">omprehensive </w:t>
            </w:r>
            <w:r>
              <w:t>i</w:t>
            </w:r>
            <w:r w:rsidRPr="00B56605">
              <w:t>ncome/(</w:t>
            </w:r>
            <w:r>
              <w:t>deficit</w:t>
            </w:r>
            <w:r w:rsidRPr="00B56605">
              <w:t>)</w:t>
            </w:r>
          </w:p>
        </w:tc>
        <w:tc>
          <w:tcPr>
            <w:tcW w:w="1070" w:type="dxa"/>
            <w:shd w:val="clear" w:color="auto" w:fill="auto"/>
          </w:tcPr>
          <w:p w14:paraId="0DC69F0B" w14:textId="77777777" w:rsidR="006C269A" w:rsidRPr="0095558A" w:rsidRDefault="006C269A" w:rsidP="00AB05FB">
            <w:pPr>
              <w:pStyle w:val="BTablefigureBold"/>
            </w:pPr>
            <w:r w:rsidRPr="0095558A">
              <w:t>217,149</w:t>
            </w:r>
          </w:p>
        </w:tc>
        <w:tc>
          <w:tcPr>
            <w:tcW w:w="1070" w:type="dxa"/>
            <w:shd w:val="clear" w:color="auto" w:fill="auto"/>
            <w:noWrap/>
          </w:tcPr>
          <w:p w14:paraId="17D01535" w14:textId="77777777" w:rsidR="006C269A" w:rsidRPr="0095558A" w:rsidRDefault="006C269A" w:rsidP="00AB05FB">
            <w:pPr>
              <w:pStyle w:val="BTablefigureBold"/>
            </w:pPr>
            <w:r w:rsidRPr="0095558A">
              <w:t>1,457,129</w:t>
            </w:r>
          </w:p>
        </w:tc>
        <w:tc>
          <w:tcPr>
            <w:tcW w:w="1070" w:type="dxa"/>
            <w:shd w:val="clear" w:color="auto" w:fill="auto"/>
            <w:noWrap/>
          </w:tcPr>
          <w:p w14:paraId="24CA4C2D" w14:textId="77777777" w:rsidR="006C269A" w:rsidRPr="0095558A" w:rsidRDefault="006C269A" w:rsidP="00AB05FB">
            <w:pPr>
              <w:pStyle w:val="BTablefigureBold"/>
            </w:pPr>
            <w:r w:rsidRPr="0095558A">
              <w:t>152,409</w:t>
            </w:r>
          </w:p>
        </w:tc>
        <w:tc>
          <w:tcPr>
            <w:tcW w:w="1070" w:type="dxa"/>
            <w:shd w:val="clear" w:color="auto" w:fill="auto"/>
            <w:noWrap/>
          </w:tcPr>
          <w:p w14:paraId="7FD91D7B" w14:textId="77777777" w:rsidR="006C269A" w:rsidRPr="0095558A" w:rsidRDefault="006C269A" w:rsidP="00AB05FB">
            <w:pPr>
              <w:pStyle w:val="BTablefigureBold"/>
            </w:pPr>
            <w:r w:rsidRPr="0095558A">
              <w:t>96,463</w:t>
            </w:r>
          </w:p>
        </w:tc>
        <w:tc>
          <w:tcPr>
            <w:tcW w:w="1070" w:type="dxa"/>
            <w:shd w:val="clear" w:color="auto" w:fill="auto"/>
            <w:noWrap/>
          </w:tcPr>
          <w:p w14:paraId="474CEE4C" w14:textId="77777777" w:rsidR="006C269A" w:rsidRPr="0095558A" w:rsidRDefault="006C269A" w:rsidP="00AB05FB">
            <w:pPr>
              <w:pStyle w:val="BTablefigureBold"/>
            </w:pPr>
            <w:r w:rsidRPr="0095558A">
              <w:t>186,863</w:t>
            </w:r>
          </w:p>
        </w:tc>
        <w:tc>
          <w:tcPr>
            <w:tcW w:w="1068" w:type="dxa"/>
            <w:shd w:val="clear" w:color="auto" w:fill="auto"/>
            <w:noWrap/>
          </w:tcPr>
          <w:p w14:paraId="6D5EA1C3" w14:textId="77777777" w:rsidR="006C269A" w:rsidRPr="0095558A" w:rsidRDefault="006C269A" w:rsidP="00AB05FB">
            <w:pPr>
              <w:pStyle w:val="BTablefigureBold"/>
            </w:pPr>
            <w:r w:rsidRPr="0095558A">
              <w:t>121,534</w:t>
            </w:r>
          </w:p>
        </w:tc>
      </w:tr>
      <w:tr w:rsidR="006C269A" w:rsidRPr="006D5D15" w14:paraId="3E98157A" w14:textId="77777777" w:rsidTr="00AB05FB">
        <w:trPr>
          <w:gridAfter w:val="1"/>
          <w:wAfter w:w="13" w:type="dxa"/>
          <w:cantSplit/>
          <w:tblHeader/>
          <w:jc w:val="center"/>
        </w:trPr>
        <w:tc>
          <w:tcPr>
            <w:tcW w:w="2864" w:type="dxa"/>
            <w:shd w:val="clear" w:color="auto" w:fill="auto"/>
            <w:noWrap/>
            <w:vAlign w:val="bottom"/>
          </w:tcPr>
          <w:p w14:paraId="188EBB1F" w14:textId="77777777" w:rsidR="006C269A" w:rsidRPr="004629D6" w:rsidRDefault="006C269A" w:rsidP="00AB05FB">
            <w:pPr>
              <w:pStyle w:val="BStabletextbold"/>
            </w:pPr>
            <w:r w:rsidRPr="00B56605">
              <w:t>Other</w:t>
            </w:r>
          </w:p>
        </w:tc>
        <w:tc>
          <w:tcPr>
            <w:tcW w:w="1070" w:type="dxa"/>
            <w:shd w:val="clear" w:color="auto" w:fill="auto"/>
          </w:tcPr>
          <w:p w14:paraId="36AD64BC" w14:textId="77777777" w:rsidR="006C269A" w:rsidRDefault="006C269A" w:rsidP="00AB05FB">
            <w:pPr>
              <w:pStyle w:val="Btablefigureunbold"/>
            </w:pPr>
          </w:p>
        </w:tc>
        <w:tc>
          <w:tcPr>
            <w:tcW w:w="1070" w:type="dxa"/>
            <w:shd w:val="clear" w:color="auto" w:fill="auto"/>
            <w:noWrap/>
          </w:tcPr>
          <w:p w14:paraId="34FE5D49" w14:textId="77777777" w:rsidR="006C269A" w:rsidRPr="006D5D15" w:rsidRDefault="006C269A" w:rsidP="00AB05FB">
            <w:pPr>
              <w:pStyle w:val="Btablefigureunbold"/>
            </w:pPr>
          </w:p>
        </w:tc>
        <w:tc>
          <w:tcPr>
            <w:tcW w:w="1070" w:type="dxa"/>
            <w:shd w:val="clear" w:color="auto" w:fill="auto"/>
            <w:noWrap/>
          </w:tcPr>
          <w:p w14:paraId="1D4D7CF5" w14:textId="77777777" w:rsidR="006C269A" w:rsidRPr="006D5D15" w:rsidRDefault="006C269A" w:rsidP="00AB05FB">
            <w:pPr>
              <w:pStyle w:val="Btablefigureunbold"/>
            </w:pPr>
          </w:p>
        </w:tc>
        <w:tc>
          <w:tcPr>
            <w:tcW w:w="1070" w:type="dxa"/>
            <w:shd w:val="clear" w:color="auto" w:fill="auto"/>
            <w:noWrap/>
          </w:tcPr>
          <w:p w14:paraId="40BF88C3" w14:textId="77777777" w:rsidR="006C269A" w:rsidRPr="006D5D15" w:rsidRDefault="006C269A" w:rsidP="00AB05FB">
            <w:pPr>
              <w:pStyle w:val="Btablefigureunbold"/>
            </w:pPr>
          </w:p>
        </w:tc>
        <w:tc>
          <w:tcPr>
            <w:tcW w:w="1070" w:type="dxa"/>
            <w:shd w:val="clear" w:color="auto" w:fill="auto"/>
            <w:noWrap/>
          </w:tcPr>
          <w:p w14:paraId="0EEE7ECE" w14:textId="77777777" w:rsidR="006C269A" w:rsidRPr="006D5D15" w:rsidRDefault="006C269A" w:rsidP="00AB05FB">
            <w:pPr>
              <w:pStyle w:val="Btablefigureunbold"/>
            </w:pPr>
          </w:p>
        </w:tc>
        <w:tc>
          <w:tcPr>
            <w:tcW w:w="1068" w:type="dxa"/>
            <w:shd w:val="clear" w:color="auto" w:fill="auto"/>
            <w:noWrap/>
          </w:tcPr>
          <w:p w14:paraId="6E834FC4" w14:textId="77777777" w:rsidR="006C269A" w:rsidRPr="006D5D15" w:rsidRDefault="006C269A" w:rsidP="00AB05FB">
            <w:pPr>
              <w:pStyle w:val="Btablefigureunbold"/>
            </w:pPr>
          </w:p>
        </w:tc>
      </w:tr>
      <w:tr w:rsidR="006C269A" w:rsidRPr="006D5D15" w14:paraId="17A40BC3" w14:textId="77777777" w:rsidTr="00AB05FB">
        <w:trPr>
          <w:gridAfter w:val="1"/>
          <w:wAfter w:w="13" w:type="dxa"/>
          <w:cantSplit/>
          <w:tblHeader/>
          <w:jc w:val="center"/>
        </w:trPr>
        <w:tc>
          <w:tcPr>
            <w:tcW w:w="2864" w:type="dxa"/>
            <w:shd w:val="clear" w:color="auto" w:fill="auto"/>
            <w:noWrap/>
          </w:tcPr>
          <w:p w14:paraId="6B7CCC26" w14:textId="77777777" w:rsidR="006C269A" w:rsidRPr="00F25F0C" w:rsidRDefault="006C269A" w:rsidP="00AB05FB">
            <w:pPr>
              <w:pStyle w:val="BStabletext"/>
              <w:rPr>
                <w:rFonts w:eastAsia="SimSun"/>
              </w:rPr>
            </w:pPr>
            <w:r w:rsidRPr="00B56605">
              <w:t xml:space="preserve">Transfer to/(from) </w:t>
            </w:r>
            <w:r>
              <w:t>a</w:t>
            </w:r>
            <w:r w:rsidRPr="00B56605">
              <w:t xml:space="preserve">ccumulated </w:t>
            </w:r>
            <w:r>
              <w:t>f</w:t>
            </w:r>
            <w:r w:rsidRPr="00B56605">
              <w:t>unds</w:t>
            </w:r>
          </w:p>
        </w:tc>
        <w:tc>
          <w:tcPr>
            <w:tcW w:w="1070" w:type="dxa"/>
            <w:shd w:val="clear" w:color="auto" w:fill="auto"/>
          </w:tcPr>
          <w:p w14:paraId="2DB0BE0C" w14:textId="77777777" w:rsidR="006C269A" w:rsidRPr="0095558A" w:rsidRDefault="006C269A" w:rsidP="00AB05FB">
            <w:pPr>
              <w:pStyle w:val="Btablefigureunbold"/>
            </w:pPr>
            <w:r w:rsidRPr="0095558A">
              <w:t>22,000</w:t>
            </w:r>
          </w:p>
        </w:tc>
        <w:tc>
          <w:tcPr>
            <w:tcW w:w="1070" w:type="dxa"/>
            <w:shd w:val="clear" w:color="auto" w:fill="auto"/>
            <w:noWrap/>
          </w:tcPr>
          <w:p w14:paraId="7077B018" w14:textId="77777777" w:rsidR="006C269A" w:rsidRPr="0095558A" w:rsidRDefault="006C269A" w:rsidP="00AB05FB">
            <w:pPr>
              <w:pStyle w:val="Btablefigureunbold"/>
            </w:pPr>
            <w:r w:rsidRPr="0095558A">
              <w:t>96,900</w:t>
            </w:r>
          </w:p>
        </w:tc>
        <w:tc>
          <w:tcPr>
            <w:tcW w:w="1070" w:type="dxa"/>
            <w:shd w:val="clear" w:color="auto" w:fill="auto"/>
            <w:noWrap/>
          </w:tcPr>
          <w:p w14:paraId="3AAB6B7A" w14:textId="77777777" w:rsidR="006C269A" w:rsidRPr="0095558A" w:rsidRDefault="006C269A" w:rsidP="00AB05FB">
            <w:pPr>
              <w:pStyle w:val="Btablefigureunbold"/>
            </w:pPr>
            <w:r w:rsidRPr="0095558A">
              <w:t>22,000</w:t>
            </w:r>
          </w:p>
        </w:tc>
        <w:tc>
          <w:tcPr>
            <w:tcW w:w="1070" w:type="dxa"/>
            <w:shd w:val="clear" w:color="auto" w:fill="auto"/>
            <w:noWrap/>
          </w:tcPr>
          <w:p w14:paraId="5D46EA61" w14:textId="77777777" w:rsidR="006C269A" w:rsidRPr="0095558A" w:rsidRDefault="006C269A" w:rsidP="00AB05FB">
            <w:pPr>
              <w:pStyle w:val="Btablefigureunbold"/>
            </w:pPr>
            <w:r w:rsidRPr="0095558A">
              <w:t>22,000</w:t>
            </w:r>
          </w:p>
        </w:tc>
        <w:tc>
          <w:tcPr>
            <w:tcW w:w="1070" w:type="dxa"/>
            <w:shd w:val="clear" w:color="auto" w:fill="auto"/>
            <w:noWrap/>
          </w:tcPr>
          <w:p w14:paraId="049A7AE3" w14:textId="77777777" w:rsidR="006C269A" w:rsidRPr="0095558A" w:rsidRDefault="006C269A" w:rsidP="00AB05FB">
            <w:pPr>
              <w:pStyle w:val="Btablefigureunbold"/>
            </w:pPr>
            <w:r w:rsidRPr="0095558A">
              <w:t>22,000</w:t>
            </w:r>
          </w:p>
        </w:tc>
        <w:tc>
          <w:tcPr>
            <w:tcW w:w="1068" w:type="dxa"/>
            <w:shd w:val="clear" w:color="auto" w:fill="auto"/>
            <w:noWrap/>
          </w:tcPr>
          <w:p w14:paraId="3568FC4E" w14:textId="77777777" w:rsidR="006C269A" w:rsidRPr="0095558A" w:rsidRDefault="006C269A" w:rsidP="00AB05FB">
            <w:pPr>
              <w:pStyle w:val="Btablefigureunbold"/>
            </w:pPr>
            <w:r w:rsidRPr="0095558A">
              <w:t>22,000</w:t>
            </w:r>
          </w:p>
        </w:tc>
      </w:tr>
      <w:tr w:rsidR="006C269A" w:rsidRPr="006D5D15" w14:paraId="1B703297" w14:textId="77777777" w:rsidTr="00AB05FB">
        <w:trPr>
          <w:gridAfter w:val="1"/>
          <w:wAfter w:w="13" w:type="dxa"/>
          <w:cantSplit/>
          <w:tblHeader/>
          <w:jc w:val="center"/>
        </w:trPr>
        <w:tc>
          <w:tcPr>
            <w:tcW w:w="2864" w:type="dxa"/>
            <w:shd w:val="clear" w:color="auto" w:fill="auto"/>
            <w:noWrap/>
          </w:tcPr>
          <w:p w14:paraId="0B640000" w14:textId="77777777" w:rsidR="006C269A" w:rsidRPr="00F25F0C" w:rsidRDefault="006C269A" w:rsidP="00AB05FB">
            <w:pPr>
              <w:pStyle w:val="BStabletext"/>
              <w:rPr>
                <w:rFonts w:eastAsia="SimSun"/>
              </w:rPr>
            </w:pPr>
            <w:r w:rsidRPr="00B56605">
              <w:t xml:space="preserve">Transfer to/(from) </w:t>
            </w:r>
            <w:r>
              <w:t>a</w:t>
            </w:r>
            <w:r w:rsidRPr="00B56605">
              <w:t xml:space="preserve">sset </w:t>
            </w:r>
            <w:r>
              <w:t>r</w:t>
            </w:r>
            <w:r w:rsidRPr="00B56605">
              <w:t xml:space="preserve">evaluation </w:t>
            </w:r>
            <w:r>
              <w:t>s</w:t>
            </w:r>
            <w:r w:rsidRPr="00B56605">
              <w:t>urplus</w:t>
            </w:r>
          </w:p>
        </w:tc>
        <w:tc>
          <w:tcPr>
            <w:tcW w:w="1070" w:type="dxa"/>
            <w:shd w:val="clear" w:color="auto" w:fill="auto"/>
          </w:tcPr>
          <w:p w14:paraId="1660B068" w14:textId="77777777" w:rsidR="006C269A" w:rsidRPr="0095558A" w:rsidRDefault="006C269A" w:rsidP="00AB05FB">
            <w:pPr>
              <w:pStyle w:val="Btablefigureunbold"/>
            </w:pPr>
            <w:r w:rsidRPr="0095558A">
              <w:t>-22,000</w:t>
            </w:r>
          </w:p>
        </w:tc>
        <w:tc>
          <w:tcPr>
            <w:tcW w:w="1070" w:type="dxa"/>
            <w:shd w:val="clear" w:color="auto" w:fill="auto"/>
            <w:noWrap/>
          </w:tcPr>
          <w:p w14:paraId="165C464C" w14:textId="77777777" w:rsidR="006C269A" w:rsidRPr="0095558A" w:rsidRDefault="006C269A" w:rsidP="00AB05FB">
            <w:pPr>
              <w:pStyle w:val="Btablefigureunbold"/>
            </w:pPr>
            <w:r w:rsidRPr="0095558A">
              <w:t>-96,900</w:t>
            </w:r>
          </w:p>
        </w:tc>
        <w:tc>
          <w:tcPr>
            <w:tcW w:w="1070" w:type="dxa"/>
            <w:shd w:val="clear" w:color="auto" w:fill="auto"/>
            <w:noWrap/>
          </w:tcPr>
          <w:p w14:paraId="6D019425" w14:textId="77777777" w:rsidR="006C269A" w:rsidRPr="0095558A" w:rsidRDefault="006C269A" w:rsidP="00AB05FB">
            <w:pPr>
              <w:pStyle w:val="Btablefigureunbold"/>
            </w:pPr>
            <w:r w:rsidRPr="0095558A">
              <w:t>-22,000</w:t>
            </w:r>
          </w:p>
        </w:tc>
        <w:tc>
          <w:tcPr>
            <w:tcW w:w="1070" w:type="dxa"/>
            <w:shd w:val="clear" w:color="auto" w:fill="auto"/>
            <w:noWrap/>
          </w:tcPr>
          <w:p w14:paraId="709D34AB" w14:textId="77777777" w:rsidR="006C269A" w:rsidRPr="0095558A" w:rsidRDefault="006C269A" w:rsidP="00AB05FB">
            <w:pPr>
              <w:pStyle w:val="Btablefigureunbold"/>
            </w:pPr>
            <w:r w:rsidRPr="0095558A">
              <w:t>-22,000</w:t>
            </w:r>
          </w:p>
        </w:tc>
        <w:tc>
          <w:tcPr>
            <w:tcW w:w="1070" w:type="dxa"/>
            <w:shd w:val="clear" w:color="auto" w:fill="auto"/>
            <w:noWrap/>
          </w:tcPr>
          <w:p w14:paraId="59FA6D3F" w14:textId="77777777" w:rsidR="006C269A" w:rsidRPr="0095558A" w:rsidRDefault="006C269A" w:rsidP="00AB05FB">
            <w:pPr>
              <w:pStyle w:val="Btablefigureunbold"/>
            </w:pPr>
            <w:r w:rsidRPr="0095558A">
              <w:t>-22,000</w:t>
            </w:r>
          </w:p>
        </w:tc>
        <w:tc>
          <w:tcPr>
            <w:tcW w:w="1068" w:type="dxa"/>
            <w:shd w:val="clear" w:color="auto" w:fill="auto"/>
            <w:noWrap/>
          </w:tcPr>
          <w:p w14:paraId="773DDDBA" w14:textId="77777777" w:rsidR="006C269A" w:rsidRPr="0095558A" w:rsidRDefault="006C269A" w:rsidP="00AB05FB">
            <w:pPr>
              <w:pStyle w:val="Btablefigureunbold"/>
            </w:pPr>
            <w:r w:rsidRPr="0095558A">
              <w:t>-22,000</w:t>
            </w:r>
          </w:p>
        </w:tc>
      </w:tr>
      <w:tr w:rsidR="006C269A" w:rsidRPr="006D5D15" w14:paraId="067A6A63" w14:textId="77777777" w:rsidTr="00AB05FB">
        <w:trPr>
          <w:gridAfter w:val="1"/>
          <w:wAfter w:w="13" w:type="dxa"/>
          <w:cantSplit/>
          <w:tblHeader/>
          <w:jc w:val="center"/>
        </w:trPr>
        <w:tc>
          <w:tcPr>
            <w:tcW w:w="2864" w:type="dxa"/>
            <w:shd w:val="clear" w:color="auto" w:fill="auto"/>
            <w:noWrap/>
          </w:tcPr>
          <w:p w14:paraId="3A5194CF" w14:textId="77777777" w:rsidR="006C269A" w:rsidRPr="004629D6" w:rsidRDefault="006C269A" w:rsidP="00AB05FB">
            <w:pPr>
              <w:pStyle w:val="BStabletextbold"/>
            </w:pPr>
            <w:r w:rsidRPr="00B56605">
              <w:t xml:space="preserve">Total </w:t>
            </w:r>
            <w:r>
              <w:t>o</w:t>
            </w:r>
            <w:r w:rsidRPr="00B56605">
              <w:t>ther</w:t>
            </w:r>
          </w:p>
        </w:tc>
        <w:tc>
          <w:tcPr>
            <w:tcW w:w="1070" w:type="dxa"/>
            <w:shd w:val="clear" w:color="auto" w:fill="auto"/>
          </w:tcPr>
          <w:p w14:paraId="66C6ADC0" w14:textId="77777777" w:rsidR="006C269A" w:rsidRPr="0095558A" w:rsidRDefault="006C269A" w:rsidP="00AB05FB">
            <w:pPr>
              <w:pStyle w:val="BTablefigureBold"/>
            </w:pPr>
            <w:r w:rsidRPr="0095558A">
              <w:t>0</w:t>
            </w:r>
          </w:p>
        </w:tc>
        <w:tc>
          <w:tcPr>
            <w:tcW w:w="1070" w:type="dxa"/>
            <w:shd w:val="clear" w:color="auto" w:fill="auto"/>
            <w:noWrap/>
          </w:tcPr>
          <w:p w14:paraId="6F0495CF" w14:textId="77777777" w:rsidR="006C269A" w:rsidRPr="0095558A" w:rsidRDefault="006C269A" w:rsidP="00AB05FB">
            <w:pPr>
              <w:pStyle w:val="BTablefigureBold"/>
            </w:pPr>
            <w:r w:rsidRPr="0095558A">
              <w:t>0</w:t>
            </w:r>
          </w:p>
        </w:tc>
        <w:tc>
          <w:tcPr>
            <w:tcW w:w="1070" w:type="dxa"/>
            <w:shd w:val="clear" w:color="auto" w:fill="auto"/>
            <w:noWrap/>
            <w:vAlign w:val="bottom"/>
          </w:tcPr>
          <w:p w14:paraId="1DF41818" w14:textId="77777777" w:rsidR="006C269A" w:rsidRPr="0095558A" w:rsidRDefault="006C269A" w:rsidP="00AB05FB">
            <w:pPr>
              <w:pStyle w:val="BTablefigureBold"/>
            </w:pPr>
            <w:r w:rsidRPr="0095558A">
              <w:t>0</w:t>
            </w:r>
          </w:p>
        </w:tc>
        <w:tc>
          <w:tcPr>
            <w:tcW w:w="1070" w:type="dxa"/>
            <w:shd w:val="clear" w:color="auto" w:fill="auto"/>
            <w:noWrap/>
            <w:vAlign w:val="bottom"/>
          </w:tcPr>
          <w:p w14:paraId="384D07CB" w14:textId="77777777" w:rsidR="006C269A" w:rsidRPr="0095558A" w:rsidRDefault="006C269A" w:rsidP="00AB05FB">
            <w:pPr>
              <w:pStyle w:val="BTablefigureBold"/>
            </w:pPr>
            <w:r w:rsidRPr="0095558A">
              <w:t>0</w:t>
            </w:r>
          </w:p>
        </w:tc>
        <w:tc>
          <w:tcPr>
            <w:tcW w:w="1070" w:type="dxa"/>
            <w:shd w:val="clear" w:color="auto" w:fill="auto"/>
            <w:noWrap/>
            <w:vAlign w:val="bottom"/>
          </w:tcPr>
          <w:p w14:paraId="7E30BDA0" w14:textId="77777777" w:rsidR="006C269A" w:rsidRPr="0095558A" w:rsidRDefault="006C269A" w:rsidP="00AB05FB">
            <w:pPr>
              <w:pStyle w:val="BTablefigureBold"/>
            </w:pPr>
            <w:r w:rsidRPr="0095558A">
              <w:t>0</w:t>
            </w:r>
          </w:p>
        </w:tc>
        <w:tc>
          <w:tcPr>
            <w:tcW w:w="1068" w:type="dxa"/>
            <w:shd w:val="clear" w:color="auto" w:fill="auto"/>
            <w:noWrap/>
            <w:vAlign w:val="bottom"/>
          </w:tcPr>
          <w:p w14:paraId="2EE79CE3" w14:textId="77777777" w:rsidR="006C269A" w:rsidRPr="0095558A" w:rsidRDefault="006C269A" w:rsidP="00AB05FB">
            <w:pPr>
              <w:pStyle w:val="BTablefigureBold"/>
            </w:pPr>
            <w:r w:rsidRPr="0095558A">
              <w:t>0</w:t>
            </w:r>
          </w:p>
        </w:tc>
      </w:tr>
      <w:tr w:rsidR="006C269A" w:rsidRPr="006D5D15" w14:paraId="6255299A" w14:textId="77777777" w:rsidTr="00AB05FB">
        <w:trPr>
          <w:gridAfter w:val="1"/>
          <w:wAfter w:w="13" w:type="dxa"/>
          <w:cantSplit/>
          <w:tblHeader/>
          <w:jc w:val="center"/>
        </w:trPr>
        <w:tc>
          <w:tcPr>
            <w:tcW w:w="2864" w:type="dxa"/>
            <w:shd w:val="clear" w:color="auto" w:fill="auto"/>
            <w:noWrap/>
            <w:vAlign w:val="bottom"/>
          </w:tcPr>
          <w:p w14:paraId="21501B1A" w14:textId="77777777" w:rsidR="006C269A" w:rsidRPr="004629D6" w:rsidRDefault="006C269A" w:rsidP="00AB05FB">
            <w:pPr>
              <w:pStyle w:val="BStabletextbold"/>
            </w:pPr>
            <w:r w:rsidRPr="00B56605">
              <w:t xml:space="preserve">Transactions </w:t>
            </w:r>
            <w:r>
              <w:t>i</w:t>
            </w:r>
            <w:r w:rsidRPr="00B56605">
              <w:t xml:space="preserve">nvolving </w:t>
            </w:r>
            <w:r>
              <w:t>o</w:t>
            </w:r>
            <w:r w:rsidRPr="00B56605">
              <w:t xml:space="preserve">wners </w:t>
            </w:r>
            <w:r>
              <w:t>a</w:t>
            </w:r>
            <w:r w:rsidRPr="00B56605">
              <w:t xml:space="preserve">ffecting </w:t>
            </w:r>
            <w:r>
              <w:t>a</w:t>
            </w:r>
            <w:r w:rsidRPr="00B56605">
              <w:t xml:space="preserve">ccumulated </w:t>
            </w:r>
            <w:r>
              <w:t>f</w:t>
            </w:r>
            <w:r w:rsidRPr="00B56605">
              <w:t>unds</w:t>
            </w:r>
          </w:p>
        </w:tc>
        <w:tc>
          <w:tcPr>
            <w:tcW w:w="1070" w:type="dxa"/>
            <w:shd w:val="clear" w:color="auto" w:fill="auto"/>
          </w:tcPr>
          <w:p w14:paraId="192C84B2" w14:textId="77777777" w:rsidR="006C269A" w:rsidRDefault="006C269A" w:rsidP="00AB05FB">
            <w:pPr>
              <w:pStyle w:val="Btablefigureunbold"/>
            </w:pPr>
          </w:p>
        </w:tc>
        <w:tc>
          <w:tcPr>
            <w:tcW w:w="1070" w:type="dxa"/>
            <w:shd w:val="clear" w:color="auto" w:fill="auto"/>
            <w:noWrap/>
          </w:tcPr>
          <w:p w14:paraId="5BEB68BE" w14:textId="77777777" w:rsidR="006C269A" w:rsidRPr="006D5D15" w:rsidRDefault="006C269A" w:rsidP="00AB05FB">
            <w:pPr>
              <w:pStyle w:val="Btablefigureunbold"/>
            </w:pPr>
          </w:p>
        </w:tc>
        <w:tc>
          <w:tcPr>
            <w:tcW w:w="1070" w:type="dxa"/>
            <w:shd w:val="clear" w:color="auto" w:fill="auto"/>
            <w:noWrap/>
          </w:tcPr>
          <w:p w14:paraId="711E372F" w14:textId="77777777" w:rsidR="006C269A" w:rsidRPr="006D5D15" w:rsidRDefault="006C269A" w:rsidP="00AB05FB">
            <w:pPr>
              <w:pStyle w:val="Btablefigureunbold"/>
            </w:pPr>
          </w:p>
        </w:tc>
        <w:tc>
          <w:tcPr>
            <w:tcW w:w="1070" w:type="dxa"/>
            <w:shd w:val="clear" w:color="auto" w:fill="auto"/>
            <w:noWrap/>
          </w:tcPr>
          <w:p w14:paraId="2F37F113" w14:textId="77777777" w:rsidR="006C269A" w:rsidRPr="006D5D15" w:rsidRDefault="006C269A" w:rsidP="00AB05FB">
            <w:pPr>
              <w:pStyle w:val="Btablefigureunbold"/>
            </w:pPr>
          </w:p>
        </w:tc>
        <w:tc>
          <w:tcPr>
            <w:tcW w:w="1070" w:type="dxa"/>
            <w:shd w:val="clear" w:color="auto" w:fill="auto"/>
            <w:noWrap/>
          </w:tcPr>
          <w:p w14:paraId="10282811" w14:textId="77777777" w:rsidR="006C269A" w:rsidRPr="006D5D15" w:rsidRDefault="006C269A" w:rsidP="00AB05FB">
            <w:pPr>
              <w:pStyle w:val="Btablefigureunbold"/>
            </w:pPr>
          </w:p>
        </w:tc>
        <w:tc>
          <w:tcPr>
            <w:tcW w:w="1068" w:type="dxa"/>
            <w:shd w:val="clear" w:color="auto" w:fill="auto"/>
            <w:noWrap/>
          </w:tcPr>
          <w:p w14:paraId="6F95D68F" w14:textId="77777777" w:rsidR="006C269A" w:rsidRPr="006D5D15" w:rsidRDefault="006C269A" w:rsidP="00AB05FB">
            <w:pPr>
              <w:pStyle w:val="Btablefigureunbold"/>
            </w:pPr>
          </w:p>
        </w:tc>
      </w:tr>
      <w:tr w:rsidR="006C269A" w:rsidRPr="006D5D15" w14:paraId="09366C8E" w14:textId="77777777" w:rsidTr="00AB05FB">
        <w:trPr>
          <w:gridAfter w:val="1"/>
          <w:wAfter w:w="13" w:type="dxa"/>
          <w:cantSplit/>
          <w:tblHeader/>
          <w:jc w:val="center"/>
        </w:trPr>
        <w:tc>
          <w:tcPr>
            <w:tcW w:w="2864" w:type="dxa"/>
            <w:shd w:val="clear" w:color="auto" w:fill="auto"/>
            <w:noWrap/>
          </w:tcPr>
          <w:p w14:paraId="7829EA4F" w14:textId="77777777" w:rsidR="006C269A" w:rsidRPr="00F25F0C" w:rsidRDefault="006C269A" w:rsidP="00AB05FB">
            <w:pPr>
              <w:pStyle w:val="BStabletext"/>
              <w:rPr>
                <w:rFonts w:eastAsia="SimSun"/>
              </w:rPr>
            </w:pPr>
            <w:r w:rsidRPr="00B56605">
              <w:t xml:space="preserve">Capital </w:t>
            </w:r>
            <w:r>
              <w:t>i</w:t>
            </w:r>
            <w:r w:rsidRPr="00B56605">
              <w:t>njections</w:t>
            </w:r>
          </w:p>
        </w:tc>
        <w:tc>
          <w:tcPr>
            <w:tcW w:w="1070" w:type="dxa"/>
            <w:shd w:val="clear" w:color="auto" w:fill="auto"/>
          </w:tcPr>
          <w:p w14:paraId="7B0ED214" w14:textId="77777777" w:rsidR="006C269A" w:rsidRPr="0095558A" w:rsidRDefault="006C269A" w:rsidP="00AB05FB">
            <w:pPr>
              <w:pStyle w:val="Btablefigureunbold"/>
            </w:pPr>
            <w:r w:rsidRPr="0095558A">
              <w:t>122,320</w:t>
            </w:r>
          </w:p>
        </w:tc>
        <w:tc>
          <w:tcPr>
            <w:tcW w:w="1070" w:type="dxa"/>
            <w:shd w:val="clear" w:color="auto" w:fill="auto"/>
            <w:noWrap/>
          </w:tcPr>
          <w:p w14:paraId="029E535D" w14:textId="77777777" w:rsidR="006C269A" w:rsidRPr="0095558A" w:rsidRDefault="006C269A" w:rsidP="00AB05FB">
            <w:pPr>
              <w:pStyle w:val="Btablefigureunbold"/>
            </w:pPr>
            <w:r w:rsidRPr="0095558A">
              <w:t>120,133</w:t>
            </w:r>
          </w:p>
        </w:tc>
        <w:tc>
          <w:tcPr>
            <w:tcW w:w="1070" w:type="dxa"/>
            <w:shd w:val="clear" w:color="auto" w:fill="auto"/>
            <w:noWrap/>
            <w:vAlign w:val="bottom"/>
          </w:tcPr>
          <w:p w14:paraId="0EF0C146" w14:textId="77777777" w:rsidR="006C269A" w:rsidRPr="0095558A" w:rsidRDefault="006C269A" w:rsidP="00AB05FB">
            <w:pPr>
              <w:pStyle w:val="Btablefigureunbold"/>
            </w:pPr>
            <w:r w:rsidRPr="0095558A">
              <w:t>156,786</w:t>
            </w:r>
          </w:p>
        </w:tc>
        <w:tc>
          <w:tcPr>
            <w:tcW w:w="1070" w:type="dxa"/>
            <w:shd w:val="clear" w:color="auto" w:fill="auto"/>
            <w:noWrap/>
            <w:vAlign w:val="bottom"/>
          </w:tcPr>
          <w:p w14:paraId="45334D88" w14:textId="77777777" w:rsidR="006C269A" w:rsidRPr="0095558A" w:rsidRDefault="006C269A" w:rsidP="00AB05FB">
            <w:pPr>
              <w:pStyle w:val="Btablefigureunbold"/>
            </w:pPr>
            <w:r w:rsidRPr="0095558A">
              <w:t>103,938</w:t>
            </w:r>
          </w:p>
        </w:tc>
        <w:tc>
          <w:tcPr>
            <w:tcW w:w="1070" w:type="dxa"/>
            <w:shd w:val="clear" w:color="auto" w:fill="auto"/>
            <w:noWrap/>
            <w:vAlign w:val="bottom"/>
          </w:tcPr>
          <w:p w14:paraId="5C32469A" w14:textId="77777777" w:rsidR="006C269A" w:rsidRPr="0095558A" w:rsidRDefault="006C269A" w:rsidP="00AB05FB">
            <w:pPr>
              <w:pStyle w:val="Btablefigureunbold"/>
            </w:pPr>
            <w:r w:rsidRPr="0095558A">
              <w:t>75,408</w:t>
            </w:r>
          </w:p>
        </w:tc>
        <w:tc>
          <w:tcPr>
            <w:tcW w:w="1068" w:type="dxa"/>
            <w:shd w:val="clear" w:color="auto" w:fill="auto"/>
            <w:noWrap/>
            <w:vAlign w:val="bottom"/>
          </w:tcPr>
          <w:p w14:paraId="0FCB66E1" w14:textId="77777777" w:rsidR="006C269A" w:rsidRPr="0095558A" w:rsidRDefault="006C269A" w:rsidP="00AB05FB">
            <w:pPr>
              <w:pStyle w:val="Btablefigureunbold"/>
            </w:pPr>
            <w:r w:rsidRPr="0095558A">
              <w:t>17,511</w:t>
            </w:r>
          </w:p>
        </w:tc>
      </w:tr>
      <w:tr w:rsidR="006C269A" w:rsidRPr="006D5D15" w14:paraId="6E026B6B" w14:textId="77777777" w:rsidTr="00AB05FB">
        <w:trPr>
          <w:gridAfter w:val="1"/>
          <w:wAfter w:w="13" w:type="dxa"/>
          <w:cantSplit/>
          <w:tblHeader/>
          <w:jc w:val="center"/>
        </w:trPr>
        <w:tc>
          <w:tcPr>
            <w:tcW w:w="2864" w:type="dxa"/>
            <w:shd w:val="clear" w:color="auto" w:fill="auto"/>
            <w:noWrap/>
          </w:tcPr>
          <w:p w14:paraId="07EF3A83" w14:textId="77777777" w:rsidR="006C269A" w:rsidRPr="00F25F0C" w:rsidRDefault="006C269A" w:rsidP="00AB05FB">
            <w:pPr>
              <w:pStyle w:val="BStabletext"/>
              <w:rPr>
                <w:rFonts w:eastAsia="SimSun"/>
              </w:rPr>
            </w:pPr>
            <w:r w:rsidRPr="00B56605">
              <w:t xml:space="preserve">Transfer of </w:t>
            </w:r>
            <w:r>
              <w:t>a</w:t>
            </w:r>
            <w:r w:rsidRPr="00B56605">
              <w:t>sset</w:t>
            </w:r>
            <w:r>
              <w:t>s</w:t>
            </w:r>
            <w:r w:rsidRPr="00B56605">
              <w:t xml:space="preserve"> from the General Government Sector</w:t>
            </w:r>
          </w:p>
        </w:tc>
        <w:tc>
          <w:tcPr>
            <w:tcW w:w="1070" w:type="dxa"/>
            <w:shd w:val="clear" w:color="auto" w:fill="auto"/>
          </w:tcPr>
          <w:p w14:paraId="7FA46C88" w14:textId="77777777" w:rsidR="006C269A" w:rsidRPr="0095558A" w:rsidRDefault="006C269A" w:rsidP="00AB05FB">
            <w:pPr>
              <w:pStyle w:val="Btablefigureunbold"/>
            </w:pPr>
            <w:r w:rsidRPr="0095558A">
              <w:t>-119</w:t>
            </w:r>
          </w:p>
        </w:tc>
        <w:tc>
          <w:tcPr>
            <w:tcW w:w="1070" w:type="dxa"/>
            <w:shd w:val="clear" w:color="auto" w:fill="auto"/>
            <w:noWrap/>
          </w:tcPr>
          <w:p w14:paraId="61E49F68" w14:textId="77777777" w:rsidR="006C269A" w:rsidRPr="0095558A" w:rsidRDefault="006C269A" w:rsidP="00AB05FB">
            <w:pPr>
              <w:pStyle w:val="Btablefigureunbold"/>
            </w:pPr>
            <w:r w:rsidRPr="0095558A">
              <w:t>10,710</w:t>
            </w:r>
          </w:p>
        </w:tc>
        <w:tc>
          <w:tcPr>
            <w:tcW w:w="1070" w:type="dxa"/>
            <w:shd w:val="clear" w:color="auto" w:fill="auto"/>
            <w:noWrap/>
          </w:tcPr>
          <w:p w14:paraId="1AC43851" w14:textId="77777777" w:rsidR="006C269A" w:rsidRPr="0095558A" w:rsidRDefault="006C269A" w:rsidP="00AB05FB">
            <w:pPr>
              <w:pStyle w:val="Btablefigureunbold"/>
            </w:pPr>
            <w:r w:rsidRPr="0095558A">
              <w:t>11,073</w:t>
            </w:r>
          </w:p>
        </w:tc>
        <w:tc>
          <w:tcPr>
            <w:tcW w:w="1070" w:type="dxa"/>
            <w:shd w:val="clear" w:color="auto" w:fill="auto"/>
            <w:noWrap/>
          </w:tcPr>
          <w:p w14:paraId="74B1459A" w14:textId="77777777" w:rsidR="006C269A" w:rsidRPr="0095558A" w:rsidRDefault="006C269A" w:rsidP="00AB05FB">
            <w:pPr>
              <w:pStyle w:val="Btablefigureunbold"/>
            </w:pPr>
            <w:r w:rsidRPr="0095558A">
              <w:t>0</w:t>
            </w:r>
          </w:p>
        </w:tc>
        <w:tc>
          <w:tcPr>
            <w:tcW w:w="1070" w:type="dxa"/>
            <w:shd w:val="clear" w:color="auto" w:fill="auto"/>
            <w:noWrap/>
          </w:tcPr>
          <w:p w14:paraId="4FC81E67" w14:textId="77777777" w:rsidR="006C269A" w:rsidRPr="0095558A" w:rsidRDefault="006C269A" w:rsidP="00AB05FB">
            <w:pPr>
              <w:pStyle w:val="Btablefigureunbold"/>
            </w:pPr>
            <w:r w:rsidRPr="0095558A">
              <w:t>0</w:t>
            </w:r>
          </w:p>
        </w:tc>
        <w:tc>
          <w:tcPr>
            <w:tcW w:w="1068" w:type="dxa"/>
            <w:shd w:val="clear" w:color="auto" w:fill="auto"/>
            <w:noWrap/>
          </w:tcPr>
          <w:p w14:paraId="4B434031" w14:textId="77777777" w:rsidR="006C269A" w:rsidRPr="0095558A" w:rsidRDefault="006C269A" w:rsidP="00AB05FB">
            <w:pPr>
              <w:pStyle w:val="Btablefigureunbold"/>
            </w:pPr>
            <w:r w:rsidRPr="0095558A">
              <w:t>0</w:t>
            </w:r>
          </w:p>
        </w:tc>
      </w:tr>
      <w:tr w:rsidR="006C269A" w:rsidRPr="006D5D15" w14:paraId="68D71E67" w14:textId="77777777" w:rsidTr="00AB05FB">
        <w:trPr>
          <w:gridAfter w:val="1"/>
          <w:wAfter w:w="13" w:type="dxa"/>
          <w:cantSplit/>
          <w:tblHeader/>
          <w:jc w:val="center"/>
        </w:trPr>
        <w:tc>
          <w:tcPr>
            <w:tcW w:w="2864" w:type="dxa"/>
            <w:shd w:val="clear" w:color="auto" w:fill="auto"/>
            <w:noWrap/>
          </w:tcPr>
          <w:p w14:paraId="6DDFDCFB" w14:textId="77777777" w:rsidR="006C269A" w:rsidRPr="00F25F0C" w:rsidRDefault="006C269A" w:rsidP="00AB05FB">
            <w:pPr>
              <w:pStyle w:val="BStabletext"/>
              <w:rPr>
                <w:rFonts w:eastAsia="SimSun"/>
              </w:rPr>
            </w:pPr>
            <w:r w:rsidRPr="00B56605">
              <w:t xml:space="preserve">Dividends </w:t>
            </w:r>
            <w:r>
              <w:t>a</w:t>
            </w:r>
            <w:r w:rsidRPr="00B56605">
              <w:t>pproved</w:t>
            </w:r>
          </w:p>
        </w:tc>
        <w:tc>
          <w:tcPr>
            <w:tcW w:w="1070" w:type="dxa"/>
            <w:shd w:val="clear" w:color="auto" w:fill="auto"/>
          </w:tcPr>
          <w:p w14:paraId="402D85CA" w14:textId="77777777" w:rsidR="006C269A" w:rsidRPr="0095558A" w:rsidRDefault="006C269A" w:rsidP="00AB05FB">
            <w:pPr>
              <w:pStyle w:val="Btablefigureunbold"/>
            </w:pPr>
            <w:r w:rsidRPr="0095558A">
              <w:t>-349,854</w:t>
            </w:r>
          </w:p>
        </w:tc>
        <w:tc>
          <w:tcPr>
            <w:tcW w:w="1070" w:type="dxa"/>
            <w:shd w:val="clear" w:color="auto" w:fill="auto"/>
            <w:noWrap/>
          </w:tcPr>
          <w:p w14:paraId="2D7272EC" w14:textId="77777777" w:rsidR="006C269A" w:rsidRPr="0095558A" w:rsidRDefault="006C269A" w:rsidP="00AB05FB">
            <w:pPr>
              <w:pStyle w:val="Btablefigureunbold"/>
            </w:pPr>
            <w:r w:rsidRPr="0095558A">
              <w:t>-336,004</w:t>
            </w:r>
          </w:p>
        </w:tc>
        <w:tc>
          <w:tcPr>
            <w:tcW w:w="1070" w:type="dxa"/>
            <w:shd w:val="clear" w:color="auto" w:fill="auto"/>
            <w:noWrap/>
          </w:tcPr>
          <w:p w14:paraId="1AAF87BA" w14:textId="77777777" w:rsidR="006C269A" w:rsidRPr="0095558A" w:rsidRDefault="006C269A" w:rsidP="00AB05FB">
            <w:pPr>
              <w:pStyle w:val="Btablefigureunbold"/>
            </w:pPr>
            <w:r w:rsidRPr="0095558A">
              <w:t>-174,622</w:t>
            </w:r>
          </w:p>
        </w:tc>
        <w:tc>
          <w:tcPr>
            <w:tcW w:w="1070" w:type="dxa"/>
            <w:shd w:val="clear" w:color="auto" w:fill="auto"/>
            <w:noWrap/>
          </w:tcPr>
          <w:p w14:paraId="5AF6A2B1" w14:textId="77777777" w:rsidR="006C269A" w:rsidRPr="0095558A" w:rsidRDefault="006C269A" w:rsidP="00AB05FB">
            <w:pPr>
              <w:pStyle w:val="Btablefigureunbold"/>
            </w:pPr>
            <w:r w:rsidRPr="0095558A">
              <w:t>-206,632</w:t>
            </w:r>
          </w:p>
        </w:tc>
        <w:tc>
          <w:tcPr>
            <w:tcW w:w="1070" w:type="dxa"/>
            <w:shd w:val="clear" w:color="auto" w:fill="auto"/>
            <w:noWrap/>
          </w:tcPr>
          <w:p w14:paraId="42CC3C03" w14:textId="77777777" w:rsidR="006C269A" w:rsidRPr="0095558A" w:rsidRDefault="006C269A" w:rsidP="00AB05FB">
            <w:pPr>
              <w:pStyle w:val="Btablefigureunbold"/>
            </w:pPr>
            <w:r w:rsidRPr="0095558A">
              <w:t>-97,502</w:t>
            </w:r>
          </w:p>
        </w:tc>
        <w:tc>
          <w:tcPr>
            <w:tcW w:w="1068" w:type="dxa"/>
            <w:shd w:val="clear" w:color="auto" w:fill="auto"/>
            <w:noWrap/>
          </w:tcPr>
          <w:p w14:paraId="30272585" w14:textId="77777777" w:rsidR="006C269A" w:rsidRPr="0095558A" w:rsidRDefault="006C269A" w:rsidP="00AB05FB">
            <w:pPr>
              <w:pStyle w:val="Btablefigureunbold"/>
            </w:pPr>
            <w:r w:rsidRPr="0095558A">
              <w:t>-188,919</w:t>
            </w:r>
          </w:p>
        </w:tc>
      </w:tr>
      <w:tr w:rsidR="006C269A" w:rsidRPr="006D5D15" w14:paraId="32FB00C2" w14:textId="77777777" w:rsidTr="00AB05FB">
        <w:trPr>
          <w:gridAfter w:val="1"/>
          <w:wAfter w:w="13" w:type="dxa"/>
          <w:cantSplit/>
          <w:tblHeader/>
          <w:jc w:val="center"/>
        </w:trPr>
        <w:tc>
          <w:tcPr>
            <w:tcW w:w="2864" w:type="dxa"/>
            <w:shd w:val="clear" w:color="auto" w:fill="auto"/>
            <w:noWrap/>
          </w:tcPr>
          <w:p w14:paraId="1FB65360" w14:textId="77777777" w:rsidR="006C269A" w:rsidRPr="00F25F0C" w:rsidRDefault="006C269A" w:rsidP="00AB05FB">
            <w:pPr>
              <w:pStyle w:val="BStabletextbold"/>
              <w:rPr>
                <w:rFonts w:eastAsia="SimSun"/>
              </w:rPr>
            </w:pPr>
            <w:r w:rsidRPr="00B56605">
              <w:t xml:space="preserve">Total </w:t>
            </w:r>
            <w:r>
              <w:t>t</w:t>
            </w:r>
            <w:r w:rsidRPr="00B56605">
              <w:t xml:space="preserve">ransactions </w:t>
            </w:r>
            <w:r>
              <w:t>i</w:t>
            </w:r>
            <w:r w:rsidRPr="00B56605">
              <w:t xml:space="preserve">nvolving </w:t>
            </w:r>
            <w:r>
              <w:t>o</w:t>
            </w:r>
            <w:r w:rsidRPr="00B56605">
              <w:t xml:space="preserve">wners </w:t>
            </w:r>
            <w:r>
              <w:t>a</w:t>
            </w:r>
            <w:r w:rsidRPr="00B56605">
              <w:t xml:space="preserve">ffecting </w:t>
            </w:r>
            <w:r>
              <w:t>a</w:t>
            </w:r>
            <w:r w:rsidRPr="00B56605">
              <w:t xml:space="preserve">ccumulated </w:t>
            </w:r>
            <w:r>
              <w:t>f</w:t>
            </w:r>
            <w:r w:rsidRPr="00B56605">
              <w:t>unds</w:t>
            </w:r>
          </w:p>
        </w:tc>
        <w:tc>
          <w:tcPr>
            <w:tcW w:w="1070" w:type="dxa"/>
            <w:shd w:val="clear" w:color="auto" w:fill="auto"/>
          </w:tcPr>
          <w:p w14:paraId="30A94A51" w14:textId="77777777" w:rsidR="006C269A" w:rsidRPr="0095558A" w:rsidRDefault="006C269A" w:rsidP="00AB05FB">
            <w:pPr>
              <w:pStyle w:val="BTablefigureBold"/>
            </w:pPr>
            <w:r w:rsidRPr="0095558A">
              <w:t>-227,653</w:t>
            </w:r>
          </w:p>
        </w:tc>
        <w:tc>
          <w:tcPr>
            <w:tcW w:w="1070" w:type="dxa"/>
            <w:shd w:val="clear" w:color="auto" w:fill="auto"/>
            <w:noWrap/>
          </w:tcPr>
          <w:p w14:paraId="6994C0FE" w14:textId="77777777" w:rsidR="006C269A" w:rsidRPr="0095558A" w:rsidRDefault="006C269A" w:rsidP="00AB05FB">
            <w:pPr>
              <w:pStyle w:val="BTablefigureBold"/>
            </w:pPr>
            <w:r w:rsidRPr="0095558A">
              <w:t>-205,161</w:t>
            </w:r>
          </w:p>
        </w:tc>
        <w:tc>
          <w:tcPr>
            <w:tcW w:w="1070" w:type="dxa"/>
            <w:shd w:val="clear" w:color="auto" w:fill="auto"/>
            <w:noWrap/>
          </w:tcPr>
          <w:p w14:paraId="0ABCB9A0" w14:textId="77777777" w:rsidR="006C269A" w:rsidRPr="0095558A" w:rsidRDefault="006C269A" w:rsidP="00AB05FB">
            <w:pPr>
              <w:pStyle w:val="BTablefigureBold"/>
            </w:pPr>
            <w:r w:rsidRPr="0095558A">
              <w:t>-6,763</w:t>
            </w:r>
          </w:p>
        </w:tc>
        <w:tc>
          <w:tcPr>
            <w:tcW w:w="1070" w:type="dxa"/>
            <w:shd w:val="clear" w:color="auto" w:fill="auto"/>
            <w:noWrap/>
          </w:tcPr>
          <w:p w14:paraId="0529F171" w14:textId="77777777" w:rsidR="006C269A" w:rsidRPr="0095558A" w:rsidRDefault="006C269A" w:rsidP="00AB05FB">
            <w:pPr>
              <w:pStyle w:val="BTablefigureBold"/>
            </w:pPr>
            <w:r w:rsidRPr="0095558A">
              <w:t>-102,694</w:t>
            </w:r>
          </w:p>
        </w:tc>
        <w:tc>
          <w:tcPr>
            <w:tcW w:w="1070" w:type="dxa"/>
            <w:shd w:val="clear" w:color="auto" w:fill="auto"/>
            <w:noWrap/>
          </w:tcPr>
          <w:p w14:paraId="35202603" w14:textId="77777777" w:rsidR="006C269A" w:rsidRPr="0095558A" w:rsidRDefault="006C269A" w:rsidP="00AB05FB">
            <w:pPr>
              <w:pStyle w:val="BTablefigureBold"/>
            </w:pPr>
            <w:r w:rsidRPr="0095558A">
              <w:t>-22,094</w:t>
            </w:r>
          </w:p>
        </w:tc>
        <w:tc>
          <w:tcPr>
            <w:tcW w:w="1068" w:type="dxa"/>
            <w:shd w:val="clear" w:color="auto" w:fill="auto"/>
            <w:noWrap/>
          </w:tcPr>
          <w:p w14:paraId="2D5F1024" w14:textId="77777777" w:rsidR="006C269A" w:rsidRPr="0095558A" w:rsidRDefault="006C269A" w:rsidP="00AB05FB">
            <w:pPr>
              <w:pStyle w:val="BTablefigureBold"/>
            </w:pPr>
            <w:r w:rsidRPr="0095558A">
              <w:t>-171,408</w:t>
            </w:r>
          </w:p>
        </w:tc>
      </w:tr>
      <w:tr w:rsidR="006C269A" w:rsidRPr="006D5D15" w14:paraId="7AA2C66D" w14:textId="77777777" w:rsidTr="00AB05FB">
        <w:trPr>
          <w:gridAfter w:val="1"/>
          <w:wAfter w:w="13" w:type="dxa"/>
          <w:cantSplit/>
          <w:tblHeader/>
          <w:jc w:val="center"/>
        </w:trPr>
        <w:tc>
          <w:tcPr>
            <w:tcW w:w="2864" w:type="dxa"/>
            <w:shd w:val="clear" w:color="auto" w:fill="auto"/>
            <w:noWrap/>
            <w:vAlign w:val="bottom"/>
          </w:tcPr>
          <w:p w14:paraId="6258D77C" w14:textId="77777777" w:rsidR="006C269A" w:rsidRPr="00550D36" w:rsidRDefault="006C269A" w:rsidP="00AB05FB">
            <w:pPr>
              <w:pStyle w:val="BStabletextbold"/>
              <w:rPr>
                <w:rFonts w:eastAsia="SimSun"/>
                <w:color w:val="472D8C"/>
              </w:rPr>
            </w:pPr>
            <w:r w:rsidRPr="00B56605">
              <w:t xml:space="preserve">Closing </w:t>
            </w:r>
            <w:r>
              <w:t>e</w:t>
            </w:r>
            <w:r w:rsidRPr="00B56605">
              <w:t>quity</w:t>
            </w:r>
          </w:p>
        </w:tc>
        <w:tc>
          <w:tcPr>
            <w:tcW w:w="1070" w:type="dxa"/>
            <w:shd w:val="clear" w:color="auto" w:fill="auto"/>
          </w:tcPr>
          <w:p w14:paraId="054F950E" w14:textId="77777777" w:rsidR="006C269A" w:rsidRPr="00550D36" w:rsidRDefault="006C269A" w:rsidP="00AB05FB">
            <w:pPr>
              <w:pStyle w:val="Btablefigureunbold"/>
              <w:rPr>
                <w:color w:val="472D8C"/>
              </w:rPr>
            </w:pPr>
          </w:p>
        </w:tc>
        <w:tc>
          <w:tcPr>
            <w:tcW w:w="1070" w:type="dxa"/>
            <w:shd w:val="clear" w:color="auto" w:fill="auto"/>
            <w:noWrap/>
          </w:tcPr>
          <w:p w14:paraId="5915E7DE" w14:textId="77777777" w:rsidR="006C269A" w:rsidRPr="00550D36" w:rsidRDefault="006C269A" w:rsidP="00AB05FB">
            <w:pPr>
              <w:pStyle w:val="Btablefigureunbold"/>
              <w:rPr>
                <w:color w:val="472D8C"/>
              </w:rPr>
            </w:pPr>
          </w:p>
        </w:tc>
        <w:tc>
          <w:tcPr>
            <w:tcW w:w="1070" w:type="dxa"/>
            <w:shd w:val="clear" w:color="auto" w:fill="auto"/>
            <w:noWrap/>
          </w:tcPr>
          <w:p w14:paraId="386D08D0" w14:textId="77777777" w:rsidR="006C269A" w:rsidRPr="00550D36" w:rsidRDefault="006C269A" w:rsidP="00AB05FB">
            <w:pPr>
              <w:pStyle w:val="Btablefigureunbold"/>
              <w:rPr>
                <w:color w:val="472D8C"/>
              </w:rPr>
            </w:pPr>
          </w:p>
        </w:tc>
        <w:tc>
          <w:tcPr>
            <w:tcW w:w="1070" w:type="dxa"/>
            <w:shd w:val="clear" w:color="auto" w:fill="auto"/>
            <w:noWrap/>
          </w:tcPr>
          <w:p w14:paraId="49F7F33F" w14:textId="77777777" w:rsidR="006C269A" w:rsidRPr="00550D36" w:rsidRDefault="006C269A" w:rsidP="00AB05FB">
            <w:pPr>
              <w:pStyle w:val="Btablefigureunbold"/>
              <w:rPr>
                <w:color w:val="472D8C"/>
              </w:rPr>
            </w:pPr>
          </w:p>
        </w:tc>
        <w:tc>
          <w:tcPr>
            <w:tcW w:w="1070" w:type="dxa"/>
            <w:shd w:val="clear" w:color="auto" w:fill="auto"/>
            <w:noWrap/>
          </w:tcPr>
          <w:p w14:paraId="483B9001" w14:textId="77777777" w:rsidR="006C269A" w:rsidRPr="00550D36" w:rsidRDefault="006C269A" w:rsidP="00AB05FB">
            <w:pPr>
              <w:pStyle w:val="Btablefigureunbold"/>
              <w:rPr>
                <w:color w:val="472D8C"/>
              </w:rPr>
            </w:pPr>
          </w:p>
        </w:tc>
        <w:tc>
          <w:tcPr>
            <w:tcW w:w="1068" w:type="dxa"/>
            <w:shd w:val="clear" w:color="auto" w:fill="auto"/>
            <w:noWrap/>
          </w:tcPr>
          <w:p w14:paraId="30104138" w14:textId="77777777" w:rsidR="006C269A" w:rsidRPr="00550D36" w:rsidRDefault="006C269A" w:rsidP="00AB05FB">
            <w:pPr>
              <w:pStyle w:val="Btablefigureunbold"/>
              <w:rPr>
                <w:color w:val="472D8C"/>
              </w:rPr>
            </w:pPr>
          </w:p>
        </w:tc>
      </w:tr>
      <w:tr w:rsidR="006C269A" w:rsidRPr="00F76B6E" w14:paraId="56DA32EB" w14:textId="77777777" w:rsidTr="00AB05FB">
        <w:trPr>
          <w:trHeight w:val="231"/>
          <w:jc w:val="center"/>
        </w:trPr>
        <w:tc>
          <w:tcPr>
            <w:tcW w:w="2864" w:type="dxa"/>
            <w:shd w:val="clear" w:color="auto" w:fill="auto"/>
            <w:noWrap/>
          </w:tcPr>
          <w:p w14:paraId="51A32F92" w14:textId="77777777" w:rsidR="006C269A" w:rsidRPr="00B56605" w:rsidRDefault="006C269A" w:rsidP="00AB05FB">
            <w:pPr>
              <w:pStyle w:val="BStabletext"/>
            </w:pPr>
            <w:r w:rsidRPr="00B56605">
              <w:t xml:space="preserve">Closing </w:t>
            </w:r>
            <w:r>
              <w:t>a</w:t>
            </w:r>
            <w:r w:rsidRPr="00B56605">
              <w:t xml:space="preserve">ccumulated </w:t>
            </w:r>
            <w:r>
              <w:t>f</w:t>
            </w:r>
            <w:r w:rsidRPr="00B56605">
              <w:t>unds</w:t>
            </w:r>
          </w:p>
        </w:tc>
        <w:tc>
          <w:tcPr>
            <w:tcW w:w="1070" w:type="dxa"/>
            <w:shd w:val="clear" w:color="auto" w:fill="auto"/>
            <w:noWrap/>
          </w:tcPr>
          <w:p w14:paraId="7C64C422" w14:textId="77777777" w:rsidR="006C269A" w:rsidRPr="0095558A" w:rsidRDefault="006C269A" w:rsidP="00AB05FB">
            <w:pPr>
              <w:pStyle w:val="Btablefigureunbold"/>
            </w:pPr>
            <w:r w:rsidRPr="0095558A">
              <w:t>3,339,983</w:t>
            </w:r>
          </w:p>
        </w:tc>
        <w:tc>
          <w:tcPr>
            <w:tcW w:w="1070" w:type="dxa"/>
            <w:shd w:val="clear" w:color="auto" w:fill="auto"/>
            <w:noWrap/>
          </w:tcPr>
          <w:p w14:paraId="40C55339" w14:textId="77777777" w:rsidR="006C269A" w:rsidRPr="0095558A" w:rsidRDefault="006C269A" w:rsidP="00AB05FB">
            <w:pPr>
              <w:pStyle w:val="Btablefigureunbold"/>
            </w:pPr>
            <w:r w:rsidRPr="0095558A">
              <w:t>3,435,095</w:t>
            </w:r>
          </w:p>
        </w:tc>
        <w:tc>
          <w:tcPr>
            <w:tcW w:w="1070" w:type="dxa"/>
            <w:shd w:val="clear" w:color="auto" w:fill="auto"/>
            <w:noWrap/>
            <w:vAlign w:val="bottom"/>
          </w:tcPr>
          <w:p w14:paraId="6D1689BF" w14:textId="77777777" w:rsidR="006C269A" w:rsidRPr="0095558A" w:rsidRDefault="006C269A" w:rsidP="00AB05FB">
            <w:pPr>
              <w:pStyle w:val="Btablefigureunbold"/>
            </w:pPr>
            <w:r w:rsidRPr="0095558A">
              <w:t>3,499,246</w:t>
            </w:r>
          </w:p>
        </w:tc>
        <w:tc>
          <w:tcPr>
            <w:tcW w:w="1070" w:type="dxa"/>
            <w:shd w:val="clear" w:color="auto" w:fill="auto"/>
            <w:noWrap/>
            <w:vAlign w:val="bottom"/>
          </w:tcPr>
          <w:p w14:paraId="14AF4EA3" w14:textId="77777777" w:rsidR="006C269A" w:rsidRPr="0095558A" w:rsidRDefault="006C269A" w:rsidP="00AB05FB">
            <w:pPr>
              <w:pStyle w:val="Btablefigureunbold"/>
            </w:pPr>
            <w:r w:rsidRPr="0095558A">
              <w:t>3,513,734</w:t>
            </w:r>
          </w:p>
        </w:tc>
        <w:tc>
          <w:tcPr>
            <w:tcW w:w="1070" w:type="dxa"/>
            <w:shd w:val="clear" w:color="auto" w:fill="auto"/>
            <w:noWrap/>
            <w:vAlign w:val="bottom"/>
          </w:tcPr>
          <w:p w14:paraId="24688C92" w14:textId="77777777" w:rsidR="006C269A" w:rsidRPr="0095558A" w:rsidRDefault="006C269A" w:rsidP="00AB05FB">
            <w:pPr>
              <w:pStyle w:val="Btablefigureunbold"/>
            </w:pPr>
            <w:r w:rsidRPr="0095558A">
              <w:t>3,501,535</w:t>
            </w:r>
          </w:p>
        </w:tc>
        <w:tc>
          <w:tcPr>
            <w:tcW w:w="1081" w:type="dxa"/>
            <w:gridSpan w:val="2"/>
            <w:shd w:val="clear" w:color="auto" w:fill="auto"/>
            <w:noWrap/>
            <w:vAlign w:val="bottom"/>
          </w:tcPr>
          <w:p w14:paraId="59E59035" w14:textId="77777777" w:rsidR="006C269A" w:rsidRPr="0095558A" w:rsidRDefault="006C269A" w:rsidP="00AB05FB">
            <w:pPr>
              <w:pStyle w:val="Btablefigureunbold"/>
            </w:pPr>
            <w:r w:rsidRPr="0095558A">
              <w:t>3,422,355</w:t>
            </w:r>
          </w:p>
        </w:tc>
      </w:tr>
      <w:tr w:rsidR="006C269A" w:rsidRPr="00F76B6E" w14:paraId="2E1BD282" w14:textId="77777777" w:rsidTr="00AB05FB">
        <w:trPr>
          <w:trHeight w:val="231"/>
          <w:jc w:val="center"/>
        </w:trPr>
        <w:tc>
          <w:tcPr>
            <w:tcW w:w="2864" w:type="dxa"/>
            <w:shd w:val="clear" w:color="auto" w:fill="auto"/>
            <w:noWrap/>
          </w:tcPr>
          <w:p w14:paraId="0BE05045" w14:textId="77777777" w:rsidR="006C269A" w:rsidRPr="00B56605" w:rsidRDefault="006C269A" w:rsidP="00AB05FB">
            <w:pPr>
              <w:pStyle w:val="BStabletext"/>
            </w:pPr>
            <w:r w:rsidRPr="00B56605">
              <w:t xml:space="preserve">Closing </w:t>
            </w:r>
            <w:r>
              <w:t>a</w:t>
            </w:r>
            <w:r w:rsidRPr="00B56605">
              <w:t xml:space="preserve">sset </w:t>
            </w:r>
            <w:r>
              <w:t>r</w:t>
            </w:r>
            <w:r w:rsidRPr="00B56605">
              <w:t xml:space="preserve">evaluation </w:t>
            </w:r>
            <w:r>
              <w:t>s</w:t>
            </w:r>
            <w:r w:rsidRPr="00B56605">
              <w:t>urplus</w:t>
            </w:r>
          </w:p>
        </w:tc>
        <w:tc>
          <w:tcPr>
            <w:tcW w:w="1070" w:type="dxa"/>
            <w:shd w:val="clear" w:color="auto" w:fill="auto"/>
            <w:noWrap/>
          </w:tcPr>
          <w:p w14:paraId="377413F3" w14:textId="77777777" w:rsidR="006C269A" w:rsidRPr="0095558A" w:rsidRDefault="006C269A" w:rsidP="00AB05FB">
            <w:pPr>
              <w:pStyle w:val="Btablefigureunbold"/>
            </w:pPr>
            <w:r w:rsidRPr="0095558A">
              <w:t>4,272,505</w:t>
            </w:r>
          </w:p>
        </w:tc>
        <w:tc>
          <w:tcPr>
            <w:tcW w:w="1070" w:type="dxa"/>
            <w:shd w:val="clear" w:color="auto" w:fill="auto"/>
            <w:noWrap/>
          </w:tcPr>
          <w:p w14:paraId="7B2E238C" w14:textId="77777777" w:rsidR="006C269A" w:rsidRPr="0095558A" w:rsidRDefault="006C269A" w:rsidP="00AB05FB">
            <w:pPr>
              <w:pStyle w:val="Btablefigureunbold"/>
            </w:pPr>
            <w:r w:rsidRPr="0095558A">
              <w:t>5,439,866</w:t>
            </w:r>
          </w:p>
        </w:tc>
        <w:tc>
          <w:tcPr>
            <w:tcW w:w="1070" w:type="dxa"/>
            <w:shd w:val="clear" w:color="auto" w:fill="auto"/>
            <w:noWrap/>
            <w:vAlign w:val="bottom"/>
          </w:tcPr>
          <w:p w14:paraId="34169CA2" w14:textId="77777777" w:rsidR="006C269A" w:rsidRPr="0095558A" w:rsidRDefault="006C269A" w:rsidP="00AB05FB">
            <w:pPr>
              <w:pStyle w:val="Btablefigureunbold"/>
            </w:pPr>
            <w:r w:rsidRPr="0095558A">
              <w:t>5,521,361</w:t>
            </w:r>
          </w:p>
        </w:tc>
        <w:tc>
          <w:tcPr>
            <w:tcW w:w="1070" w:type="dxa"/>
            <w:shd w:val="clear" w:color="auto" w:fill="auto"/>
            <w:noWrap/>
            <w:vAlign w:val="bottom"/>
          </w:tcPr>
          <w:p w14:paraId="6283C68B" w14:textId="77777777" w:rsidR="006C269A" w:rsidRPr="0095558A" w:rsidRDefault="006C269A" w:rsidP="00AB05FB">
            <w:pPr>
              <w:pStyle w:val="Btablefigureunbold"/>
            </w:pPr>
            <w:r w:rsidRPr="0095558A">
              <w:t>5,500,642</w:t>
            </w:r>
          </w:p>
        </w:tc>
        <w:tc>
          <w:tcPr>
            <w:tcW w:w="1070" w:type="dxa"/>
            <w:shd w:val="clear" w:color="auto" w:fill="auto"/>
            <w:noWrap/>
            <w:vAlign w:val="bottom"/>
          </w:tcPr>
          <w:p w14:paraId="7464BE93" w14:textId="77777777" w:rsidR="006C269A" w:rsidRPr="0095558A" w:rsidRDefault="006C269A" w:rsidP="00AB05FB">
            <w:pPr>
              <w:pStyle w:val="Btablefigureunbold"/>
            </w:pPr>
            <w:r w:rsidRPr="0095558A">
              <w:t>5,677,610</w:t>
            </w:r>
          </w:p>
        </w:tc>
        <w:tc>
          <w:tcPr>
            <w:tcW w:w="1081" w:type="dxa"/>
            <w:gridSpan w:val="2"/>
            <w:shd w:val="clear" w:color="auto" w:fill="auto"/>
            <w:noWrap/>
            <w:vAlign w:val="bottom"/>
          </w:tcPr>
          <w:p w14:paraId="57F005D0" w14:textId="77777777" w:rsidR="006C269A" w:rsidRPr="0095558A" w:rsidRDefault="006C269A" w:rsidP="00AB05FB">
            <w:pPr>
              <w:pStyle w:val="Btablefigureunbold"/>
            </w:pPr>
            <w:r w:rsidRPr="0095558A">
              <w:t>5,706,916</w:t>
            </w:r>
          </w:p>
        </w:tc>
      </w:tr>
      <w:tr w:rsidR="006C269A" w:rsidRPr="0095558A" w14:paraId="42CA189F" w14:textId="77777777" w:rsidTr="00AB05FB">
        <w:trPr>
          <w:trHeight w:val="77"/>
          <w:jc w:val="center"/>
        </w:trPr>
        <w:tc>
          <w:tcPr>
            <w:tcW w:w="2864" w:type="dxa"/>
            <w:tcBorders>
              <w:top w:val="single" w:sz="4" w:space="0" w:color="auto"/>
              <w:bottom w:val="single" w:sz="4" w:space="0" w:color="auto"/>
            </w:tcBorders>
            <w:shd w:val="clear" w:color="auto" w:fill="auto"/>
            <w:noWrap/>
          </w:tcPr>
          <w:p w14:paraId="7C6785D0" w14:textId="77777777" w:rsidR="006C269A" w:rsidRPr="004629D6" w:rsidRDefault="006C269A" w:rsidP="00AB05FB">
            <w:pPr>
              <w:pStyle w:val="BStabletextbold"/>
              <w:rPr>
                <w:color w:val="472D8C"/>
              </w:rPr>
            </w:pPr>
            <w:r w:rsidRPr="004629D6">
              <w:rPr>
                <w:color w:val="472D8C"/>
              </w:rPr>
              <w:t>Closing balance</w:t>
            </w:r>
          </w:p>
        </w:tc>
        <w:tc>
          <w:tcPr>
            <w:tcW w:w="1070" w:type="dxa"/>
            <w:tcBorders>
              <w:top w:val="single" w:sz="4" w:space="0" w:color="auto"/>
              <w:bottom w:val="single" w:sz="4" w:space="0" w:color="auto"/>
            </w:tcBorders>
            <w:shd w:val="clear" w:color="auto" w:fill="auto"/>
            <w:noWrap/>
          </w:tcPr>
          <w:p w14:paraId="2A856C6F" w14:textId="77777777" w:rsidR="006C269A" w:rsidRPr="004629D6" w:rsidRDefault="006C269A" w:rsidP="00AB05FB">
            <w:pPr>
              <w:pStyle w:val="BStabletextbold"/>
              <w:jc w:val="right"/>
              <w:rPr>
                <w:color w:val="472D8C"/>
              </w:rPr>
            </w:pPr>
            <w:r w:rsidRPr="0095558A">
              <w:rPr>
                <w:color w:val="472D8C"/>
              </w:rPr>
              <w:t>7,612,488</w:t>
            </w:r>
          </w:p>
        </w:tc>
        <w:tc>
          <w:tcPr>
            <w:tcW w:w="1070" w:type="dxa"/>
            <w:tcBorders>
              <w:top w:val="single" w:sz="4" w:space="0" w:color="auto"/>
              <w:bottom w:val="single" w:sz="4" w:space="0" w:color="auto"/>
            </w:tcBorders>
            <w:shd w:val="clear" w:color="auto" w:fill="auto"/>
            <w:noWrap/>
          </w:tcPr>
          <w:p w14:paraId="5B9D9924" w14:textId="77777777" w:rsidR="006C269A" w:rsidRPr="004629D6" w:rsidRDefault="006C269A" w:rsidP="00AB05FB">
            <w:pPr>
              <w:pStyle w:val="BStabletextbold"/>
              <w:jc w:val="right"/>
              <w:rPr>
                <w:color w:val="472D8C"/>
              </w:rPr>
            </w:pPr>
            <w:r w:rsidRPr="0095558A">
              <w:rPr>
                <w:color w:val="472D8C"/>
              </w:rPr>
              <w:t>8,874,961</w:t>
            </w:r>
          </w:p>
        </w:tc>
        <w:tc>
          <w:tcPr>
            <w:tcW w:w="1070" w:type="dxa"/>
            <w:tcBorders>
              <w:top w:val="single" w:sz="4" w:space="0" w:color="auto"/>
              <w:bottom w:val="single" w:sz="4" w:space="0" w:color="auto"/>
            </w:tcBorders>
            <w:shd w:val="clear" w:color="auto" w:fill="auto"/>
            <w:noWrap/>
            <w:vAlign w:val="bottom"/>
          </w:tcPr>
          <w:p w14:paraId="4808EA78" w14:textId="77777777" w:rsidR="006C269A" w:rsidRPr="004629D6" w:rsidRDefault="006C269A" w:rsidP="00AB05FB">
            <w:pPr>
              <w:pStyle w:val="BStabletextbold"/>
              <w:jc w:val="right"/>
              <w:rPr>
                <w:color w:val="472D8C"/>
              </w:rPr>
            </w:pPr>
            <w:r w:rsidRPr="0095558A">
              <w:rPr>
                <w:color w:val="472D8C"/>
              </w:rPr>
              <w:t>9,020,607</w:t>
            </w:r>
          </w:p>
        </w:tc>
        <w:tc>
          <w:tcPr>
            <w:tcW w:w="1070" w:type="dxa"/>
            <w:tcBorders>
              <w:top w:val="single" w:sz="4" w:space="0" w:color="auto"/>
              <w:bottom w:val="single" w:sz="4" w:space="0" w:color="auto"/>
            </w:tcBorders>
            <w:shd w:val="clear" w:color="auto" w:fill="auto"/>
            <w:noWrap/>
            <w:vAlign w:val="bottom"/>
          </w:tcPr>
          <w:p w14:paraId="1917E91E" w14:textId="77777777" w:rsidR="006C269A" w:rsidRPr="004629D6" w:rsidRDefault="006C269A" w:rsidP="00AB05FB">
            <w:pPr>
              <w:pStyle w:val="BStabletextbold"/>
              <w:jc w:val="right"/>
              <w:rPr>
                <w:color w:val="472D8C"/>
              </w:rPr>
            </w:pPr>
            <w:r w:rsidRPr="0095558A">
              <w:rPr>
                <w:color w:val="472D8C"/>
              </w:rPr>
              <w:t>9,014,376</w:t>
            </w:r>
          </w:p>
        </w:tc>
        <w:tc>
          <w:tcPr>
            <w:tcW w:w="1070" w:type="dxa"/>
            <w:tcBorders>
              <w:top w:val="single" w:sz="4" w:space="0" w:color="auto"/>
              <w:bottom w:val="single" w:sz="4" w:space="0" w:color="auto"/>
            </w:tcBorders>
            <w:shd w:val="clear" w:color="auto" w:fill="auto"/>
            <w:noWrap/>
            <w:vAlign w:val="bottom"/>
          </w:tcPr>
          <w:p w14:paraId="4556F07A" w14:textId="77777777" w:rsidR="006C269A" w:rsidRPr="004629D6" w:rsidRDefault="006C269A" w:rsidP="00AB05FB">
            <w:pPr>
              <w:pStyle w:val="BStabletextbold"/>
              <w:jc w:val="right"/>
              <w:rPr>
                <w:color w:val="472D8C"/>
              </w:rPr>
            </w:pPr>
            <w:r w:rsidRPr="0095558A">
              <w:rPr>
                <w:color w:val="472D8C"/>
              </w:rPr>
              <w:t>9,179,145</w:t>
            </w:r>
          </w:p>
        </w:tc>
        <w:tc>
          <w:tcPr>
            <w:tcW w:w="1081" w:type="dxa"/>
            <w:gridSpan w:val="2"/>
            <w:tcBorders>
              <w:top w:val="single" w:sz="4" w:space="0" w:color="auto"/>
              <w:bottom w:val="single" w:sz="4" w:space="0" w:color="auto"/>
            </w:tcBorders>
            <w:shd w:val="clear" w:color="auto" w:fill="auto"/>
            <w:noWrap/>
            <w:vAlign w:val="bottom"/>
          </w:tcPr>
          <w:p w14:paraId="33544439" w14:textId="77777777" w:rsidR="006C269A" w:rsidRPr="004629D6" w:rsidRDefault="006C269A" w:rsidP="00AB05FB">
            <w:pPr>
              <w:pStyle w:val="BStabletextbold"/>
              <w:jc w:val="right"/>
              <w:rPr>
                <w:color w:val="472D8C"/>
              </w:rPr>
            </w:pPr>
            <w:r w:rsidRPr="0095558A">
              <w:rPr>
                <w:color w:val="472D8C"/>
              </w:rPr>
              <w:t>9,129,271</w:t>
            </w:r>
          </w:p>
        </w:tc>
      </w:tr>
    </w:tbl>
    <w:p w14:paraId="5E1F6466" w14:textId="77777777" w:rsidR="006C269A" w:rsidRDefault="006C269A">
      <w:pPr>
        <w:rPr>
          <w:b/>
          <w:iCs/>
          <w:color w:val="472D8C"/>
          <w:szCs w:val="18"/>
        </w:rPr>
      </w:pPr>
      <w:r>
        <w:br w:type="page"/>
      </w:r>
    </w:p>
    <w:p w14:paraId="755B98AF" w14:textId="6FEB8046" w:rsidR="006C269A" w:rsidRDefault="006C269A" w:rsidP="00AB05FB">
      <w:pPr>
        <w:pStyle w:val="Caption"/>
      </w:pPr>
      <w:r>
        <w:lastRenderedPageBreak/>
        <w:t>Table D.</w:t>
      </w:r>
      <w:fldSimple w:instr=" SEQ Table \* ARABIC \s 2 ">
        <w:r w:rsidR="001478F3">
          <w:rPr>
            <w:noProof/>
          </w:rPr>
          <w:t>4</w:t>
        </w:r>
      </w:fldSimple>
      <w:r>
        <w:t>: Australian Capital Territory Public Trading Enterprises – Statement of cash flows</w:t>
      </w:r>
    </w:p>
    <w:tbl>
      <w:tblPr>
        <w:tblW w:w="9282" w:type="dxa"/>
        <w:jc w:val="center"/>
        <w:tblLayout w:type="fixed"/>
        <w:tblCellMar>
          <w:left w:w="45" w:type="dxa"/>
          <w:right w:w="45" w:type="dxa"/>
        </w:tblCellMar>
        <w:tblLook w:val="0000" w:firstRow="0" w:lastRow="0" w:firstColumn="0" w:lastColumn="0" w:noHBand="0" w:noVBand="0"/>
      </w:tblPr>
      <w:tblGrid>
        <w:gridCol w:w="2869"/>
        <w:gridCol w:w="1068"/>
        <w:gridCol w:w="1069"/>
        <w:gridCol w:w="1069"/>
        <w:gridCol w:w="1069"/>
        <w:gridCol w:w="1069"/>
        <w:gridCol w:w="1069"/>
      </w:tblGrid>
      <w:tr w:rsidR="006C269A" w:rsidRPr="006D5D15" w14:paraId="2013E967" w14:textId="77777777" w:rsidTr="00AB05FB">
        <w:trPr>
          <w:cantSplit/>
          <w:tblHeader/>
          <w:jc w:val="center"/>
        </w:trPr>
        <w:tc>
          <w:tcPr>
            <w:tcW w:w="2869" w:type="dxa"/>
            <w:tcBorders>
              <w:top w:val="single" w:sz="4" w:space="0" w:color="auto"/>
              <w:left w:val="nil"/>
              <w:bottom w:val="single" w:sz="4" w:space="0" w:color="auto"/>
              <w:right w:val="nil"/>
            </w:tcBorders>
            <w:shd w:val="clear" w:color="auto" w:fill="472D8C"/>
            <w:noWrap/>
          </w:tcPr>
          <w:p w14:paraId="55FD6689" w14:textId="77777777" w:rsidR="006C269A" w:rsidRPr="00A1417D" w:rsidRDefault="006C269A" w:rsidP="00AB05FB">
            <w:pPr>
              <w:pStyle w:val="BStabletextbold"/>
              <w:rPr>
                <w:color w:val="FFFFFF" w:themeColor="background1"/>
              </w:rPr>
            </w:pPr>
          </w:p>
        </w:tc>
        <w:tc>
          <w:tcPr>
            <w:tcW w:w="1068" w:type="dxa"/>
            <w:tcBorders>
              <w:top w:val="single" w:sz="4" w:space="0" w:color="auto"/>
              <w:left w:val="nil"/>
              <w:bottom w:val="single" w:sz="4" w:space="0" w:color="auto"/>
              <w:right w:val="nil"/>
            </w:tcBorders>
            <w:shd w:val="clear" w:color="auto" w:fill="472D8C"/>
          </w:tcPr>
          <w:p w14:paraId="75538470" w14:textId="77777777" w:rsidR="006C269A" w:rsidRPr="00B6643E" w:rsidRDefault="006C269A" w:rsidP="00AB05FB">
            <w:pPr>
              <w:pStyle w:val="BTablefigureBold"/>
              <w:rPr>
                <w:color w:val="FFFFFF" w:themeColor="background1"/>
              </w:rPr>
            </w:pPr>
            <w:r w:rsidRPr="00B6643E">
              <w:rPr>
                <w:color w:val="FFFFFF" w:themeColor="background1"/>
              </w:rPr>
              <w:t>2020-21</w:t>
            </w:r>
          </w:p>
          <w:p w14:paraId="200CA165" w14:textId="77777777" w:rsidR="006C269A" w:rsidRPr="00B6643E" w:rsidRDefault="006C269A" w:rsidP="00AB05FB">
            <w:pPr>
              <w:pStyle w:val="BTablefigureBold"/>
              <w:rPr>
                <w:color w:val="FFFFFF" w:themeColor="background1"/>
              </w:rPr>
            </w:pPr>
            <w:r w:rsidRPr="00B6643E">
              <w:rPr>
                <w:color w:val="FFFFFF" w:themeColor="background1"/>
              </w:rPr>
              <w:t>Budget</w:t>
            </w:r>
          </w:p>
          <w:p w14:paraId="1F9857F7" w14:textId="77777777" w:rsidR="006C269A" w:rsidRPr="00B6643E" w:rsidRDefault="006C269A" w:rsidP="00AB05FB">
            <w:pPr>
              <w:pStyle w:val="BTablefigureBold"/>
              <w:rPr>
                <w:color w:val="FFFFFF" w:themeColor="background1"/>
              </w:rPr>
            </w:pPr>
          </w:p>
          <w:p w14:paraId="32736204"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c>
          <w:tcPr>
            <w:tcW w:w="1069" w:type="dxa"/>
            <w:tcBorders>
              <w:top w:val="single" w:sz="4" w:space="0" w:color="auto"/>
              <w:left w:val="nil"/>
              <w:bottom w:val="single" w:sz="4" w:space="0" w:color="auto"/>
              <w:right w:val="nil"/>
            </w:tcBorders>
            <w:shd w:val="clear" w:color="auto" w:fill="472D8C"/>
            <w:noWrap/>
          </w:tcPr>
          <w:p w14:paraId="0F8411A4" w14:textId="77777777" w:rsidR="006C269A" w:rsidRPr="00B6643E" w:rsidRDefault="006C269A" w:rsidP="00AB05FB">
            <w:pPr>
              <w:pStyle w:val="BTablefigureBold"/>
              <w:rPr>
                <w:color w:val="FFFFFF" w:themeColor="background1"/>
              </w:rPr>
            </w:pPr>
            <w:r w:rsidRPr="00B6643E">
              <w:rPr>
                <w:color w:val="FFFFFF" w:themeColor="background1"/>
              </w:rPr>
              <w:t>2020-21</w:t>
            </w:r>
          </w:p>
          <w:p w14:paraId="58A5806A" w14:textId="77777777" w:rsidR="006C269A" w:rsidRPr="00B6643E" w:rsidRDefault="006C269A" w:rsidP="00AB05FB">
            <w:pPr>
              <w:pStyle w:val="BTablefigureBold"/>
              <w:rPr>
                <w:color w:val="FFFFFF" w:themeColor="background1"/>
              </w:rPr>
            </w:pPr>
            <w:r w:rsidRPr="00B6643E">
              <w:rPr>
                <w:color w:val="FFFFFF" w:themeColor="background1"/>
              </w:rPr>
              <w:t>Interim outcome</w:t>
            </w:r>
          </w:p>
          <w:p w14:paraId="603C596B"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c>
          <w:tcPr>
            <w:tcW w:w="1069" w:type="dxa"/>
            <w:tcBorders>
              <w:top w:val="single" w:sz="4" w:space="0" w:color="auto"/>
              <w:left w:val="nil"/>
              <w:bottom w:val="single" w:sz="4" w:space="0" w:color="auto"/>
              <w:right w:val="nil"/>
            </w:tcBorders>
            <w:shd w:val="clear" w:color="auto" w:fill="472D8C"/>
            <w:noWrap/>
          </w:tcPr>
          <w:p w14:paraId="063F41D4" w14:textId="77777777" w:rsidR="006C269A" w:rsidRPr="00B6643E" w:rsidRDefault="006C269A" w:rsidP="00AB05FB">
            <w:pPr>
              <w:pStyle w:val="BTablefigureBold"/>
              <w:rPr>
                <w:color w:val="FFFFFF" w:themeColor="background1"/>
              </w:rPr>
            </w:pPr>
            <w:r w:rsidRPr="00B6643E">
              <w:rPr>
                <w:color w:val="FFFFFF" w:themeColor="background1"/>
              </w:rPr>
              <w:t>2021-22</w:t>
            </w:r>
          </w:p>
          <w:p w14:paraId="43CD2155" w14:textId="77777777" w:rsidR="006C269A" w:rsidRPr="00B6643E" w:rsidRDefault="006C269A" w:rsidP="00AB05FB">
            <w:pPr>
              <w:pStyle w:val="BTablefigureBold"/>
              <w:rPr>
                <w:color w:val="FFFFFF" w:themeColor="background1"/>
              </w:rPr>
            </w:pPr>
            <w:r w:rsidRPr="00B6643E">
              <w:rPr>
                <w:color w:val="FFFFFF" w:themeColor="background1"/>
              </w:rPr>
              <w:t>Budget</w:t>
            </w:r>
          </w:p>
          <w:p w14:paraId="2F848003" w14:textId="77777777" w:rsidR="006C269A" w:rsidRPr="00B6643E" w:rsidRDefault="006C269A" w:rsidP="00AB05FB">
            <w:pPr>
              <w:pStyle w:val="BTablefigureBold"/>
              <w:rPr>
                <w:color w:val="FFFFFF" w:themeColor="background1"/>
              </w:rPr>
            </w:pPr>
          </w:p>
          <w:p w14:paraId="092FCD88"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c>
          <w:tcPr>
            <w:tcW w:w="1069" w:type="dxa"/>
            <w:tcBorders>
              <w:top w:val="single" w:sz="4" w:space="0" w:color="auto"/>
              <w:left w:val="nil"/>
              <w:bottom w:val="single" w:sz="4" w:space="0" w:color="auto"/>
              <w:right w:val="nil"/>
            </w:tcBorders>
            <w:shd w:val="clear" w:color="auto" w:fill="472D8C"/>
            <w:noWrap/>
          </w:tcPr>
          <w:p w14:paraId="09EC971A" w14:textId="77777777" w:rsidR="006C269A" w:rsidRPr="00B6643E" w:rsidRDefault="006C269A" w:rsidP="00AB05FB">
            <w:pPr>
              <w:pStyle w:val="BTablefigureBold"/>
              <w:rPr>
                <w:color w:val="FFFFFF" w:themeColor="background1"/>
              </w:rPr>
            </w:pPr>
            <w:r w:rsidRPr="00B6643E">
              <w:rPr>
                <w:color w:val="FFFFFF" w:themeColor="background1"/>
              </w:rPr>
              <w:t>2022-23</w:t>
            </w:r>
          </w:p>
          <w:p w14:paraId="546D78DE" w14:textId="77777777" w:rsidR="006C269A" w:rsidRPr="00B6643E" w:rsidRDefault="006C269A" w:rsidP="00AB05FB">
            <w:pPr>
              <w:pStyle w:val="BTablefigureBold"/>
              <w:rPr>
                <w:color w:val="FFFFFF" w:themeColor="background1"/>
              </w:rPr>
            </w:pPr>
            <w:r w:rsidRPr="00B6643E">
              <w:rPr>
                <w:color w:val="FFFFFF" w:themeColor="background1"/>
              </w:rPr>
              <w:t>Estimate</w:t>
            </w:r>
          </w:p>
          <w:p w14:paraId="06C2ADE0" w14:textId="77777777" w:rsidR="006C269A" w:rsidRPr="00B6643E" w:rsidRDefault="006C269A" w:rsidP="00AB05FB">
            <w:pPr>
              <w:pStyle w:val="BTablefigureBold"/>
              <w:rPr>
                <w:color w:val="FFFFFF" w:themeColor="background1"/>
              </w:rPr>
            </w:pPr>
          </w:p>
          <w:p w14:paraId="759519F4"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c>
          <w:tcPr>
            <w:tcW w:w="1069" w:type="dxa"/>
            <w:tcBorders>
              <w:top w:val="single" w:sz="4" w:space="0" w:color="auto"/>
              <w:left w:val="nil"/>
              <w:bottom w:val="single" w:sz="4" w:space="0" w:color="auto"/>
              <w:right w:val="nil"/>
            </w:tcBorders>
            <w:shd w:val="clear" w:color="auto" w:fill="472D8C"/>
            <w:noWrap/>
          </w:tcPr>
          <w:p w14:paraId="74118C97" w14:textId="77777777" w:rsidR="006C269A" w:rsidRPr="00B6643E" w:rsidRDefault="006C269A" w:rsidP="00AB05FB">
            <w:pPr>
              <w:pStyle w:val="BTablefigureBold"/>
              <w:rPr>
                <w:color w:val="FFFFFF" w:themeColor="background1"/>
              </w:rPr>
            </w:pPr>
            <w:r w:rsidRPr="00B6643E">
              <w:rPr>
                <w:color w:val="FFFFFF" w:themeColor="background1"/>
              </w:rPr>
              <w:t>2023-24</w:t>
            </w:r>
          </w:p>
          <w:p w14:paraId="604B6CDF" w14:textId="77777777" w:rsidR="006C269A" w:rsidRPr="00B6643E" w:rsidRDefault="006C269A" w:rsidP="00AB05FB">
            <w:pPr>
              <w:pStyle w:val="BTablefigureBold"/>
              <w:rPr>
                <w:color w:val="FFFFFF" w:themeColor="background1"/>
              </w:rPr>
            </w:pPr>
            <w:r w:rsidRPr="00B6643E">
              <w:rPr>
                <w:color w:val="FFFFFF" w:themeColor="background1"/>
              </w:rPr>
              <w:t>Estimate</w:t>
            </w:r>
          </w:p>
          <w:p w14:paraId="489C9621" w14:textId="77777777" w:rsidR="006C269A" w:rsidRPr="00B6643E" w:rsidRDefault="006C269A" w:rsidP="00AB05FB">
            <w:pPr>
              <w:pStyle w:val="BTablefigureBold"/>
              <w:rPr>
                <w:color w:val="FFFFFF" w:themeColor="background1"/>
              </w:rPr>
            </w:pPr>
          </w:p>
          <w:p w14:paraId="3A385824"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c>
          <w:tcPr>
            <w:tcW w:w="1069" w:type="dxa"/>
            <w:tcBorders>
              <w:top w:val="single" w:sz="4" w:space="0" w:color="auto"/>
              <w:left w:val="nil"/>
              <w:bottom w:val="single" w:sz="4" w:space="0" w:color="auto"/>
              <w:right w:val="nil"/>
            </w:tcBorders>
            <w:shd w:val="clear" w:color="auto" w:fill="472D8C"/>
            <w:noWrap/>
          </w:tcPr>
          <w:p w14:paraId="1E9A22FD" w14:textId="77777777" w:rsidR="006C269A" w:rsidRPr="00B6643E" w:rsidRDefault="006C269A" w:rsidP="00AB05FB">
            <w:pPr>
              <w:pStyle w:val="BTablefigureBold"/>
              <w:rPr>
                <w:color w:val="FFFFFF" w:themeColor="background1"/>
              </w:rPr>
            </w:pPr>
            <w:r w:rsidRPr="00B6643E">
              <w:rPr>
                <w:color w:val="FFFFFF" w:themeColor="background1"/>
              </w:rPr>
              <w:t>2024-25</w:t>
            </w:r>
          </w:p>
          <w:p w14:paraId="1A3D0972" w14:textId="77777777" w:rsidR="006C269A" w:rsidRPr="00B6643E" w:rsidRDefault="006C269A" w:rsidP="00AB05FB">
            <w:pPr>
              <w:pStyle w:val="BTablefigureBold"/>
              <w:rPr>
                <w:color w:val="FFFFFF" w:themeColor="background1"/>
              </w:rPr>
            </w:pPr>
            <w:r w:rsidRPr="00B6643E">
              <w:rPr>
                <w:color w:val="FFFFFF" w:themeColor="background1"/>
              </w:rPr>
              <w:t>Estimate</w:t>
            </w:r>
          </w:p>
          <w:p w14:paraId="32A02378" w14:textId="77777777" w:rsidR="006C269A" w:rsidRPr="00B6643E" w:rsidRDefault="006C269A" w:rsidP="00AB05FB">
            <w:pPr>
              <w:pStyle w:val="BTablefigureBold"/>
              <w:rPr>
                <w:color w:val="FFFFFF" w:themeColor="background1"/>
              </w:rPr>
            </w:pPr>
          </w:p>
          <w:p w14:paraId="447D9041" w14:textId="77777777" w:rsidR="006C269A" w:rsidRPr="00B6643E" w:rsidRDefault="006C269A" w:rsidP="00AB05FB">
            <w:pPr>
              <w:pStyle w:val="BTablefigureBold"/>
              <w:rPr>
                <w:color w:val="FFFFFF" w:themeColor="background1"/>
                <w:highlight w:val="yellow"/>
              </w:rPr>
            </w:pPr>
            <w:r w:rsidRPr="00B6643E">
              <w:rPr>
                <w:color w:val="FFFFFF" w:themeColor="background1"/>
              </w:rPr>
              <w:t>$’000</w:t>
            </w:r>
          </w:p>
        </w:tc>
      </w:tr>
      <w:tr w:rsidR="006C269A" w:rsidRPr="00191D85" w14:paraId="629C8B1F" w14:textId="77777777" w:rsidTr="00AB05FB">
        <w:trPr>
          <w:cantSplit/>
          <w:jc w:val="center"/>
        </w:trPr>
        <w:tc>
          <w:tcPr>
            <w:tcW w:w="2869" w:type="dxa"/>
            <w:shd w:val="clear" w:color="auto" w:fill="auto"/>
            <w:noWrap/>
          </w:tcPr>
          <w:p w14:paraId="36EDDB73" w14:textId="77777777" w:rsidR="006C269A" w:rsidRPr="00191D85" w:rsidRDefault="006C269A" w:rsidP="00AB05FB">
            <w:pPr>
              <w:pStyle w:val="Btabletextbolditalic"/>
              <w:rPr>
                <w:i w:val="0"/>
                <w:iCs/>
              </w:rPr>
            </w:pPr>
            <w:r w:rsidRPr="00191D85">
              <w:rPr>
                <w:i w:val="0"/>
                <w:iCs/>
              </w:rPr>
              <w:t>Cash flows from operating activities</w:t>
            </w:r>
          </w:p>
        </w:tc>
        <w:tc>
          <w:tcPr>
            <w:tcW w:w="1068" w:type="dxa"/>
            <w:shd w:val="clear" w:color="auto" w:fill="auto"/>
          </w:tcPr>
          <w:p w14:paraId="5E08AC1C" w14:textId="77777777" w:rsidR="006C269A" w:rsidRPr="00191D85" w:rsidRDefault="006C269A" w:rsidP="00AB05FB">
            <w:pPr>
              <w:pStyle w:val="Btabletextbolditalic"/>
              <w:rPr>
                <w:i w:val="0"/>
                <w:iCs/>
              </w:rPr>
            </w:pPr>
            <w:r w:rsidRPr="00191D85">
              <w:rPr>
                <w:i w:val="0"/>
                <w:iCs/>
              </w:rPr>
              <w:t xml:space="preserve"> </w:t>
            </w:r>
          </w:p>
        </w:tc>
        <w:tc>
          <w:tcPr>
            <w:tcW w:w="1069" w:type="dxa"/>
            <w:shd w:val="clear" w:color="auto" w:fill="auto"/>
            <w:noWrap/>
          </w:tcPr>
          <w:p w14:paraId="0DBF8624" w14:textId="77777777" w:rsidR="006C269A" w:rsidRPr="00191D85" w:rsidRDefault="006C269A" w:rsidP="00AB05FB">
            <w:pPr>
              <w:pStyle w:val="Btabletextbolditalic"/>
              <w:rPr>
                <w:i w:val="0"/>
                <w:iCs/>
              </w:rPr>
            </w:pPr>
            <w:r w:rsidRPr="00191D85">
              <w:rPr>
                <w:i w:val="0"/>
                <w:iCs/>
              </w:rPr>
              <w:t xml:space="preserve"> </w:t>
            </w:r>
          </w:p>
        </w:tc>
        <w:tc>
          <w:tcPr>
            <w:tcW w:w="1069" w:type="dxa"/>
            <w:shd w:val="clear" w:color="auto" w:fill="auto"/>
            <w:noWrap/>
          </w:tcPr>
          <w:p w14:paraId="0789D000" w14:textId="77777777" w:rsidR="006C269A" w:rsidRPr="00191D85" w:rsidRDefault="006C269A" w:rsidP="00AB05FB">
            <w:pPr>
              <w:pStyle w:val="Btabletextbolditalic"/>
              <w:rPr>
                <w:i w:val="0"/>
                <w:iCs/>
              </w:rPr>
            </w:pPr>
            <w:r w:rsidRPr="00191D85">
              <w:rPr>
                <w:i w:val="0"/>
                <w:iCs/>
              </w:rPr>
              <w:t xml:space="preserve"> </w:t>
            </w:r>
          </w:p>
        </w:tc>
        <w:tc>
          <w:tcPr>
            <w:tcW w:w="1069" w:type="dxa"/>
            <w:shd w:val="clear" w:color="auto" w:fill="auto"/>
            <w:noWrap/>
          </w:tcPr>
          <w:p w14:paraId="4CFD36F6" w14:textId="77777777" w:rsidR="006C269A" w:rsidRPr="00191D85" w:rsidRDefault="006C269A" w:rsidP="00AB05FB">
            <w:pPr>
              <w:pStyle w:val="Btabletextbolditalic"/>
              <w:rPr>
                <w:i w:val="0"/>
                <w:iCs/>
              </w:rPr>
            </w:pPr>
            <w:r w:rsidRPr="00191D85">
              <w:rPr>
                <w:i w:val="0"/>
                <w:iCs/>
              </w:rPr>
              <w:t xml:space="preserve"> </w:t>
            </w:r>
          </w:p>
        </w:tc>
        <w:tc>
          <w:tcPr>
            <w:tcW w:w="1069" w:type="dxa"/>
            <w:shd w:val="clear" w:color="auto" w:fill="auto"/>
            <w:noWrap/>
          </w:tcPr>
          <w:p w14:paraId="29326697" w14:textId="77777777" w:rsidR="006C269A" w:rsidRPr="00191D85" w:rsidRDefault="006C269A" w:rsidP="00AB05FB">
            <w:pPr>
              <w:pStyle w:val="Btabletextbolditalic"/>
              <w:rPr>
                <w:i w:val="0"/>
                <w:iCs/>
              </w:rPr>
            </w:pPr>
            <w:r w:rsidRPr="00191D85">
              <w:rPr>
                <w:i w:val="0"/>
                <w:iCs/>
              </w:rPr>
              <w:t xml:space="preserve"> </w:t>
            </w:r>
          </w:p>
        </w:tc>
        <w:tc>
          <w:tcPr>
            <w:tcW w:w="1069" w:type="dxa"/>
            <w:shd w:val="clear" w:color="auto" w:fill="auto"/>
            <w:noWrap/>
          </w:tcPr>
          <w:p w14:paraId="0D9685ED" w14:textId="77777777" w:rsidR="006C269A" w:rsidRPr="00191D85" w:rsidRDefault="006C269A" w:rsidP="00AB05FB">
            <w:pPr>
              <w:pStyle w:val="Btabletextbolditalic"/>
              <w:rPr>
                <w:i w:val="0"/>
                <w:iCs/>
              </w:rPr>
            </w:pPr>
            <w:r w:rsidRPr="00191D85">
              <w:rPr>
                <w:i w:val="0"/>
                <w:iCs/>
              </w:rPr>
              <w:t xml:space="preserve"> </w:t>
            </w:r>
          </w:p>
        </w:tc>
      </w:tr>
      <w:tr w:rsidR="006C269A" w:rsidRPr="00191D85" w14:paraId="0D768648" w14:textId="77777777" w:rsidTr="00AB05FB">
        <w:trPr>
          <w:cantSplit/>
          <w:jc w:val="center"/>
        </w:trPr>
        <w:tc>
          <w:tcPr>
            <w:tcW w:w="2869" w:type="dxa"/>
            <w:shd w:val="clear" w:color="auto" w:fill="auto"/>
            <w:noWrap/>
          </w:tcPr>
          <w:p w14:paraId="2A91FCAE" w14:textId="77777777" w:rsidR="006C269A" w:rsidRPr="00191D85" w:rsidRDefault="006C269A" w:rsidP="00AB05FB">
            <w:pPr>
              <w:pStyle w:val="Btabletextbolditalic"/>
              <w:rPr>
                <w:rFonts w:eastAsia="SimSun"/>
                <w:i w:val="0"/>
                <w:iCs/>
              </w:rPr>
            </w:pPr>
            <w:r w:rsidRPr="00191D85">
              <w:rPr>
                <w:i w:val="0"/>
                <w:iCs/>
              </w:rPr>
              <w:t>Receipts</w:t>
            </w:r>
          </w:p>
        </w:tc>
        <w:tc>
          <w:tcPr>
            <w:tcW w:w="1068" w:type="dxa"/>
            <w:shd w:val="clear" w:color="auto" w:fill="auto"/>
          </w:tcPr>
          <w:p w14:paraId="3D975F93" w14:textId="77777777" w:rsidR="006C269A" w:rsidRPr="00191D85" w:rsidRDefault="006C269A" w:rsidP="00AB05FB">
            <w:pPr>
              <w:pStyle w:val="Btablefigureunbold"/>
              <w:rPr>
                <w:iCs/>
              </w:rPr>
            </w:pPr>
          </w:p>
        </w:tc>
        <w:tc>
          <w:tcPr>
            <w:tcW w:w="1069" w:type="dxa"/>
            <w:shd w:val="clear" w:color="auto" w:fill="auto"/>
            <w:noWrap/>
          </w:tcPr>
          <w:p w14:paraId="733A655D" w14:textId="77777777" w:rsidR="006C269A" w:rsidRPr="00191D85" w:rsidRDefault="006C269A" w:rsidP="00AB05FB">
            <w:pPr>
              <w:pStyle w:val="Btablefigureunbold"/>
              <w:rPr>
                <w:iCs/>
              </w:rPr>
            </w:pPr>
          </w:p>
        </w:tc>
        <w:tc>
          <w:tcPr>
            <w:tcW w:w="1069" w:type="dxa"/>
            <w:shd w:val="clear" w:color="auto" w:fill="auto"/>
            <w:noWrap/>
          </w:tcPr>
          <w:p w14:paraId="224F8E42" w14:textId="77777777" w:rsidR="006C269A" w:rsidRPr="00191D85" w:rsidRDefault="006C269A" w:rsidP="00AB05FB">
            <w:pPr>
              <w:pStyle w:val="Btablefigureunbold"/>
              <w:rPr>
                <w:iCs/>
              </w:rPr>
            </w:pPr>
            <w:r w:rsidRPr="00191D85">
              <w:rPr>
                <w:rFonts w:cs="Calibri"/>
                <w:iCs/>
                <w:color w:val="FFFFFF"/>
                <w:sz w:val="12"/>
                <w:highlight w:val="yellow"/>
              </w:rPr>
              <w:t xml:space="preserve"> </w:t>
            </w:r>
          </w:p>
        </w:tc>
        <w:tc>
          <w:tcPr>
            <w:tcW w:w="1069" w:type="dxa"/>
            <w:shd w:val="clear" w:color="auto" w:fill="auto"/>
            <w:noWrap/>
          </w:tcPr>
          <w:p w14:paraId="61113BFD" w14:textId="77777777" w:rsidR="006C269A" w:rsidRPr="00191D85" w:rsidRDefault="006C269A" w:rsidP="00AB05FB">
            <w:pPr>
              <w:pStyle w:val="Btablefigureunbold"/>
              <w:rPr>
                <w:iCs/>
              </w:rPr>
            </w:pPr>
            <w:r w:rsidRPr="00191D85">
              <w:rPr>
                <w:rFonts w:cs="Calibri"/>
                <w:iCs/>
                <w:color w:val="FFFFFF"/>
                <w:sz w:val="12"/>
                <w:highlight w:val="yellow"/>
              </w:rPr>
              <w:t xml:space="preserve"> </w:t>
            </w:r>
          </w:p>
        </w:tc>
        <w:tc>
          <w:tcPr>
            <w:tcW w:w="1069" w:type="dxa"/>
            <w:shd w:val="clear" w:color="auto" w:fill="auto"/>
            <w:noWrap/>
          </w:tcPr>
          <w:p w14:paraId="6D3733B9" w14:textId="77777777" w:rsidR="006C269A" w:rsidRPr="00191D85" w:rsidRDefault="006C269A" w:rsidP="00AB05FB">
            <w:pPr>
              <w:pStyle w:val="Btablefigureunbold"/>
              <w:rPr>
                <w:iCs/>
              </w:rPr>
            </w:pPr>
            <w:r w:rsidRPr="00191D85">
              <w:rPr>
                <w:rFonts w:cs="Calibri"/>
                <w:iCs/>
                <w:color w:val="FFFFFF"/>
                <w:sz w:val="12"/>
                <w:highlight w:val="yellow"/>
              </w:rPr>
              <w:t xml:space="preserve"> </w:t>
            </w:r>
          </w:p>
        </w:tc>
        <w:tc>
          <w:tcPr>
            <w:tcW w:w="1069" w:type="dxa"/>
            <w:shd w:val="clear" w:color="auto" w:fill="auto"/>
            <w:noWrap/>
          </w:tcPr>
          <w:p w14:paraId="79C81FBD" w14:textId="77777777" w:rsidR="006C269A" w:rsidRPr="00191D85" w:rsidRDefault="006C269A" w:rsidP="00AB05FB">
            <w:pPr>
              <w:pStyle w:val="Btablefigureunbold"/>
              <w:rPr>
                <w:iCs/>
              </w:rPr>
            </w:pPr>
            <w:r w:rsidRPr="00191D85">
              <w:rPr>
                <w:rFonts w:cs="Calibri"/>
                <w:iCs/>
                <w:color w:val="FFFFFF"/>
                <w:sz w:val="12"/>
                <w:highlight w:val="yellow"/>
              </w:rPr>
              <w:t xml:space="preserve"> </w:t>
            </w:r>
          </w:p>
        </w:tc>
      </w:tr>
      <w:tr w:rsidR="006C269A" w:rsidRPr="006D5D15" w14:paraId="571C4AC1" w14:textId="77777777" w:rsidTr="00AB05FB">
        <w:trPr>
          <w:cantSplit/>
          <w:jc w:val="center"/>
        </w:trPr>
        <w:tc>
          <w:tcPr>
            <w:tcW w:w="2869" w:type="dxa"/>
            <w:shd w:val="clear" w:color="auto" w:fill="auto"/>
            <w:noWrap/>
          </w:tcPr>
          <w:p w14:paraId="170A2BEF" w14:textId="77777777" w:rsidR="006C269A" w:rsidRPr="00F25F0C" w:rsidRDefault="006C269A" w:rsidP="00AB05FB">
            <w:pPr>
              <w:pStyle w:val="BStabletextunbold"/>
              <w:rPr>
                <w:rFonts w:eastAsia="SimSun"/>
              </w:rPr>
            </w:pPr>
            <w:r>
              <w:t>S</w:t>
            </w:r>
            <w:r w:rsidRPr="005002FD">
              <w:t xml:space="preserve">ales of </w:t>
            </w:r>
            <w:r>
              <w:t>g</w:t>
            </w:r>
            <w:r w:rsidRPr="005002FD">
              <w:t xml:space="preserve">oods and </w:t>
            </w:r>
            <w:r>
              <w:t>s</w:t>
            </w:r>
            <w:r w:rsidRPr="005002FD">
              <w:t>ervices</w:t>
            </w:r>
            <w:r>
              <w:t xml:space="preserve"> from contracts with customers</w:t>
            </w:r>
          </w:p>
        </w:tc>
        <w:tc>
          <w:tcPr>
            <w:tcW w:w="1068" w:type="dxa"/>
            <w:shd w:val="clear" w:color="auto" w:fill="auto"/>
          </w:tcPr>
          <w:p w14:paraId="7C443701" w14:textId="77777777" w:rsidR="006C269A" w:rsidRPr="0093546C" w:rsidRDefault="006C269A" w:rsidP="00AB05FB">
            <w:pPr>
              <w:pStyle w:val="BStabletextunbold"/>
              <w:jc w:val="right"/>
            </w:pPr>
            <w:r w:rsidRPr="0093546C">
              <w:t>1,250,479</w:t>
            </w:r>
          </w:p>
        </w:tc>
        <w:tc>
          <w:tcPr>
            <w:tcW w:w="1069" w:type="dxa"/>
            <w:shd w:val="clear" w:color="auto" w:fill="auto"/>
            <w:noWrap/>
          </w:tcPr>
          <w:p w14:paraId="5FFF10A1" w14:textId="77777777" w:rsidR="006C269A" w:rsidRPr="0093546C" w:rsidRDefault="006C269A" w:rsidP="00AB05FB">
            <w:pPr>
              <w:pStyle w:val="BStabletextunbold"/>
              <w:jc w:val="right"/>
            </w:pPr>
            <w:r w:rsidRPr="0093546C">
              <w:t>1,187,743</w:t>
            </w:r>
          </w:p>
        </w:tc>
        <w:tc>
          <w:tcPr>
            <w:tcW w:w="1069" w:type="dxa"/>
            <w:shd w:val="clear" w:color="auto" w:fill="auto"/>
            <w:noWrap/>
          </w:tcPr>
          <w:p w14:paraId="572DE6A6" w14:textId="77777777" w:rsidR="006C269A" w:rsidRPr="0093546C" w:rsidRDefault="006C269A" w:rsidP="00AB05FB">
            <w:pPr>
              <w:pStyle w:val="BStabletextunbold"/>
              <w:jc w:val="right"/>
            </w:pPr>
            <w:r w:rsidRPr="0093546C">
              <w:t>878,505</w:t>
            </w:r>
          </w:p>
        </w:tc>
        <w:tc>
          <w:tcPr>
            <w:tcW w:w="1069" w:type="dxa"/>
            <w:shd w:val="clear" w:color="auto" w:fill="auto"/>
            <w:noWrap/>
          </w:tcPr>
          <w:p w14:paraId="16F6594E" w14:textId="77777777" w:rsidR="006C269A" w:rsidRPr="0093546C" w:rsidRDefault="006C269A" w:rsidP="00AB05FB">
            <w:pPr>
              <w:pStyle w:val="BStabletextunbold"/>
              <w:jc w:val="right"/>
            </w:pPr>
            <w:r w:rsidRPr="0093546C">
              <w:t>976,711</w:t>
            </w:r>
          </w:p>
        </w:tc>
        <w:tc>
          <w:tcPr>
            <w:tcW w:w="1069" w:type="dxa"/>
            <w:shd w:val="clear" w:color="auto" w:fill="auto"/>
            <w:noWrap/>
          </w:tcPr>
          <w:p w14:paraId="03CCC780" w14:textId="77777777" w:rsidR="006C269A" w:rsidRPr="0093546C" w:rsidRDefault="006C269A" w:rsidP="00AB05FB">
            <w:pPr>
              <w:pStyle w:val="BStabletextunbold"/>
              <w:jc w:val="right"/>
            </w:pPr>
            <w:r w:rsidRPr="0093546C">
              <w:t>908,690</w:t>
            </w:r>
          </w:p>
        </w:tc>
        <w:tc>
          <w:tcPr>
            <w:tcW w:w="1069" w:type="dxa"/>
            <w:shd w:val="clear" w:color="auto" w:fill="auto"/>
            <w:noWrap/>
          </w:tcPr>
          <w:p w14:paraId="620E3BE2" w14:textId="77777777" w:rsidR="006C269A" w:rsidRPr="0093546C" w:rsidRDefault="006C269A" w:rsidP="00AB05FB">
            <w:pPr>
              <w:pStyle w:val="BStabletextunbold"/>
              <w:jc w:val="right"/>
            </w:pPr>
            <w:r w:rsidRPr="0093546C">
              <w:t>931,799</w:t>
            </w:r>
          </w:p>
        </w:tc>
      </w:tr>
      <w:tr w:rsidR="006C269A" w:rsidRPr="006D5D15" w14:paraId="763EF042" w14:textId="77777777" w:rsidTr="00AB05FB">
        <w:trPr>
          <w:cantSplit/>
          <w:jc w:val="center"/>
        </w:trPr>
        <w:tc>
          <w:tcPr>
            <w:tcW w:w="2869" w:type="dxa"/>
            <w:shd w:val="clear" w:color="auto" w:fill="auto"/>
            <w:noWrap/>
          </w:tcPr>
          <w:p w14:paraId="736CBF67" w14:textId="77777777" w:rsidR="006C269A" w:rsidRPr="00F25F0C" w:rsidRDefault="006C269A" w:rsidP="00AB05FB">
            <w:pPr>
              <w:pStyle w:val="BStabletextunbold"/>
              <w:rPr>
                <w:rFonts w:eastAsia="SimSun"/>
              </w:rPr>
            </w:pPr>
            <w:r w:rsidRPr="005002FD">
              <w:t>Grants</w:t>
            </w:r>
            <w:r>
              <w:t xml:space="preserve"> and contributions</w:t>
            </w:r>
          </w:p>
        </w:tc>
        <w:tc>
          <w:tcPr>
            <w:tcW w:w="1068" w:type="dxa"/>
            <w:shd w:val="clear" w:color="auto" w:fill="auto"/>
          </w:tcPr>
          <w:p w14:paraId="2DF7C4D6" w14:textId="77777777" w:rsidR="006C269A" w:rsidRPr="0093546C" w:rsidRDefault="006C269A" w:rsidP="00AB05FB">
            <w:pPr>
              <w:pStyle w:val="BStabletextunbold"/>
              <w:jc w:val="right"/>
            </w:pPr>
            <w:r w:rsidRPr="0093546C">
              <w:t>294,516</w:t>
            </w:r>
          </w:p>
        </w:tc>
        <w:tc>
          <w:tcPr>
            <w:tcW w:w="1069" w:type="dxa"/>
            <w:shd w:val="clear" w:color="auto" w:fill="auto"/>
            <w:noWrap/>
          </w:tcPr>
          <w:p w14:paraId="1547074F" w14:textId="77777777" w:rsidR="006C269A" w:rsidRPr="0093546C" w:rsidRDefault="006C269A" w:rsidP="00AB05FB">
            <w:pPr>
              <w:pStyle w:val="BStabletextunbold"/>
              <w:jc w:val="right"/>
            </w:pPr>
            <w:r w:rsidRPr="0093546C">
              <w:t>284,973</w:t>
            </w:r>
          </w:p>
        </w:tc>
        <w:tc>
          <w:tcPr>
            <w:tcW w:w="1069" w:type="dxa"/>
            <w:shd w:val="clear" w:color="auto" w:fill="auto"/>
            <w:noWrap/>
          </w:tcPr>
          <w:p w14:paraId="60F012B3" w14:textId="77777777" w:rsidR="006C269A" w:rsidRPr="0093546C" w:rsidRDefault="006C269A" w:rsidP="00AB05FB">
            <w:pPr>
              <w:pStyle w:val="BStabletextunbold"/>
              <w:jc w:val="right"/>
            </w:pPr>
            <w:r w:rsidRPr="0093546C">
              <w:t>294,815</w:t>
            </w:r>
          </w:p>
        </w:tc>
        <w:tc>
          <w:tcPr>
            <w:tcW w:w="1069" w:type="dxa"/>
            <w:shd w:val="clear" w:color="auto" w:fill="auto"/>
            <w:noWrap/>
          </w:tcPr>
          <w:p w14:paraId="750A5549" w14:textId="77777777" w:rsidR="006C269A" w:rsidRPr="0093546C" w:rsidRDefault="006C269A" w:rsidP="00AB05FB">
            <w:pPr>
              <w:pStyle w:val="BStabletextunbold"/>
              <w:jc w:val="right"/>
            </w:pPr>
            <w:r w:rsidRPr="0093546C">
              <w:t>299,159</w:t>
            </w:r>
          </w:p>
        </w:tc>
        <w:tc>
          <w:tcPr>
            <w:tcW w:w="1069" w:type="dxa"/>
            <w:shd w:val="clear" w:color="auto" w:fill="auto"/>
            <w:noWrap/>
          </w:tcPr>
          <w:p w14:paraId="2876BFD1" w14:textId="77777777" w:rsidR="006C269A" w:rsidRPr="0093546C" w:rsidRDefault="006C269A" w:rsidP="00AB05FB">
            <w:pPr>
              <w:pStyle w:val="BStabletextunbold"/>
              <w:jc w:val="right"/>
            </w:pPr>
            <w:r w:rsidRPr="0093546C">
              <w:t>295,233</w:t>
            </w:r>
          </w:p>
        </w:tc>
        <w:tc>
          <w:tcPr>
            <w:tcW w:w="1069" w:type="dxa"/>
            <w:shd w:val="clear" w:color="auto" w:fill="auto"/>
            <w:noWrap/>
          </w:tcPr>
          <w:p w14:paraId="6EA976C9" w14:textId="77777777" w:rsidR="006C269A" w:rsidRPr="0093546C" w:rsidRDefault="006C269A" w:rsidP="00AB05FB">
            <w:pPr>
              <w:pStyle w:val="BStabletextunbold"/>
              <w:jc w:val="right"/>
            </w:pPr>
            <w:r w:rsidRPr="0093546C">
              <w:t>297,470</w:t>
            </w:r>
          </w:p>
        </w:tc>
      </w:tr>
      <w:tr w:rsidR="006C269A" w:rsidRPr="006D5D15" w14:paraId="7B8DEC3F" w14:textId="77777777" w:rsidTr="00AB05FB">
        <w:trPr>
          <w:cantSplit/>
          <w:jc w:val="center"/>
        </w:trPr>
        <w:tc>
          <w:tcPr>
            <w:tcW w:w="2869" w:type="dxa"/>
            <w:shd w:val="clear" w:color="auto" w:fill="auto"/>
            <w:noWrap/>
          </w:tcPr>
          <w:p w14:paraId="6793FBE6" w14:textId="77777777" w:rsidR="006C269A" w:rsidRPr="00F25F0C" w:rsidRDefault="006C269A" w:rsidP="00AB05FB">
            <w:pPr>
              <w:pStyle w:val="BStabletextunbold"/>
              <w:rPr>
                <w:rFonts w:eastAsia="SimSun"/>
              </w:rPr>
            </w:pPr>
            <w:r w:rsidRPr="005002FD">
              <w:t xml:space="preserve">Interest </w:t>
            </w:r>
            <w:r>
              <w:t>r</w:t>
            </w:r>
            <w:r w:rsidRPr="005002FD">
              <w:t>eceipts</w:t>
            </w:r>
          </w:p>
        </w:tc>
        <w:tc>
          <w:tcPr>
            <w:tcW w:w="1068" w:type="dxa"/>
            <w:shd w:val="clear" w:color="auto" w:fill="auto"/>
          </w:tcPr>
          <w:p w14:paraId="3333A45C" w14:textId="77777777" w:rsidR="006C269A" w:rsidRPr="0093546C" w:rsidRDefault="006C269A" w:rsidP="00AB05FB">
            <w:pPr>
              <w:pStyle w:val="BStabletextunbold"/>
              <w:jc w:val="right"/>
            </w:pPr>
            <w:r w:rsidRPr="0093546C">
              <w:t>951</w:t>
            </w:r>
          </w:p>
        </w:tc>
        <w:tc>
          <w:tcPr>
            <w:tcW w:w="1069" w:type="dxa"/>
            <w:shd w:val="clear" w:color="auto" w:fill="auto"/>
            <w:noWrap/>
          </w:tcPr>
          <w:p w14:paraId="5F353649" w14:textId="77777777" w:rsidR="006C269A" w:rsidRPr="0093546C" w:rsidRDefault="006C269A" w:rsidP="00AB05FB">
            <w:pPr>
              <w:pStyle w:val="BStabletextunbold"/>
              <w:jc w:val="right"/>
            </w:pPr>
            <w:r w:rsidRPr="0093546C">
              <w:t>2,106</w:t>
            </w:r>
          </w:p>
        </w:tc>
        <w:tc>
          <w:tcPr>
            <w:tcW w:w="1069" w:type="dxa"/>
            <w:shd w:val="clear" w:color="auto" w:fill="auto"/>
            <w:noWrap/>
          </w:tcPr>
          <w:p w14:paraId="177078B2" w14:textId="77777777" w:rsidR="006C269A" w:rsidRPr="0093546C" w:rsidRDefault="006C269A" w:rsidP="00AB05FB">
            <w:pPr>
              <w:pStyle w:val="BStabletextunbold"/>
              <w:jc w:val="right"/>
            </w:pPr>
            <w:r w:rsidRPr="0093546C">
              <w:t>816</w:t>
            </w:r>
          </w:p>
        </w:tc>
        <w:tc>
          <w:tcPr>
            <w:tcW w:w="1069" w:type="dxa"/>
            <w:shd w:val="clear" w:color="auto" w:fill="auto"/>
            <w:noWrap/>
          </w:tcPr>
          <w:p w14:paraId="50D306E6" w14:textId="77777777" w:rsidR="006C269A" w:rsidRPr="0093546C" w:rsidRDefault="006C269A" w:rsidP="00AB05FB">
            <w:pPr>
              <w:pStyle w:val="BStabletextunbold"/>
              <w:jc w:val="right"/>
            </w:pPr>
            <w:r w:rsidRPr="0093546C">
              <w:t>625</w:t>
            </w:r>
          </w:p>
        </w:tc>
        <w:tc>
          <w:tcPr>
            <w:tcW w:w="1069" w:type="dxa"/>
            <w:shd w:val="clear" w:color="auto" w:fill="auto"/>
            <w:noWrap/>
          </w:tcPr>
          <w:p w14:paraId="4ABC9546" w14:textId="77777777" w:rsidR="006C269A" w:rsidRPr="0093546C" w:rsidRDefault="006C269A" w:rsidP="00AB05FB">
            <w:pPr>
              <w:pStyle w:val="BStabletextunbold"/>
              <w:jc w:val="right"/>
            </w:pPr>
            <w:r w:rsidRPr="0093546C">
              <w:t>873</w:t>
            </w:r>
          </w:p>
        </w:tc>
        <w:tc>
          <w:tcPr>
            <w:tcW w:w="1069" w:type="dxa"/>
            <w:shd w:val="clear" w:color="auto" w:fill="auto"/>
            <w:noWrap/>
          </w:tcPr>
          <w:p w14:paraId="3FB7719A" w14:textId="77777777" w:rsidR="006C269A" w:rsidRPr="0093546C" w:rsidRDefault="006C269A" w:rsidP="00AB05FB">
            <w:pPr>
              <w:pStyle w:val="BStabletextunbold"/>
              <w:jc w:val="right"/>
            </w:pPr>
            <w:r w:rsidRPr="0093546C">
              <w:t>1,114</w:t>
            </w:r>
          </w:p>
        </w:tc>
      </w:tr>
      <w:tr w:rsidR="006C269A" w:rsidRPr="006D5D15" w14:paraId="7E69F00D" w14:textId="77777777" w:rsidTr="00AB05FB">
        <w:trPr>
          <w:cantSplit/>
          <w:jc w:val="center"/>
        </w:trPr>
        <w:tc>
          <w:tcPr>
            <w:tcW w:w="2869" w:type="dxa"/>
            <w:shd w:val="clear" w:color="auto" w:fill="auto"/>
            <w:noWrap/>
          </w:tcPr>
          <w:p w14:paraId="0EAD1BC9" w14:textId="77777777" w:rsidR="006C269A" w:rsidRPr="00B02825" w:rsidRDefault="006C269A" w:rsidP="00AB05FB">
            <w:pPr>
              <w:pStyle w:val="BStabletextunbold"/>
              <w:rPr>
                <w:rFonts w:eastAsia="SimSun"/>
              </w:rPr>
            </w:pPr>
            <w:r w:rsidRPr="005002FD">
              <w:t xml:space="preserve">Other </w:t>
            </w:r>
            <w:r>
              <w:t>r</w:t>
            </w:r>
            <w:r w:rsidRPr="005002FD">
              <w:t>eceipts</w:t>
            </w:r>
          </w:p>
        </w:tc>
        <w:tc>
          <w:tcPr>
            <w:tcW w:w="1068" w:type="dxa"/>
            <w:shd w:val="clear" w:color="auto" w:fill="auto"/>
          </w:tcPr>
          <w:p w14:paraId="220F9AE7" w14:textId="77777777" w:rsidR="006C269A" w:rsidRPr="0093546C" w:rsidRDefault="006C269A" w:rsidP="00AB05FB">
            <w:pPr>
              <w:pStyle w:val="BStabletextunbold"/>
              <w:jc w:val="right"/>
            </w:pPr>
            <w:r w:rsidRPr="0093546C">
              <w:t>35,377</w:t>
            </w:r>
          </w:p>
        </w:tc>
        <w:tc>
          <w:tcPr>
            <w:tcW w:w="1069" w:type="dxa"/>
            <w:shd w:val="clear" w:color="auto" w:fill="auto"/>
            <w:noWrap/>
          </w:tcPr>
          <w:p w14:paraId="4BB66230" w14:textId="77777777" w:rsidR="006C269A" w:rsidRPr="0093546C" w:rsidRDefault="006C269A" w:rsidP="00AB05FB">
            <w:pPr>
              <w:pStyle w:val="BStabletextunbold"/>
              <w:jc w:val="right"/>
            </w:pPr>
            <w:r w:rsidRPr="0093546C">
              <w:t>100,708</w:t>
            </w:r>
          </w:p>
        </w:tc>
        <w:tc>
          <w:tcPr>
            <w:tcW w:w="1069" w:type="dxa"/>
            <w:shd w:val="clear" w:color="auto" w:fill="auto"/>
            <w:noWrap/>
          </w:tcPr>
          <w:p w14:paraId="2EE1B636" w14:textId="77777777" w:rsidR="006C269A" w:rsidRPr="0093546C" w:rsidRDefault="006C269A" w:rsidP="00AB05FB">
            <w:pPr>
              <w:pStyle w:val="BStabletextunbold"/>
              <w:jc w:val="right"/>
            </w:pPr>
            <w:r w:rsidRPr="0093546C">
              <w:t>95,308</w:t>
            </w:r>
          </w:p>
        </w:tc>
        <w:tc>
          <w:tcPr>
            <w:tcW w:w="1069" w:type="dxa"/>
            <w:shd w:val="clear" w:color="auto" w:fill="auto"/>
            <w:noWrap/>
          </w:tcPr>
          <w:p w14:paraId="2418093D" w14:textId="77777777" w:rsidR="006C269A" w:rsidRPr="0093546C" w:rsidRDefault="006C269A" w:rsidP="00AB05FB">
            <w:pPr>
              <w:pStyle w:val="BStabletextunbold"/>
              <w:jc w:val="right"/>
            </w:pPr>
            <w:r w:rsidRPr="0093546C">
              <w:t>104,298</w:t>
            </w:r>
          </w:p>
        </w:tc>
        <w:tc>
          <w:tcPr>
            <w:tcW w:w="1069" w:type="dxa"/>
            <w:shd w:val="clear" w:color="auto" w:fill="auto"/>
            <w:noWrap/>
          </w:tcPr>
          <w:p w14:paraId="492737E9" w14:textId="77777777" w:rsidR="006C269A" w:rsidRPr="0093546C" w:rsidRDefault="006C269A" w:rsidP="00AB05FB">
            <w:pPr>
              <w:pStyle w:val="BStabletextunbold"/>
              <w:jc w:val="right"/>
            </w:pPr>
            <w:r w:rsidRPr="0093546C">
              <w:t>108,677</w:t>
            </w:r>
          </w:p>
        </w:tc>
        <w:tc>
          <w:tcPr>
            <w:tcW w:w="1069" w:type="dxa"/>
            <w:shd w:val="clear" w:color="auto" w:fill="auto"/>
            <w:noWrap/>
          </w:tcPr>
          <w:p w14:paraId="0098BBD1" w14:textId="77777777" w:rsidR="006C269A" w:rsidRPr="0093546C" w:rsidRDefault="006C269A" w:rsidP="00AB05FB">
            <w:pPr>
              <w:pStyle w:val="BStabletextunbold"/>
              <w:jc w:val="right"/>
            </w:pPr>
            <w:r w:rsidRPr="0093546C">
              <w:t>103,976</w:t>
            </w:r>
          </w:p>
        </w:tc>
      </w:tr>
      <w:tr w:rsidR="006C269A" w:rsidRPr="00191D85" w14:paraId="4B22E8B7" w14:textId="77777777" w:rsidTr="00AB05FB">
        <w:trPr>
          <w:cantSplit/>
          <w:jc w:val="center"/>
        </w:trPr>
        <w:tc>
          <w:tcPr>
            <w:tcW w:w="2869" w:type="dxa"/>
            <w:shd w:val="clear" w:color="auto" w:fill="auto"/>
            <w:noWrap/>
          </w:tcPr>
          <w:p w14:paraId="412B2C98" w14:textId="77777777" w:rsidR="006C269A" w:rsidRPr="00191D85" w:rsidRDefault="006C269A" w:rsidP="00AB05FB">
            <w:pPr>
              <w:pStyle w:val="Btabletextbolditalic"/>
              <w:rPr>
                <w:i w:val="0"/>
                <w:iCs/>
              </w:rPr>
            </w:pPr>
            <w:r w:rsidRPr="00191D85">
              <w:rPr>
                <w:i w:val="0"/>
                <w:iCs/>
              </w:rPr>
              <w:t>Total receipts from operating activities</w:t>
            </w:r>
          </w:p>
        </w:tc>
        <w:tc>
          <w:tcPr>
            <w:tcW w:w="1068" w:type="dxa"/>
            <w:shd w:val="clear" w:color="auto" w:fill="auto"/>
          </w:tcPr>
          <w:p w14:paraId="305A8AA0" w14:textId="77777777" w:rsidR="006C269A" w:rsidRPr="00191D85" w:rsidRDefault="006C269A" w:rsidP="00AB05FB">
            <w:pPr>
              <w:pStyle w:val="Btabletextbolditalic"/>
              <w:jc w:val="right"/>
              <w:rPr>
                <w:i w:val="0"/>
                <w:iCs/>
              </w:rPr>
            </w:pPr>
            <w:r w:rsidRPr="00191D85">
              <w:rPr>
                <w:i w:val="0"/>
                <w:iCs/>
              </w:rPr>
              <w:t>1,581,323</w:t>
            </w:r>
          </w:p>
        </w:tc>
        <w:tc>
          <w:tcPr>
            <w:tcW w:w="1069" w:type="dxa"/>
            <w:shd w:val="clear" w:color="auto" w:fill="auto"/>
            <w:noWrap/>
          </w:tcPr>
          <w:p w14:paraId="1C84F9F0" w14:textId="77777777" w:rsidR="006C269A" w:rsidRPr="00191D85" w:rsidRDefault="006C269A" w:rsidP="00AB05FB">
            <w:pPr>
              <w:pStyle w:val="Btabletextbolditalic"/>
              <w:jc w:val="right"/>
              <w:rPr>
                <w:i w:val="0"/>
                <w:iCs/>
              </w:rPr>
            </w:pPr>
            <w:r w:rsidRPr="00191D85">
              <w:rPr>
                <w:i w:val="0"/>
                <w:iCs/>
              </w:rPr>
              <w:t>1,575,530</w:t>
            </w:r>
          </w:p>
        </w:tc>
        <w:tc>
          <w:tcPr>
            <w:tcW w:w="1069" w:type="dxa"/>
            <w:shd w:val="clear" w:color="auto" w:fill="auto"/>
            <w:noWrap/>
          </w:tcPr>
          <w:p w14:paraId="34752F8D" w14:textId="77777777" w:rsidR="006C269A" w:rsidRPr="00191D85" w:rsidRDefault="006C269A" w:rsidP="00AB05FB">
            <w:pPr>
              <w:pStyle w:val="Btabletextbolditalic"/>
              <w:jc w:val="right"/>
              <w:rPr>
                <w:i w:val="0"/>
                <w:iCs/>
              </w:rPr>
            </w:pPr>
            <w:r w:rsidRPr="00191D85">
              <w:rPr>
                <w:i w:val="0"/>
                <w:iCs/>
              </w:rPr>
              <w:t>1,269,444</w:t>
            </w:r>
          </w:p>
        </w:tc>
        <w:tc>
          <w:tcPr>
            <w:tcW w:w="1069" w:type="dxa"/>
            <w:shd w:val="clear" w:color="auto" w:fill="auto"/>
            <w:noWrap/>
          </w:tcPr>
          <w:p w14:paraId="0EADF304" w14:textId="77777777" w:rsidR="006C269A" w:rsidRPr="00191D85" w:rsidRDefault="006C269A" w:rsidP="00AB05FB">
            <w:pPr>
              <w:pStyle w:val="Btabletextbolditalic"/>
              <w:jc w:val="right"/>
              <w:rPr>
                <w:i w:val="0"/>
                <w:iCs/>
              </w:rPr>
            </w:pPr>
            <w:r w:rsidRPr="00191D85">
              <w:rPr>
                <w:i w:val="0"/>
                <w:iCs/>
              </w:rPr>
              <w:t>1,380,793</w:t>
            </w:r>
          </w:p>
        </w:tc>
        <w:tc>
          <w:tcPr>
            <w:tcW w:w="1069" w:type="dxa"/>
            <w:shd w:val="clear" w:color="auto" w:fill="auto"/>
            <w:noWrap/>
          </w:tcPr>
          <w:p w14:paraId="42509C2C" w14:textId="77777777" w:rsidR="006C269A" w:rsidRPr="00191D85" w:rsidRDefault="006C269A" w:rsidP="00AB05FB">
            <w:pPr>
              <w:pStyle w:val="Btabletextbolditalic"/>
              <w:jc w:val="right"/>
              <w:rPr>
                <w:i w:val="0"/>
                <w:iCs/>
              </w:rPr>
            </w:pPr>
            <w:r w:rsidRPr="00191D85">
              <w:rPr>
                <w:i w:val="0"/>
                <w:iCs/>
              </w:rPr>
              <w:t>1,313,473</w:t>
            </w:r>
          </w:p>
        </w:tc>
        <w:tc>
          <w:tcPr>
            <w:tcW w:w="1069" w:type="dxa"/>
            <w:shd w:val="clear" w:color="auto" w:fill="auto"/>
            <w:noWrap/>
          </w:tcPr>
          <w:p w14:paraId="298414E9" w14:textId="77777777" w:rsidR="006C269A" w:rsidRPr="00191D85" w:rsidRDefault="006C269A" w:rsidP="00AB05FB">
            <w:pPr>
              <w:pStyle w:val="Btabletextbolditalic"/>
              <w:jc w:val="right"/>
              <w:rPr>
                <w:i w:val="0"/>
                <w:iCs/>
              </w:rPr>
            </w:pPr>
            <w:r w:rsidRPr="00191D85">
              <w:rPr>
                <w:i w:val="0"/>
                <w:iCs/>
              </w:rPr>
              <w:t>1,334,359</w:t>
            </w:r>
          </w:p>
        </w:tc>
      </w:tr>
      <w:tr w:rsidR="006C269A" w:rsidRPr="006D5D15" w14:paraId="5B7E0000" w14:textId="77777777" w:rsidTr="00AB05FB">
        <w:trPr>
          <w:cantSplit/>
          <w:jc w:val="center"/>
        </w:trPr>
        <w:tc>
          <w:tcPr>
            <w:tcW w:w="2869" w:type="dxa"/>
            <w:shd w:val="clear" w:color="auto" w:fill="auto"/>
            <w:noWrap/>
            <w:vAlign w:val="bottom"/>
          </w:tcPr>
          <w:p w14:paraId="1546858E" w14:textId="77777777" w:rsidR="006C269A" w:rsidRPr="00B02825" w:rsidRDefault="006C269A" w:rsidP="00AB05FB">
            <w:pPr>
              <w:pStyle w:val="BStabletextbold"/>
              <w:rPr>
                <w:rFonts w:eastAsia="SimSun"/>
                <w:vertAlign w:val="superscript"/>
              </w:rPr>
            </w:pPr>
            <w:r>
              <w:t>P</w:t>
            </w:r>
            <w:r w:rsidRPr="005002FD">
              <w:t>ayments</w:t>
            </w:r>
          </w:p>
        </w:tc>
        <w:tc>
          <w:tcPr>
            <w:tcW w:w="1068" w:type="dxa"/>
            <w:shd w:val="clear" w:color="auto" w:fill="auto"/>
          </w:tcPr>
          <w:p w14:paraId="4D7E6097" w14:textId="77777777" w:rsidR="006C269A" w:rsidRDefault="006C269A" w:rsidP="00AB05FB">
            <w:pPr>
              <w:pStyle w:val="Btablefigureunbold"/>
            </w:pPr>
          </w:p>
        </w:tc>
        <w:tc>
          <w:tcPr>
            <w:tcW w:w="1069" w:type="dxa"/>
            <w:shd w:val="clear" w:color="auto" w:fill="auto"/>
            <w:noWrap/>
          </w:tcPr>
          <w:p w14:paraId="044C700E" w14:textId="77777777" w:rsidR="006C269A" w:rsidRPr="006D5D15" w:rsidRDefault="006C269A" w:rsidP="00AB05FB">
            <w:pPr>
              <w:pStyle w:val="Btablefigureunbold"/>
            </w:pPr>
          </w:p>
        </w:tc>
        <w:tc>
          <w:tcPr>
            <w:tcW w:w="1069" w:type="dxa"/>
            <w:shd w:val="clear" w:color="auto" w:fill="auto"/>
            <w:noWrap/>
          </w:tcPr>
          <w:p w14:paraId="03736B7B" w14:textId="77777777" w:rsidR="006C269A" w:rsidRPr="006D5D15" w:rsidRDefault="006C269A" w:rsidP="00AB05FB">
            <w:pPr>
              <w:pStyle w:val="Btablefigureunbold"/>
            </w:pPr>
          </w:p>
        </w:tc>
        <w:tc>
          <w:tcPr>
            <w:tcW w:w="1069" w:type="dxa"/>
            <w:shd w:val="clear" w:color="auto" w:fill="auto"/>
            <w:noWrap/>
          </w:tcPr>
          <w:p w14:paraId="7DEF0F78" w14:textId="77777777" w:rsidR="006C269A" w:rsidRPr="006D5D15" w:rsidRDefault="006C269A" w:rsidP="00AB05FB">
            <w:pPr>
              <w:pStyle w:val="Btablefigureunbold"/>
            </w:pPr>
          </w:p>
        </w:tc>
        <w:tc>
          <w:tcPr>
            <w:tcW w:w="1069" w:type="dxa"/>
            <w:shd w:val="clear" w:color="auto" w:fill="auto"/>
            <w:noWrap/>
          </w:tcPr>
          <w:p w14:paraId="57315ADD" w14:textId="77777777" w:rsidR="006C269A" w:rsidRPr="006D5D15" w:rsidRDefault="006C269A" w:rsidP="00AB05FB">
            <w:pPr>
              <w:pStyle w:val="Btablefigureunbold"/>
            </w:pPr>
          </w:p>
        </w:tc>
        <w:tc>
          <w:tcPr>
            <w:tcW w:w="1069" w:type="dxa"/>
            <w:shd w:val="clear" w:color="auto" w:fill="auto"/>
            <w:noWrap/>
          </w:tcPr>
          <w:p w14:paraId="1B77BC42" w14:textId="77777777" w:rsidR="006C269A" w:rsidRPr="006D5D15" w:rsidRDefault="006C269A" w:rsidP="00AB05FB">
            <w:pPr>
              <w:pStyle w:val="Btablefigureunbold"/>
            </w:pPr>
          </w:p>
        </w:tc>
      </w:tr>
      <w:tr w:rsidR="006C269A" w:rsidRPr="006D5D15" w14:paraId="11B6B15A" w14:textId="77777777" w:rsidTr="00AB05FB">
        <w:trPr>
          <w:cantSplit/>
          <w:jc w:val="center"/>
        </w:trPr>
        <w:tc>
          <w:tcPr>
            <w:tcW w:w="2869" w:type="dxa"/>
            <w:shd w:val="clear" w:color="auto" w:fill="auto"/>
            <w:noWrap/>
          </w:tcPr>
          <w:p w14:paraId="0BD2D98B" w14:textId="77777777" w:rsidR="006C269A" w:rsidRPr="00B02825" w:rsidRDefault="006C269A" w:rsidP="00AB05FB">
            <w:pPr>
              <w:pStyle w:val="BStabletextunbold"/>
              <w:rPr>
                <w:rFonts w:eastAsia="SimSun"/>
              </w:rPr>
            </w:pPr>
            <w:r w:rsidRPr="005002FD">
              <w:t xml:space="preserve">Payments for </w:t>
            </w:r>
            <w:r>
              <w:t>e</w:t>
            </w:r>
            <w:r w:rsidRPr="005002FD">
              <w:t>mployees</w:t>
            </w:r>
          </w:p>
        </w:tc>
        <w:tc>
          <w:tcPr>
            <w:tcW w:w="1068" w:type="dxa"/>
            <w:shd w:val="clear" w:color="auto" w:fill="auto"/>
          </w:tcPr>
          <w:p w14:paraId="32F05F4C" w14:textId="77777777" w:rsidR="006C269A" w:rsidRPr="00191D85" w:rsidRDefault="006C269A" w:rsidP="00AB05FB">
            <w:pPr>
              <w:pStyle w:val="Btablefigureunbold"/>
              <w:rPr>
                <w:szCs w:val="20"/>
              </w:rPr>
            </w:pPr>
            <w:r w:rsidRPr="00191D85">
              <w:rPr>
                <w:szCs w:val="20"/>
              </w:rPr>
              <w:t>-177,787</w:t>
            </w:r>
          </w:p>
        </w:tc>
        <w:tc>
          <w:tcPr>
            <w:tcW w:w="1069" w:type="dxa"/>
            <w:shd w:val="clear" w:color="auto" w:fill="auto"/>
            <w:noWrap/>
          </w:tcPr>
          <w:p w14:paraId="4A84AA1F" w14:textId="77777777" w:rsidR="006C269A" w:rsidRPr="00191D85" w:rsidRDefault="006C269A" w:rsidP="00AB05FB">
            <w:pPr>
              <w:pStyle w:val="Btablefigureunbold"/>
              <w:rPr>
                <w:szCs w:val="20"/>
              </w:rPr>
            </w:pPr>
            <w:r w:rsidRPr="00191D85">
              <w:rPr>
                <w:szCs w:val="20"/>
              </w:rPr>
              <w:t>-244,675</w:t>
            </w:r>
          </w:p>
        </w:tc>
        <w:tc>
          <w:tcPr>
            <w:tcW w:w="1069" w:type="dxa"/>
            <w:shd w:val="clear" w:color="auto" w:fill="auto"/>
            <w:noWrap/>
            <w:vAlign w:val="bottom"/>
          </w:tcPr>
          <w:p w14:paraId="5E7F33FD" w14:textId="77777777" w:rsidR="006C269A" w:rsidRPr="00191D85" w:rsidRDefault="006C269A" w:rsidP="00AB05FB">
            <w:pPr>
              <w:pStyle w:val="Btablefigureunbold"/>
              <w:rPr>
                <w:szCs w:val="20"/>
              </w:rPr>
            </w:pPr>
            <w:r w:rsidRPr="00191D85">
              <w:rPr>
                <w:szCs w:val="20"/>
              </w:rPr>
              <w:t>-190,475</w:t>
            </w:r>
          </w:p>
        </w:tc>
        <w:tc>
          <w:tcPr>
            <w:tcW w:w="1069" w:type="dxa"/>
            <w:shd w:val="clear" w:color="auto" w:fill="auto"/>
            <w:noWrap/>
            <w:vAlign w:val="bottom"/>
          </w:tcPr>
          <w:p w14:paraId="50FA4AC0" w14:textId="77777777" w:rsidR="006C269A" w:rsidRPr="00191D85" w:rsidRDefault="006C269A" w:rsidP="00AB05FB">
            <w:pPr>
              <w:pStyle w:val="Btablefigureunbold"/>
              <w:rPr>
                <w:szCs w:val="20"/>
              </w:rPr>
            </w:pPr>
            <w:r w:rsidRPr="00191D85">
              <w:rPr>
                <w:szCs w:val="20"/>
              </w:rPr>
              <w:t>-191,683</w:t>
            </w:r>
          </w:p>
        </w:tc>
        <w:tc>
          <w:tcPr>
            <w:tcW w:w="1069" w:type="dxa"/>
            <w:shd w:val="clear" w:color="auto" w:fill="auto"/>
            <w:noWrap/>
            <w:vAlign w:val="bottom"/>
          </w:tcPr>
          <w:p w14:paraId="2D12796C" w14:textId="77777777" w:rsidR="006C269A" w:rsidRPr="00191D85" w:rsidRDefault="006C269A" w:rsidP="00AB05FB">
            <w:pPr>
              <w:pStyle w:val="Btablefigureunbold"/>
              <w:rPr>
                <w:szCs w:val="20"/>
              </w:rPr>
            </w:pPr>
            <w:r w:rsidRPr="00191D85">
              <w:rPr>
                <w:szCs w:val="20"/>
              </w:rPr>
              <w:t>-194,381</w:t>
            </w:r>
          </w:p>
        </w:tc>
        <w:tc>
          <w:tcPr>
            <w:tcW w:w="1069" w:type="dxa"/>
            <w:shd w:val="clear" w:color="auto" w:fill="auto"/>
            <w:noWrap/>
            <w:vAlign w:val="bottom"/>
          </w:tcPr>
          <w:p w14:paraId="38C8FDA0" w14:textId="77777777" w:rsidR="006C269A" w:rsidRPr="00191D85" w:rsidRDefault="006C269A" w:rsidP="00AB05FB">
            <w:pPr>
              <w:pStyle w:val="Btablefigureunbold"/>
              <w:rPr>
                <w:szCs w:val="20"/>
              </w:rPr>
            </w:pPr>
            <w:r w:rsidRPr="00191D85">
              <w:rPr>
                <w:szCs w:val="20"/>
              </w:rPr>
              <w:t>-196,849</w:t>
            </w:r>
          </w:p>
        </w:tc>
      </w:tr>
      <w:tr w:rsidR="006C269A" w:rsidRPr="006D5D15" w14:paraId="1C07E11A" w14:textId="77777777" w:rsidTr="00AB05FB">
        <w:trPr>
          <w:cantSplit/>
          <w:jc w:val="center"/>
        </w:trPr>
        <w:tc>
          <w:tcPr>
            <w:tcW w:w="2869" w:type="dxa"/>
            <w:shd w:val="clear" w:color="auto" w:fill="auto"/>
            <w:noWrap/>
          </w:tcPr>
          <w:p w14:paraId="28BE9573" w14:textId="77777777" w:rsidR="006C269A" w:rsidRPr="00F25F0C" w:rsidRDefault="006C269A" w:rsidP="00AB05FB">
            <w:pPr>
              <w:pStyle w:val="BStabletextunbold"/>
              <w:rPr>
                <w:rFonts w:eastAsia="SimSun"/>
              </w:rPr>
            </w:pPr>
            <w:r w:rsidRPr="005002FD">
              <w:t xml:space="preserve">Payments for </w:t>
            </w:r>
            <w:r>
              <w:t>g</w:t>
            </w:r>
            <w:r w:rsidRPr="005002FD">
              <w:t xml:space="preserve">oods and </w:t>
            </w:r>
            <w:r>
              <w:t>s</w:t>
            </w:r>
            <w:r w:rsidRPr="005002FD">
              <w:t>ervices</w:t>
            </w:r>
          </w:p>
        </w:tc>
        <w:tc>
          <w:tcPr>
            <w:tcW w:w="1068" w:type="dxa"/>
            <w:shd w:val="clear" w:color="auto" w:fill="auto"/>
          </w:tcPr>
          <w:p w14:paraId="327828C1" w14:textId="77777777" w:rsidR="006C269A" w:rsidRPr="00191D85" w:rsidRDefault="006C269A" w:rsidP="00AB05FB">
            <w:pPr>
              <w:pStyle w:val="Btablefigureunbold"/>
              <w:rPr>
                <w:szCs w:val="20"/>
              </w:rPr>
            </w:pPr>
            <w:r w:rsidRPr="00191D85">
              <w:rPr>
                <w:szCs w:val="20"/>
              </w:rPr>
              <w:t>-479,298</w:t>
            </w:r>
          </w:p>
        </w:tc>
        <w:tc>
          <w:tcPr>
            <w:tcW w:w="1069" w:type="dxa"/>
            <w:shd w:val="clear" w:color="auto" w:fill="auto"/>
            <w:noWrap/>
          </w:tcPr>
          <w:p w14:paraId="46C054FF" w14:textId="77777777" w:rsidR="006C269A" w:rsidRPr="00191D85" w:rsidRDefault="006C269A" w:rsidP="00AB05FB">
            <w:pPr>
              <w:pStyle w:val="Btablefigureunbold"/>
              <w:rPr>
                <w:szCs w:val="20"/>
              </w:rPr>
            </w:pPr>
            <w:r w:rsidRPr="00191D85">
              <w:rPr>
                <w:szCs w:val="20"/>
              </w:rPr>
              <w:t>-257,682</w:t>
            </w:r>
          </w:p>
        </w:tc>
        <w:tc>
          <w:tcPr>
            <w:tcW w:w="1069" w:type="dxa"/>
            <w:shd w:val="clear" w:color="auto" w:fill="auto"/>
            <w:noWrap/>
            <w:vAlign w:val="bottom"/>
          </w:tcPr>
          <w:p w14:paraId="5B898F28" w14:textId="77777777" w:rsidR="006C269A" w:rsidRPr="00191D85" w:rsidRDefault="006C269A" w:rsidP="00AB05FB">
            <w:pPr>
              <w:pStyle w:val="Btablefigureunbold"/>
              <w:rPr>
                <w:szCs w:val="20"/>
              </w:rPr>
            </w:pPr>
            <w:r w:rsidRPr="00191D85">
              <w:rPr>
                <w:szCs w:val="20"/>
              </w:rPr>
              <w:t>-408,621</w:t>
            </w:r>
          </w:p>
        </w:tc>
        <w:tc>
          <w:tcPr>
            <w:tcW w:w="1069" w:type="dxa"/>
            <w:shd w:val="clear" w:color="auto" w:fill="auto"/>
            <w:noWrap/>
            <w:vAlign w:val="bottom"/>
          </w:tcPr>
          <w:p w14:paraId="4745C72D" w14:textId="77777777" w:rsidR="006C269A" w:rsidRPr="00191D85" w:rsidRDefault="006C269A" w:rsidP="00AB05FB">
            <w:pPr>
              <w:pStyle w:val="Btablefigureunbold"/>
              <w:rPr>
                <w:szCs w:val="20"/>
              </w:rPr>
            </w:pPr>
            <w:r w:rsidRPr="00191D85">
              <w:rPr>
                <w:szCs w:val="20"/>
              </w:rPr>
              <w:t>-401,602</w:t>
            </w:r>
          </w:p>
        </w:tc>
        <w:tc>
          <w:tcPr>
            <w:tcW w:w="1069" w:type="dxa"/>
            <w:shd w:val="clear" w:color="auto" w:fill="auto"/>
            <w:noWrap/>
            <w:vAlign w:val="bottom"/>
          </w:tcPr>
          <w:p w14:paraId="5AF6D46D" w14:textId="77777777" w:rsidR="006C269A" w:rsidRPr="00191D85" w:rsidRDefault="006C269A" w:rsidP="00AB05FB">
            <w:pPr>
              <w:pStyle w:val="Btablefigureunbold"/>
              <w:rPr>
                <w:szCs w:val="20"/>
              </w:rPr>
            </w:pPr>
            <w:r w:rsidRPr="00191D85">
              <w:rPr>
                <w:szCs w:val="20"/>
              </w:rPr>
              <w:t>-403,886</w:t>
            </w:r>
          </w:p>
        </w:tc>
        <w:tc>
          <w:tcPr>
            <w:tcW w:w="1069" w:type="dxa"/>
            <w:shd w:val="clear" w:color="auto" w:fill="auto"/>
            <w:noWrap/>
            <w:vAlign w:val="bottom"/>
          </w:tcPr>
          <w:p w14:paraId="4A403396" w14:textId="77777777" w:rsidR="006C269A" w:rsidRPr="00191D85" w:rsidRDefault="006C269A" w:rsidP="00AB05FB">
            <w:pPr>
              <w:pStyle w:val="Btablefigureunbold"/>
              <w:rPr>
                <w:szCs w:val="20"/>
              </w:rPr>
            </w:pPr>
            <w:r w:rsidRPr="00191D85">
              <w:rPr>
                <w:szCs w:val="20"/>
              </w:rPr>
              <w:t>-402,277</w:t>
            </w:r>
          </w:p>
        </w:tc>
      </w:tr>
      <w:tr w:rsidR="006C269A" w:rsidRPr="00601709" w14:paraId="20561121" w14:textId="77777777" w:rsidTr="00AB05FB">
        <w:trPr>
          <w:cantSplit/>
          <w:jc w:val="center"/>
        </w:trPr>
        <w:tc>
          <w:tcPr>
            <w:tcW w:w="2869" w:type="dxa"/>
            <w:shd w:val="clear" w:color="auto" w:fill="auto"/>
            <w:noWrap/>
          </w:tcPr>
          <w:p w14:paraId="75537397" w14:textId="77777777" w:rsidR="006C269A" w:rsidRPr="00F25F0C" w:rsidRDefault="006C269A" w:rsidP="00AB05FB">
            <w:pPr>
              <w:pStyle w:val="BStabletextunbold"/>
              <w:rPr>
                <w:rFonts w:eastAsia="SimSun"/>
              </w:rPr>
            </w:pPr>
            <w:r w:rsidRPr="005002FD">
              <w:t>Grants/</w:t>
            </w:r>
            <w:r>
              <w:t>s</w:t>
            </w:r>
            <w:r w:rsidRPr="005002FD">
              <w:t xml:space="preserve">ubsidies </w:t>
            </w:r>
            <w:r>
              <w:t>p</w:t>
            </w:r>
            <w:r w:rsidRPr="005002FD">
              <w:t>aid</w:t>
            </w:r>
          </w:p>
        </w:tc>
        <w:tc>
          <w:tcPr>
            <w:tcW w:w="1068" w:type="dxa"/>
            <w:shd w:val="clear" w:color="auto" w:fill="auto"/>
          </w:tcPr>
          <w:p w14:paraId="1D865D32" w14:textId="77777777" w:rsidR="006C269A" w:rsidRPr="00191D85" w:rsidRDefault="006C269A" w:rsidP="00AB05FB">
            <w:pPr>
              <w:pStyle w:val="Btablefigureunbold"/>
              <w:rPr>
                <w:szCs w:val="20"/>
              </w:rPr>
            </w:pPr>
            <w:r w:rsidRPr="00191D85">
              <w:rPr>
                <w:szCs w:val="20"/>
              </w:rPr>
              <w:t>-27,515</w:t>
            </w:r>
          </w:p>
        </w:tc>
        <w:tc>
          <w:tcPr>
            <w:tcW w:w="1069" w:type="dxa"/>
            <w:shd w:val="clear" w:color="auto" w:fill="auto"/>
            <w:noWrap/>
          </w:tcPr>
          <w:p w14:paraId="46B20C06" w14:textId="77777777" w:rsidR="006C269A" w:rsidRPr="00191D85" w:rsidRDefault="006C269A" w:rsidP="00AB05FB">
            <w:pPr>
              <w:pStyle w:val="Btablefigureunbold"/>
              <w:rPr>
                <w:szCs w:val="20"/>
              </w:rPr>
            </w:pPr>
            <w:r w:rsidRPr="00191D85">
              <w:rPr>
                <w:szCs w:val="20"/>
              </w:rPr>
              <w:t>-27,342</w:t>
            </w:r>
          </w:p>
        </w:tc>
        <w:tc>
          <w:tcPr>
            <w:tcW w:w="1069" w:type="dxa"/>
            <w:shd w:val="clear" w:color="auto" w:fill="auto"/>
            <w:noWrap/>
            <w:vAlign w:val="bottom"/>
          </w:tcPr>
          <w:p w14:paraId="3784193F" w14:textId="77777777" w:rsidR="006C269A" w:rsidRPr="00191D85" w:rsidRDefault="006C269A" w:rsidP="00AB05FB">
            <w:pPr>
              <w:pStyle w:val="Btablefigureunbold"/>
              <w:rPr>
                <w:szCs w:val="20"/>
              </w:rPr>
            </w:pPr>
            <w:r w:rsidRPr="00191D85">
              <w:rPr>
                <w:szCs w:val="20"/>
              </w:rPr>
              <w:t>-31,549</w:t>
            </w:r>
          </w:p>
        </w:tc>
        <w:tc>
          <w:tcPr>
            <w:tcW w:w="1069" w:type="dxa"/>
            <w:shd w:val="clear" w:color="auto" w:fill="auto"/>
            <w:noWrap/>
            <w:vAlign w:val="bottom"/>
          </w:tcPr>
          <w:p w14:paraId="61C96246" w14:textId="77777777" w:rsidR="006C269A" w:rsidRPr="00191D85" w:rsidRDefault="006C269A" w:rsidP="00AB05FB">
            <w:pPr>
              <w:pStyle w:val="Btablefigureunbold"/>
              <w:rPr>
                <w:szCs w:val="20"/>
              </w:rPr>
            </w:pPr>
            <w:r w:rsidRPr="00191D85">
              <w:rPr>
                <w:szCs w:val="20"/>
              </w:rPr>
              <w:t>-31,941</w:t>
            </w:r>
          </w:p>
        </w:tc>
        <w:tc>
          <w:tcPr>
            <w:tcW w:w="1069" w:type="dxa"/>
            <w:shd w:val="clear" w:color="auto" w:fill="auto"/>
            <w:noWrap/>
            <w:vAlign w:val="bottom"/>
          </w:tcPr>
          <w:p w14:paraId="05CBEFD9" w14:textId="77777777" w:rsidR="006C269A" w:rsidRPr="00191D85" w:rsidRDefault="006C269A" w:rsidP="00AB05FB">
            <w:pPr>
              <w:pStyle w:val="Btablefigureunbold"/>
              <w:rPr>
                <w:szCs w:val="20"/>
              </w:rPr>
            </w:pPr>
            <w:r w:rsidRPr="00191D85">
              <w:rPr>
                <w:szCs w:val="20"/>
              </w:rPr>
              <w:t>-27,647</w:t>
            </w:r>
          </w:p>
        </w:tc>
        <w:tc>
          <w:tcPr>
            <w:tcW w:w="1069" w:type="dxa"/>
            <w:shd w:val="clear" w:color="auto" w:fill="auto"/>
            <w:noWrap/>
            <w:vAlign w:val="bottom"/>
          </w:tcPr>
          <w:p w14:paraId="7BBD1831" w14:textId="77777777" w:rsidR="006C269A" w:rsidRPr="00191D85" w:rsidRDefault="006C269A" w:rsidP="00AB05FB">
            <w:pPr>
              <w:pStyle w:val="Btablefigureunbold"/>
              <w:rPr>
                <w:szCs w:val="20"/>
              </w:rPr>
            </w:pPr>
            <w:r w:rsidRPr="00191D85">
              <w:rPr>
                <w:szCs w:val="20"/>
              </w:rPr>
              <w:t>-27,664</w:t>
            </w:r>
          </w:p>
        </w:tc>
      </w:tr>
      <w:tr w:rsidR="006C269A" w:rsidRPr="006D5D15" w14:paraId="149B3D9C" w14:textId="77777777" w:rsidTr="00AB05FB">
        <w:trPr>
          <w:cantSplit/>
          <w:jc w:val="center"/>
        </w:trPr>
        <w:tc>
          <w:tcPr>
            <w:tcW w:w="2869" w:type="dxa"/>
            <w:shd w:val="clear" w:color="auto" w:fill="auto"/>
            <w:noWrap/>
          </w:tcPr>
          <w:p w14:paraId="20DBE63F" w14:textId="77777777" w:rsidR="006C269A" w:rsidRPr="00F25F0C" w:rsidRDefault="006C269A" w:rsidP="00AB05FB">
            <w:pPr>
              <w:pStyle w:val="BStabletextunbold"/>
              <w:rPr>
                <w:rFonts w:eastAsia="SimSun"/>
              </w:rPr>
            </w:pPr>
            <w:r w:rsidRPr="005002FD">
              <w:t xml:space="preserve">Interest </w:t>
            </w:r>
            <w:r>
              <w:t>p</w:t>
            </w:r>
            <w:r w:rsidRPr="005002FD">
              <w:t>aid</w:t>
            </w:r>
          </w:p>
        </w:tc>
        <w:tc>
          <w:tcPr>
            <w:tcW w:w="1068" w:type="dxa"/>
            <w:shd w:val="clear" w:color="auto" w:fill="auto"/>
          </w:tcPr>
          <w:p w14:paraId="2F1CCEC3" w14:textId="77777777" w:rsidR="006C269A" w:rsidRPr="00191D85" w:rsidRDefault="006C269A" w:rsidP="00AB05FB">
            <w:pPr>
              <w:pStyle w:val="Btablefigureunbold"/>
              <w:rPr>
                <w:szCs w:val="20"/>
              </w:rPr>
            </w:pPr>
            <w:r w:rsidRPr="00191D85">
              <w:rPr>
                <w:szCs w:val="20"/>
              </w:rPr>
              <w:t>-75,273</w:t>
            </w:r>
          </w:p>
        </w:tc>
        <w:tc>
          <w:tcPr>
            <w:tcW w:w="1069" w:type="dxa"/>
            <w:shd w:val="clear" w:color="auto" w:fill="auto"/>
            <w:noWrap/>
          </w:tcPr>
          <w:p w14:paraId="7F34DA70" w14:textId="77777777" w:rsidR="006C269A" w:rsidRPr="00191D85" w:rsidRDefault="006C269A" w:rsidP="00AB05FB">
            <w:pPr>
              <w:pStyle w:val="Btablefigureunbold"/>
              <w:rPr>
                <w:szCs w:val="20"/>
              </w:rPr>
            </w:pPr>
            <w:r w:rsidRPr="00191D85">
              <w:rPr>
                <w:szCs w:val="20"/>
              </w:rPr>
              <w:t>-75,409</w:t>
            </w:r>
          </w:p>
        </w:tc>
        <w:tc>
          <w:tcPr>
            <w:tcW w:w="1069" w:type="dxa"/>
            <w:shd w:val="clear" w:color="auto" w:fill="auto"/>
            <w:noWrap/>
            <w:vAlign w:val="bottom"/>
          </w:tcPr>
          <w:p w14:paraId="29AD0575" w14:textId="77777777" w:rsidR="006C269A" w:rsidRPr="00191D85" w:rsidRDefault="006C269A" w:rsidP="00AB05FB">
            <w:pPr>
              <w:pStyle w:val="Btablefigureunbold"/>
              <w:rPr>
                <w:szCs w:val="20"/>
              </w:rPr>
            </w:pPr>
            <w:r w:rsidRPr="00191D85">
              <w:rPr>
                <w:szCs w:val="20"/>
              </w:rPr>
              <w:t>-80,939</w:t>
            </w:r>
          </w:p>
        </w:tc>
        <w:tc>
          <w:tcPr>
            <w:tcW w:w="1069" w:type="dxa"/>
            <w:shd w:val="clear" w:color="auto" w:fill="auto"/>
            <w:noWrap/>
            <w:vAlign w:val="bottom"/>
          </w:tcPr>
          <w:p w14:paraId="6DB71C43" w14:textId="77777777" w:rsidR="006C269A" w:rsidRPr="00191D85" w:rsidRDefault="006C269A" w:rsidP="00AB05FB">
            <w:pPr>
              <w:pStyle w:val="Btablefigureunbold"/>
              <w:rPr>
                <w:szCs w:val="20"/>
              </w:rPr>
            </w:pPr>
            <w:r w:rsidRPr="00191D85">
              <w:rPr>
                <w:szCs w:val="20"/>
              </w:rPr>
              <w:t>-81,584</w:t>
            </w:r>
          </w:p>
        </w:tc>
        <w:tc>
          <w:tcPr>
            <w:tcW w:w="1069" w:type="dxa"/>
            <w:shd w:val="clear" w:color="auto" w:fill="auto"/>
            <w:noWrap/>
            <w:vAlign w:val="bottom"/>
          </w:tcPr>
          <w:p w14:paraId="24C4307A" w14:textId="77777777" w:rsidR="006C269A" w:rsidRPr="00191D85" w:rsidRDefault="006C269A" w:rsidP="00AB05FB">
            <w:pPr>
              <w:pStyle w:val="Btablefigureunbold"/>
              <w:rPr>
                <w:szCs w:val="20"/>
              </w:rPr>
            </w:pPr>
            <w:r w:rsidRPr="00191D85">
              <w:rPr>
                <w:szCs w:val="20"/>
              </w:rPr>
              <w:t>-81,325</w:t>
            </w:r>
          </w:p>
        </w:tc>
        <w:tc>
          <w:tcPr>
            <w:tcW w:w="1069" w:type="dxa"/>
            <w:shd w:val="clear" w:color="auto" w:fill="auto"/>
            <w:noWrap/>
            <w:vAlign w:val="bottom"/>
          </w:tcPr>
          <w:p w14:paraId="15846ECC" w14:textId="77777777" w:rsidR="006C269A" w:rsidRPr="00191D85" w:rsidRDefault="006C269A" w:rsidP="00AB05FB">
            <w:pPr>
              <w:pStyle w:val="Btablefigureunbold"/>
              <w:rPr>
                <w:szCs w:val="20"/>
              </w:rPr>
            </w:pPr>
            <w:r w:rsidRPr="00191D85">
              <w:rPr>
                <w:szCs w:val="20"/>
              </w:rPr>
              <w:t>-78,929</w:t>
            </w:r>
          </w:p>
        </w:tc>
      </w:tr>
      <w:tr w:rsidR="006C269A" w:rsidRPr="006D5D15" w14:paraId="38F95393" w14:textId="77777777" w:rsidTr="00AB05FB">
        <w:trPr>
          <w:cantSplit/>
          <w:jc w:val="center"/>
        </w:trPr>
        <w:tc>
          <w:tcPr>
            <w:tcW w:w="2869" w:type="dxa"/>
            <w:shd w:val="clear" w:color="auto" w:fill="auto"/>
            <w:noWrap/>
          </w:tcPr>
          <w:p w14:paraId="229757AD" w14:textId="77777777" w:rsidR="006C269A" w:rsidRPr="00F25F0C" w:rsidRDefault="006C269A" w:rsidP="00AB05FB">
            <w:pPr>
              <w:pStyle w:val="BStabletextunbold"/>
              <w:rPr>
                <w:rFonts w:eastAsia="SimSun"/>
              </w:rPr>
            </w:pPr>
            <w:r w:rsidRPr="005002FD">
              <w:t xml:space="preserve">Other </w:t>
            </w:r>
            <w:r>
              <w:t>p</w:t>
            </w:r>
            <w:r w:rsidRPr="005002FD">
              <w:t>ayments</w:t>
            </w:r>
          </w:p>
        </w:tc>
        <w:tc>
          <w:tcPr>
            <w:tcW w:w="1068" w:type="dxa"/>
            <w:shd w:val="clear" w:color="auto" w:fill="auto"/>
          </w:tcPr>
          <w:p w14:paraId="230B3EB2" w14:textId="77777777" w:rsidR="006C269A" w:rsidRPr="00191D85" w:rsidRDefault="006C269A" w:rsidP="00AB05FB">
            <w:pPr>
              <w:pStyle w:val="Btablefigureunbold"/>
              <w:rPr>
                <w:szCs w:val="20"/>
              </w:rPr>
            </w:pPr>
            <w:r w:rsidRPr="00191D85">
              <w:rPr>
                <w:szCs w:val="20"/>
              </w:rPr>
              <w:t>-212,007</w:t>
            </w:r>
          </w:p>
        </w:tc>
        <w:tc>
          <w:tcPr>
            <w:tcW w:w="1069" w:type="dxa"/>
            <w:shd w:val="clear" w:color="auto" w:fill="auto"/>
            <w:noWrap/>
          </w:tcPr>
          <w:p w14:paraId="01710B02" w14:textId="77777777" w:rsidR="006C269A" w:rsidRPr="00191D85" w:rsidRDefault="006C269A" w:rsidP="00AB05FB">
            <w:pPr>
              <w:pStyle w:val="Btablefigureunbold"/>
              <w:rPr>
                <w:szCs w:val="20"/>
              </w:rPr>
            </w:pPr>
            <w:r w:rsidRPr="00191D85">
              <w:rPr>
                <w:szCs w:val="20"/>
              </w:rPr>
              <w:t>-299,539</w:t>
            </w:r>
          </w:p>
        </w:tc>
        <w:tc>
          <w:tcPr>
            <w:tcW w:w="1069" w:type="dxa"/>
            <w:shd w:val="clear" w:color="auto" w:fill="auto"/>
            <w:noWrap/>
            <w:vAlign w:val="bottom"/>
          </w:tcPr>
          <w:p w14:paraId="68C0051F" w14:textId="77777777" w:rsidR="006C269A" w:rsidRPr="00191D85" w:rsidRDefault="006C269A" w:rsidP="00AB05FB">
            <w:pPr>
              <w:pStyle w:val="Btablefigureunbold"/>
              <w:rPr>
                <w:szCs w:val="20"/>
              </w:rPr>
            </w:pPr>
            <w:r w:rsidRPr="00191D85">
              <w:rPr>
                <w:szCs w:val="20"/>
              </w:rPr>
              <w:t>-307,267</w:t>
            </w:r>
          </w:p>
        </w:tc>
        <w:tc>
          <w:tcPr>
            <w:tcW w:w="1069" w:type="dxa"/>
            <w:shd w:val="clear" w:color="auto" w:fill="auto"/>
            <w:noWrap/>
            <w:vAlign w:val="bottom"/>
          </w:tcPr>
          <w:p w14:paraId="29915559" w14:textId="77777777" w:rsidR="006C269A" w:rsidRPr="00191D85" w:rsidRDefault="006C269A" w:rsidP="00AB05FB">
            <w:pPr>
              <w:pStyle w:val="Btablefigureunbold"/>
              <w:rPr>
                <w:szCs w:val="20"/>
              </w:rPr>
            </w:pPr>
            <w:r w:rsidRPr="00191D85">
              <w:rPr>
                <w:szCs w:val="20"/>
              </w:rPr>
              <w:t>-386,821</w:t>
            </w:r>
          </w:p>
        </w:tc>
        <w:tc>
          <w:tcPr>
            <w:tcW w:w="1069" w:type="dxa"/>
            <w:shd w:val="clear" w:color="auto" w:fill="auto"/>
            <w:noWrap/>
            <w:vAlign w:val="bottom"/>
          </w:tcPr>
          <w:p w14:paraId="47840987" w14:textId="77777777" w:rsidR="006C269A" w:rsidRPr="00191D85" w:rsidRDefault="006C269A" w:rsidP="00AB05FB">
            <w:pPr>
              <w:pStyle w:val="Btablefigureunbold"/>
              <w:rPr>
                <w:szCs w:val="20"/>
              </w:rPr>
            </w:pPr>
            <w:r w:rsidRPr="00191D85">
              <w:rPr>
                <w:szCs w:val="20"/>
              </w:rPr>
              <w:t>-364,894</w:t>
            </w:r>
          </w:p>
        </w:tc>
        <w:tc>
          <w:tcPr>
            <w:tcW w:w="1069" w:type="dxa"/>
            <w:shd w:val="clear" w:color="auto" w:fill="auto"/>
            <w:noWrap/>
            <w:vAlign w:val="bottom"/>
          </w:tcPr>
          <w:p w14:paraId="2F6E63D9" w14:textId="77777777" w:rsidR="006C269A" w:rsidRPr="00191D85" w:rsidRDefault="006C269A" w:rsidP="00AB05FB">
            <w:pPr>
              <w:pStyle w:val="Btablefigureunbold"/>
              <w:rPr>
                <w:szCs w:val="20"/>
              </w:rPr>
            </w:pPr>
            <w:r w:rsidRPr="00191D85">
              <w:rPr>
                <w:szCs w:val="20"/>
              </w:rPr>
              <w:t>-340,193</w:t>
            </w:r>
          </w:p>
        </w:tc>
      </w:tr>
      <w:tr w:rsidR="006C269A" w:rsidRPr="00191D85" w14:paraId="15C5A343" w14:textId="77777777" w:rsidTr="00AB05FB">
        <w:trPr>
          <w:cantSplit/>
          <w:jc w:val="center"/>
        </w:trPr>
        <w:tc>
          <w:tcPr>
            <w:tcW w:w="2869" w:type="dxa"/>
            <w:shd w:val="clear" w:color="auto" w:fill="auto"/>
            <w:noWrap/>
          </w:tcPr>
          <w:p w14:paraId="5007FCC7" w14:textId="77777777" w:rsidR="006C269A" w:rsidRPr="00191D85" w:rsidRDefault="006C269A" w:rsidP="00AB05FB">
            <w:pPr>
              <w:pStyle w:val="Btabletextbolditalic"/>
              <w:rPr>
                <w:i w:val="0"/>
                <w:iCs/>
              </w:rPr>
            </w:pPr>
            <w:r w:rsidRPr="00191D85">
              <w:rPr>
                <w:i w:val="0"/>
                <w:iCs/>
              </w:rPr>
              <w:t>Total payments from operating activities</w:t>
            </w:r>
          </w:p>
        </w:tc>
        <w:tc>
          <w:tcPr>
            <w:tcW w:w="1068" w:type="dxa"/>
            <w:shd w:val="clear" w:color="auto" w:fill="auto"/>
          </w:tcPr>
          <w:p w14:paraId="5D7937FB" w14:textId="77777777" w:rsidR="006C269A" w:rsidRPr="00191D85" w:rsidRDefault="006C269A" w:rsidP="00AB05FB">
            <w:pPr>
              <w:pStyle w:val="BStabletextbold"/>
              <w:jc w:val="right"/>
            </w:pPr>
            <w:r w:rsidRPr="00191D85">
              <w:t>-971,880</w:t>
            </w:r>
          </w:p>
        </w:tc>
        <w:tc>
          <w:tcPr>
            <w:tcW w:w="1069" w:type="dxa"/>
            <w:shd w:val="clear" w:color="auto" w:fill="auto"/>
            <w:noWrap/>
          </w:tcPr>
          <w:p w14:paraId="0E658249" w14:textId="77777777" w:rsidR="006C269A" w:rsidRPr="00191D85" w:rsidRDefault="006C269A" w:rsidP="00AB05FB">
            <w:pPr>
              <w:pStyle w:val="BStabletextbold"/>
              <w:jc w:val="right"/>
            </w:pPr>
            <w:r w:rsidRPr="00191D85">
              <w:t>-904,649</w:t>
            </w:r>
          </w:p>
        </w:tc>
        <w:tc>
          <w:tcPr>
            <w:tcW w:w="1069" w:type="dxa"/>
            <w:shd w:val="clear" w:color="auto" w:fill="auto"/>
            <w:noWrap/>
          </w:tcPr>
          <w:p w14:paraId="6743E5C9" w14:textId="77777777" w:rsidR="006C269A" w:rsidRPr="00191D85" w:rsidRDefault="006C269A" w:rsidP="00AB05FB">
            <w:pPr>
              <w:pStyle w:val="BStabletextbold"/>
              <w:jc w:val="right"/>
            </w:pPr>
            <w:r w:rsidRPr="00191D85">
              <w:t>-1,018,851</w:t>
            </w:r>
          </w:p>
        </w:tc>
        <w:tc>
          <w:tcPr>
            <w:tcW w:w="1069" w:type="dxa"/>
            <w:shd w:val="clear" w:color="auto" w:fill="auto"/>
            <w:noWrap/>
          </w:tcPr>
          <w:p w14:paraId="32D343DC" w14:textId="77777777" w:rsidR="006C269A" w:rsidRPr="00191D85" w:rsidRDefault="006C269A" w:rsidP="00AB05FB">
            <w:pPr>
              <w:pStyle w:val="BStabletextbold"/>
              <w:jc w:val="right"/>
            </w:pPr>
            <w:r w:rsidRPr="00191D85">
              <w:t>-1,093,631</w:t>
            </w:r>
          </w:p>
        </w:tc>
        <w:tc>
          <w:tcPr>
            <w:tcW w:w="1069" w:type="dxa"/>
            <w:shd w:val="clear" w:color="auto" w:fill="auto"/>
            <w:noWrap/>
          </w:tcPr>
          <w:p w14:paraId="6DDF21B7" w14:textId="77777777" w:rsidR="006C269A" w:rsidRPr="00191D85" w:rsidRDefault="006C269A" w:rsidP="00AB05FB">
            <w:pPr>
              <w:pStyle w:val="BStabletextbold"/>
              <w:jc w:val="right"/>
            </w:pPr>
            <w:r w:rsidRPr="00191D85">
              <w:t>-1,072,133</w:t>
            </w:r>
          </w:p>
        </w:tc>
        <w:tc>
          <w:tcPr>
            <w:tcW w:w="1069" w:type="dxa"/>
            <w:shd w:val="clear" w:color="auto" w:fill="auto"/>
            <w:noWrap/>
          </w:tcPr>
          <w:p w14:paraId="241D5EAC" w14:textId="77777777" w:rsidR="006C269A" w:rsidRPr="00191D85" w:rsidRDefault="006C269A" w:rsidP="00AB05FB">
            <w:pPr>
              <w:pStyle w:val="BStabletextbold"/>
              <w:jc w:val="right"/>
            </w:pPr>
            <w:r w:rsidRPr="00191D85">
              <w:t>-1,045,912</w:t>
            </w:r>
          </w:p>
        </w:tc>
      </w:tr>
      <w:tr w:rsidR="006C269A" w:rsidRPr="00C0440A" w14:paraId="74C96D3D" w14:textId="77777777" w:rsidTr="00AB05FB">
        <w:trPr>
          <w:cantSplit/>
          <w:jc w:val="center"/>
        </w:trPr>
        <w:tc>
          <w:tcPr>
            <w:tcW w:w="2869" w:type="dxa"/>
            <w:shd w:val="clear" w:color="auto" w:fill="auto"/>
            <w:noWrap/>
          </w:tcPr>
          <w:p w14:paraId="5A14EC59" w14:textId="77777777" w:rsidR="006C269A" w:rsidRPr="00C0440A" w:rsidRDefault="006C269A" w:rsidP="00AB05FB">
            <w:pPr>
              <w:pStyle w:val="BStabletextbold"/>
              <w:rPr>
                <w:color w:val="472D8C"/>
              </w:rPr>
            </w:pPr>
            <w:r w:rsidRPr="00C0440A">
              <w:rPr>
                <w:color w:val="472D8C"/>
              </w:rPr>
              <w:t>Net cash flows from operating activities</w:t>
            </w:r>
          </w:p>
        </w:tc>
        <w:tc>
          <w:tcPr>
            <w:tcW w:w="1068" w:type="dxa"/>
            <w:shd w:val="clear" w:color="auto" w:fill="auto"/>
          </w:tcPr>
          <w:p w14:paraId="6FBBF635" w14:textId="77777777" w:rsidR="006C269A" w:rsidRPr="00C0440A" w:rsidRDefault="006C269A" w:rsidP="00AB05FB">
            <w:pPr>
              <w:pStyle w:val="BStabletextbold"/>
              <w:jc w:val="right"/>
              <w:rPr>
                <w:color w:val="472D8C"/>
              </w:rPr>
            </w:pPr>
            <w:r w:rsidRPr="00C0440A">
              <w:rPr>
                <w:color w:val="472D8C"/>
              </w:rPr>
              <w:t>609,443</w:t>
            </w:r>
          </w:p>
        </w:tc>
        <w:tc>
          <w:tcPr>
            <w:tcW w:w="1069" w:type="dxa"/>
            <w:shd w:val="clear" w:color="auto" w:fill="auto"/>
            <w:noWrap/>
          </w:tcPr>
          <w:p w14:paraId="18E15454" w14:textId="77777777" w:rsidR="006C269A" w:rsidRPr="00C0440A" w:rsidRDefault="006C269A" w:rsidP="00AB05FB">
            <w:pPr>
              <w:pStyle w:val="BStabletextbold"/>
              <w:jc w:val="right"/>
              <w:rPr>
                <w:color w:val="472D8C"/>
              </w:rPr>
            </w:pPr>
            <w:r w:rsidRPr="00C0440A">
              <w:rPr>
                <w:color w:val="472D8C"/>
              </w:rPr>
              <w:t>670,881</w:t>
            </w:r>
          </w:p>
        </w:tc>
        <w:tc>
          <w:tcPr>
            <w:tcW w:w="1069" w:type="dxa"/>
            <w:shd w:val="clear" w:color="auto" w:fill="auto"/>
            <w:noWrap/>
          </w:tcPr>
          <w:p w14:paraId="176CE4C6" w14:textId="77777777" w:rsidR="006C269A" w:rsidRPr="00C0440A" w:rsidRDefault="006C269A" w:rsidP="00AB05FB">
            <w:pPr>
              <w:pStyle w:val="BStabletextbold"/>
              <w:jc w:val="right"/>
              <w:rPr>
                <w:color w:val="472D8C"/>
              </w:rPr>
            </w:pPr>
            <w:r w:rsidRPr="00C0440A">
              <w:rPr>
                <w:color w:val="472D8C"/>
              </w:rPr>
              <w:t>250,593</w:t>
            </w:r>
          </w:p>
        </w:tc>
        <w:tc>
          <w:tcPr>
            <w:tcW w:w="1069" w:type="dxa"/>
            <w:shd w:val="clear" w:color="auto" w:fill="auto"/>
            <w:noWrap/>
          </w:tcPr>
          <w:p w14:paraId="479133A1" w14:textId="77777777" w:rsidR="006C269A" w:rsidRPr="00C0440A" w:rsidRDefault="006C269A" w:rsidP="00AB05FB">
            <w:pPr>
              <w:pStyle w:val="BStabletextbold"/>
              <w:jc w:val="right"/>
              <w:rPr>
                <w:color w:val="472D8C"/>
              </w:rPr>
            </w:pPr>
            <w:r w:rsidRPr="00C0440A">
              <w:rPr>
                <w:color w:val="472D8C"/>
              </w:rPr>
              <w:t>287,162</w:t>
            </w:r>
          </w:p>
        </w:tc>
        <w:tc>
          <w:tcPr>
            <w:tcW w:w="1069" w:type="dxa"/>
            <w:shd w:val="clear" w:color="auto" w:fill="auto"/>
            <w:noWrap/>
          </w:tcPr>
          <w:p w14:paraId="28768E11" w14:textId="77777777" w:rsidR="006C269A" w:rsidRPr="00C0440A" w:rsidRDefault="006C269A" w:rsidP="00AB05FB">
            <w:pPr>
              <w:pStyle w:val="BStabletextbold"/>
              <w:jc w:val="right"/>
              <w:rPr>
                <w:color w:val="472D8C"/>
              </w:rPr>
            </w:pPr>
            <w:r w:rsidRPr="00C0440A">
              <w:rPr>
                <w:color w:val="472D8C"/>
              </w:rPr>
              <w:t>241,340</w:t>
            </w:r>
          </w:p>
        </w:tc>
        <w:tc>
          <w:tcPr>
            <w:tcW w:w="1069" w:type="dxa"/>
            <w:shd w:val="clear" w:color="auto" w:fill="auto"/>
            <w:noWrap/>
          </w:tcPr>
          <w:p w14:paraId="6734EF33" w14:textId="77777777" w:rsidR="006C269A" w:rsidRPr="00C0440A" w:rsidRDefault="006C269A" w:rsidP="00AB05FB">
            <w:pPr>
              <w:pStyle w:val="BStabletextbold"/>
              <w:jc w:val="right"/>
              <w:rPr>
                <w:color w:val="472D8C"/>
              </w:rPr>
            </w:pPr>
            <w:r w:rsidRPr="00C0440A">
              <w:rPr>
                <w:color w:val="472D8C"/>
              </w:rPr>
              <w:t>288,447</w:t>
            </w:r>
          </w:p>
        </w:tc>
      </w:tr>
      <w:tr w:rsidR="006C269A" w:rsidRPr="006D5D15" w14:paraId="152AC7EC" w14:textId="77777777" w:rsidTr="00AB05FB">
        <w:trPr>
          <w:cantSplit/>
          <w:jc w:val="center"/>
        </w:trPr>
        <w:tc>
          <w:tcPr>
            <w:tcW w:w="2869" w:type="dxa"/>
            <w:shd w:val="clear" w:color="auto" w:fill="auto"/>
            <w:noWrap/>
            <w:vAlign w:val="bottom"/>
          </w:tcPr>
          <w:p w14:paraId="6E70A4B5" w14:textId="77777777" w:rsidR="006C269A" w:rsidRPr="00F25F0C" w:rsidRDefault="006C269A" w:rsidP="00AB05FB">
            <w:pPr>
              <w:pStyle w:val="BStabletextbold"/>
              <w:rPr>
                <w:rFonts w:eastAsia="SimSun"/>
              </w:rPr>
            </w:pPr>
            <w:r w:rsidRPr="005002FD">
              <w:t xml:space="preserve">Cash </w:t>
            </w:r>
            <w:r>
              <w:t>f</w:t>
            </w:r>
            <w:r w:rsidRPr="005002FD">
              <w:t xml:space="preserve">lows from </w:t>
            </w:r>
            <w:r>
              <w:t>i</w:t>
            </w:r>
            <w:r w:rsidRPr="005002FD">
              <w:t xml:space="preserve">nvesting </w:t>
            </w:r>
            <w:r>
              <w:t>a</w:t>
            </w:r>
            <w:r w:rsidRPr="005002FD">
              <w:t>ctivities</w:t>
            </w:r>
          </w:p>
        </w:tc>
        <w:tc>
          <w:tcPr>
            <w:tcW w:w="1068" w:type="dxa"/>
            <w:shd w:val="clear" w:color="auto" w:fill="auto"/>
          </w:tcPr>
          <w:p w14:paraId="726BB527" w14:textId="77777777" w:rsidR="006C269A" w:rsidRDefault="006C269A" w:rsidP="00AB05FB">
            <w:pPr>
              <w:pStyle w:val="Btablefigureunbold"/>
            </w:pPr>
          </w:p>
        </w:tc>
        <w:tc>
          <w:tcPr>
            <w:tcW w:w="1069" w:type="dxa"/>
            <w:shd w:val="clear" w:color="auto" w:fill="auto"/>
            <w:noWrap/>
          </w:tcPr>
          <w:p w14:paraId="29118DAF" w14:textId="77777777" w:rsidR="006C269A" w:rsidRPr="006D5D15" w:rsidRDefault="006C269A" w:rsidP="00AB05FB">
            <w:pPr>
              <w:pStyle w:val="Btablefigureunbold"/>
            </w:pPr>
          </w:p>
        </w:tc>
        <w:tc>
          <w:tcPr>
            <w:tcW w:w="1069" w:type="dxa"/>
            <w:shd w:val="clear" w:color="auto" w:fill="auto"/>
            <w:noWrap/>
          </w:tcPr>
          <w:p w14:paraId="2175376F" w14:textId="77777777" w:rsidR="006C269A" w:rsidRPr="006D5D15" w:rsidRDefault="006C269A" w:rsidP="00AB05FB">
            <w:pPr>
              <w:pStyle w:val="Btablefigureunbold"/>
            </w:pPr>
          </w:p>
        </w:tc>
        <w:tc>
          <w:tcPr>
            <w:tcW w:w="1069" w:type="dxa"/>
            <w:shd w:val="clear" w:color="auto" w:fill="auto"/>
            <w:noWrap/>
          </w:tcPr>
          <w:p w14:paraId="28DC7465" w14:textId="77777777" w:rsidR="006C269A" w:rsidRPr="006D5D15" w:rsidRDefault="006C269A" w:rsidP="00AB05FB">
            <w:pPr>
              <w:pStyle w:val="Btablefigureunbold"/>
            </w:pPr>
          </w:p>
        </w:tc>
        <w:tc>
          <w:tcPr>
            <w:tcW w:w="1069" w:type="dxa"/>
            <w:shd w:val="clear" w:color="auto" w:fill="auto"/>
            <w:noWrap/>
          </w:tcPr>
          <w:p w14:paraId="2C69FCB7" w14:textId="77777777" w:rsidR="006C269A" w:rsidRPr="006D5D15" w:rsidRDefault="006C269A" w:rsidP="00AB05FB">
            <w:pPr>
              <w:pStyle w:val="Btablefigureunbold"/>
            </w:pPr>
          </w:p>
        </w:tc>
        <w:tc>
          <w:tcPr>
            <w:tcW w:w="1069" w:type="dxa"/>
            <w:shd w:val="clear" w:color="auto" w:fill="auto"/>
            <w:noWrap/>
          </w:tcPr>
          <w:p w14:paraId="7910D0E5" w14:textId="77777777" w:rsidR="006C269A" w:rsidRPr="006D5D15" w:rsidRDefault="006C269A" w:rsidP="00AB05FB">
            <w:pPr>
              <w:pStyle w:val="Btablefigureunbold"/>
            </w:pPr>
          </w:p>
        </w:tc>
      </w:tr>
      <w:tr w:rsidR="006C269A" w:rsidRPr="006D5D15" w14:paraId="72FB36AD" w14:textId="77777777" w:rsidTr="00AB05FB">
        <w:trPr>
          <w:cantSplit/>
          <w:jc w:val="center"/>
        </w:trPr>
        <w:tc>
          <w:tcPr>
            <w:tcW w:w="2869" w:type="dxa"/>
            <w:shd w:val="clear" w:color="auto" w:fill="auto"/>
            <w:noWrap/>
          </w:tcPr>
          <w:p w14:paraId="25445D69" w14:textId="77777777" w:rsidR="006C269A" w:rsidRPr="00F25F0C" w:rsidRDefault="006C269A" w:rsidP="00AB05FB">
            <w:pPr>
              <w:pStyle w:val="BStabletextbold"/>
              <w:rPr>
                <w:rFonts w:eastAsia="SimSun"/>
              </w:rPr>
            </w:pPr>
            <w:r w:rsidRPr="005002FD">
              <w:t xml:space="preserve">Cash </w:t>
            </w:r>
            <w:r>
              <w:t>f</w:t>
            </w:r>
            <w:r w:rsidRPr="005002FD">
              <w:t xml:space="preserve">lows from </w:t>
            </w:r>
            <w:r>
              <w:t>i</w:t>
            </w:r>
            <w:r w:rsidRPr="005002FD">
              <w:t xml:space="preserve">nvestments in </w:t>
            </w:r>
            <w:r>
              <w:t>n</w:t>
            </w:r>
            <w:r w:rsidRPr="005002FD">
              <w:t>on-</w:t>
            </w:r>
            <w:r>
              <w:t>f</w:t>
            </w:r>
            <w:r w:rsidRPr="005002FD">
              <w:t xml:space="preserve">inancial </w:t>
            </w:r>
            <w:r>
              <w:t>a</w:t>
            </w:r>
            <w:r w:rsidRPr="005002FD">
              <w:t>ssets</w:t>
            </w:r>
          </w:p>
        </w:tc>
        <w:tc>
          <w:tcPr>
            <w:tcW w:w="1068" w:type="dxa"/>
            <w:shd w:val="clear" w:color="auto" w:fill="auto"/>
          </w:tcPr>
          <w:p w14:paraId="4AC05338" w14:textId="77777777" w:rsidR="006C269A" w:rsidRDefault="006C269A" w:rsidP="00AB05FB">
            <w:pPr>
              <w:pStyle w:val="Btablefigureunbold"/>
            </w:pPr>
          </w:p>
        </w:tc>
        <w:tc>
          <w:tcPr>
            <w:tcW w:w="1069" w:type="dxa"/>
            <w:shd w:val="clear" w:color="auto" w:fill="auto"/>
            <w:noWrap/>
          </w:tcPr>
          <w:p w14:paraId="4F456F86" w14:textId="77777777" w:rsidR="006C269A" w:rsidRPr="006D5D15" w:rsidRDefault="006C269A" w:rsidP="00AB05FB">
            <w:pPr>
              <w:pStyle w:val="Btablefigureunbold"/>
            </w:pPr>
          </w:p>
        </w:tc>
        <w:tc>
          <w:tcPr>
            <w:tcW w:w="1069" w:type="dxa"/>
            <w:shd w:val="clear" w:color="auto" w:fill="auto"/>
            <w:noWrap/>
          </w:tcPr>
          <w:p w14:paraId="35D43BE6" w14:textId="77777777" w:rsidR="006C269A" w:rsidRPr="006D5D15" w:rsidRDefault="006C269A" w:rsidP="00AB05FB">
            <w:pPr>
              <w:pStyle w:val="Btablefigureunbold"/>
            </w:pPr>
          </w:p>
        </w:tc>
        <w:tc>
          <w:tcPr>
            <w:tcW w:w="1069" w:type="dxa"/>
            <w:shd w:val="clear" w:color="auto" w:fill="auto"/>
            <w:noWrap/>
          </w:tcPr>
          <w:p w14:paraId="2A0AC6B0" w14:textId="77777777" w:rsidR="006C269A" w:rsidRPr="006D5D15" w:rsidRDefault="006C269A" w:rsidP="00AB05FB">
            <w:pPr>
              <w:pStyle w:val="Btablefigureunbold"/>
            </w:pPr>
          </w:p>
        </w:tc>
        <w:tc>
          <w:tcPr>
            <w:tcW w:w="1069" w:type="dxa"/>
            <w:shd w:val="clear" w:color="auto" w:fill="auto"/>
            <w:noWrap/>
          </w:tcPr>
          <w:p w14:paraId="7A75297F" w14:textId="77777777" w:rsidR="006C269A" w:rsidRPr="006D5D15" w:rsidRDefault="006C269A" w:rsidP="00AB05FB">
            <w:pPr>
              <w:pStyle w:val="Btablefigureunbold"/>
            </w:pPr>
          </w:p>
        </w:tc>
        <w:tc>
          <w:tcPr>
            <w:tcW w:w="1069" w:type="dxa"/>
            <w:shd w:val="clear" w:color="auto" w:fill="auto"/>
            <w:noWrap/>
          </w:tcPr>
          <w:p w14:paraId="7BC5EBFD" w14:textId="77777777" w:rsidR="006C269A" w:rsidRPr="006D5D15" w:rsidRDefault="006C269A" w:rsidP="00AB05FB">
            <w:pPr>
              <w:pStyle w:val="Btablefigureunbold"/>
            </w:pPr>
          </w:p>
        </w:tc>
      </w:tr>
      <w:tr w:rsidR="006C269A" w:rsidRPr="00601709" w14:paraId="0EB8D27A" w14:textId="77777777" w:rsidTr="00AB05FB">
        <w:trPr>
          <w:cantSplit/>
          <w:jc w:val="center"/>
        </w:trPr>
        <w:tc>
          <w:tcPr>
            <w:tcW w:w="2869" w:type="dxa"/>
            <w:shd w:val="clear" w:color="auto" w:fill="auto"/>
            <w:noWrap/>
          </w:tcPr>
          <w:p w14:paraId="2A6D8F19" w14:textId="77777777" w:rsidR="006C269A" w:rsidRPr="00422A91" w:rsidRDefault="006C269A" w:rsidP="00AB05FB">
            <w:pPr>
              <w:pStyle w:val="BStabletextunbold"/>
            </w:pPr>
            <w:r w:rsidRPr="005002FD">
              <w:t xml:space="preserve">Sales of </w:t>
            </w:r>
            <w:r>
              <w:t>n</w:t>
            </w:r>
            <w:r w:rsidRPr="005002FD">
              <w:t>on-</w:t>
            </w:r>
            <w:r>
              <w:t>f</w:t>
            </w:r>
            <w:r w:rsidRPr="005002FD">
              <w:t xml:space="preserve">inancial </w:t>
            </w:r>
            <w:r>
              <w:t>a</w:t>
            </w:r>
            <w:r w:rsidRPr="005002FD">
              <w:t>ssets</w:t>
            </w:r>
          </w:p>
        </w:tc>
        <w:tc>
          <w:tcPr>
            <w:tcW w:w="1068" w:type="dxa"/>
            <w:shd w:val="clear" w:color="auto" w:fill="auto"/>
          </w:tcPr>
          <w:p w14:paraId="48177C7C" w14:textId="77777777" w:rsidR="006C269A" w:rsidRPr="00191D85" w:rsidRDefault="006C269A" w:rsidP="00AB05FB">
            <w:pPr>
              <w:pStyle w:val="BStabletext"/>
              <w:jc w:val="right"/>
            </w:pPr>
            <w:r w:rsidRPr="00191D85">
              <w:t>110,966</w:t>
            </w:r>
          </w:p>
        </w:tc>
        <w:tc>
          <w:tcPr>
            <w:tcW w:w="1069" w:type="dxa"/>
            <w:shd w:val="clear" w:color="auto" w:fill="auto"/>
            <w:noWrap/>
          </w:tcPr>
          <w:p w14:paraId="480F890C" w14:textId="77777777" w:rsidR="006C269A" w:rsidRPr="00191D85" w:rsidRDefault="006C269A" w:rsidP="00AB05FB">
            <w:pPr>
              <w:pStyle w:val="BStabletext"/>
              <w:jc w:val="right"/>
            </w:pPr>
            <w:r w:rsidRPr="00191D85">
              <w:t>121,306</w:t>
            </w:r>
          </w:p>
        </w:tc>
        <w:tc>
          <w:tcPr>
            <w:tcW w:w="1069" w:type="dxa"/>
            <w:shd w:val="clear" w:color="auto" w:fill="auto"/>
            <w:noWrap/>
            <w:vAlign w:val="bottom"/>
          </w:tcPr>
          <w:p w14:paraId="17096FB2" w14:textId="77777777" w:rsidR="006C269A" w:rsidRPr="00191D85" w:rsidRDefault="006C269A" w:rsidP="00AB05FB">
            <w:pPr>
              <w:pStyle w:val="BStabletext"/>
              <w:jc w:val="right"/>
            </w:pPr>
            <w:r w:rsidRPr="00191D85">
              <w:t>101,691</w:t>
            </w:r>
          </w:p>
        </w:tc>
        <w:tc>
          <w:tcPr>
            <w:tcW w:w="1069" w:type="dxa"/>
            <w:shd w:val="clear" w:color="auto" w:fill="auto"/>
            <w:noWrap/>
            <w:vAlign w:val="bottom"/>
          </w:tcPr>
          <w:p w14:paraId="600ECD70" w14:textId="77777777" w:rsidR="006C269A" w:rsidRPr="00191D85" w:rsidRDefault="006C269A" w:rsidP="00AB05FB">
            <w:pPr>
              <w:pStyle w:val="BStabletext"/>
              <w:jc w:val="right"/>
            </w:pPr>
            <w:r w:rsidRPr="00191D85">
              <w:t>189,056</w:t>
            </w:r>
          </w:p>
        </w:tc>
        <w:tc>
          <w:tcPr>
            <w:tcW w:w="1069" w:type="dxa"/>
            <w:shd w:val="clear" w:color="auto" w:fill="auto"/>
            <w:noWrap/>
            <w:vAlign w:val="bottom"/>
          </w:tcPr>
          <w:p w14:paraId="32EC305C" w14:textId="77777777" w:rsidR="006C269A" w:rsidRPr="00191D85" w:rsidRDefault="006C269A" w:rsidP="00AB05FB">
            <w:pPr>
              <w:pStyle w:val="BStabletext"/>
              <w:jc w:val="right"/>
            </w:pPr>
            <w:r w:rsidRPr="00191D85">
              <w:t>149,966</w:t>
            </w:r>
          </w:p>
        </w:tc>
        <w:tc>
          <w:tcPr>
            <w:tcW w:w="1069" w:type="dxa"/>
            <w:shd w:val="clear" w:color="auto" w:fill="auto"/>
            <w:noWrap/>
            <w:vAlign w:val="bottom"/>
          </w:tcPr>
          <w:p w14:paraId="2A07F7C4" w14:textId="77777777" w:rsidR="006C269A" w:rsidRPr="00191D85" w:rsidRDefault="006C269A" w:rsidP="00AB05FB">
            <w:pPr>
              <w:pStyle w:val="BStabletext"/>
              <w:jc w:val="right"/>
            </w:pPr>
            <w:r w:rsidRPr="00191D85">
              <w:t>35,045</w:t>
            </w:r>
          </w:p>
        </w:tc>
      </w:tr>
      <w:tr w:rsidR="006C269A" w:rsidRPr="00601709" w14:paraId="792D7D28" w14:textId="77777777" w:rsidTr="00AB05FB">
        <w:trPr>
          <w:cantSplit/>
          <w:jc w:val="center"/>
        </w:trPr>
        <w:tc>
          <w:tcPr>
            <w:tcW w:w="2869" w:type="dxa"/>
            <w:shd w:val="clear" w:color="auto" w:fill="auto"/>
            <w:noWrap/>
          </w:tcPr>
          <w:p w14:paraId="636F559B" w14:textId="77777777" w:rsidR="006C269A" w:rsidRPr="00422A91" w:rsidRDefault="006C269A" w:rsidP="00AB05FB">
            <w:pPr>
              <w:pStyle w:val="BStabletextunbold"/>
            </w:pPr>
            <w:r w:rsidRPr="005002FD">
              <w:t xml:space="preserve">Payments for </w:t>
            </w:r>
            <w:r>
              <w:t>n</w:t>
            </w:r>
            <w:r w:rsidRPr="005002FD">
              <w:t>on-</w:t>
            </w:r>
            <w:r>
              <w:t>f</w:t>
            </w:r>
            <w:r w:rsidRPr="005002FD">
              <w:t xml:space="preserve">inancial </w:t>
            </w:r>
            <w:r>
              <w:t>a</w:t>
            </w:r>
            <w:r w:rsidRPr="005002FD">
              <w:t>ssets</w:t>
            </w:r>
          </w:p>
        </w:tc>
        <w:tc>
          <w:tcPr>
            <w:tcW w:w="1068" w:type="dxa"/>
            <w:shd w:val="clear" w:color="auto" w:fill="auto"/>
          </w:tcPr>
          <w:p w14:paraId="4133F97E" w14:textId="77777777" w:rsidR="006C269A" w:rsidRPr="00191D85" w:rsidRDefault="006C269A" w:rsidP="00AB05FB">
            <w:pPr>
              <w:pStyle w:val="BStabletext"/>
              <w:jc w:val="right"/>
            </w:pPr>
            <w:r w:rsidRPr="00191D85">
              <w:t>-315,467</w:t>
            </w:r>
          </w:p>
        </w:tc>
        <w:tc>
          <w:tcPr>
            <w:tcW w:w="1069" w:type="dxa"/>
            <w:shd w:val="clear" w:color="auto" w:fill="auto"/>
            <w:noWrap/>
          </w:tcPr>
          <w:p w14:paraId="01F73CFB" w14:textId="77777777" w:rsidR="006C269A" w:rsidRPr="00191D85" w:rsidRDefault="006C269A" w:rsidP="00AB05FB">
            <w:pPr>
              <w:pStyle w:val="BStabletext"/>
              <w:jc w:val="right"/>
            </w:pPr>
            <w:r w:rsidRPr="00191D85">
              <w:t>-245,547</w:t>
            </w:r>
          </w:p>
        </w:tc>
        <w:tc>
          <w:tcPr>
            <w:tcW w:w="1069" w:type="dxa"/>
            <w:shd w:val="clear" w:color="auto" w:fill="auto"/>
            <w:noWrap/>
            <w:vAlign w:val="bottom"/>
          </w:tcPr>
          <w:p w14:paraId="04EB135F" w14:textId="77777777" w:rsidR="006C269A" w:rsidRPr="00191D85" w:rsidRDefault="006C269A" w:rsidP="00AB05FB">
            <w:pPr>
              <w:pStyle w:val="BStabletext"/>
              <w:jc w:val="right"/>
            </w:pPr>
            <w:r w:rsidRPr="00191D85">
              <w:t>-346,458</w:t>
            </w:r>
          </w:p>
        </w:tc>
        <w:tc>
          <w:tcPr>
            <w:tcW w:w="1069" w:type="dxa"/>
            <w:shd w:val="clear" w:color="auto" w:fill="auto"/>
            <w:noWrap/>
            <w:vAlign w:val="bottom"/>
          </w:tcPr>
          <w:p w14:paraId="4952E11B" w14:textId="77777777" w:rsidR="006C269A" w:rsidRPr="00191D85" w:rsidRDefault="006C269A" w:rsidP="00AB05FB">
            <w:pPr>
              <w:pStyle w:val="BStabletext"/>
              <w:jc w:val="right"/>
            </w:pPr>
            <w:r w:rsidRPr="00191D85">
              <w:t>-297,141</w:t>
            </w:r>
          </w:p>
        </w:tc>
        <w:tc>
          <w:tcPr>
            <w:tcW w:w="1069" w:type="dxa"/>
            <w:shd w:val="clear" w:color="auto" w:fill="auto"/>
            <w:noWrap/>
            <w:vAlign w:val="bottom"/>
          </w:tcPr>
          <w:p w14:paraId="0B929F1F" w14:textId="77777777" w:rsidR="006C269A" w:rsidRPr="00191D85" w:rsidRDefault="006C269A" w:rsidP="00AB05FB">
            <w:pPr>
              <w:pStyle w:val="BStabletext"/>
              <w:jc w:val="right"/>
            </w:pPr>
            <w:r w:rsidRPr="00191D85">
              <w:t>-245,531</w:t>
            </w:r>
          </w:p>
        </w:tc>
        <w:tc>
          <w:tcPr>
            <w:tcW w:w="1069" w:type="dxa"/>
            <w:shd w:val="clear" w:color="auto" w:fill="auto"/>
            <w:noWrap/>
            <w:vAlign w:val="bottom"/>
          </w:tcPr>
          <w:p w14:paraId="12EF160C" w14:textId="77777777" w:rsidR="006C269A" w:rsidRPr="00191D85" w:rsidRDefault="006C269A" w:rsidP="00AB05FB">
            <w:pPr>
              <w:pStyle w:val="BStabletext"/>
              <w:jc w:val="right"/>
            </w:pPr>
            <w:r w:rsidRPr="00191D85">
              <w:t>-150,091</w:t>
            </w:r>
          </w:p>
        </w:tc>
      </w:tr>
      <w:tr w:rsidR="006C269A" w:rsidRPr="00C0440A" w14:paraId="4F0A23FC" w14:textId="77777777" w:rsidTr="00AB05FB">
        <w:trPr>
          <w:cantSplit/>
          <w:jc w:val="center"/>
        </w:trPr>
        <w:tc>
          <w:tcPr>
            <w:tcW w:w="2869" w:type="dxa"/>
            <w:shd w:val="clear" w:color="auto" w:fill="auto"/>
            <w:noWrap/>
          </w:tcPr>
          <w:p w14:paraId="61276D94" w14:textId="77777777" w:rsidR="006C269A" w:rsidRPr="00C0440A" w:rsidRDefault="006C269A" w:rsidP="00AB05FB">
            <w:pPr>
              <w:pStyle w:val="BStabletextbold"/>
              <w:rPr>
                <w:color w:val="472D8C"/>
              </w:rPr>
            </w:pPr>
            <w:r w:rsidRPr="00C0440A">
              <w:rPr>
                <w:color w:val="472D8C"/>
              </w:rPr>
              <w:t>Net cash flows from investments in non-financial assets</w:t>
            </w:r>
          </w:p>
        </w:tc>
        <w:tc>
          <w:tcPr>
            <w:tcW w:w="1068" w:type="dxa"/>
            <w:shd w:val="clear" w:color="auto" w:fill="auto"/>
          </w:tcPr>
          <w:p w14:paraId="40A39EF5" w14:textId="77777777" w:rsidR="006C269A" w:rsidRPr="00C0440A" w:rsidRDefault="006C269A" w:rsidP="00AB05FB">
            <w:pPr>
              <w:pStyle w:val="BStabletextbold"/>
              <w:jc w:val="right"/>
              <w:rPr>
                <w:color w:val="472D8C"/>
              </w:rPr>
            </w:pPr>
            <w:r w:rsidRPr="00C0440A">
              <w:rPr>
                <w:color w:val="472D8C"/>
              </w:rPr>
              <w:t>-204,501</w:t>
            </w:r>
          </w:p>
        </w:tc>
        <w:tc>
          <w:tcPr>
            <w:tcW w:w="1069" w:type="dxa"/>
            <w:shd w:val="clear" w:color="auto" w:fill="auto"/>
            <w:noWrap/>
          </w:tcPr>
          <w:p w14:paraId="6015EED3" w14:textId="77777777" w:rsidR="006C269A" w:rsidRPr="00C0440A" w:rsidRDefault="006C269A" w:rsidP="00AB05FB">
            <w:pPr>
              <w:pStyle w:val="BStabletextbold"/>
              <w:jc w:val="right"/>
              <w:rPr>
                <w:color w:val="472D8C"/>
              </w:rPr>
            </w:pPr>
            <w:r w:rsidRPr="00C0440A">
              <w:rPr>
                <w:color w:val="472D8C"/>
              </w:rPr>
              <w:t>-124,241</w:t>
            </w:r>
          </w:p>
        </w:tc>
        <w:tc>
          <w:tcPr>
            <w:tcW w:w="1069" w:type="dxa"/>
            <w:shd w:val="clear" w:color="auto" w:fill="auto"/>
            <w:noWrap/>
          </w:tcPr>
          <w:p w14:paraId="4477FBFA" w14:textId="77777777" w:rsidR="006C269A" w:rsidRPr="00C0440A" w:rsidRDefault="006C269A" w:rsidP="00AB05FB">
            <w:pPr>
              <w:pStyle w:val="BStabletextbold"/>
              <w:jc w:val="right"/>
              <w:rPr>
                <w:color w:val="472D8C"/>
              </w:rPr>
            </w:pPr>
            <w:r w:rsidRPr="00C0440A">
              <w:rPr>
                <w:color w:val="472D8C"/>
              </w:rPr>
              <w:t>-244,767</w:t>
            </w:r>
          </w:p>
        </w:tc>
        <w:tc>
          <w:tcPr>
            <w:tcW w:w="1069" w:type="dxa"/>
            <w:shd w:val="clear" w:color="auto" w:fill="auto"/>
            <w:noWrap/>
          </w:tcPr>
          <w:p w14:paraId="4A0A922B" w14:textId="77777777" w:rsidR="006C269A" w:rsidRPr="00C0440A" w:rsidRDefault="006C269A" w:rsidP="00AB05FB">
            <w:pPr>
              <w:pStyle w:val="BStabletextbold"/>
              <w:jc w:val="right"/>
              <w:rPr>
                <w:color w:val="472D8C"/>
              </w:rPr>
            </w:pPr>
            <w:r w:rsidRPr="00C0440A">
              <w:rPr>
                <w:color w:val="472D8C"/>
              </w:rPr>
              <w:t>-108,085</w:t>
            </w:r>
          </w:p>
        </w:tc>
        <w:tc>
          <w:tcPr>
            <w:tcW w:w="1069" w:type="dxa"/>
            <w:shd w:val="clear" w:color="auto" w:fill="auto"/>
            <w:noWrap/>
          </w:tcPr>
          <w:p w14:paraId="12964820" w14:textId="77777777" w:rsidR="006C269A" w:rsidRPr="00C0440A" w:rsidRDefault="006C269A" w:rsidP="00AB05FB">
            <w:pPr>
              <w:pStyle w:val="BStabletextbold"/>
              <w:jc w:val="right"/>
              <w:rPr>
                <w:color w:val="472D8C"/>
              </w:rPr>
            </w:pPr>
            <w:r w:rsidRPr="00C0440A">
              <w:rPr>
                <w:color w:val="472D8C"/>
              </w:rPr>
              <w:t>-95,565</w:t>
            </w:r>
          </w:p>
        </w:tc>
        <w:tc>
          <w:tcPr>
            <w:tcW w:w="1069" w:type="dxa"/>
            <w:shd w:val="clear" w:color="auto" w:fill="auto"/>
            <w:noWrap/>
          </w:tcPr>
          <w:p w14:paraId="2A59B890" w14:textId="77777777" w:rsidR="006C269A" w:rsidRPr="00C0440A" w:rsidRDefault="006C269A" w:rsidP="00AB05FB">
            <w:pPr>
              <w:pStyle w:val="BStabletextbold"/>
              <w:jc w:val="right"/>
              <w:rPr>
                <w:color w:val="472D8C"/>
              </w:rPr>
            </w:pPr>
            <w:r w:rsidRPr="00C0440A">
              <w:rPr>
                <w:color w:val="472D8C"/>
              </w:rPr>
              <w:t>-115,046</w:t>
            </w:r>
          </w:p>
        </w:tc>
      </w:tr>
      <w:tr w:rsidR="006C269A" w:rsidRPr="006D5D15" w14:paraId="62544AEC" w14:textId="77777777" w:rsidTr="00AB05FB">
        <w:trPr>
          <w:cantSplit/>
          <w:jc w:val="center"/>
        </w:trPr>
        <w:tc>
          <w:tcPr>
            <w:tcW w:w="2869" w:type="dxa"/>
            <w:shd w:val="clear" w:color="auto" w:fill="auto"/>
            <w:noWrap/>
            <w:vAlign w:val="bottom"/>
          </w:tcPr>
          <w:p w14:paraId="531352D0" w14:textId="77777777" w:rsidR="006C269A" w:rsidRPr="00422A91" w:rsidRDefault="006C269A" w:rsidP="00AB05FB">
            <w:pPr>
              <w:pStyle w:val="BStabletextbold"/>
            </w:pPr>
            <w:r w:rsidRPr="005002FD">
              <w:t xml:space="preserve">Cash </w:t>
            </w:r>
            <w:r>
              <w:t>f</w:t>
            </w:r>
            <w:r w:rsidRPr="005002FD">
              <w:t xml:space="preserve">lows from </w:t>
            </w:r>
            <w:r>
              <w:t>i</w:t>
            </w:r>
            <w:r w:rsidRPr="005002FD">
              <w:t xml:space="preserve">nvestments in </w:t>
            </w:r>
            <w:r>
              <w:t>f</w:t>
            </w:r>
            <w:r w:rsidRPr="005002FD">
              <w:t xml:space="preserve">inancial </w:t>
            </w:r>
            <w:r>
              <w:t>a</w:t>
            </w:r>
            <w:r w:rsidRPr="005002FD">
              <w:t xml:space="preserve">ssets for </w:t>
            </w:r>
            <w:r>
              <w:t>p</w:t>
            </w:r>
            <w:r w:rsidRPr="005002FD">
              <w:t xml:space="preserve">olicy </w:t>
            </w:r>
            <w:r>
              <w:t>p</w:t>
            </w:r>
            <w:r w:rsidRPr="005002FD">
              <w:t>urposes</w:t>
            </w:r>
          </w:p>
        </w:tc>
        <w:tc>
          <w:tcPr>
            <w:tcW w:w="1068" w:type="dxa"/>
            <w:shd w:val="clear" w:color="auto" w:fill="auto"/>
          </w:tcPr>
          <w:p w14:paraId="275CCE5B" w14:textId="77777777" w:rsidR="006C269A" w:rsidRDefault="006C269A" w:rsidP="00AB05FB">
            <w:pPr>
              <w:pStyle w:val="Btablefigureunbold"/>
            </w:pPr>
          </w:p>
        </w:tc>
        <w:tc>
          <w:tcPr>
            <w:tcW w:w="1069" w:type="dxa"/>
            <w:shd w:val="clear" w:color="auto" w:fill="auto"/>
            <w:noWrap/>
          </w:tcPr>
          <w:p w14:paraId="2E6535E7" w14:textId="77777777" w:rsidR="006C269A" w:rsidRPr="006D5D15" w:rsidRDefault="006C269A" w:rsidP="00AB05FB">
            <w:pPr>
              <w:pStyle w:val="Btablefigureunbold"/>
            </w:pPr>
          </w:p>
        </w:tc>
        <w:tc>
          <w:tcPr>
            <w:tcW w:w="1069" w:type="dxa"/>
            <w:shd w:val="clear" w:color="auto" w:fill="auto"/>
            <w:noWrap/>
          </w:tcPr>
          <w:p w14:paraId="7BD1A546" w14:textId="77777777" w:rsidR="006C269A" w:rsidRPr="006D5D15" w:rsidRDefault="006C269A" w:rsidP="00AB05FB">
            <w:pPr>
              <w:pStyle w:val="Btablefigureunbold"/>
            </w:pPr>
          </w:p>
        </w:tc>
        <w:tc>
          <w:tcPr>
            <w:tcW w:w="1069" w:type="dxa"/>
            <w:shd w:val="clear" w:color="auto" w:fill="auto"/>
            <w:noWrap/>
          </w:tcPr>
          <w:p w14:paraId="34BE5DC6" w14:textId="77777777" w:rsidR="006C269A" w:rsidRPr="006D5D15" w:rsidRDefault="006C269A" w:rsidP="00AB05FB">
            <w:pPr>
              <w:pStyle w:val="Btablefigureunbold"/>
            </w:pPr>
          </w:p>
        </w:tc>
        <w:tc>
          <w:tcPr>
            <w:tcW w:w="1069" w:type="dxa"/>
            <w:shd w:val="clear" w:color="auto" w:fill="auto"/>
            <w:noWrap/>
          </w:tcPr>
          <w:p w14:paraId="06204BC7" w14:textId="77777777" w:rsidR="006C269A" w:rsidRPr="006D5D15" w:rsidRDefault="006C269A" w:rsidP="00AB05FB">
            <w:pPr>
              <w:pStyle w:val="Btablefigureunbold"/>
            </w:pPr>
          </w:p>
        </w:tc>
        <w:tc>
          <w:tcPr>
            <w:tcW w:w="1069" w:type="dxa"/>
            <w:shd w:val="clear" w:color="auto" w:fill="auto"/>
            <w:noWrap/>
          </w:tcPr>
          <w:p w14:paraId="2007B26A" w14:textId="77777777" w:rsidR="006C269A" w:rsidRPr="006D5D15" w:rsidRDefault="006C269A" w:rsidP="00AB05FB">
            <w:pPr>
              <w:pStyle w:val="Btablefigureunbold"/>
            </w:pPr>
          </w:p>
        </w:tc>
      </w:tr>
      <w:tr w:rsidR="006C269A" w:rsidRPr="006D5D15" w14:paraId="410BACE7" w14:textId="77777777" w:rsidTr="00AB05FB">
        <w:trPr>
          <w:cantSplit/>
          <w:jc w:val="center"/>
        </w:trPr>
        <w:tc>
          <w:tcPr>
            <w:tcW w:w="2869" w:type="dxa"/>
            <w:shd w:val="clear" w:color="auto" w:fill="auto"/>
            <w:noWrap/>
          </w:tcPr>
          <w:p w14:paraId="56CB2556" w14:textId="77777777" w:rsidR="006C269A" w:rsidRPr="00F25F0C" w:rsidRDefault="006C269A" w:rsidP="00AB05FB">
            <w:pPr>
              <w:pStyle w:val="BStabletextbold"/>
              <w:rPr>
                <w:rFonts w:eastAsia="SimSun"/>
              </w:rPr>
            </w:pPr>
            <w:r>
              <w:t>R</w:t>
            </w:r>
            <w:r w:rsidRPr="005002FD">
              <w:t>eceipts</w:t>
            </w:r>
          </w:p>
        </w:tc>
        <w:tc>
          <w:tcPr>
            <w:tcW w:w="1068" w:type="dxa"/>
            <w:shd w:val="clear" w:color="auto" w:fill="auto"/>
          </w:tcPr>
          <w:p w14:paraId="4A6439C5" w14:textId="77777777" w:rsidR="006C269A" w:rsidRDefault="006C269A" w:rsidP="00AB05FB">
            <w:pPr>
              <w:pStyle w:val="Btablefigureunbold"/>
            </w:pPr>
          </w:p>
        </w:tc>
        <w:tc>
          <w:tcPr>
            <w:tcW w:w="1069" w:type="dxa"/>
            <w:shd w:val="clear" w:color="auto" w:fill="auto"/>
            <w:noWrap/>
          </w:tcPr>
          <w:p w14:paraId="02091921" w14:textId="77777777" w:rsidR="006C269A" w:rsidRPr="006D5D15" w:rsidRDefault="006C269A" w:rsidP="00AB05FB">
            <w:pPr>
              <w:pStyle w:val="Btablefigureunbold"/>
            </w:pPr>
          </w:p>
        </w:tc>
        <w:tc>
          <w:tcPr>
            <w:tcW w:w="1069" w:type="dxa"/>
            <w:shd w:val="clear" w:color="auto" w:fill="auto"/>
            <w:noWrap/>
          </w:tcPr>
          <w:p w14:paraId="3215C34F" w14:textId="77777777" w:rsidR="006C269A" w:rsidRPr="006D5D15" w:rsidRDefault="006C269A" w:rsidP="00AB05FB">
            <w:pPr>
              <w:pStyle w:val="Btablefigureunbold"/>
            </w:pPr>
          </w:p>
        </w:tc>
        <w:tc>
          <w:tcPr>
            <w:tcW w:w="1069" w:type="dxa"/>
            <w:shd w:val="clear" w:color="auto" w:fill="auto"/>
            <w:noWrap/>
          </w:tcPr>
          <w:p w14:paraId="07F269A6" w14:textId="77777777" w:rsidR="006C269A" w:rsidRPr="006D5D15" w:rsidRDefault="006C269A" w:rsidP="00AB05FB">
            <w:pPr>
              <w:pStyle w:val="Btablefigureunbold"/>
            </w:pPr>
          </w:p>
        </w:tc>
        <w:tc>
          <w:tcPr>
            <w:tcW w:w="1069" w:type="dxa"/>
            <w:shd w:val="clear" w:color="auto" w:fill="auto"/>
            <w:noWrap/>
          </w:tcPr>
          <w:p w14:paraId="79CBB568" w14:textId="77777777" w:rsidR="006C269A" w:rsidRPr="006D5D15" w:rsidRDefault="006C269A" w:rsidP="00AB05FB">
            <w:pPr>
              <w:pStyle w:val="Btablefigureunbold"/>
            </w:pPr>
          </w:p>
        </w:tc>
        <w:tc>
          <w:tcPr>
            <w:tcW w:w="1069" w:type="dxa"/>
            <w:shd w:val="clear" w:color="auto" w:fill="auto"/>
            <w:noWrap/>
          </w:tcPr>
          <w:p w14:paraId="16FB4827" w14:textId="77777777" w:rsidR="006C269A" w:rsidRPr="006D5D15" w:rsidRDefault="006C269A" w:rsidP="00AB05FB">
            <w:pPr>
              <w:pStyle w:val="Btablefigureunbold"/>
            </w:pPr>
          </w:p>
        </w:tc>
      </w:tr>
      <w:tr w:rsidR="006C269A" w:rsidRPr="006D5D15" w14:paraId="5D14704B" w14:textId="77777777" w:rsidTr="00AB05FB">
        <w:trPr>
          <w:cantSplit/>
          <w:jc w:val="center"/>
        </w:trPr>
        <w:tc>
          <w:tcPr>
            <w:tcW w:w="2869" w:type="dxa"/>
            <w:shd w:val="clear" w:color="auto" w:fill="auto"/>
            <w:noWrap/>
          </w:tcPr>
          <w:p w14:paraId="77F4DE40" w14:textId="77777777" w:rsidR="006C269A" w:rsidRPr="00191D85" w:rsidRDefault="006C269A" w:rsidP="00AB05FB">
            <w:pPr>
              <w:pStyle w:val="BStabletextunbold"/>
            </w:pPr>
            <w:r w:rsidRPr="005002FD">
              <w:t xml:space="preserve">Repayment of </w:t>
            </w:r>
            <w:r>
              <w:t>l</w:t>
            </w:r>
            <w:r w:rsidRPr="005002FD">
              <w:t>oans</w:t>
            </w:r>
          </w:p>
        </w:tc>
        <w:tc>
          <w:tcPr>
            <w:tcW w:w="1068" w:type="dxa"/>
            <w:shd w:val="clear" w:color="auto" w:fill="auto"/>
          </w:tcPr>
          <w:p w14:paraId="07FF3045" w14:textId="77777777" w:rsidR="006C269A" w:rsidRDefault="006C269A" w:rsidP="00AB05FB">
            <w:pPr>
              <w:pStyle w:val="BStabletextunbold"/>
              <w:jc w:val="right"/>
            </w:pPr>
            <w:r w:rsidRPr="00191D85">
              <w:t>24,738</w:t>
            </w:r>
          </w:p>
        </w:tc>
        <w:tc>
          <w:tcPr>
            <w:tcW w:w="1069" w:type="dxa"/>
            <w:shd w:val="clear" w:color="auto" w:fill="auto"/>
            <w:noWrap/>
          </w:tcPr>
          <w:p w14:paraId="63EB73A6" w14:textId="77777777" w:rsidR="006C269A" w:rsidRPr="006D5D15" w:rsidRDefault="006C269A" w:rsidP="00AB05FB">
            <w:pPr>
              <w:pStyle w:val="BStabletextunbold"/>
              <w:jc w:val="right"/>
            </w:pPr>
            <w:r w:rsidRPr="00191D85">
              <w:t>29,216</w:t>
            </w:r>
          </w:p>
        </w:tc>
        <w:tc>
          <w:tcPr>
            <w:tcW w:w="1069" w:type="dxa"/>
            <w:shd w:val="clear" w:color="auto" w:fill="auto"/>
            <w:noWrap/>
            <w:vAlign w:val="bottom"/>
          </w:tcPr>
          <w:p w14:paraId="5AC08411" w14:textId="77777777" w:rsidR="006C269A" w:rsidRPr="006D5D15" w:rsidRDefault="006C269A" w:rsidP="00AB05FB">
            <w:pPr>
              <w:pStyle w:val="BStabletextunbold"/>
              <w:jc w:val="right"/>
            </w:pPr>
            <w:r w:rsidRPr="00191D85">
              <w:t>926</w:t>
            </w:r>
          </w:p>
        </w:tc>
        <w:tc>
          <w:tcPr>
            <w:tcW w:w="1069" w:type="dxa"/>
            <w:shd w:val="clear" w:color="auto" w:fill="auto"/>
            <w:noWrap/>
            <w:vAlign w:val="bottom"/>
          </w:tcPr>
          <w:p w14:paraId="26975512" w14:textId="77777777" w:rsidR="006C269A" w:rsidRPr="006D5D15" w:rsidRDefault="006C269A" w:rsidP="00AB05FB">
            <w:pPr>
              <w:pStyle w:val="BStabletextunbold"/>
              <w:jc w:val="right"/>
            </w:pPr>
            <w:r w:rsidRPr="00191D85">
              <w:t>0</w:t>
            </w:r>
          </w:p>
        </w:tc>
        <w:tc>
          <w:tcPr>
            <w:tcW w:w="1069" w:type="dxa"/>
            <w:shd w:val="clear" w:color="auto" w:fill="auto"/>
            <w:noWrap/>
            <w:vAlign w:val="bottom"/>
          </w:tcPr>
          <w:p w14:paraId="16A765AA" w14:textId="77777777" w:rsidR="006C269A" w:rsidRPr="006D5D15" w:rsidRDefault="006C269A" w:rsidP="00AB05FB">
            <w:pPr>
              <w:pStyle w:val="BStabletextunbold"/>
              <w:jc w:val="right"/>
            </w:pPr>
            <w:r w:rsidRPr="00191D85">
              <w:t>0</w:t>
            </w:r>
          </w:p>
        </w:tc>
        <w:tc>
          <w:tcPr>
            <w:tcW w:w="1069" w:type="dxa"/>
            <w:shd w:val="clear" w:color="auto" w:fill="auto"/>
            <w:noWrap/>
            <w:vAlign w:val="bottom"/>
          </w:tcPr>
          <w:p w14:paraId="2EF3E13B" w14:textId="77777777" w:rsidR="006C269A" w:rsidRPr="006D5D15" w:rsidRDefault="006C269A" w:rsidP="00AB05FB">
            <w:pPr>
              <w:pStyle w:val="BStabletextunbold"/>
              <w:jc w:val="right"/>
            </w:pPr>
            <w:r w:rsidRPr="00191D85">
              <w:t>0</w:t>
            </w:r>
          </w:p>
        </w:tc>
      </w:tr>
      <w:tr w:rsidR="006C269A" w:rsidRPr="00601709" w14:paraId="17116AFE" w14:textId="77777777" w:rsidTr="00AB05FB">
        <w:trPr>
          <w:cantSplit/>
          <w:jc w:val="center"/>
        </w:trPr>
        <w:tc>
          <w:tcPr>
            <w:tcW w:w="2869" w:type="dxa"/>
            <w:shd w:val="clear" w:color="auto" w:fill="auto"/>
            <w:noWrap/>
          </w:tcPr>
          <w:p w14:paraId="7424E19B" w14:textId="77777777" w:rsidR="006C269A" w:rsidRPr="00191D85" w:rsidRDefault="006C269A" w:rsidP="00AB05FB">
            <w:pPr>
              <w:pStyle w:val="BStabletextunbold"/>
            </w:pPr>
            <w:r w:rsidRPr="005002FD">
              <w:t>C</w:t>
            </w:r>
            <w:r w:rsidRPr="00191D85">
              <w:rPr>
                <w:bCs w:val="0"/>
              </w:rPr>
              <w:t>apital receipts from government agencies</w:t>
            </w:r>
          </w:p>
        </w:tc>
        <w:tc>
          <w:tcPr>
            <w:tcW w:w="1068" w:type="dxa"/>
            <w:shd w:val="clear" w:color="auto" w:fill="auto"/>
          </w:tcPr>
          <w:p w14:paraId="45EFFAE2" w14:textId="77777777" w:rsidR="006C269A" w:rsidRPr="00191D85" w:rsidRDefault="006C269A" w:rsidP="00AB05FB">
            <w:pPr>
              <w:pStyle w:val="BStabletextunbold"/>
              <w:jc w:val="right"/>
            </w:pPr>
            <w:r w:rsidRPr="00191D85">
              <w:t>122,320</w:t>
            </w:r>
          </w:p>
        </w:tc>
        <w:tc>
          <w:tcPr>
            <w:tcW w:w="1069" w:type="dxa"/>
            <w:shd w:val="clear" w:color="auto" w:fill="auto"/>
            <w:noWrap/>
          </w:tcPr>
          <w:p w14:paraId="22788872" w14:textId="77777777" w:rsidR="006C269A" w:rsidRPr="00191D85" w:rsidRDefault="006C269A" w:rsidP="00AB05FB">
            <w:pPr>
              <w:pStyle w:val="BStabletextunbold"/>
              <w:jc w:val="right"/>
            </w:pPr>
            <w:r w:rsidRPr="00191D85">
              <w:t>120,133</w:t>
            </w:r>
          </w:p>
        </w:tc>
        <w:tc>
          <w:tcPr>
            <w:tcW w:w="1069" w:type="dxa"/>
            <w:shd w:val="clear" w:color="auto" w:fill="auto"/>
            <w:noWrap/>
          </w:tcPr>
          <w:p w14:paraId="051736D0" w14:textId="77777777" w:rsidR="006C269A" w:rsidRPr="00191D85" w:rsidRDefault="006C269A" w:rsidP="00AB05FB">
            <w:pPr>
              <w:pStyle w:val="BStabletextunbold"/>
              <w:jc w:val="right"/>
            </w:pPr>
            <w:r w:rsidRPr="00191D85">
              <w:t>156,786</w:t>
            </w:r>
          </w:p>
        </w:tc>
        <w:tc>
          <w:tcPr>
            <w:tcW w:w="1069" w:type="dxa"/>
            <w:shd w:val="clear" w:color="auto" w:fill="auto"/>
            <w:noWrap/>
          </w:tcPr>
          <w:p w14:paraId="669E8248" w14:textId="77777777" w:rsidR="006C269A" w:rsidRPr="00191D85" w:rsidRDefault="006C269A" w:rsidP="00AB05FB">
            <w:pPr>
              <w:pStyle w:val="BStabletextunbold"/>
              <w:jc w:val="right"/>
            </w:pPr>
            <w:r w:rsidRPr="00191D85">
              <w:t>103,938</w:t>
            </w:r>
          </w:p>
        </w:tc>
        <w:tc>
          <w:tcPr>
            <w:tcW w:w="1069" w:type="dxa"/>
            <w:shd w:val="clear" w:color="auto" w:fill="auto"/>
            <w:noWrap/>
          </w:tcPr>
          <w:p w14:paraId="69F8F140" w14:textId="77777777" w:rsidR="006C269A" w:rsidRPr="00191D85" w:rsidRDefault="006C269A" w:rsidP="00AB05FB">
            <w:pPr>
              <w:pStyle w:val="BStabletextunbold"/>
              <w:jc w:val="right"/>
            </w:pPr>
            <w:r w:rsidRPr="00191D85">
              <w:t>75,408</w:t>
            </w:r>
          </w:p>
        </w:tc>
        <w:tc>
          <w:tcPr>
            <w:tcW w:w="1069" w:type="dxa"/>
            <w:shd w:val="clear" w:color="auto" w:fill="auto"/>
            <w:noWrap/>
          </w:tcPr>
          <w:p w14:paraId="0E4C1013" w14:textId="77777777" w:rsidR="006C269A" w:rsidRPr="00191D85" w:rsidRDefault="006C269A" w:rsidP="00AB05FB">
            <w:pPr>
              <w:pStyle w:val="BStabletextunbold"/>
              <w:jc w:val="right"/>
            </w:pPr>
            <w:r w:rsidRPr="00191D85">
              <w:t>17,511</w:t>
            </w:r>
          </w:p>
        </w:tc>
      </w:tr>
      <w:tr w:rsidR="006C269A" w:rsidRPr="00191D85" w14:paraId="0163C002" w14:textId="77777777" w:rsidTr="00AB05FB">
        <w:trPr>
          <w:cantSplit/>
          <w:jc w:val="center"/>
        </w:trPr>
        <w:tc>
          <w:tcPr>
            <w:tcW w:w="2869" w:type="dxa"/>
            <w:shd w:val="clear" w:color="auto" w:fill="auto"/>
            <w:noWrap/>
          </w:tcPr>
          <w:p w14:paraId="12424DB2" w14:textId="77777777" w:rsidR="006C269A" w:rsidRPr="00191D85" w:rsidRDefault="006C269A" w:rsidP="00AB05FB">
            <w:pPr>
              <w:pStyle w:val="Btabletextbolditalic"/>
              <w:rPr>
                <w:i w:val="0"/>
                <w:iCs/>
              </w:rPr>
            </w:pPr>
            <w:r w:rsidRPr="00191D85">
              <w:rPr>
                <w:i w:val="0"/>
                <w:iCs/>
              </w:rPr>
              <w:t>Total receipts from investment in financial assets for policy purposes</w:t>
            </w:r>
          </w:p>
        </w:tc>
        <w:tc>
          <w:tcPr>
            <w:tcW w:w="1068" w:type="dxa"/>
            <w:shd w:val="clear" w:color="auto" w:fill="auto"/>
          </w:tcPr>
          <w:p w14:paraId="14AB5AB7" w14:textId="77777777" w:rsidR="006C269A" w:rsidRPr="00191D85" w:rsidRDefault="006C269A" w:rsidP="00AB05FB">
            <w:pPr>
              <w:pStyle w:val="Btabletextbolditalic"/>
              <w:jc w:val="right"/>
              <w:rPr>
                <w:i w:val="0"/>
                <w:iCs/>
              </w:rPr>
            </w:pPr>
            <w:r w:rsidRPr="00191D85">
              <w:rPr>
                <w:i w:val="0"/>
                <w:iCs/>
              </w:rPr>
              <w:t>147,058</w:t>
            </w:r>
          </w:p>
        </w:tc>
        <w:tc>
          <w:tcPr>
            <w:tcW w:w="1069" w:type="dxa"/>
            <w:shd w:val="clear" w:color="auto" w:fill="auto"/>
            <w:noWrap/>
          </w:tcPr>
          <w:p w14:paraId="0CC3E90A" w14:textId="77777777" w:rsidR="006C269A" w:rsidRPr="00191D85" w:rsidRDefault="006C269A" w:rsidP="00AB05FB">
            <w:pPr>
              <w:pStyle w:val="Btabletextbolditalic"/>
              <w:jc w:val="right"/>
              <w:rPr>
                <w:i w:val="0"/>
                <w:iCs/>
              </w:rPr>
            </w:pPr>
            <w:r w:rsidRPr="00191D85">
              <w:rPr>
                <w:i w:val="0"/>
                <w:iCs/>
              </w:rPr>
              <w:t>149,348</w:t>
            </w:r>
          </w:p>
        </w:tc>
        <w:tc>
          <w:tcPr>
            <w:tcW w:w="1069" w:type="dxa"/>
            <w:shd w:val="clear" w:color="auto" w:fill="auto"/>
            <w:noWrap/>
          </w:tcPr>
          <w:p w14:paraId="52CFCDD8" w14:textId="77777777" w:rsidR="006C269A" w:rsidRPr="00191D85" w:rsidRDefault="006C269A" w:rsidP="00AB05FB">
            <w:pPr>
              <w:pStyle w:val="Btabletextbolditalic"/>
              <w:jc w:val="right"/>
              <w:rPr>
                <w:i w:val="0"/>
                <w:iCs/>
              </w:rPr>
            </w:pPr>
            <w:r w:rsidRPr="00191D85">
              <w:rPr>
                <w:i w:val="0"/>
                <w:iCs/>
              </w:rPr>
              <w:t>157,712</w:t>
            </w:r>
          </w:p>
        </w:tc>
        <w:tc>
          <w:tcPr>
            <w:tcW w:w="1069" w:type="dxa"/>
            <w:shd w:val="clear" w:color="auto" w:fill="auto"/>
            <w:noWrap/>
          </w:tcPr>
          <w:p w14:paraId="0918AD91" w14:textId="77777777" w:rsidR="006C269A" w:rsidRPr="00191D85" w:rsidRDefault="006C269A" w:rsidP="00AB05FB">
            <w:pPr>
              <w:pStyle w:val="Btabletextbolditalic"/>
              <w:jc w:val="right"/>
              <w:rPr>
                <w:i w:val="0"/>
                <w:iCs/>
              </w:rPr>
            </w:pPr>
            <w:r w:rsidRPr="00191D85">
              <w:rPr>
                <w:i w:val="0"/>
                <w:iCs/>
              </w:rPr>
              <w:t>103,938</w:t>
            </w:r>
          </w:p>
        </w:tc>
        <w:tc>
          <w:tcPr>
            <w:tcW w:w="1069" w:type="dxa"/>
            <w:shd w:val="clear" w:color="auto" w:fill="auto"/>
            <w:noWrap/>
          </w:tcPr>
          <w:p w14:paraId="12C73BD7" w14:textId="77777777" w:rsidR="006C269A" w:rsidRPr="00191D85" w:rsidRDefault="006C269A" w:rsidP="00AB05FB">
            <w:pPr>
              <w:pStyle w:val="Btabletextbolditalic"/>
              <w:jc w:val="right"/>
              <w:rPr>
                <w:i w:val="0"/>
                <w:iCs/>
              </w:rPr>
            </w:pPr>
            <w:r w:rsidRPr="00191D85">
              <w:rPr>
                <w:i w:val="0"/>
                <w:iCs/>
              </w:rPr>
              <w:t>75,408</w:t>
            </w:r>
          </w:p>
        </w:tc>
        <w:tc>
          <w:tcPr>
            <w:tcW w:w="1069" w:type="dxa"/>
            <w:shd w:val="clear" w:color="auto" w:fill="auto"/>
            <w:noWrap/>
          </w:tcPr>
          <w:p w14:paraId="004F685F" w14:textId="77777777" w:rsidR="006C269A" w:rsidRPr="00191D85" w:rsidRDefault="006C269A" w:rsidP="00AB05FB">
            <w:pPr>
              <w:pStyle w:val="Btabletextbolditalic"/>
              <w:jc w:val="right"/>
              <w:rPr>
                <w:i w:val="0"/>
                <w:iCs/>
              </w:rPr>
            </w:pPr>
            <w:r w:rsidRPr="00191D85">
              <w:rPr>
                <w:i w:val="0"/>
                <w:iCs/>
              </w:rPr>
              <w:t>17,511</w:t>
            </w:r>
          </w:p>
        </w:tc>
      </w:tr>
      <w:tr w:rsidR="006C269A" w:rsidRPr="006D5D15" w14:paraId="2621E232" w14:textId="77777777" w:rsidTr="00AB05FB">
        <w:trPr>
          <w:cantSplit/>
          <w:jc w:val="center"/>
        </w:trPr>
        <w:tc>
          <w:tcPr>
            <w:tcW w:w="2869" w:type="dxa"/>
            <w:shd w:val="clear" w:color="auto" w:fill="auto"/>
            <w:noWrap/>
          </w:tcPr>
          <w:p w14:paraId="6AC9C8BE" w14:textId="77777777" w:rsidR="006C269A" w:rsidRPr="00550D36" w:rsidRDefault="006C269A" w:rsidP="00AB05FB">
            <w:pPr>
              <w:pStyle w:val="BStabletextbold"/>
              <w:rPr>
                <w:rFonts w:eastAsia="SimSun"/>
              </w:rPr>
            </w:pPr>
            <w:r>
              <w:t>P</w:t>
            </w:r>
            <w:r w:rsidRPr="005002FD">
              <w:t>ayments</w:t>
            </w:r>
          </w:p>
        </w:tc>
        <w:tc>
          <w:tcPr>
            <w:tcW w:w="1068" w:type="dxa"/>
            <w:shd w:val="clear" w:color="auto" w:fill="auto"/>
          </w:tcPr>
          <w:p w14:paraId="5A271C31" w14:textId="77777777" w:rsidR="006C269A" w:rsidRDefault="006C269A" w:rsidP="00AB05FB">
            <w:pPr>
              <w:pStyle w:val="Btablefigureunbold"/>
            </w:pPr>
          </w:p>
        </w:tc>
        <w:tc>
          <w:tcPr>
            <w:tcW w:w="1069" w:type="dxa"/>
            <w:shd w:val="clear" w:color="auto" w:fill="auto"/>
            <w:noWrap/>
          </w:tcPr>
          <w:p w14:paraId="29716A14" w14:textId="77777777" w:rsidR="006C269A" w:rsidRPr="006D5D15" w:rsidRDefault="006C269A" w:rsidP="00AB05FB">
            <w:pPr>
              <w:pStyle w:val="Btablefigureunbold"/>
            </w:pPr>
          </w:p>
        </w:tc>
        <w:tc>
          <w:tcPr>
            <w:tcW w:w="1069" w:type="dxa"/>
            <w:shd w:val="clear" w:color="auto" w:fill="auto"/>
            <w:noWrap/>
          </w:tcPr>
          <w:p w14:paraId="7EFF58C7" w14:textId="77777777" w:rsidR="006C269A" w:rsidRPr="006D5D15" w:rsidRDefault="006C269A" w:rsidP="00AB05FB">
            <w:pPr>
              <w:pStyle w:val="Btablefigureunbold"/>
            </w:pPr>
          </w:p>
        </w:tc>
        <w:tc>
          <w:tcPr>
            <w:tcW w:w="1069" w:type="dxa"/>
            <w:shd w:val="clear" w:color="auto" w:fill="auto"/>
            <w:noWrap/>
          </w:tcPr>
          <w:p w14:paraId="24FDD07E" w14:textId="77777777" w:rsidR="006C269A" w:rsidRPr="006D5D15" w:rsidRDefault="006C269A" w:rsidP="00AB05FB">
            <w:pPr>
              <w:pStyle w:val="Btablefigureunbold"/>
            </w:pPr>
          </w:p>
        </w:tc>
        <w:tc>
          <w:tcPr>
            <w:tcW w:w="1069" w:type="dxa"/>
            <w:shd w:val="clear" w:color="auto" w:fill="auto"/>
            <w:noWrap/>
          </w:tcPr>
          <w:p w14:paraId="3834318A" w14:textId="77777777" w:rsidR="006C269A" w:rsidRPr="006D5D15" w:rsidRDefault="006C269A" w:rsidP="00AB05FB">
            <w:pPr>
              <w:pStyle w:val="Btablefigureunbold"/>
            </w:pPr>
          </w:p>
        </w:tc>
        <w:tc>
          <w:tcPr>
            <w:tcW w:w="1069" w:type="dxa"/>
            <w:shd w:val="clear" w:color="auto" w:fill="auto"/>
            <w:noWrap/>
          </w:tcPr>
          <w:p w14:paraId="455D44B6" w14:textId="77777777" w:rsidR="006C269A" w:rsidRPr="006D5D15" w:rsidRDefault="006C269A" w:rsidP="00AB05FB">
            <w:pPr>
              <w:pStyle w:val="Btablefigureunbold"/>
            </w:pPr>
          </w:p>
        </w:tc>
      </w:tr>
      <w:tr w:rsidR="006C269A" w:rsidRPr="006D5D15" w14:paraId="2CAD9A00" w14:textId="77777777" w:rsidTr="00AB05FB">
        <w:trPr>
          <w:cantSplit/>
          <w:jc w:val="center"/>
        </w:trPr>
        <w:tc>
          <w:tcPr>
            <w:tcW w:w="2869" w:type="dxa"/>
            <w:shd w:val="clear" w:color="auto" w:fill="auto"/>
            <w:noWrap/>
          </w:tcPr>
          <w:p w14:paraId="7CEF571A" w14:textId="77777777" w:rsidR="006C269A" w:rsidRPr="00410279" w:rsidRDefault="006C269A" w:rsidP="00AB05FB">
            <w:pPr>
              <w:pStyle w:val="BStabletextunbold"/>
            </w:pPr>
            <w:r w:rsidRPr="005002FD">
              <w:t xml:space="preserve">Issue of </w:t>
            </w:r>
            <w:r>
              <w:t>l</w:t>
            </w:r>
            <w:r w:rsidRPr="005002FD">
              <w:t>oan</w:t>
            </w:r>
          </w:p>
        </w:tc>
        <w:tc>
          <w:tcPr>
            <w:tcW w:w="1068" w:type="dxa"/>
            <w:shd w:val="clear" w:color="auto" w:fill="auto"/>
          </w:tcPr>
          <w:p w14:paraId="04ED7078" w14:textId="77777777" w:rsidR="006C269A" w:rsidRDefault="006C269A" w:rsidP="00AB05FB">
            <w:pPr>
              <w:pStyle w:val="BStabletextunbold"/>
              <w:jc w:val="right"/>
            </w:pPr>
            <w:r w:rsidRPr="00410279">
              <w:t>-3,511</w:t>
            </w:r>
          </w:p>
        </w:tc>
        <w:tc>
          <w:tcPr>
            <w:tcW w:w="1069" w:type="dxa"/>
            <w:shd w:val="clear" w:color="auto" w:fill="auto"/>
            <w:noWrap/>
          </w:tcPr>
          <w:p w14:paraId="24004DFD" w14:textId="77777777" w:rsidR="006C269A" w:rsidRPr="006D5D15" w:rsidRDefault="006C269A" w:rsidP="00AB05FB">
            <w:pPr>
              <w:pStyle w:val="BStabletextunbold"/>
              <w:jc w:val="right"/>
            </w:pPr>
            <w:r w:rsidRPr="00410279">
              <w:t>-625</w:t>
            </w:r>
          </w:p>
        </w:tc>
        <w:tc>
          <w:tcPr>
            <w:tcW w:w="1069" w:type="dxa"/>
            <w:shd w:val="clear" w:color="auto" w:fill="auto"/>
            <w:noWrap/>
          </w:tcPr>
          <w:p w14:paraId="3ABCA4B3" w14:textId="77777777" w:rsidR="006C269A" w:rsidRPr="006D5D15" w:rsidRDefault="006C269A" w:rsidP="00AB05FB">
            <w:pPr>
              <w:pStyle w:val="BStabletextunbold"/>
              <w:jc w:val="right"/>
            </w:pPr>
            <w:r w:rsidRPr="00410279">
              <w:t>-927</w:t>
            </w:r>
          </w:p>
        </w:tc>
        <w:tc>
          <w:tcPr>
            <w:tcW w:w="1069" w:type="dxa"/>
            <w:shd w:val="clear" w:color="auto" w:fill="auto"/>
            <w:noWrap/>
          </w:tcPr>
          <w:p w14:paraId="72072CEF" w14:textId="77777777" w:rsidR="006C269A" w:rsidRPr="006D5D15" w:rsidRDefault="006C269A" w:rsidP="00AB05FB">
            <w:pPr>
              <w:pStyle w:val="BStabletextunbold"/>
              <w:jc w:val="right"/>
            </w:pPr>
            <w:r w:rsidRPr="00410279">
              <w:t>0</w:t>
            </w:r>
          </w:p>
        </w:tc>
        <w:tc>
          <w:tcPr>
            <w:tcW w:w="1069" w:type="dxa"/>
            <w:shd w:val="clear" w:color="auto" w:fill="auto"/>
            <w:noWrap/>
          </w:tcPr>
          <w:p w14:paraId="1853B8B9" w14:textId="77777777" w:rsidR="006C269A" w:rsidRPr="006D5D15" w:rsidRDefault="006C269A" w:rsidP="00AB05FB">
            <w:pPr>
              <w:pStyle w:val="BStabletextunbold"/>
              <w:jc w:val="right"/>
            </w:pPr>
            <w:r w:rsidRPr="00410279">
              <w:t>0</w:t>
            </w:r>
          </w:p>
        </w:tc>
        <w:tc>
          <w:tcPr>
            <w:tcW w:w="1069" w:type="dxa"/>
            <w:shd w:val="clear" w:color="auto" w:fill="auto"/>
            <w:noWrap/>
          </w:tcPr>
          <w:p w14:paraId="5EE25A43" w14:textId="77777777" w:rsidR="006C269A" w:rsidRPr="006D5D15" w:rsidRDefault="006C269A" w:rsidP="00AB05FB">
            <w:pPr>
              <w:pStyle w:val="BStabletextunbold"/>
              <w:jc w:val="right"/>
            </w:pPr>
            <w:r w:rsidRPr="00410279">
              <w:t>0</w:t>
            </w:r>
          </w:p>
        </w:tc>
      </w:tr>
      <w:tr w:rsidR="006C269A" w:rsidRPr="006D5D15" w14:paraId="18A06082" w14:textId="77777777" w:rsidTr="00AB05FB">
        <w:trPr>
          <w:cantSplit/>
          <w:jc w:val="center"/>
        </w:trPr>
        <w:tc>
          <w:tcPr>
            <w:tcW w:w="2869" w:type="dxa"/>
            <w:shd w:val="clear" w:color="auto" w:fill="auto"/>
            <w:noWrap/>
          </w:tcPr>
          <w:p w14:paraId="1AF9CDCA" w14:textId="77777777" w:rsidR="006C269A" w:rsidRPr="00410279" w:rsidRDefault="006C269A" w:rsidP="00AB05FB">
            <w:pPr>
              <w:pStyle w:val="BStabletextunbold"/>
            </w:pPr>
            <w:r w:rsidRPr="005002FD">
              <w:t xml:space="preserve">Dividends </w:t>
            </w:r>
            <w:r>
              <w:t>(m</w:t>
            </w:r>
            <w:r w:rsidRPr="005002FD">
              <w:t xml:space="preserve">arket </w:t>
            </w:r>
            <w:r>
              <w:t>g</w:t>
            </w:r>
            <w:r w:rsidRPr="005002FD">
              <w:t xml:space="preserve">ains on </w:t>
            </w:r>
            <w:r>
              <w:t>l</w:t>
            </w:r>
            <w:r w:rsidRPr="005002FD">
              <w:t xml:space="preserve">and </w:t>
            </w:r>
            <w:r>
              <w:t>s</w:t>
            </w:r>
            <w:r w:rsidRPr="005002FD">
              <w:t>ales</w:t>
            </w:r>
            <w:r>
              <w:t>)</w:t>
            </w:r>
          </w:p>
        </w:tc>
        <w:tc>
          <w:tcPr>
            <w:tcW w:w="1068" w:type="dxa"/>
            <w:shd w:val="clear" w:color="auto" w:fill="auto"/>
          </w:tcPr>
          <w:p w14:paraId="7C588569" w14:textId="77777777" w:rsidR="006C269A" w:rsidRDefault="006C269A" w:rsidP="00AB05FB">
            <w:pPr>
              <w:pStyle w:val="BStabletextunbold"/>
              <w:jc w:val="right"/>
            </w:pPr>
            <w:r w:rsidRPr="00410279">
              <w:t>-17,829</w:t>
            </w:r>
          </w:p>
        </w:tc>
        <w:tc>
          <w:tcPr>
            <w:tcW w:w="1069" w:type="dxa"/>
            <w:shd w:val="clear" w:color="auto" w:fill="auto"/>
            <w:noWrap/>
          </w:tcPr>
          <w:p w14:paraId="6B0314D6" w14:textId="77777777" w:rsidR="006C269A" w:rsidRPr="006D5D15" w:rsidRDefault="006C269A" w:rsidP="00AB05FB">
            <w:pPr>
              <w:pStyle w:val="BStabletextunbold"/>
              <w:jc w:val="right"/>
            </w:pPr>
            <w:r w:rsidRPr="00410279">
              <w:t>-66,649</w:t>
            </w:r>
          </w:p>
        </w:tc>
        <w:tc>
          <w:tcPr>
            <w:tcW w:w="1069" w:type="dxa"/>
            <w:shd w:val="clear" w:color="auto" w:fill="auto"/>
            <w:noWrap/>
          </w:tcPr>
          <w:p w14:paraId="70435425" w14:textId="77777777" w:rsidR="006C269A" w:rsidRPr="006D5D15" w:rsidRDefault="006C269A" w:rsidP="00AB05FB">
            <w:pPr>
              <w:pStyle w:val="BStabletextunbold"/>
              <w:jc w:val="right"/>
            </w:pPr>
            <w:r w:rsidRPr="00410279">
              <w:t>-2,756</w:t>
            </w:r>
          </w:p>
        </w:tc>
        <w:tc>
          <w:tcPr>
            <w:tcW w:w="1069" w:type="dxa"/>
            <w:shd w:val="clear" w:color="auto" w:fill="auto"/>
            <w:noWrap/>
          </w:tcPr>
          <w:p w14:paraId="61FFF9C3" w14:textId="77777777" w:rsidR="006C269A" w:rsidRPr="006D5D15" w:rsidRDefault="006C269A" w:rsidP="00AB05FB">
            <w:pPr>
              <w:pStyle w:val="BStabletextunbold"/>
              <w:jc w:val="right"/>
            </w:pPr>
            <w:r w:rsidRPr="00410279">
              <w:t>-57,546</w:t>
            </w:r>
          </w:p>
        </w:tc>
        <w:tc>
          <w:tcPr>
            <w:tcW w:w="1069" w:type="dxa"/>
            <w:shd w:val="clear" w:color="auto" w:fill="auto"/>
            <w:noWrap/>
          </w:tcPr>
          <w:p w14:paraId="341DA474" w14:textId="77777777" w:rsidR="006C269A" w:rsidRPr="006D5D15" w:rsidRDefault="006C269A" w:rsidP="00AB05FB">
            <w:pPr>
              <w:pStyle w:val="BStabletextunbold"/>
              <w:jc w:val="right"/>
            </w:pPr>
            <w:r w:rsidRPr="00410279">
              <w:t>-35,342</w:t>
            </w:r>
          </w:p>
        </w:tc>
        <w:tc>
          <w:tcPr>
            <w:tcW w:w="1069" w:type="dxa"/>
            <w:shd w:val="clear" w:color="auto" w:fill="auto"/>
            <w:noWrap/>
          </w:tcPr>
          <w:p w14:paraId="703ABE38" w14:textId="77777777" w:rsidR="006C269A" w:rsidRPr="006D5D15" w:rsidRDefault="006C269A" w:rsidP="00AB05FB">
            <w:pPr>
              <w:pStyle w:val="BStabletextunbold"/>
              <w:jc w:val="right"/>
            </w:pPr>
            <w:r w:rsidRPr="00410279">
              <w:t>-22,902</w:t>
            </w:r>
          </w:p>
        </w:tc>
      </w:tr>
      <w:tr w:rsidR="006C269A" w:rsidRPr="00410279" w14:paraId="4DEF4A7C" w14:textId="77777777" w:rsidTr="00AB05FB">
        <w:trPr>
          <w:cantSplit/>
          <w:jc w:val="center"/>
        </w:trPr>
        <w:tc>
          <w:tcPr>
            <w:tcW w:w="2869" w:type="dxa"/>
            <w:shd w:val="clear" w:color="auto" w:fill="auto"/>
            <w:noWrap/>
          </w:tcPr>
          <w:p w14:paraId="5BA31FEF" w14:textId="77777777" w:rsidR="006C269A" w:rsidRPr="00410279" w:rsidRDefault="006C269A" w:rsidP="00AB05FB">
            <w:pPr>
              <w:pStyle w:val="Btabletextbolditalic"/>
              <w:rPr>
                <w:i w:val="0"/>
                <w:iCs/>
              </w:rPr>
            </w:pPr>
            <w:r w:rsidRPr="00410279">
              <w:rPr>
                <w:i w:val="0"/>
                <w:iCs/>
              </w:rPr>
              <w:t>Total payments from investment in financial assets for policy purposes</w:t>
            </w:r>
          </w:p>
        </w:tc>
        <w:tc>
          <w:tcPr>
            <w:tcW w:w="1068" w:type="dxa"/>
            <w:shd w:val="clear" w:color="auto" w:fill="auto"/>
          </w:tcPr>
          <w:p w14:paraId="1C0D0352" w14:textId="77777777" w:rsidR="006C269A" w:rsidRPr="00410279" w:rsidRDefault="006C269A" w:rsidP="00AB05FB">
            <w:pPr>
              <w:pStyle w:val="Btabletextbolditalic"/>
              <w:jc w:val="right"/>
              <w:rPr>
                <w:i w:val="0"/>
                <w:iCs/>
              </w:rPr>
            </w:pPr>
            <w:r w:rsidRPr="00410279">
              <w:rPr>
                <w:i w:val="0"/>
                <w:iCs/>
              </w:rPr>
              <w:t>-21,340</w:t>
            </w:r>
          </w:p>
        </w:tc>
        <w:tc>
          <w:tcPr>
            <w:tcW w:w="1069" w:type="dxa"/>
            <w:shd w:val="clear" w:color="auto" w:fill="auto"/>
            <w:noWrap/>
          </w:tcPr>
          <w:p w14:paraId="3A451F0E" w14:textId="77777777" w:rsidR="006C269A" w:rsidRPr="00410279" w:rsidRDefault="006C269A" w:rsidP="00AB05FB">
            <w:pPr>
              <w:pStyle w:val="Btabletextbolditalic"/>
              <w:jc w:val="right"/>
              <w:rPr>
                <w:i w:val="0"/>
                <w:iCs/>
              </w:rPr>
            </w:pPr>
            <w:r w:rsidRPr="00410279">
              <w:rPr>
                <w:i w:val="0"/>
                <w:iCs/>
              </w:rPr>
              <w:t>-67,274</w:t>
            </w:r>
          </w:p>
        </w:tc>
        <w:tc>
          <w:tcPr>
            <w:tcW w:w="1069" w:type="dxa"/>
            <w:shd w:val="clear" w:color="auto" w:fill="auto"/>
            <w:noWrap/>
          </w:tcPr>
          <w:p w14:paraId="08C533C1" w14:textId="77777777" w:rsidR="006C269A" w:rsidRPr="00410279" w:rsidRDefault="006C269A" w:rsidP="00AB05FB">
            <w:pPr>
              <w:pStyle w:val="Btabletextbolditalic"/>
              <w:jc w:val="right"/>
              <w:rPr>
                <w:i w:val="0"/>
                <w:iCs/>
              </w:rPr>
            </w:pPr>
            <w:r w:rsidRPr="00410279">
              <w:rPr>
                <w:i w:val="0"/>
                <w:iCs/>
              </w:rPr>
              <w:t>-3,683</w:t>
            </w:r>
          </w:p>
        </w:tc>
        <w:tc>
          <w:tcPr>
            <w:tcW w:w="1069" w:type="dxa"/>
            <w:shd w:val="clear" w:color="auto" w:fill="auto"/>
            <w:noWrap/>
          </w:tcPr>
          <w:p w14:paraId="105F3A86" w14:textId="77777777" w:rsidR="006C269A" w:rsidRPr="00410279" w:rsidRDefault="006C269A" w:rsidP="00AB05FB">
            <w:pPr>
              <w:pStyle w:val="Btabletextbolditalic"/>
              <w:jc w:val="right"/>
              <w:rPr>
                <w:i w:val="0"/>
                <w:iCs/>
              </w:rPr>
            </w:pPr>
            <w:r w:rsidRPr="00410279">
              <w:rPr>
                <w:i w:val="0"/>
                <w:iCs/>
              </w:rPr>
              <w:t>-57,546</w:t>
            </w:r>
          </w:p>
        </w:tc>
        <w:tc>
          <w:tcPr>
            <w:tcW w:w="1069" w:type="dxa"/>
            <w:shd w:val="clear" w:color="auto" w:fill="auto"/>
            <w:noWrap/>
          </w:tcPr>
          <w:p w14:paraId="3054DE21" w14:textId="77777777" w:rsidR="006C269A" w:rsidRPr="00410279" w:rsidRDefault="006C269A" w:rsidP="00AB05FB">
            <w:pPr>
              <w:pStyle w:val="Btabletextbolditalic"/>
              <w:jc w:val="right"/>
              <w:rPr>
                <w:i w:val="0"/>
                <w:iCs/>
              </w:rPr>
            </w:pPr>
            <w:r w:rsidRPr="00410279">
              <w:rPr>
                <w:i w:val="0"/>
                <w:iCs/>
              </w:rPr>
              <w:t>-35,342</w:t>
            </w:r>
          </w:p>
        </w:tc>
        <w:tc>
          <w:tcPr>
            <w:tcW w:w="1069" w:type="dxa"/>
            <w:shd w:val="clear" w:color="auto" w:fill="auto"/>
            <w:noWrap/>
          </w:tcPr>
          <w:p w14:paraId="42DA5B59" w14:textId="77777777" w:rsidR="006C269A" w:rsidRPr="00410279" w:rsidRDefault="006C269A" w:rsidP="00AB05FB">
            <w:pPr>
              <w:pStyle w:val="Btabletextbolditalic"/>
              <w:jc w:val="right"/>
              <w:rPr>
                <w:i w:val="0"/>
                <w:iCs/>
              </w:rPr>
            </w:pPr>
            <w:r w:rsidRPr="00410279">
              <w:rPr>
                <w:i w:val="0"/>
                <w:iCs/>
              </w:rPr>
              <w:t>-22,902</w:t>
            </w:r>
          </w:p>
        </w:tc>
      </w:tr>
      <w:tr w:rsidR="006C269A" w:rsidRPr="00C0440A" w14:paraId="77E62A91" w14:textId="77777777" w:rsidTr="00AB05FB">
        <w:trPr>
          <w:cantSplit/>
          <w:jc w:val="center"/>
        </w:trPr>
        <w:tc>
          <w:tcPr>
            <w:tcW w:w="2869" w:type="dxa"/>
            <w:tcBorders>
              <w:bottom w:val="single" w:sz="4" w:space="0" w:color="auto"/>
            </w:tcBorders>
            <w:shd w:val="clear" w:color="auto" w:fill="auto"/>
            <w:noWrap/>
          </w:tcPr>
          <w:p w14:paraId="70095920" w14:textId="77777777" w:rsidR="006C269A" w:rsidRPr="00C0440A" w:rsidRDefault="006C269A" w:rsidP="00AB05FB">
            <w:pPr>
              <w:pStyle w:val="BStabletextbold"/>
              <w:rPr>
                <w:color w:val="472D8C"/>
              </w:rPr>
            </w:pPr>
            <w:r w:rsidRPr="00C0440A">
              <w:rPr>
                <w:color w:val="472D8C"/>
              </w:rPr>
              <w:t>Net cash flows from investments in financial assets for policy purposes</w:t>
            </w:r>
          </w:p>
        </w:tc>
        <w:tc>
          <w:tcPr>
            <w:tcW w:w="1068" w:type="dxa"/>
            <w:tcBorders>
              <w:bottom w:val="single" w:sz="4" w:space="0" w:color="auto"/>
            </w:tcBorders>
            <w:shd w:val="clear" w:color="auto" w:fill="auto"/>
          </w:tcPr>
          <w:p w14:paraId="31AD17E9" w14:textId="77777777" w:rsidR="006C269A" w:rsidRPr="00C0440A" w:rsidRDefault="006C269A" w:rsidP="00AB05FB">
            <w:pPr>
              <w:pStyle w:val="BStabletextbold"/>
              <w:jc w:val="right"/>
              <w:rPr>
                <w:color w:val="472D8C"/>
              </w:rPr>
            </w:pPr>
            <w:r w:rsidRPr="00C0440A">
              <w:rPr>
                <w:color w:val="472D8C"/>
              </w:rPr>
              <w:t>125,718</w:t>
            </w:r>
          </w:p>
        </w:tc>
        <w:tc>
          <w:tcPr>
            <w:tcW w:w="1069" w:type="dxa"/>
            <w:tcBorders>
              <w:bottom w:val="single" w:sz="4" w:space="0" w:color="auto"/>
            </w:tcBorders>
            <w:shd w:val="clear" w:color="auto" w:fill="auto"/>
            <w:noWrap/>
          </w:tcPr>
          <w:p w14:paraId="587B2613" w14:textId="77777777" w:rsidR="006C269A" w:rsidRPr="00C0440A" w:rsidRDefault="006C269A" w:rsidP="00AB05FB">
            <w:pPr>
              <w:pStyle w:val="BStabletextbold"/>
              <w:jc w:val="right"/>
              <w:rPr>
                <w:color w:val="472D8C"/>
              </w:rPr>
            </w:pPr>
            <w:r w:rsidRPr="00C0440A">
              <w:rPr>
                <w:color w:val="472D8C"/>
              </w:rPr>
              <w:t>82,075</w:t>
            </w:r>
          </w:p>
        </w:tc>
        <w:tc>
          <w:tcPr>
            <w:tcW w:w="1069" w:type="dxa"/>
            <w:tcBorders>
              <w:bottom w:val="single" w:sz="4" w:space="0" w:color="auto"/>
            </w:tcBorders>
            <w:shd w:val="clear" w:color="auto" w:fill="auto"/>
            <w:noWrap/>
          </w:tcPr>
          <w:p w14:paraId="07709E58" w14:textId="77777777" w:rsidR="006C269A" w:rsidRPr="00C0440A" w:rsidRDefault="006C269A" w:rsidP="00AB05FB">
            <w:pPr>
              <w:pStyle w:val="BStabletextbold"/>
              <w:jc w:val="right"/>
              <w:rPr>
                <w:color w:val="472D8C"/>
              </w:rPr>
            </w:pPr>
            <w:r w:rsidRPr="00C0440A">
              <w:rPr>
                <w:color w:val="472D8C"/>
              </w:rPr>
              <w:t>154,029</w:t>
            </w:r>
          </w:p>
        </w:tc>
        <w:tc>
          <w:tcPr>
            <w:tcW w:w="1069" w:type="dxa"/>
            <w:tcBorders>
              <w:bottom w:val="single" w:sz="4" w:space="0" w:color="auto"/>
            </w:tcBorders>
            <w:shd w:val="clear" w:color="auto" w:fill="auto"/>
            <w:noWrap/>
          </w:tcPr>
          <w:p w14:paraId="0677379E" w14:textId="77777777" w:rsidR="006C269A" w:rsidRPr="00C0440A" w:rsidRDefault="006C269A" w:rsidP="00AB05FB">
            <w:pPr>
              <w:pStyle w:val="BStabletextbold"/>
              <w:jc w:val="right"/>
              <w:rPr>
                <w:color w:val="472D8C"/>
              </w:rPr>
            </w:pPr>
            <w:r w:rsidRPr="00C0440A">
              <w:rPr>
                <w:color w:val="472D8C"/>
              </w:rPr>
              <w:t>46,392</w:t>
            </w:r>
          </w:p>
        </w:tc>
        <w:tc>
          <w:tcPr>
            <w:tcW w:w="1069" w:type="dxa"/>
            <w:tcBorders>
              <w:bottom w:val="single" w:sz="4" w:space="0" w:color="auto"/>
            </w:tcBorders>
            <w:shd w:val="clear" w:color="auto" w:fill="auto"/>
            <w:noWrap/>
          </w:tcPr>
          <w:p w14:paraId="269D4ADE" w14:textId="77777777" w:rsidR="006C269A" w:rsidRPr="00C0440A" w:rsidRDefault="006C269A" w:rsidP="00AB05FB">
            <w:pPr>
              <w:pStyle w:val="BStabletextbold"/>
              <w:jc w:val="right"/>
              <w:rPr>
                <w:color w:val="472D8C"/>
              </w:rPr>
            </w:pPr>
            <w:r w:rsidRPr="00C0440A">
              <w:rPr>
                <w:color w:val="472D8C"/>
              </w:rPr>
              <w:t>40,066</w:t>
            </w:r>
          </w:p>
        </w:tc>
        <w:tc>
          <w:tcPr>
            <w:tcW w:w="1069" w:type="dxa"/>
            <w:tcBorders>
              <w:bottom w:val="single" w:sz="4" w:space="0" w:color="auto"/>
            </w:tcBorders>
            <w:shd w:val="clear" w:color="auto" w:fill="auto"/>
            <w:noWrap/>
          </w:tcPr>
          <w:p w14:paraId="7B4DEF67" w14:textId="77777777" w:rsidR="006C269A" w:rsidRPr="00C0440A" w:rsidRDefault="006C269A" w:rsidP="00AB05FB">
            <w:pPr>
              <w:pStyle w:val="BStabletextbold"/>
              <w:jc w:val="right"/>
              <w:rPr>
                <w:color w:val="472D8C"/>
              </w:rPr>
            </w:pPr>
            <w:r w:rsidRPr="00C0440A">
              <w:rPr>
                <w:color w:val="472D8C"/>
              </w:rPr>
              <w:t>-5,391</w:t>
            </w:r>
          </w:p>
        </w:tc>
      </w:tr>
      <w:tr w:rsidR="006C269A" w:rsidRPr="006D5D15" w14:paraId="0193F592" w14:textId="77777777" w:rsidTr="00AB05FB">
        <w:trPr>
          <w:cantSplit/>
          <w:jc w:val="center"/>
        </w:trPr>
        <w:tc>
          <w:tcPr>
            <w:tcW w:w="2869" w:type="dxa"/>
            <w:tcBorders>
              <w:top w:val="single" w:sz="4" w:space="0" w:color="auto"/>
            </w:tcBorders>
            <w:shd w:val="clear" w:color="auto" w:fill="auto"/>
            <w:noWrap/>
            <w:vAlign w:val="bottom"/>
          </w:tcPr>
          <w:p w14:paraId="53FBE919" w14:textId="77777777" w:rsidR="006C269A" w:rsidRPr="004629D6" w:rsidRDefault="006C269A" w:rsidP="00AB05FB">
            <w:pPr>
              <w:pStyle w:val="BStabletextbold"/>
              <w:keepNext/>
              <w:keepLines/>
            </w:pPr>
            <w:r w:rsidRPr="005002FD">
              <w:lastRenderedPageBreak/>
              <w:t xml:space="preserve">Cash </w:t>
            </w:r>
            <w:r>
              <w:t>f</w:t>
            </w:r>
            <w:r w:rsidRPr="005002FD">
              <w:t xml:space="preserve">lows from </w:t>
            </w:r>
            <w:r>
              <w:t>i</w:t>
            </w:r>
            <w:r w:rsidRPr="005002FD">
              <w:t xml:space="preserve">nvestments in </w:t>
            </w:r>
            <w:r>
              <w:t>f</w:t>
            </w:r>
            <w:r w:rsidRPr="005002FD">
              <w:t xml:space="preserve">inancial </w:t>
            </w:r>
            <w:r>
              <w:t>a</w:t>
            </w:r>
            <w:r w:rsidRPr="005002FD">
              <w:t xml:space="preserve">ssets for </w:t>
            </w:r>
            <w:r>
              <w:t>l</w:t>
            </w:r>
            <w:r w:rsidRPr="005002FD">
              <w:t xml:space="preserve">iquidity </w:t>
            </w:r>
            <w:r>
              <w:t>p</w:t>
            </w:r>
            <w:r w:rsidRPr="005002FD">
              <w:t>urposes</w:t>
            </w:r>
          </w:p>
        </w:tc>
        <w:tc>
          <w:tcPr>
            <w:tcW w:w="1068" w:type="dxa"/>
            <w:tcBorders>
              <w:top w:val="single" w:sz="4" w:space="0" w:color="auto"/>
            </w:tcBorders>
            <w:shd w:val="clear" w:color="auto" w:fill="auto"/>
          </w:tcPr>
          <w:p w14:paraId="022A37A2" w14:textId="77777777" w:rsidR="006C269A" w:rsidRDefault="006C269A" w:rsidP="00AB05FB">
            <w:pPr>
              <w:pStyle w:val="Btablefigureunbold"/>
            </w:pPr>
          </w:p>
        </w:tc>
        <w:tc>
          <w:tcPr>
            <w:tcW w:w="1069" w:type="dxa"/>
            <w:tcBorders>
              <w:top w:val="single" w:sz="4" w:space="0" w:color="auto"/>
            </w:tcBorders>
            <w:shd w:val="clear" w:color="auto" w:fill="auto"/>
            <w:noWrap/>
          </w:tcPr>
          <w:p w14:paraId="28A4E345" w14:textId="77777777" w:rsidR="006C269A" w:rsidRPr="006D5D15" w:rsidRDefault="006C269A" w:rsidP="00AB05FB">
            <w:pPr>
              <w:pStyle w:val="Btablefigureunbold"/>
            </w:pPr>
          </w:p>
        </w:tc>
        <w:tc>
          <w:tcPr>
            <w:tcW w:w="1069" w:type="dxa"/>
            <w:tcBorders>
              <w:top w:val="single" w:sz="4" w:space="0" w:color="auto"/>
            </w:tcBorders>
            <w:shd w:val="clear" w:color="auto" w:fill="auto"/>
            <w:noWrap/>
          </w:tcPr>
          <w:p w14:paraId="58AFA85B" w14:textId="77777777" w:rsidR="006C269A" w:rsidRPr="006D5D15" w:rsidRDefault="006C269A" w:rsidP="00AB05FB">
            <w:pPr>
              <w:pStyle w:val="Btablefigureunbold"/>
            </w:pPr>
          </w:p>
        </w:tc>
        <w:tc>
          <w:tcPr>
            <w:tcW w:w="1069" w:type="dxa"/>
            <w:tcBorders>
              <w:top w:val="single" w:sz="4" w:space="0" w:color="auto"/>
            </w:tcBorders>
            <w:shd w:val="clear" w:color="auto" w:fill="auto"/>
            <w:noWrap/>
          </w:tcPr>
          <w:p w14:paraId="65DA972E" w14:textId="77777777" w:rsidR="006C269A" w:rsidRPr="006D5D15" w:rsidRDefault="006C269A" w:rsidP="00AB05FB">
            <w:pPr>
              <w:pStyle w:val="Btablefigureunbold"/>
            </w:pPr>
          </w:p>
        </w:tc>
        <w:tc>
          <w:tcPr>
            <w:tcW w:w="1069" w:type="dxa"/>
            <w:tcBorders>
              <w:top w:val="single" w:sz="4" w:space="0" w:color="auto"/>
            </w:tcBorders>
            <w:shd w:val="clear" w:color="auto" w:fill="auto"/>
            <w:noWrap/>
          </w:tcPr>
          <w:p w14:paraId="0DE69DAD" w14:textId="77777777" w:rsidR="006C269A" w:rsidRPr="006D5D15" w:rsidRDefault="006C269A" w:rsidP="00AB05FB">
            <w:pPr>
              <w:pStyle w:val="Btablefigureunbold"/>
            </w:pPr>
          </w:p>
        </w:tc>
        <w:tc>
          <w:tcPr>
            <w:tcW w:w="1069" w:type="dxa"/>
            <w:tcBorders>
              <w:top w:val="single" w:sz="4" w:space="0" w:color="auto"/>
            </w:tcBorders>
            <w:shd w:val="clear" w:color="auto" w:fill="auto"/>
            <w:noWrap/>
          </w:tcPr>
          <w:p w14:paraId="633BA0C8" w14:textId="77777777" w:rsidR="006C269A" w:rsidRPr="006D5D15" w:rsidRDefault="006C269A" w:rsidP="00AB05FB">
            <w:pPr>
              <w:pStyle w:val="Btablefigureunbold"/>
            </w:pPr>
          </w:p>
        </w:tc>
      </w:tr>
      <w:tr w:rsidR="006C269A" w:rsidRPr="006D5D15" w14:paraId="31A12FB9" w14:textId="77777777" w:rsidTr="00AB05FB">
        <w:trPr>
          <w:cantSplit/>
          <w:jc w:val="center"/>
        </w:trPr>
        <w:tc>
          <w:tcPr>
            <w:tcW w:w="2869" w:type="dxa"/>
            <w:shd w:val="clear" w:color="auto" w:fill="auto"/>
            <w:noWrap/>
          </w:tcPr>
          <w:p w14:paraId="24409E82" w14:textId="77777777" w:rsidR="006C269A" w:rsidRPr="00193CB5" w:rsidRDefault="006C269A" w:rsidP="00AB05FB">
            <w:pPr>
              <w:pStyle w:val="BStabletextunbold"/>
            </w:pPr>
            <w:r w:rsidRPr="005002FD">
              <w:t xml:space="preserve">Sales of </w:t>
            </w:r>
            <w:r>
              <w:t>i</w:t>
            </w:r>
            <w:r w:rsidRPr="005002FD">
              <w:t>nvestments</w:t>
            </w:r>
          </w:p>
        </w:tc>
        <w:tc>
          <w:tcPr>
            <w:tcW w:w="1068" w:type="dxa"/>
            <w:shd w:val="clear" w:color="auto" w:fill="auto"/>
          </w:tcPr>
          <w:p w14:paraId="5E0DAB1B" w14:textId="77777777" w:rsidR="006C269A" w:rsidRDefault="006C269A" w:rsidP="00AB05FB">
            <w:pPr>
              <w:pStyle w:val="BStabletextunbold"/>
              <w:jc w:val="right"/>
            </w:pPr>
            <w:r w:rsidRPr="00193CB5">
              <w:t>9,984</w:t>
            </w:r>
          </w:p>
        </w:tc>
        <w:tc>
          <w:tcPr>
            <w:tcW w:w="1069" w:type="dxa"/>
            <w:shd w:val="clear" w:color="auto" w:fill="auto"/>
            <w:noWrap/>
          </w:tcPr>
          <w:p w14:paraId="4D6A13E5" w14:textId="77777777" w:rsidR="006C269A" w:rsidRPr="006D5D15" w:rsidRDefault="006C269A" w:rsidP="00AB05FB">
            <w:pPr>
              <w:pStyle w:val="BStabletextunbold"/>
              <w:jc w:val="right"/>
            </w:pPr>
            <w:r w:rsidRPr="00193CB5">
              <w:t>2,047</w:t>
            </w:r>
          </w:p>
        </w:tc>
        <w:tc>
          <w:tcPr>
            <w:tcW w:w="1069" w:type="dxa"/>
            <w:shd w:val="clear" w:color="auto" w:fill="auto"/>
            <w:noWrap/>
            <w:vAlign w:val="bottom"/>
          </w:tcPr>
          <w:p w14:paraId="798A1BB1" w14:textId="77777777" w:rsidR="006C269A" w:rsidRPr="006D5D15" w:rsidRDefault="006C269A" w:rsidP="00AB05FB">
            <w:pPr>
              <w:pStyle w:val="BStabletextunbold"/>
              <w:jc w:val="right"/>
            </w:pPr>
            <w:r w:rsidRPr="00193CB5">
              <w:t>184</w:t>
            </w:r>
          </w:p>
        </w:tc>
        <w:tc>
          <w:tcPr>
            <w:tcW w:w="1069" w:type="dxa"/>
            <w:shd w:val="clear" w:color="auto" w:fill="auto"/>
            <w:noWrap/>
            <w:vAlign w:val="bottom"/>
          </w:tcPr>
          <w:p w14:paraId="42555DE5" w14:textId="77777777" w:rsidR="006C269A" w:rsidRPr="006D5D15" w:rsidRDefault="006C269A" w:rsidP="00AB05FB">
            <w:pPr>
              <w:pStyle w:val="BStabletextunbold"/>
              <w:jc w:val="right"/>
            </w:pPr>
            <w:r w:rsidRPr="00193CB5">
              <w:t>184</w:t>
            </w:r>
          </w:p>
        </w:tc>
        <w:tc>
          <w:tcPr>
            <w:tcW w:w="1069" w:type="dxa"/>
            <w:shd w:val="clear" w:color="auto" w:fill="auto"/>
            <w:noWrap/>
            <w:vAlign w:val="bottom"/>
          </w:tcPr>
          <w:p w14:paraId="5FFFF920" w14:textId="77777777" w:rsidR="006C269A" w:rsidRPr="006D5D15" w:rsidRDefault="006C269A" w:rsidP="00AB05FB">
            <w:pPr>
              <w:pStyle w:val="BStabletextunbold"/>
              <w:jc w:val="right"/>
            </w:pPr>
            <w:r w:rsidRPr="00193CB5">
              <w:t>182</w:t>
            </w:r>
          </w:p>
        </w:tc>
        <w:tc>
          <w:tcPr>
            <w:tcW w:w="1069" w:type="dxa"/>
            <w:shd w:val="clear" w:color="auto" w:fill="auto"/>
            <w:noWrap/>
            <w:vAlign w:val="bottom"/>
          </w:tcPr>
          <w:p w14:paraId="7A051FC8" w14:textId="77777777" w:rsidR="006C269A" w:rsidRPr="006D5D15" w:rsidRDefault="006C269A" w:rsidP="00AB05FB">
            <w:pPr>
              <w:pStyle w:val="BStabletextunbold"/>
              <w:jc w:val="right"/>
            </w:pPr>
            <w:r w:rsidRPr="00193CB5">
              <w:t>182</w:t>
            </w:r>
          </w:p>
        </w:tc>
      </w:tr>
      <w:tr w:rsidR="006C269A" w:rsidRPr="00601709" w14:paraId="773C5993" w14:textId="77777777" w:rsidTr="00AB05FB">
        <w:trPr>
          <w:cantSplit/>
          <w:jc w:val="center"/>
        </w:trPr>
        <w:tc>
          <w:tcPr>
            <w:tcW w:w="2869" w:type="dxa"/>
            <w:shd w:val="clear" w:color="auto" w:fill="auto"/>
            <w:noWrap/>
          </w:tcPr>
          <w:p w14:paraId="0FB08D9F" w14:textId="77777777" w:rsidR="006C269A" w:rsidRPr="00422A91" w:rsidRDefault="006C269A" w:rsidP="00AB05FB">
            <w:pPr>
              <w:pStyle w:val="BStabletextunbold"/>
            </w:pPr>
            <w:r>
              <w:t>Payments for investments</w:t>
            </w:r>
          </w:p>
        </w:tc>
        <w:tc>
          <w:tcPr>
            <w:tcW w:w="1068" w:type="dxa"/>
            <w:shd w:val="clear" w:color="auto" w:fill="auto"/>
          </w:tcPr>
          <w:p w14:paraId="0335D632" w14:textId="77777777" w:rsidR="006C269A" w:rsidRPr="00601709" w:rsidRDefault="006C269A" w:rsidP="00AB05FB">
            <w:pPr>
              <w:pStyle w:val="BStabletextunbold"/>
              <w:jc w:val="right"/>
            </w:pPr>
            <w:r w:rsidRPr="00193CB5">
              <w:t>-9,801</w:t>
            </w:r>
          </w:p>
        </w:tc>
        <w:tc>
          <w:tcPr>
            <w:tcW w:w="1069" w:type="dxa"/>
            <w:shd w:val="clear" w:color="auto" w:fill="auto"/>
            <w:noWrap/>
          </w:tcPr>
          <w:p w14:paraId="4366EFF1" w14:textId="77777777" w:rsidR="006C269A" w:rsidRPr="00601709" w:rsidRDefault="006C269A" w:rsidP="00AB05FB">
            <w:pPr>
              <w:pStyle w:val="BStabletextunbold"/>
              <w:jc w:val="right"/>
            </w:pPr>
            <w:r w:rsidRPr="00193CB5">
              <w:t>0</w:t>
            </w:r>
          </w:p>
        </w:tc>
        <w:tc>
          <w:tcPr>
            <w:tcW w:w="1069" w:type="dxa"/>
            <w:shd w:val="clear" w:color="auto" w:fill="auto"/>
            <w:noWrap/>
            <w:vAlign w:val="bottom"/>
          </w:tcPr>
          <w:p w14:paraId="5F0FB7BC" w14:textId="77777777" w:rsidR="006C269A" w:rsidRPr="00601709" w:rsidRDefault="006C269A" w:rsidP="00AB05FB">
            <w:pPr>
              <w:pStyle w:val="BStabletextunbold"/>
              <w:jc w:val="right"/>
            </w:pPr>
            <w:r w:rsidRPr="00193CB5">
              <w:t>0</w:t>
            </w:r>
          </w:p>
        </w:tc>
        <w:tc>
          <w:tcPr>
            <w:tcW w:w="1069" w:type="dxa"/>
            <w:shd w:val="clear" w:color="auto" w:fill="auto"/>
            <w:noWrap/>
            <w:vAlign w:val="bottom"/>
          </w:tcPr>
          <w:p w14:paraId="79088734" w14:textId="77777777" w:rsidR="006C269A" w:rsidRPr="00601709" w:rsidRDefault="006C269A" w:rsidP="00AB05FB">
            <w:pPr>
              <w:pStyle w:val="BStabletextunbold"/>
              <w:jc w:val="right"/>
            </w:pPr>
            <w:r w:rsidRPr="00193CB5">
              <w:t>0</w:t>
            </w:r>
          </w:p>
        </w:tc>
        <w:tc>
          <w:tcPr>
            <w:tcW w:w="1069" w:type="dxa"/>
            <w:shd w:val="clear" w:color="auto" w:fill="auto"/>
            <w:noWrap/>
            <w:vAlign w:val="bottom"/>
          </w:tcPr>
          <w:p w14:paraId="5737C2E9" w14:textId="77777777" w:rsidR="006C269A" w:rsidRPr="00601709" w:rsidRDefault="006C269A" w:rsidP="00AB05FB">
            <w:pPr>
              <w:pStyle w:val="BStabletextunbold"/>
              <w:jc w:val="right"/>
            </w:pPr>
            <w:r w:rsidRPr="00193CB5">
              <w:t>0</w:t>
            </w:r>
          </w:p>
        </w:tc>
        <w:tc>
          <w:tcPr>
            <w:tcW w:w="1069" w:type="dxa"/>
            <w:shd w:val="clear" w:color="auto" w:fill="auto"/>
            <w:noWrap/>
            <w:vAlign w:val="bottom"/>
          </w:tcPr>
          <w:p w14:paraId="113D4993" w14:textId="77777777" w:rsidR="006C269A" w:rsidRPr="00601709" w:rsidRDefault="006C269A" w:rsidP="00AB05FB">
            <w:pPr>
              <w:pStyle w:val="BStabletextunbold"/>
              <w:jc w:val="right"/>
            </w:pPr>
            <w:r w:rsidRPr="00193CB5">
              <w:t>0</w:t>
            </w:r>
          </w:p>
        </w:tc>
      </w:tr>
      <w:tr w:rsidR="006C269A" w:rsidRPr="00C0440A" w14:paraId="549A6DBD" w14:textId="77777777" w:rsidTr="00AB05FB">
        <w:trPr>
          <w:cantSplit/>
          <w:jc w:val="center"/>
        </w:trPr>
        <w:tc>
          <w:tcPr>
            <w:tcW w:w="2869" w:type="dxa"/>
            <w:shd w:val="clear" w:color="auto" w:fill="auto"/>
            <w:noWrap/>
          </w:tcPr>
          <w:p w14:paraId="6145600D" w14:textId="77777777" w:rsidR="006C269A" w:rsidRPr="00C0440A" w:rsidRDefault="006C269A" w:rsidP="00AB05FB">
            <w:pPr>
              <w:pStyle w:val="BStabletextbold"/>
              <w:rPr>
                <w:color w:val="472D8C"/>
              </w:rPr>
            </w:pPr>
            <w:r w:rsidRPr="00C0440A">
              <w:rPr>
                <w:color w:val="472D8C"/>
              </w:rPr>
              <w:t>Net cash flows from investments in financial assets for liquidity purposes</w:t>
            </w:r>
          </w:p>
        </w:tc>
        <w:tc>
          <w:tcPr>
            <w:tcW w:w="1068" w:type="dxa"/>
            <w:shd w:val="clear" w:color="auto" w:fill="auto"/>
          </w:tcPr>
          <w:p w14:paraId="3D82B21B" w14:textId="77777777" w:rsidR="006C269A" w:rsidRPr="00C0440A" w:rsidRDefault="006C269A" w:rsidP="00AB05FB">
            <w:pPr>
              <w:pStyle w:val="BStabletextbold"/>
              <w:jc w:val="right"/>
              <w:rPr>
                <w:color w:val="472D8C"/>
              </w:rPr>
            </w:pPr>
            <w:r w:rsidRPr="00C0440A">
              <w:rPr>
                <w:color w:val="472D8C"/>
              </w:rPr>
              <w:t>183</w:t>
            </w:r>
          </w:p>
        </w:tc>
        <w:tc>
          <w:tcPr>
            <w:tcW w:w="1069" w:type="dxa"/>
            <w:shd w:val="clear" w:color="auto" w:fill="auto"/>
            <w:noWrap/>
          </w:tcPr>
          <w:p w14:paraId="59F7986A" w14:textId="77777777" w:rsidR="006C269A" w:rsidRPr="00C0440A" w:rsidRDefault="006C269A" w:rsidP="00AB05FB">
            <w:pPr>
              <w:pStyle w:val="BStabletextbold"/>
              <w:jc w:val="right"/>
              <w:rPr>
                <w:color w:val="472D8C"/>
              </w:rPr>
            </w:pPr>
            <w:r w:rsidRPr="00C0440A">
              <w:rPr>
                <w:color w:val="472D8C"/>
              </w:rPr>
              <w:t>2,047</w:t>
            </w:r>
          </w:p>
        </w:tc>
        <w:tc>
          <w:tcPr>
            <w:tcW w:w="1069" w:type="dxa"/>
            <w:shd w:val="clear" w:color="auto" w:fill="auto"/>
            <w:noWrap/>
          </w:tcPr>
          <w:p w14:paraId="0A9EF5D9" w14:textId="77777777" w:rsidR="006C269A" w:rsidRPr="00C0440A" w:rsidRDefault="006C269A" w:rsidP="00AB05FB">
            <w:pPr>
              <w:pStyle w:val="BStabletextbold"/>
              <w:jc w:val="right"/>
              <w:rPr>
                <w:color w:val="472D8C"/>
              </w:rPr>
            </w:pPr>
            <w:r w:rsidRPr="00C0440A">
              <w:rPr>
                <w:color w:val="472D8C"/>
              </w:rPr>
              <w:t>184</w:t>
            </w:r>
          </w:p>
        </w:tc>
        <w:tc>
          <w:tcPr>
            <w:tcW w:w="1069" w:type="dxa"/>
            <w:shd w:val="clear" w:color="auto" w:fill="auto"/>
            <w:noWrap/>
          </w:tcPr>
          <w:p w14:paraId="0F4A496C" w14:textId="77777777" w:rsidR="006C269A" w:rsidRPr="00C0440A" w:rsidRDefault="006C269A" w:rsidP="00AB05FB">
            <w:pPr>
              <w:pStyle w:val="BStabletextbold"/>
              <w:jc w:val="right"/>
              <w:rPr>
                <w:color w:val="472D8C"/>
              </w:rPr>
            </w:pPr>
            <w:r w:rsidRPr="00C0440A">
              <w:rPr>
                <w:color w:val="472D8C"/>
              </w:rPr>
              <w:t>184</w:t>
            </w:r>
          </w:p>
        </w:tc>
        <w:tc>
          <w:tcPr>
            <w:tcW w:w="1069" w:type="dxa"/>
            <w:shd w:val="clear" w:color="auto" w:fill="auto"/>
            <w:noWrap/>
          </w:tcPr>
          <w:p w14:paraId="2FEF6191" w14:textId="77777777" w:rsidR="006C269A" w:rsidRPr="00C0440A" w:rsidRDefault="006C269A" w:rsidP="00AB05FB">
            <w:pPr>
              <w:pStyle w:val="BStabletextbold"/>
              <w:jc w:val="right"/>
              <w:rPr>
                <w:color w:val="472D8C"/>
              </w:rPr>
            </w:pPr>
            <w:r w:rsidRPr="00C0440A">
              <w:rPr>
                <w:color w:val="472D8C"/>
              </w:rPr>
              <w:t>182</w:t>
            </w:r>
          </w:p>
        </w:tc>
        <w:tc>
          <w:tcPr>
            <w:tcW w:w="1069" w:type="dxa"/>
            <w:shd w:val="clear" w:color="auto" w:fill="auto"/>
            <w:noWrap/>
          </w:tcPr>
          <w:p w14:paraId="0D7ECD66" w14:textId="77777777" w:rsidR="006C269A" w:rsidRPr="00C0440A" w:rsidRDefault="006C269A" w:rsidP="00AB05FB">
            <w:pPr>
              <w:pStyle w:val="BStabletextbold"/>
              <w:jc w:val="right"/>
              <w:rPr>
                <w:color w:val="472D8C"/>
              </w:rPr>
            </w:pPr>
            <w:r w:rsidRPr="00C0440A">
              <w:rPr>
                <w:color w:val="472D8C"/>
              </w:rPr>
              <w:t>182</w:t>
            </w:r>
          </w:p>
        </w:tc>
      </w:tr>
      <w:tr w:rsidR="006C269A" w:rsidRPr="00C0440A" w14:paraId="64E413FB" w14:textId="77777777" w:rsidTr="00AB05FB">
        <w:trPr>
          <w:cantSplit/>
          <w:jc w:val="center"/>
        </w:trPr>
        <w:tc>
          <w:tcPr>
            <w:tcW w:w="2869" w:type="dxa"/>
            <w:shd w:val="clear" w:color="auto" w:fill="auto"/>
            <w:noWrap/>
          </w:tcPr>
          <w:p w14:paraId="4370C187" w14:textId="77777777" w:rsidR="006C269A" w:rsidRPr="00C0440A" w:rsidRDefault="006C269A" w:rsidP="00AB05FB">
            <w:pPr>
              <w:pStyle w:val="BStabletextbold"/>
              <w:rPr>
                <w:color w:val="472D8C"/>
              </w:rPr>
            </w:pPr>
            <w:r w:rsidRPr="00C0440A">
              <w:rPr>
                <w:color w:val="472D8C"/>
              </w:rPr>
              <w:t>Net cash flows from investing activities</w:t>
            </w:r>
          </w:p>
        </w:tc>
        <w:tc>
          <w:tcPr>
            <w:tcW w:w="1068" w:type="dxa"/>
            <w:shd w:val="clear" w:color="auto" w:fill="auto"/>
          </w:tcPr>
          <w:p w14:paraId="57BD3806" w14:textId="77777777" w:rsidR="006C269A" w:rsidRPr="00C0440A" w:rsidRDefault="006C269A" w:rsidP="00AB05FB">
            <w:pPr>
              <w:pStyle w:val="BStabletextbold"/>
              <w:jc w:val="right"/>
              <w:rPr>
                <w:color w:val="472D8C"/>
              </w:rPr>
            </w:pPr>
            <w:r w:rsidRPr="00C0440A">
              <w:rPr>
                <w:color w:val="472D8C"/>
              </w:rPr>
              <w:t>-78,600</w:t>
            </w:r>
          </w:p>
        </w:tc>
        <w:tc>
          <w:tcPr>
            <w:tcW w:w="1069" w:type="dxa"/>
            <w:shd w:val="clear" w:color="auto" w:fill="auto"/>
            <w:noWrap/>
          </w:tcPr>
          <w:p w14:paraId="111B322C" w14:textId="77777777" w:rsidR="006C269A" w:rsidRPr="00C0440A" w:rsidRDefault="006C269A" w:rsidP="00AB05FB">
            <w:pPr>
              <w:pStyle w:val="BStabletextbold"/>
              <w:jc w:val="right"/>
              <w:rPr>
                <w:color w:val="472D8C"/>
              </w:rPr>
            </w:pPr>
            <w:r w:rsidRPr="00C0440A">
              <w:rPr>
                <w:color w:val="472D8C"/>
              </w:rPr>
              <w:t>-40,119</w:t>
            </w:r>
          </w:p>
        </w:tc>
        <w:tc>
          <w:tcPr>
            <w:tcW w:w="1069" w:type="dxa"/>
            <w:shd w:val="clear" w:color="auto" w:fill="auto"/>
            <w:noWrap/>
          </w:tcPr>
          <w:p w14:paraId="5B607C5A" w14:textId="77777777" w:rsidR="006C269A" w:rsidRPr="00C0440A" w:rsidRDefault="006C269A" w:rsidP="00AB05FB">
            <w:pPr>
              <w:pStyle w:val="BStabletextbold"/>
              <w:jc w:val="right"/>
              <w:rPr>
                <w:color w:val="472D8C"/>
              </w:rPr>
            </w:pPr>
            <w:r w:rsidRPr="00C0440A">
              <w:rPr>
                <w:color w:val="472D8C"/>
              </w:rPr>
              <w:t>-90,554</w:t>
            </w:r>
          </w:p>
        </w:tc>
        <w:tc>
          <w:tcPr>
            <w:tcW w:w="1069" w:type="dxa"/>
            <w:shd w:val="clear" w:color="auto" w:fill="auto"/>
            <w:noWrap/>
          </w:tcPr>
          <w:p w14:paraId="1F8F75A5" w14:textId="77777777" w:rsidR="006C269A" w:rsidRPr="00C0440A" w:rsidRDefault="006C269A" w:rsidP="00AB05FB">
            <w:pPr>
              <w:pStyle w:val="BStabletextbold"/>
              <w:jc w:val="right"/>
              <w:rPr>
                <w:color w:val="472D8C"/>
              </w:rPr>
            </w:pPr>
            <w:r w:rsidRPr="00C0440A">
              <w:rPr>
                <w:color w:val="472D8C"/>
              </w:rPr>
              <w:t>-61,509</w:t>
            </w:r>
          </w:p>
        </w:tc>
        <w:tc>
          <w:tcPr>
            <w:tcW w:w="1069" w:type="dxa"/>
            <w:shd w:val="clear" w:color="auto" w:fill="auto"/>
            <w:noWrap/>
          </w:tcPr>
          <w:p w14:paraId="5DA0F276" w14:textId="77777777" w:rsidR="006C269A" w:rsidRPr="00C0440A" w:rsidRDefault="006C269A" w:rsidP="00AB05FB">
            <w:pPr>
              <w:pStyle w:val="BStabletextbold"/>
              <w:jc w:val="right"/>
              <w:rPr>
                <w:color w:val="472D8C"/>
              </w:rPr>
            </w:pPr>
            <w:r w:rsidRPr="00C0440A">
              <w:rPr>
                <w:color w:val="472D8C"/>
              </w:rPr>
              <w:t>-55,317</w:t>
            </w:r>
          </w:p>
        </w:tc>
        <w:tc>
          <w:tcPr>
            <w:tcW w:w="1069" w:type="dxa"/>
            <w:shd w:val="clear" w:color="auto" w:fill="auto"/>
            <w:noWrap/>
          </w:tcPr>
          <w:p w14:paraId="02828990" w14:textId="77777777" w:rsidR="006C269A" w:rsidRPr="00C0440A" w:rsidRDefault="006C269A" w:rsidP="00AB05FB">
            <w:pPr>
              <w:pStyle w:val="BStabletextbold"/>
              <w:jc w:val="right"/>
              <w:rPr>
                <w:color w:val="472D8C"/>
              </w:rPr>
            </w:pPr>
            <w:r w:rsidRPr="00C0440A">
              <w:rPr>
                <w:color w:val="472D8C"/>
              </w:rPr>
              <w:t>-120,255</w:t>
            </w:r>
          </w:p>
        </w:tc>
      </w:tr>
      <w:tr w:rsidR="006C269A" w:rsidRPr="006D5D15" w14:paraId="7133DB78" w14:textId="77777777" w:rsidTr="00AB05FB">
        <w:trPr>
          <w:cantSplit/>
          <w:jc w:val="center"/>
        </w:trPr>
        <w:tc>
          <w:tcPr>
            <w:tcW w:w="2869" w:type="dxa"/>
            <w:shd w:val="clear" w:color="auto" w:fill="auto"/>
            <w:noWrap/>
            <w:vAlign w:val="bottom"/>
          </w:tcPr>
          <w:p w14:paraId="1CDF66A5" w14:textId="77777777" w:rsidR="006C269A" w:rsidRPr="004629D6" w:rsidRDefault="006C269A" w:rsidP="00AB05FB">
            <w:pPr>
              <w:pStyle w:val="BStabletextbold"/>
            </w:pPr>
            <w:r w:rsidRPr="005002FD">
              <w:t xml:space="preserve">Cash </w:t>
            </w:r>
            <w:r>
              <w:t>f</w:t>
            </w:r>
            <w:r w:rsidRPr="005002FD">
              <w:t xml:space="preserve">lows from </w:t>
            </w:r>
            <w:r>
              <w:t>f</w:t>
            </w:r>
            <w:r w:rsidRPr="005002FD">
              <w:t xml:space="preserve">inancing </w:t>
            </w:r>
            <w:r>
              <w:t>a</w:t>
            </w:r>
            <w:r w:rsidRPr="005002FD">
              <w:t>ctivities</w:t>
            </w:r>
          </w:p>
        </w:tc>
        <w:tc>
          <w:tcPr>
            <w:tcW w:w="1068" w:type="dxa"/>
            <w:shd w:val="clear" w:color="auto" w:fill="auto"/>
          </w:tcPr>
          <w:p w14:paraId="417185FB" w14:textId="77777777" w:rsidR="006C269A" w:rsidRDefault="006C269A" w:rsidP="00AB05FB">
            <w:pPr>
              <w:pStyle w:val="Btablefigureunbold"/>
            </w:pPr>
          </w:p>
        </w:tc>
        <w:tc>
          <w:tcPr>
            <w:tcW w:w="1069" w:type="dxa"/>
            <w:shd w:val="clear" w:color="auto" w:fill="auto"/>
            <w:noWrap/>
          </w:tcPr>
          <w:p w14:paraId="3B2DD74F" w14:textId="77777777" w:rsidR="006C269A" w:rsidRPr="006D5D15" w:rsidRDefault="006C269A" w:rsidP="00AB05FB">
            <w:pPr>
              <w:pStyle w:val="Btablefigureunbold"/>
            </w:pPr>
          </w:p>
        </w:tc>
        <w:tc>
          <w:tcPr>
            <w:tcW w:w="1069" w:type="dxa"/>
            <w:shd w:val="clear" w:color="auto" w:fill="auto"/>
            <w:noWrap/>
          </w:tcPr>
          <w:p w14:paraId="68A9C578" w14:textId="77777777" w:rsidR="006C269A" w:rsidRPr="006D5D15" w:rsidRDefault="006C269A" w:rsidP="00AB05FB">
            <w:pPr>
              <w:pStyle w:val="Btablefigureunbold"/>
            </w:pPr>
          </w:p>
        </w:tc>
        <w:tc>
          <w:tcPr>
            <w:tcW w:w="1069" w:type="dxa"/>
            <w:shd w:val="clear" w:color="auto" w:fill="auto"/>
            <w:noWrap/>
          </w:tcPr>
          <w:p w14:paraId="54096947" w14:textId="77777777" w:rsidR="006C269A" w:rsidRPr="006D5D15" w:rsidRDefault="006C269A" w:rsidP="00AB05FB">
            <w:pPr>
              <w:pStyle w:val="Btablefigureunbold"/>
            </w:pPr>
          </w:p>
        </w:tc>
        <w:tc>
          <w:tcPr>
            <w:tcW w:w="1069" w:type="dxa"/>
            <w:shd w:val="clear" w:color="auto" w:fill="auto"/>
            <w:noWrap/>
          </w:tcPr>
          <w:p w14:paraId="0818BD16" w14:textId="77777777" w:rsidR="006C269A" w:rsidRPr="006D5D15" w:rsidRDefault="006C269A" w:rsidP="00AB05FB">
            <w:pPr>
              <w:pStyle w:val="Btablefigureunbold"/>
            </w:pPr>
          </w:p>
        </w:tc>
        <w:tc>
          <w:tcPr>
            <w:tcW w:w="1069" w:type="dxa"/>
            <w:shd w:val="clear" w:color="auto" w:fill="auto"/>
            <w:noWrap/>
          </w:tcPr>
          <w:p w14:paraId="381AA4DF" w14:textId="77777777" w:rsidR="006C269A" w:rsidRPr="006D5D15" w:rsidRDefault="006C269A" w:rsidP="00AB05FB">
            <w:pPr>
              <w:pStyle w:val="Btablefigureunbold"/>
            </w:pPr>
          </w:p>
        </w:tc>
      </w:tr>
      <w:tr w:rsidR="006C269A" w:rsidRPr="006D5D15" w14:paraId="40968383" w14:textId="77777777" w:rsidTr="00AB05FB">
        <w:trPr>
          <w:cantSplit/>
          <w:jc w:val="center"/>
        </w:trPr>
        <w:tc>
          <w:tcPr>
            <w:tcW w:w="2869" w:type="dxa"/>
            <w:shd w:val="clear" w:color="auto" w:fill="auto"/>
            <w:noWrap/>
          </w:tcPr>
          <w:p w14:paraId="6D779057" w14:textId="77777777" w:rsidR="006C269A" w:rsidRPr="004629D6" w:rsidRDefault="006C269A" w:rsidP="00AB05FB">
            <w:pPr>
              <w:pStyle w:val="BStabletextbold"/>
            </w:pPr>
            <w:r w:rsidRPr="006F628F">
              <w:t>Receipts</w:t>
            </w:r>
          </w:p>
        </w:tc>
        <w:tc>
          <w:tcPr>
            <w:tcW w:w="1068" w:type="dxa"/>
            <w:shd w:val="clear" w:color="auto" w:fill="auto"/>
          </w:tcPr>
          <w:p w14:paraId="1EE93C4A" w14:textId="77777777" w:rsidR="006C269A" w:rsidRDefault="006C269A" w:rsidP="00AB05FB">
            <w:pPr>
              <w:pStyle w:val="Btablefigureunbold"/>
            </w:pPr>
          </w:p>
        </w:tc>
        <w:tc>
          <w:tcPr>
            <w:tcW w:w="1069" w:type="dxa"/>
            <w:shd w:val="clear" w:color="auto" w:fill="auto"/>
            <w:noWrap/>
          </w:tcPr>
          <w:p w14:paraId="74BA9EE6" w14:textId="77777777" w:rsidR="006C269A" w:rsidRPr="006D5D15" w:rsidRDefault="006C269A" w:rsidP="00AB05FB">
            <w:pPr>
              <w:pStyle w:val="Btablefigureunbold"/>
            </w:pPr>
          </w:p>
        </w:tc>
        <w:tc>
          <w:tcPr>
            <w:tcW w:w="1069" w:type="dxa"/>
            <w:shd w:val="clear" w:color="auto" w:fill="auto"/>
            <w:noWrap/>
          </w:tcPr>
          <w:p w14:paraId="366ECA5A" w14:textId="77777777" w:rsidR="006C269A" w:rsidRPr="006D5D15" w:rsidRDefault="006C269A" w:rsidP="00AB05FB">
            <w:pPr>
              <w:pStyle w:val="Btablefigureunbold"/>
            </w:pPr>
          </w:p>
        </w:tc>
        <w:tc>
          <w:tcPr>
            <w:tcW w:w="1069" w:type="dxa"/>
            <w:shd w:val="clear" w:color="auto" w:fill="auto"/>
            <w:noWrap/>
          </w:tcPr>
          <w:p w14:paraId="5355AEA5" w14:textId="77777777" w:rsidR="006C269A" w:rsidRPr="006D5D15" w:rsidRDefault="006C269A" w:rsidP="00AB05FB">
            <w:pPr>
              <w:pStyle w:val="Btablefigureunbold"/>
            </w:pPr>
          </w:p>
        </w:tc>
        <w:tc>
          <w:tcPr>
            <w:tcW w:w="1069" w:type="dxa"/>
            <w:shd w:val="clear" w:color="auto" w:fill="auto"/>
            <w:noWrap/>
          </w:tcPr>
          <w:p w14:paraId="1919C284" w14:textId="77777777" w:rsidR="006C269A" w:rsidRPr="006D5D15" w:rsidRDefault="006C269A" w:rsidP="00AB05FB">
            <w:pPr>
              <w:pStyle w:val="Btablefigureunbold"/>
            </w:pPr>
          </w:p>
        </w:tc>
        <w:tc>
          <w:tcPr>
            <w:tcW w:w="1069" w:type="dxa"/>
            <w:shd w:val="clear" w:color="auto" w:fill="auto"/>
            <w:noWrap/>
          </w:tcPr>
          <w:p w14:paraId="0C47FBE0" w14:textId="77777777" w:rsidR="006C269A" w:rsidRPr="006D5D15" w:rsidRDefault="006C269A" w:rsidP="00AB05FB">
            <w:pPr>
              <w:pStyle w:val="Btablefigureunbold"/>
            </w:pPr>
          </w:p>
        </w:tc>
      </w:tr>
      <w:tr w:rsidR="006C269A" w:rsidRPr="00601709" w14:paraId="0F0B2C46" w14:textId="77777777" w:rsidTr="00AB05FB">
        <w:trPr>
          <w:cantSplit/>
          <w:jc w:val="center"/>
        </w:trPr>
        <w:tc>
          <w:tcPr>
            <w:tcW w:w="2869" w:type="dxa"/>
            <w:shd w:val="clear" w:color="auto" w:fill="auto"/>
            <w:noWrap/>
          </w:tcPr>
          <w:p w14:paraId="694008D6" w14:textId="77777777" w:rsidR="006C269A" w:rsidRPr="00601709" w:rsidRDefault="006C269A" w:rsidP="00AB05FB">
            <w:pPr>
              <w:pStyle w:val="BStabletextunbold"/>
            </w:pPr>
            <w:r>
              <w:t>Advances received</w:t>
            </w:r>
          </w:p>
        </w:tc>
        <w:tc>
          <w:tcPr>
            <w:tcW w:w="1068" w:type="dxa"/>
            <w:shd w:val="clear" w:color="auto" w:fill="auto"/>
          </w:tcPr>
          <w:p w14:paraId="589FE82F" w14:textId="77777777" w:rsidR="006C269A" w:rsidRPr="00601709" w:rsidRDefault="006C269A" w:rsidP="00AB05FB">
            <w:pPr>
              <w:pStyle w:val="BStabletextunbold"/>
              <w:jc w:val="right"/>
            </w:pPr>
            <w:r w:rsidRPr="00193CB5">
              <w:t>50,300</w:t>
            </w:r>
          </w:p>
        </w:tc>
        <w:tc>
          <w:tcPr>
            <w:tcW w:w="1069" w:type="dxa"/>
            <w:shd w:val="clear" w:color="auto" w:fill="auto"/>
            <w:noWrap/>
          </w:tcPr>
          <w:p w14:paraId="099B493D" w14:textId="77777777" w:rsidR="006C269A" w:rsidRPr="00601709" w:rsidRDefault="006C269A" w:rsidP="00AB05FB">
            <w:pPr>
              <w:pStyle w:val="BStabletextunbold"/>
              <w:jc w:val="right"/>
            </w:pPr>
            <w:r w:rsidRPr="00193CB5">
              <w:t>50,567</w:t>
            </w:r>
          </w:p>
        </w:tc>
        <w:tc>
          <w:tcPr>
            <w:tcW w:w="1069" w:type="dxa"/>
            <w:shd w:val="clear" w:color="auto" w:fill="auto"/>
            <w:noWrap/>
            <w:vAlign w:val="bottom"/>
          </w:tcPr>
          <w:p w14:paraId="25556DCC" w14:textId="77777777" w:rsidR="006C269A" w:rsidRPr="00601709" w:rsidRDefault="006C269A" w:rsidP="00AB05FB">
            <w:pPr>
              <w:pStyle w:val="BStabletextunbold"/>
              <w:jc w:val="right"/>
            </w:pPr>
            <w:r w:rsidRPr="00193CB5">
              <w:t>40,763</w:t>
            </w:r>
          </w:p>
        </w:tc>
        <w:tc>
          <w:tcPr>
            <w:tcW w:w="1069" w:type="dxa"/>
            <w:shd w:val="clear" w:color="auto" w:fill="auto"/>
            <w:noWrap/>
            <w:vAlign w:val="bottom"/>
          </w:tcPr>
          <w:p w14:paraId="5961ED45" w14:textId="77777777" w:rsidR="006C269A" w:rsidRPr="00601709" w:rsidRDefault="006C269A" w:rsidP="00AB05FB">
            <w:pPr>
              <w:pStyle w:val="BStabletextunbold"/>
              <w:jc w:val="right"/>
            </w:pPr>
            <w:r w:rsidRPr="00193CB5">
              <w:t>5,776</w:t>
            </w:r>
          </w:p>
        </w:tc>
        <w:tc>
          <w:tcPr>
            <w:tcW w:w="1069" w:type="dxa"/>
            <w:shd w:val="clear" w:color="auto" w:fill="auto"/>
            <w:noWrap/>
            <w:vAlign w:val="bottom"/>
          </w:tcPr>
          <w:p w14:paraId="1CD858D2" w14:textId="77777777" w:rsidR="006C269A" w:rsidRPr="00601709" w:rsidRDefault="006C269A" w:rsidP="00AB05FB">
            <w:pPr>
              <w:pStyle w:val="BStabletextunbold"/>
              <w:jc w:val="right"/>
            </w:pPr>
            <w:r w:rsidRPr="00193CB5">
              <w:t>145,790</w:t>
            </w:r>
          </w:p>
        </w:tc>
        <w:tc>
          <w:tcPr>
            <w:tcW w:w="1069" w:type="dxa"/>
            <w:shd w:val="clear" w:color="auto" w:fill="auto"/>
            <w:noWrap/>
            <w:vAlign w:val="bottom"/>
          </w:tcPr>
          <w:p w14:paraId="32D42138" w14:textId="77777777" w:rsidR="006C269A" w:rsidRPr="00601709" w:rsidRDefault="006C269A" w:rsidP="00AB05FB">
            <w:pPr>
              <w:pStyle w:val="BStabletextunbold"/>
              <w:jc w:val="right"/>
            </w:pPr>
            <w:r w:rsidRPr="00193CB5">
              <w:t>40,806</w:t>
            </w:r>
          </w:p>
        </w:tc>
      </w:tr>
      <w:tr w:rsidR="006C269A" w:rsidRPr="00193CB5" w14:paraId="3230C2F5" w14:textId="77777777" w:rsidTr="00AB05FB">
        <w:trPr>
          <w:cantSplit/>
          <w:jc w:val="center"/>
        </w:trPr>
        <w:tc>
          <w:tcPr>
            <w:tcW w:w="2869" w:type="dxa"/>
            <w:shd w:val="clear" w:color="auto" w:fill="auto"/>
            <w:noWrap/>
          </w:tcPr>
          <w:p w14:paraId="3AAE457C" w14:textId="77777777" w:rsidR="006C269A" w:rsidRPr="00193CB5" w:rsidRDefault="006C269A" w:rsidP="00AB05FB">
            <w:pPr>
              <w:pStyle w:val="Btabletextbolditalic"/>
              <w:rPr>
                <w:i w:val="0"/>
                <w:iCs/>
              </w:rPr>
            </w:pPr>
            <w:r w:rsidRPr="00193CB5">
              <w:rPr>
                <w:i w:val="0"/>
                <w:iCs/>
              </w:rPr>
              <w:t>Total receipts from financing activities</w:t>
            </w:r>
          </w:p>
        </w:tc>
        <w:tc>
          <w:tcPr>
            <w:tcW w:w="1068" w:type="dxa"/>
            <w:shd w:val="clear" w:color="auto" w:fill="auto"/>
          </w:tcPr>
          <w:p w14:paraId="4AAC6789" w14:textId="77777777" w:rsidR="006C269A" w:rsidRPr="00193CB5" w:rsidRDefault="006C269A" w:rsidP="00AB05FB">
            <w:pPr>
              <w:pStyle w:val="Btabletextbolditalic"/>
              <w:jc w:val="right"/>
              <w:rPr>
                <w:i w:val="0"/>
                <w:iCs/>
              </w:rPr>
            </w:pPr>
            <w:r w:rsidRPr="00193CB5">
              <w:rPr>
                <w:i w:val="0"/>
                <w:iCs/>
              </w:rPr>
              <w:t>50,300</w:t>
            </w:r>
          </w:p>
        </w:tc>
        <w:tc>
          <w:tcPr>
            <w:tcW w:w="1069" w:type="dxa"/>
            <w:shd w:val="clear" w:color="auto" w:fill="auto"/>
            <w:noWrap/>
          </w:tcPr>
          <w:p w14:paraId="530CC32B" w14:textId="77777777" w:rsidR="006C269A" w:rsidRPr="00193CB5" w:rsidRDefault="006C269A" w:rsidP="00AB05FB">
            <w:pPr>
              <w:pStyle w:val="Btabletextbolditalic"/>
              <w:jc w:val="right"/>
              <w:rPr>
                <w:i w:val="0"/>
                <w:iCs/>
              </w:rPr>
            </w:pPr>
            <w:r w:rsidRPr="00193CB5">
              <w:rPr>
                <w:i w:val="0"/>
                <w:iCs/>
              </w:rPr>
              <w:t>50,567</w:t>
            </w:r>
          </w:p>
        </w:tc>
        <w:tc>
          <w:tcPr>
            <w:tcW w:w="1069" w:type="dxa"/>
            <w:shd w:val="clear" w:color="auto" w:fill="auto"/>
            <w:noWrap/>
          </w:tcPr>
          <w:p w14:paraId="2BA81EA4" w14:textId="77777777" w:rsidR="006C269A" w:rsidRPr="00193CB5" w:rsidRDefault="006C269A" w:rsidP="00AB05FB">
            <w:pPr>
              <w:pStyle w:val="Btabletextbolditalic"/>
              <w:jc w:val="right"/>
              <w:rPr>
                <w:i w:val="0"/>
                <w:iCs/>
              </w:rPr>
            </w:pPr>
            <w:r w:rsidRPr="00193CB5">
              <w:rPr>
                <w:i w:val="0"/>
                <w:iCs/>
              </w:rPr>
              <w:t>40,763</w:t>
            </w:r>
          </w:p>
        </w:tc>
        <w:tc>
          <w:tcPr>
            <w:tcW w:w="1069" w:type="dxa"/>
            <w:shd w:val="clear" w:color="auto" w:fill="auto"/>
            <w:noWrap/>
          </w:tcPr>
          <w:p w14:paraId="6BAC4122" w14:textId="77777777" w:rsidR="006C269A" w:rsidRPr="00193CB5" w:rsidRDefault="006C269A" w:rsidP="00AB05FB">
            <w:pPr>
              <w:pStyle w:val="Btabletextbolditalic"/>
              <w:jc w:val="right"/>
              <w:rPr>
                <w:i w:val="0"/>
                <w:iCs/>
              </w:rPr>
            </w:pPr>
            <w:r w:rsidRPr="00193CB5">
              <w:rPr>
                <w:i w:val="0"/>
                <w:iCs/>
              </w:rPr>
              <w:t>5,776</w:t>
            </w:r>
          </w:p>
        </w:tc>
        <w:tc>
          <w:tcPr>
            <w:tcW w:w="1069" w:type="dxa"/>
            <w:shd w:val="clear" w:color="auto" w:fill="auto"/>
            <w:noWrap/>
          </w:tcPr>
          <w:p w14:paraId="4A4BA119" w14:textId="77777777" w:rsidR="006C269A" w:rsidRPr="00193CB5" w:rsidRDefault="006C269A" w:rsidP="00AB05FB">
            <w:pPr>
              <w:pStyle w:val="Btabletextbolditalic"/>
              <w:jc w:val="right"/>
              <w:rPr>
                <w:i w:val="0"/>
                <w:iCs/>
              </w:rPr>
            </w:pPr>
            <w:r w:rsidRPr="00193CB5">
              <w:rPr>
                <w:i w:val="0"/>
                <w:iCs/>
              </w:rPr>
              <w:t>145,790</w:t>
            </w:r>
          </w:p>
        </w:tc>
        <w:tc>
          <w:tcPr>
            <w:tcW w:w="1069" w:type="dxa"/>
            <w:shd w:val="clear" w:color="auto" w:fill="auto"/>
            <w:noWrap/>
          </w:tcPr>
          <w:p w14:paraId="52701DB6" w14:textId="77777777" w:rsidR="006C269A" w:rsidRPr="00193CB5" w:rsidRDefault="006C269A" w:rsidP="00AB05FB">
            <w:pPr>
              <w:pStyle w:val="Btabletextbolditalic"/>
              <w:jc w:val="right"/>
              <w:rPr>
                <w:i w:val="0"/>
                <w:iCs/>
              </w:rPr>
            </w:pPr>
            <w:r w:rsidRPr="00193CB5">
              <w:rPr>
                <w:i w:val="0"/>
                <w:iCs/>
              </w:rPr>
              <w:t>40,806</w:t>
            </w:r>
          </w:p>
        </w:tc>
      </w:tr>
      <w:tr w:rsidR="006C269A" w:rsidRPr="006D5D15" w14:paraId="01ED11BA" w14:textId="77777777" w:rsidTr="00AB05FB">
        <w:trPr>
          <w:cantSplit/>
          <w:jc w:val="center"/>
        </w:trPr>
        <w:tc>
          <w:tcPr>
            <w:tcW w:w="2869" w:type="dxa"/>
            <w:shd w:val="clear" w:color="auto" w:fill="auto"/>
            <w:noWrap/>
            <w:vAlign w:val="bottom"/>
          </w:tcPr>
          <w:p w14:paraId="13B403CD" w14:textId="77777777" w:rsidR="006C269A" w:rsidRPr="00601709" w:rsidRDefault="006C269A" w:rsidP="00AB05FB">
            <w:pPr>
              <w:pStyle w:val="BStabletextbold"/>
            </w:pPr>
            <w:r w:rsidRPr="006F628F">
              <w:t>Payments</w:t>
            </w:r>
          </w:p>
        </w:tc>
        <w:tc>
          <w:tcPr>
            <w:tcW w:w="1068" w:type="dxa"/>
            <w:shd w:val="clear" w:color="auto" w:fill="auto"/>
          </w:tcPr>
          <w:p w14:paraId="7C029E4B" w14:textId="77777777" w:rsidR="006C269A" w:rsidRDefault="006C269A" w:rsidP="00AB05FB">
            <w:pPr>
              <w:pStyle w:val="Btablefigureunbold"/>
            </w:pPr>
          </w:p>
        </w:tc>
        <w:tc>
          <w:tcPr>
            <w:tcW w:w="1069" w:type="dxa"/>
            <w:shd w:val="clear" w:color="auto" w:fill="auto"/>
            <w:noWrap/>
          </w:tcPr>
          <w:p w14:paraId="0B7FA6C0" w14:textId="77777777" w:rsidR="006C269A" w:rsidRPr="006D5D15" w:rsidRDefault="006C269A" w:rsidP="00AB05FB">
            <w:pPr>
              <w:pStyle w:val="Btablefigureunbold"/>
            </w:pPr>
          </w:p>
        </w:tc>
        <w:tc>
          <w:tcPr>
            <w:tcW w:w="1069" w:type="dxa"/>
            <w:shd w:val="clear" w:color="auto" w:fill="auto"/>
            <w:noWrap/>
          </w:tcPr>
          <w:p w14:paraId="3B2CBED6" w14:textId="77777777" w:rsidR="006C269A" w:rsidRPr="006D5D15" w:rsidRDefault="006C269A" w:rsidP="00AB05FB">
            <w:pPr>
              <w:pStyle w:val="Btablefigureunbold"/>
            </w:pPr>
          </w:p>
        </w:tc>
        <w:tc>
          <w:tcPr>
            <w:tcW w:w="1069" w:type="dxa"/>
            <w:shd w:val="clear" w:color="auto" w:fill="auto"/>
            <w:noWrap/>
          </w:tcPr>
          <w:p w14:paraId="3EA1DC3A" w14:textId="77777777" w:rsidR="006C269A" w:rsidRPr="006D5D15" w:rsidRDefault="006C269A" w:rsidP="00AB05FB">
            <w:pPr>
              <w:pStyle w:val="Btablefigureunbold"/>
            </w:pPr>
          </w:p>
        </w:tc>
        <w:tc>
          <w:tcPr>
            <w:tcW w:w="1069" w:type="dxa"/>
            <w:shd w:val="clear" w:color="auto" w:fill="auto"/>
            <w:noWrap/>
          </w:tcPr>
          <w:p w14:paraId="628A77A8" w14:textId="77777777" w:rsidR="006C269A" w:rsidRPr="006D5D15" w:rsidRDefault="006C269A" w:rsidP="00AB05FB">
            <w:pPr>
              <w:pStyle w:val="Btablefigureunbold"/>
            </w:pPr>
          </w:p>
        </w:tc>
        <w:tc>
          <w:tcPr>
            <w:tcW w:w="1069" w:type="dxa"/>
            <w:shd w:val="clear" w:color="auto" w:fill="auto"/>
            <w:noWrap/>
          </w:tcPr>
          <w:p w14:paraId="751D5905" w14:textId="77777777" w:rsidR="006C269A" w:rsidRPr="006D5D15" w:rsidRDefault="006C269A" w:rsidP="00AB05FB">
            <w:pPr>
              <w:pStyle w:val="Btablefigureunbold"/>
            </w:pPr>
          </w:p>
        </w:tc>
      </w:tr>
      <w:tr w:rsidR="006C269A" w:rsidRPr="006D5D15" w14:paraId="4DBEE1A5" w14:textId="77777777" w:rsidTr="00AB05FB">
        <w:trPr>
          <w:cantSplit/>
          <w:jc w:val="center"/>
        </w:trPr>
        <w:tc>
          <w:tcPr>
            <w:tcW w:w="2869" w:type="dxa"/>
            <w:shd w:val="clear" w:color="auto" w:fill="auto"/>
            <w:noWrap/>
          </w:tcPr>
          <w:p w14:paraId="7ECDB840" w14:textId="77777777" w:rsidR="006C269A" w:rsidRPr="00601709" w:rsidRDefault="006C269A" w:rsidP="00AB05FB">
            <w:pPr>
              <w:pStyle w:val="BStabletextunbold"/>
            </w:pPr>
            <w:r>
              <w:t>Advances paid</w:t>
            </w:r>
          </w:p>
        </w:tc>
        <w:tc>
          <w:tcPr>
            <w:tcW w:w="1068" w:type="dxa"/>
            <w:shd w:val="clear" w:color="auto" w:fill="auto"/>
          </w:tcPr>
          <w:p w14:paraId="35226B7C" w14:textId="77777777" w:rsidR="006C269A" w:rsidRDefault="006C269A" w:rsidP="00AB05FB">
            <w:pPr>
              <w:pStyle w:val="BStabletextunbold"/>
              <w:jc w:val="right"/>
            </w:pPr>
            <w:r w:rsidRPr="00193CB5">
              <w:t>-12,689</w:t>
            </w:r>
          </w:p>
        </w:tc>
        <w:tc>
          <w:tcPr>
            <w:tcW w:w="1069" w:type="dxa"/>
            <w:shd w:val="clear" w:color="auto" w:fill="auto"/>
            <w:noWrap/>
          </w:tcPr>
          <w:p w14:paraId="048244C0" w14:textId="77777777" w:rsidR="006C269A" w:rsidRPr="006D5D15" w:rsidRDefault="006C269A" w:rsidP="00AB05FB">
            <w:pPr>
              <w:pStyle w:val="BStabletextunbold"/>
              <w:jc w:val="right"/>
            </w:pPr>
            <w:r w:rsidRPr="00193CB5">
              <w:t>-11,914</w:t>
            </w:r>
          </w:p>
        </w:tc>
        <w:tc>
          <w:tcPr>
            <w:tcW w:w="1069" w:type="dxa"/>
            <w:shd w:val="clear" w:color="auto" w:fill="auto"/>
            <w:noWrap/>
          </w:tcPr>
          <w:p w14:paraId="14941EEB" w14:textId="77777777" w:rsidR="006C269A" w:rsidRPr="006D5D15" w:rsidRDefault="006C269A" w:rsidP="00AB05FB">
            <w:pPr>
              <w:pStyle w:val="BStabletextunbold"/>
              <w:jc w:val="right"/>
            </w:pPr>
            <w:r w:rsidRPr="00193CB5">
              <w:t>-7,642</w:t>
            </w:r>
          </w:p>
        </w:tc>
        <w:tc>
          <w:tcPr>
            <w:tcW w:w="1069" w:type="dxa"/>
            <w:shd w:val="clear" w:color="auto" w:fill="auto"/>
            <w:noWrap/>
          </w:tcPr>
          <w:p w14:paraId="1172D472" w14:textId="77777777" w:rsidR="006C269A" w:rsidRPr="006D5D15" w:rsidRDefault="006C269A" w:rsidP="00AB05FB">
            <w:pPr>
              <w:pStyle w:val="BStabletextunbold"/>
              <w:jc w:val="right"/>
            </w:pPr>
            <w:r w:rsidRPr="00193CB5">
              <w:t>-7,972</w:t>
            </w:r>
          </w:p>
        </w:tc>
        <w:tc>
          <w:tcPr>
            <w:tcW w:w="1069" w:type="dxa"/>
            <w:shd w:val="clear" w:color="auto" w:fill="auto"/>
            <w:noWrap/>
          </w:tcPr>
          <w:p w14:paraId="7D4CE04B" w14:textId="77777777" w:rsidR="006C269A" w:rsidRPr="006D5D15" w:rsidRDefault="006C269A" w:rsidP="00AB05FB">
            <w:pPr>
              <w:pStyle w:val="BStabletextunbold"/>
              <w:jc w:val="right"/>
            </w:pPr>
            <w:r w:rsidRPr="00193CB5">
              <w:t>-107,646</w:t>
            </w:r>
          </w:p>
        </w:tc>
        <w:tc>
          <w:tcPr>
            <w:tcW w:w="1069" w:type="dxa"/>
            <w:shd w:val="clear" w:color="auto" w:fill="auto"/>
            <w:noWrap/>
          </w:tcPr>
          <w:p w14:paraId="09459702" w14:textId="77777777" w:rsidR="006C269A" w:rsidRPr="006D5D15" w:rsidRDefault="006C269A" w:rsidP="00AB05FB">
            <w:pPr>
              <w:pStyle w:val="BStabletextunbold"/>
              <w:jc w:val="right"/>
            </w:pPr>
            <w:r w:rsidRPr="00193CB5">
              <w:t>-8,835</w:t>
            </w:r>
          </w:p>
        </w:tc>
      </w:tr>
      <w:tr w:rsidR="006C269A" w:rsidRPr="006D5D15" w14:paraId="0C4FB2BF" w14:textId="77777777" w:rsidTr="00AB05FB">
        <w:trPr>
          <w:cantSplit/>
          <w:jc w:val="center"/>
        </w:trPr>
        <w:tc>
          <w:tcPr>
            <w:tcW w:w="2869" w:type="dxa"/>
            <w:shd w:val="clear" w:color="auto" w:fill="auto"/>
            <w:noWrap/>
          </w:tcPr>
          <w:p w14:paraId="2EE36071" w14:textId="77777777" w:rsidR="006C269A" w:rsidRPr="00193CB5" w:rsidRDefault="006C269A" w:rsidP="00AB05FB">
            <w:pPr>
              <w:pStyle w:val="BStabletextunbold"/>
            </w:pPr>
            <w:r w:rsidRPr="005002FD">
              <w:t xml:space="preserve">Dividends </w:t>
            </w:r>
            <w:r>
              <w:t>p</w:t>
            </w:r>
            <w:r w:rsidRPr="005002FD">
              <w:t>aid</w:t>
            </w:r>
          </w:p>
        </w:tc>
        <w:tc>
          <w:tcPr>
            <w:tcW w:w="1068" w:type="dxa"/>
            <w:shd w:val="clear" w:color="auto" w:fill="auto"/>
          </w:tcPr>
          <w:p w14:paraId="63F79F4C" w14:textId="77777777" w:rsidR="006C269A" w:rsidRDefault="006C269A" w:rsidP="00AB05FB">
            <w:pPr>
              <w:pStyle w:val="BStabletextunbold"/>
              <w:jc w:val="right"/>
            </w:pPr>
            <w:r w:rsidRPr="00193CB5">
              <w:t>-506,502</w:t>
            </w:r>
          </w:p>
        </w:tc>
        <w:tc>
          <w:tcPr>
            <w:tcW w:w="1069" w:type="dxa"/>
            <w:shd w:val="clear" w:color="auto" w:fill="auto"/>
            <w:noWrap/>
          </w:tcPr>
          <w:p w14:paraId="2DA7150E" w14:textId="77777777" w:rsidR="006C269A" w:rsidRPr="006D5D15" w:rsidRDefault="006C269A" w:rsidP="00AB05FB">
            <w:pPr>
              <w:pStyle w:val="BStabletextunbold"/>
              <w:jc w:val="right"/>
            </w:pPr>
            <w:r w:rsidRPr="00193CB5">
              <w:t>-428,844</w:t>
            </w:r>
          </w:p>
        </w:tc>
        <w:tc>
          <w:tcPr>
            <w:tcW w:w="1069" w:type="dxa"/>
            <w:shd w:val="clear" w:color="auto" w:fill="auto"/>
            <w:noWrap/>
          </w:tcPr>
          <w:p w14:paraId="7DDF89E2" w14:textId="77777777" w:rsidR="006C269A" w:rsidRPr="006D5D15" w:rsidRDefault="006C269A" w:rsidP="00AB05FB">
            <w:pPr>
              <w:pStyle w:val="BStabletextunbold"/>
              <w:jc w:val="right"/>
            </w:pPr>
            <w:r w:rsidRPr="00193CB5">
              <w:t>-180,633</w:t>
            </w:r>
          </w:p>
        </w:tc>
        <w:tc>
          <w:tcPr>
            <w:tcW w:w="1069" w:type="dxa"/>
            <w:shd w:val="clear" w:color="auto" w:fill="auto"/>
            <w:noWrap/>
          </w:tcPr>
          <w:p w14:paraId="03B98E1A" w14:textId="77777777" w:rsidR="006C269A" w:rsidRPr="006D5D15" w:rsidRDefault="006C269A" w:rsidP="00AB05FB">
            <w:pPr>
              <w:pStyle w:val="BStabletextunbold"/>
              <w:jc w:val="right"/>
            </w:pPr>
            <w:r w:rsidRPr="00193CB5">
              <w:t>-117,731</w:t>
            </w:r>
          </w:p>
        </w:tc>
        <w:tc>
          <w:tcPr>
            <w:tcW w:w="1069" w:type="dxa"/>
            <w:shd w:val="clear" w:color="auto" w:fill="auto"/>
            <w:noWrap/>
          </w:tcPr>
          <w:p w14:paraId="008D3D9C" w14:textId="77777777" w:rsidR="006C269A" w:rsidRPr="006D5D15" w:rsidRDefault="006C269A" w:rsidP="00AB05FB">
            <w:pPr>
              <w:pStyle w:val="BStabletextunbold"/>
              <w:jc w:val="right"/>
            </w:pPr>
            <w:r w:rsidRPr="00193CB5">
              <w:t>-85,199</w:t>
            </w:r>
          </w:p>
        </w:tc>
        <w:tc>
          <w:tcPr>
            <w:tcW w:w="1069" w:type="dxa"/>
            <w:shd w:val="clear" w:color="auto" w:fill="auto"/>
            <w:noWrap/>
          </w:tcPr>
          <w:p w14:paraId="45814C0F" w14:textId="77777777" w:rsidR="006C269A" w:rsidRPr="006D5D15" w:rsidRDefault="006C269A" w:rsidP="00AB05FB">
            <w:pPr>
              <w:pStyle w:val="BStabletextunbold"/>
              <w:jc w:val="right"/>
            </w:pPr>
            <w:r w:rsidRPr="00193CB5">
              <w:t>-176,080</w:t>
            </w:r>
          </w:p>
        </w:tc>
      </w:tr>
      <w:tr w:rsidR="006C269A" w:rsidRPr="00601709" w14:paraId="09E40C13" w14:textId="77777777" w:rsidTr="00AB05FB">
        <w:trPr>
          <w:cantSplit/>
          <w:jc w:val="center"/>
        </w:trPr>
        <w:tc>
          <w:tcPr>
            <w:tcW w:w="2869" w:type="dxa"/>
            <w:shd w:val="clear" w:color="auto" w:fill="auto"/>
            <w:noWrap/>
          </w:tcPr>
          <w:p w14:paraId="6888F96A" w14:textId="77777777" w:rsidR="006C269A" w:rsidRPr="00193CB5" w:rsidRDefault="006C269A" w:rsidP="00AB05FB">
            <w:pPr>
              <w:pStyle w:val="BStabletextunbold"/>
            </w:pPr>
            <w:r>
              <w:t>Repayment of lease liabilities - principal</w:t>
            </w:r>
          </w:p>
        </w:tc>
        <w:tc>
          <w:tcPr>
            <w:tcW w:w="1068" w:type="dxa"/>
            <w:shd w:val="clear" w:color="auto" w:fill="auto"/>
          </w:tcPr>
          <w:p w14:paraId="69D541E7" w14:textId="77777777" w:rsidR="006C269A" w:rsidRPr="00193CB5" w:rsidRDefault="006C269A" w:rsidP="00AB05FB">
            <w:pPr>
              <w:pStyle w:val="BStabletextunbold"/>
              <w:jc w:val="right"/>
            </w:pPr>
            <w:r w:rsidRPr="00193CB5">
              <w:t>-14,304</w:t>
            </w:r>
          </w:p>
        </w:tc>
        <w:tc>
          <w:tcPr>
            <w:tcW w:w="1069" w:type="dxa"/>
            <w:shd w:val="clear" w:color="auto" w:fill="auto"/>
            <w:noWrap/>
          </w:tcPr>
          <w:p w14:paraId="354E386D" w14:textId="77777777" w:rsidR="006C269A" w:rsidRPr="00193CB5" w:rsidRDefault="006C269A" w:rsidP="00AB05FB">
            <w:pPr>
              <w:pStyle w:val="BStabletextunbold"/>
              <w:jc w:val="right"/>
            </w:pPr>
            <w:r w:rsidRPr="00193CB5">
              <w:t>-14,304</w:t>
            </w:r>
          </w:p>
        </w:tc>
        <w:tc>
          <w:tcPr>
            <w:tcW w:w="1069" w:type="dxa"/>
            <w:shd w:val="clear" w:color="auto" w:fill="auto"/>
            <w:noWrap/>
          </w:tcPr>
          <w:p w14:paraId="14D76A98" w14:textId="77777777" w:rsidR="006C269A" w:rsidRPr="00193CB5" w:rsidRDefault="006C269A" w:rsidP="00AB05FB">
            <w:pPr>
              <w:pStyle w:val="BStabletextunbold"/>
              <w:jc w:val="right"/>
            </w:pPr>
            <w:r w:rsidRPr="00193CB5">
              <w:t>-14,916</w:t>
            </w:r>
          </w:p>
        </w:tc>
        <w:tc>
          <w:tcPr>
            <w:tcW w:w="1069" w:type="dxa"/>
            <w:shd w:val="clear" w:color="auto" w:fill="auto"/>
            <w:noWrap/>
          </w:tcPr>
          <w:p w14:paraId="2720F727" w14:textId="77777777" w:rsidR="006C269A" w:rsidRPr="00193CB5" w:rsidRDefault="006C269A" w:rsidP="00AB05FB">
            <w:pPr>
              <w:pStyle w:val="BStabletextunbold"/>
              <w:jc w:val="right"/>
            </w:pPr>
            <w:r w:rsidRPr="00193CB5">
              <w:t>-16,056</w:t>
            </w:r>
          </w:p>
        </w:tc>
        <w:tc>
          <w:tcPr>
            <w:tcW w:w="1069" w:type="dxa"/>
            <w:shd w:val="clear" w:color="auto" w:fill="auto"/>
            <w:noWrap/>
          </w:tcPr>
          <w:p w14:paraId="36B653E8" w14:textId="77777777" w:rsidR="006C269A" w:rsidRPr="00193CB5" w:rsidRDefault="006C269A" w:rsidP="00AB05FB">
            <w:pPr>
              <w:pStyle w:val="BStabletextunbold"/>
              <w:jc w:val="right"/>
            </w:pPr>
            <w:r w:rsidRPr="00193CB5">
              <w:t>-17,704</w:t>
            </w:r>
          </w:p>
        </w:tc>
        <w:tc>
          <w:tcPr>
            <w:tcW w:w="1069" w:type="dxa"/>
            <w:shd w:val="clear" w:color="auto" w:fill="auto"/>
            <w:noWrap/>
          </w:tcPr>
          <w:p w14:paraId="0BBDC2BA" w14:textId="77777777" w:rsidR="006C269A" w:rsidRPr="00193CB5" w:rsidRDefault="006C269A" w:rsidP="00AB05FB">
            <w:pPr>
              <w:pStyle w:val="BStabletextunbold"/>
              <w:jc w:val="right"/>
            </w:pPr>
            <w:r w:rsidRPr="00193CB5">
              <w:t>-17,763</w:t>
            </w:r>
          </w:p>
        </w:tc>
      </w:tr>
      <w:tr w:rsidR="006C269A" w:rsidRPr="006D5D15" w14:paraId="51ED6D99" w14:textId="77777777" w:rsidTr="00AB05FB">
        <w:trPr>
          <w:cantSplit/>
          <w:jc w:val="center"/>
        </w:trPr>
        <w:tc>
          <w:tcPr>
            <w:tcW w:w="2869" w:type="dxa"/>
            <w:shd w:val="clear" w:color="auto" w:fill="auto"/>
            <w:noWrap/>
          </w:tcPr>
          <w:p w14:paraId="0CAFF8B7" w14:textId="77777777" w:rsidR="006C269A" w:rsidRPr="00193CB5" w:rsidRDefault="006C269A" w:rsidP="00AB05FB">
            <w:pPr>
              <w:pStyle w:val="BStabletextunbold"/>
            </w:pPr>
            <w:r w:rsidRPr="005002FD">
              <w:t xml:space="preserve">Other </w:t>
            </w:r>
            <w:r>
              <w:t>f</w:t>
            </w:r>
            <w:r w:rsidRPr="005002FD">
              <w:t>inancing</w:t>
            </w:r>
          </w:p>
        </w:tc>
        <w:tc>
          <w:tcPr>
            <w:tcW w:w="1068" w:type="dxa"/>
            <w:shd w:val="clear" w:color="auto" w:fill="auto"/>
          </w:tcPr>
          <w:p w14:paraId="55E546B7" w14:textId="77777777" w:rsidR="006C269A" w:rsidRDefault="006C269A" w:rsidP="00AB05FB">
            <w:pPr>
              <w:pStyle w:val="BStabletextunbold"/>
              <w:jc w:val="right"/>
            </w:pPr>
            <w:r w:rsidRPr="00193CB5">
              <w:t>-89,772</w:t>
            </w:r>
          </w:p>
        </w:tc>
        <w:tc>
          <w:tcPr>
            <w:tcW w:w="1069" w:type="dxa"/>
            <w:shd w:val="clear" w:color="auto" w:fill="auto"/>
            <w:noWrap/>
          </w:tcPr>
          <w:p w14:paraId="57D6CA33" w14:textId="77777777" w:rsidR="006C269A" w:rsidRPr="006D5D15" w:rsidRDefault="006C269A" w:rsidP="00AB05FB">
            <w:pPr>
              <w:pStyle w:val="BStabletextunbold"/>
              <w:jc w:val="right"/>
            </w:pPr>
            <w:r w:rsidRPr="00193CB5">
              <w:t>-45,825</w:t>
            </w:r>
          </w:p>
        </w:tc>
        <w:tc>
          <w:tcPr>
            <w:tcW w:w="1069" w:type="dxa"/>
            <w:shd w:val="clear" w:color="auto" w:fill="auto"/>
            <w:noWrap/>
          </w:tcPr>
          <w:p w14:paraId="6617D9B2" w14:textId="77777777" w:rsidR="006C269A" w:rsidRPr="006D5D15" w:rsidRDefault="006C269A" w:rsidP="00AB05FB">
            <w:pPr>
              <w:pStyle w:val="BStabletextunbold"/>
              <w:jc w:val="right"/>
            </w:pPr>
            <w:r w:rsidRPr="00193CB5">
              <w:t>-180,511</w:t>
            </w:r>
          </w:p>
        </w:tc>
        <w:tc>
          <w:tcPr>
            <w:tcW w:w="1069" w:type="dxa"/>
            <w:shd w:val="clear" w:color="auto" w:fill="auto"/>
            <w:noWrap/>
          </w:tcPr>
          <w:p w14:paraId="3C077355" w14:textId="77777777" w:rsidR="006C269A" w:rsidRPr="006D5D15" w:rsidRDefault="006C269A" w:rsidP="00AB05FB">
            <w:pPr>
              <w:pStyle w:val="BStabletextunbold"/>
              <w:jc w:val="right"/>
            </w:pPr>
            <w:r w:rsidRPr="00193CB5">
              <w:t>-81,416</w:t>
            </w:r>
          </w:p>
        </w:tc>
        <w:tc>
          <w:tcPr>
            <w:tcW w:w="1069" w:type="dxa"/>
            <w:shd w:val="clear" w:color="auto" w:fill="auto"/>
            <w:noWrap/>
          </w:tcPr>
          <w:p w14:paraId="04E04C6A" w14:textId="77777777" w:rsidR="006C269A" w:rsidRPr="006D5D15" w:rsidRDefault="006C269A" w:rsidP="00AB05FB">
            <w:pPr>
              <w:pStyle w:val="BStabletextunbold"/>
              <w:jc w:val="right"/>
            </w:pPr>
            <w:r w:rsidRPr="00193CB5">
              <w:t>-83,729</w:t>
            </w:r>
          </w:p>
        </w:tc>
        <w:tc>
          <w:tcPr>
            <w:tcW w:w="1069" w:type="dxa"/>
            <w:shd w:val="clear" w:color="auto" w:fill="auto"/>
            <w:noWrap/>
          </w:tcPr>
          <w:p w14:paraId="2BE02B64" w14:textId="77777777" w:rsidR="006C269A" w:rsidRPr="006D5D15" w:rsidRDefault="006C269A" w:rsidP="00AB05FB">
            <w:pPr>
              <w:pStyle w:val="BStabletextunbold"/>
              <w:jc w:val="right"/>
            </w:pPr>
            <w:r w:rsidRPr="00193CB5">
              <w:t>-74,401</w:t>
            </w:r>
          </w:p>
        </w:tc>
      </w:tr>
      <w:tr w:rsidR="006C269A" w:rsidRPr="00193CB5" w14:paraId="238A12E3" w14:textId="77777777" w:rsidTr="00AB05FB">
        <w:trPr>
          <w:cantSplit/>
          <w:jc w:val="center"/>
        </w:trPr>
        <w:tc>
          <w:tcPr>
            <w:tcW w:w="2869" w:type="dxa"/>
            <w:shd w:val="clear" w:color="auto" w:fill="auto"/>
            <w:noWrap/>
          </w:tcPr>
          <w:p w14:paraId="1C92715B" w14:textId="77777777" w:rsidR="006C269A" w:rsidRPr="00193CB5" w:rsidRDefault="006C269A" w:rsidP="00AB05FB">
            <w:pPr>
              <w:pStyle w:val="Btabletextbolditalic"/>
              <w:rPr>
                <w:i w:val="0"/>
                <w:iCs/>
              </w:rPr>
            </w:pPr>
            <w:r w:rsidRPr="00193CB5">
              <w:rPr>
                <w:i w:val="0"/>
                <w:iCs/>
              </w:rPr>
              <w:t>Total payments from financing activities</w:t>
            </w:r>
          </w:p>
        </w:tc>
        <w:tc>
          <w:tcPr>
            <w:tcW w:w="1068" w:type="dxa"/>
            <w:shd w:val="clear" w:color="auto" w:fill="auto"/>
          </w:tcPr>
          <w:p w14:paraId="391383AE" w14:textId="77777777" w:rsidR="006C269A" w:rsidRPr="00193CB5" w:rsidRDefault="006C269A" w:rsidP="00AB05FB">
            <w:pPr>
              <w:pStyle w:val="Btabletextbolditalic"/>
              <w:jc w:val="right"/>
              <w:rPr>
                <w:i w:val="0"/>
                <w:iCs/>
              </w:rPr>
            </w:pPr>
            <w:r w:rsidRPr="00193CB5">
              <w:rPr>
                <w:i w:val="0"/>
                <w:iCs/>
              </w:rPr>
              <w:t>-623,267</w:t>
            </w:r>
          </w:p>
        </w:tc>
        <w:tc>
          <w:tcPr>
            <w:tcW w:w="1069" w:type="dxa"/>
            <w:shd w:val="clear" w:color="auto" w:fill="auto"/>
            <w:noWrap/>
          </w:tcPr>
          <w:p w14:paraId="3CAF78F6" w14:textId="77777777" w:rsidR="006C269A" w:rsidRPr="00193CB5" w:rsidRDefault="006C269A" w:rsidP="00AB05FB">
            <w:pPr>
              <w:pStyle w:val="Btabletextbolditalic"/>
              <w:jc w:val="right"/>
              <w:rPr>
                <w:i w:val="0"/>
                <w:iCs/>
              </w:rPr>
            </w:pPr>
            <w:r w:rsidRPr="00193CB5">
              <w:rPr>
                <w:i w:val="0"/>
                <w:iCs/>
              </w:rPr>
              <w:t>-500,888</w:t>
            </w:r>
          </w:p>
        </w:tc>
        <w:tc>
          <w:tcPr>
            <w:tcW w:w="1069" w:type="dxa"/>
            <w:shd w:val="clear" w:color="auto" w:fill="auto"/>
            <w:noWrap/>
          </w:tcPr>
          <w:p w14:paraId="32C04B89" w14:textId="77777777" w:rsidR="006C269A" w:rsidRPr="00193CB5" w:rsidRDefault="006C269A" w:rsidP="00AB05FB">
            <w:pPr>
              <w:pStyle w:val="Btabletextbolditalic"/>
              <w:jc w:val="right"/>
              <w:rPr>
                <w:i w:val="0"/>
                <w:iCs/>
              </w:rPr>
            </w:pPr>
            <w:r w:rsidRPr="00193CB5">
              <w:rPr>
                <w:i w:val="0"/>
                <w:iCs/>
              </w:rPr>
              <w:t>-383,702</w:t>
            </w:r>
          </w:p>
        </w:tc>
        <w:tc>
          <w:tcPr>
            <w:tcW w:w="1069" w:type="dxa"/>
            <w:shd w:val="clear" w:color="auto" w:fill="auto"/>
            <w:noWrap/>
          </w:tcPr>
          <w:p w14:paraId="161E9C44" w14:textId="77777777" w:rsidR="006C269A" w:rsidRPr="00193CB5" w:rsidRDefault="006C269A" w:rsidP="00AB05FB">
            <w:pPr>
              <w:pStyle w:val="Btabletextbolditalic"/>
              <w:jc w:val="right"/>
              <w:rPr>
                <w:i w:val="0"/>
                <w:iCs/>
              </w:rPr>
            </w:pPr>
            <w:r w:rsidRPr="00193CB5">
              <w:rPr>
                <w:i w:val="0"/>
                <w:iCs/>
              </w:rPr>
              <w:t>-223,175</w:t>
            </w:r>
          </w:p>
        </w:tc>
        <w:tc>
          <w:tcPr>
            <w:tcW w:w="1069" w:type="dxa"/>
            <w:shd w:val="clear" w:color="auto" w:fill="auto"/>
            <w:noWrap/>
          </w:tcPr>
          <w:p w14:paraId="2F5D99D9" w14:textId="77777777" w:rsidR="006C269A" w:rsidRPr="00193CB5" w:rsidRDefault="006C269A" w:rsidP="00AB05FB">
            <w:pPr>
              <w:pStyle w:val="Btabletextbolditalic"/>
              <w:jc w:val="right"/>
              <w:rPr>
                <w:i w:val="0"/>
                <w:iCs/>
              </w:rPr>
            </w:pPr>
            <w:r w:rsidRPr="00193CB5">
              <w:rPr>
                <w:i w:val="0"/>
                <w:iCs/>
              </w:rPr>
              <w:t>-294,278</w:t>
            </w:r>
          </w:p>
        </w:tc>
        <w:tc>
          <w:tcPr>
            <w:tcW w:w="1069" w:type="dxa"/>
            <w:shd w:val="clear" w:color="auto" w:fill="auto"/>
            <w:noWrap/>
          </w:tcPr>
          <w:p w14:paraId="34E3D5B3" w14:textId="77777777" w:rsidR="006C269A" w:rsidRPr="00193CB5" w:rsidRDefault="006C269A" w:rsidP="00AB05FB">
            <w:pPr>
              <w:pStyle w:val="Btabletextbolditalic"/>
              <w:jc w:val="right"/>
              <w:rPr>
                <w:i w:val="0"/>
                <w:iCs/>
              </w:rPr>
            </w:pPr>
            <w:r w:rsidRPr="00193CB5">
              <w:rPr>
                <w:i w:val="0"/>
                <w:iCs/>
              </w:rPr>
              <w:t>-277,079</w:t>
            </w:r>
          </w:p>
        </w:tc>
      </w:tr>
      <w:tr w:rsidR="006C269A" w:rsidRPr="00C0440A" w14:paraId="4AF137C7" w14:textId="77777777" w:rsidTr="00AB05FB">
        <w:trPr>
          <w:cantSplit/>
          <w:jc w:val="center"/>
        </w:trPr>
        <w:tc>
          <w:tcPr>
            <w:tcW w:w="2869" w:type="dxa"/>
            <w:tcBorders>
              <w:bottom w:val="single" w:sz="4" w:space="0" w:color="auto"/>
            </w:tcBorders>
            <w:shd w:val="clear" w:color="auto" w:fill="auto"/>
            <w:noWrap/>
          </w:tcPr>
          <w:p w14:paraId="030366A9" w14:textId="77777777" w:rsidR="006C269A" w:rsidRPr="00C0440A" w:rsidRDefault="006C269A" w:rsidP="00AB05FB">
            <w:pPr>
              <w:pStyle w:val="BStabletextbold"/>
              <w:rPr>
                <w:color w:val="472D8C"/>
              </w:rPr>
            </w:pPr>
            <w:r w:rsidRPr="00C0440A">
              <w:rPr>
                <w:color w:val="472D8C"/>
              </w:rPr>
              <w:t>Net cash flows from financing activities</w:t>
            </w:r>
          </w:p>
        </w:tc>
        <w:tc>
          <w:tcPr>
            <w:tcW w:w="1068" w:type="dxa"/>
            <w:tcBorders>
              <w:bottom w:val="single" w:sz="4" w:space="0" w:color="auto"/>
            </w:tcBorders>
            <w:shd w:val="clear" w:color="auto" w:fill="auto"/>
          </w:tcPr>
          <w:p w14:paraId="34860CDB" w14:textId="77777777" w:rsidR="006C269A" w:rsidRPr="00C0440A" w:rsidRDefault="006C269A" w:rsidP="00AB05FB">
            <w:pPr>
              <w:pStyle w:val="BStabletextbold"/>
              <w:jc w:val="right"/>
              <w:rPr>
                <w:color w:val="472D8C"/>
              </w:rPr>
            </w:pPr>
            <w:r w:rsidRPr="00C0440A">
              <w:rPr>
                <w:color w:val="472D8C"/>
              </w:rPr>
              <w:t>-572,967</w:t>
            </w:r>
          </w:p>
        </w:tc>
        <w:tc>
          <w:tcPr>
            <w:tcW w:w="1069" w:type="dxa"/>
            <w:tcBorders>
              <w:bottom w:val="single" w:sz="4" w:space="0" w:color="auto"/>
            </w:tcBorders>
            <w:shd w:val="clear" w:color="auto" w:fill="auto"/>
            <w:noWrap/>
          </w:tcPr>
          <w:p w14:paraId="15A7EE87" w14:textId="77777777" w:rsidR="006C269A" w:rsidRPr="00C0440A" w:rsidRDefault="006C269A" w:rsidP="00AB05FB">
            <w:pPr>
              <w:pStyle w:val="BStabletextbold"/>
              <w:jc w:val="right"/>
              <w:rPr>
                <w:color w:val="472D8C"/>
              </w:rPr>
            </w:pPr>
            <w:r w:rsidRPr="00C0440A">
              <w:rPr>
                <w:color w:val="472D8C"/>
              </w:rPr>
              <w:t>-450,321</w:t>
            </w:r>
          </w:p>
        </w:tc>
        <w:tc>
          <w:tcPr>
            <w:tcW w:w="1069" w:type="dxa"/>
            <w:tcBorders>
              <w:bottom w:val="single" w:sz="4" w:space="0" w:color="auto"/>
            </w:tcBorders>
            <w:shd w:val="clear" w:color="auto" w:fill="auto"/>
            <w:noWrap/>
          </w:tcPr>
          <w:p w14:paraId="667667AA" w14:textId="77777777" w:rsidR="006C269A" w:rsidRPr="00C0440A" w:rsidRDefault="006C269A" w:rsidP="00AB05FB">
            <w:pPr>
              <w:pStyle w:val="BStabletextbold"/>
              <w:jc w:val="right"/>
              <w:rPr>
                <w:color w:val="472D8C"/>
              </w:rPr>
            </w:pPr>
            <w:r w:rsidRPr="00C0440A">
              <w:rPr>
                <w:color w:val="472D8C"/>
              </w:rPr>
              <w:t>-342,939</w:t>
            </w:r>
          </w:p>
        </w:tc>
        <w:tc>
          <w:tcPr>
            <w:tcW w:w="1069" w:type="dxa"/>
            <w:tcBorders>
              <w:bottom w:val="single" w:sz="4" w:space="0" w:color="auto"/>
            </w:tcBorders>
            <w:shd w:val="clear" w:color="auto" w:fill="auto"/>
            <w:noWrap/>
          </w:tcPr>
          <w:p w14:paraId="6773CE8E" w14:textId="77777777" w:rsidR="006C269A" w:rsidRPr="00C0440A" w:rsidRDefault="006C269A" w:rsidP="00AB05FB">
            <w:pPr>
              <w:pStyle w:val="BStabletextbold"/>
              <w:jc w:val="right"/>
              <w:rPr>
                <w:color w:val="472D8C"/>
              </w:rPr>
            </w:pPr>
            <w:r w:rsidRPr="00C0440A">
              <w:rPr>
                <w:color w:val="472D8C"/>
              </w:rPr>
              <w:t>-217,399</w:t>
            </w:r>
          </w:p>
        </w:tc>
        <w:tc>
          <w:tcPr>
            <w:tcW w:w="1069" w:type="dxa"/>
            <w:tcBorders>
              <w:bottom w:val="single" w:sz="4" w:space="0" w:color="auto"/>
            </w:tcBorders>
            <w:shd w:val="clear" w:color="auto" w:fill="auto"/>
            <w:noWrap/>
          </w:tcPr>
          <w:p w14:paraId="60C809B5" w14:textId="77777777" w:rsidR="006C269A" w:rsidRPr="00C0440A" w:rsidRDefault="006C269A" w:rsidP="00AB05FB">
            <w:pPr>
              <w:pStyle w:val="BStabletextbold"/>
              <w:jc w:val="right"/>
              <w:rPr>
                <w:color w:val="472D8C"/>
              </w:rPr>
            </w:pPr>
            <w:r w:rsidRPr="00C0440A">
              <w:rPr>
                <w:color w:val="472D8C"/>
              </w:rPr>
              <w:t>-148,488</w:t>
            </w:r>
          </w:p>
        </w:tc>
        <w:tc>
          <w:tcPr>
            <w:tcW w:w="1069" w:type="dxa"/>
            <w:tcBorders>
              <w:bottom w:val="single" w:sz="4" w:space="0" w:color="auto"/>
            </w:tcBorders>
            <w:shd w:val="clear" w:color="auto" w:fill="auto"/>
            <w:noWrap/>
          </w:tcPr>
          <w:p w14:paraId="752942B6" w14:textId="77777777" w:rsidR="006C269A" w:rsidRPr="00C0440A" w:rsidRDefault="006C269A" w:rsidP="00AB05FB">
            <w:pPr>
              <w:pStyle w:val="BStabletextbold"/>
              <w:jc w:val="right"/>
              <w:rPr>
                <w:color w:val="472D8C"/>
              </w:rPr>
            </w:pPr>
            <w:r w:rsidRPr="00C0440A">
              <w:rPr>
                <w:color w:val="472D8C"/>
              </w:rPr>
              <w:t>-236,273</w:t>
            </w:r>
          </w:p>
        </w:tc>
      </w:tr>
      <w:tr w:rsidR="006C269A" w:rsidRPr="00C0440A" w14:paraId="679D4450" w14:textId="77777777" w:rsidTr="00AB05FB">
        <w:trPr>
          <w:cantSplit/>
          <w:jc w:val="center"/>
        </w:trPr>
        <w:tc>
          <w:tcPr>
            <w:tcW w:w="2869" w:type="dxa"/>
            <w:tcBorders>
              <w:top w:val="single" w:sz="4" w:space="0" w:color="auto"/>
              <w:bottom w:val="single" w:sz="4" w:space="0" w:color="auto"/>
            </w:tcBorders>
            <w:shd w:val="clear" w:color="auto" w:fill="auto"/>
            <w:noWrap/>
          </w:tcPr>
          <w:p w14:paraId="22F5AA48" w14:textId="77777777" w:rsidR="006C269A" w:rsidRPr="00C0440A" w:rsidRDefault="006C269A" w:rsidP="00AB05FB">
            <w:pPr>
              <w:pStyle w:val="BStabletextbold"/>
              <w:rPr>
                <w:color w:val="472D8C"/>
              </w:rPr>
            </w:pPr>
            <w:r w:rsidRPr="00C0440A">
              <w:rPr>
                <w:color w:val="472D8C"/>
              </w:rPr>
              <w:t>Net increase/(decrease) in cash and cash equivalents</w:t>
            </w:r>
          </w:p>
        </w:tc>
        <w:tc>
          <w:tcPr>
            <w:tcW w:w="1068" w:type="dxa"/>
            <w:tcBorders>
              <w:top w:val="single" w:sz="4" w:space="0" w:color="auto"/>
              <w:bottom w:val="single" w:sz="4" w:space="0" w:color="auto"/>
            </w:tcBorders>
            <w:shd w:val="clear" w:color="auto" w:fill="auto"/>
          </w:tcPr>
          <w:p w14:paraId="45924F97" w14:textId="77777777" w:rsidR="006C269A" w:rsidRPr="00C0440A" w:rsidRDefault="006C269A" w:rsidP="00AB05FB">
            <w:pPr>
              <w:pStyle w:val="BStabletextbold"/>
              <w:jc w:val="right"/>
              <w:rPr>
                <w:color w:val="472D8C"/>
              </w:rPr>
            </w:pPr>
            <w:r w:rsidRPr="00C0440A">
              <w:rPr>
                <w:color w:val="472D8C"/>
              </w:rPr>
              <w:t>-42,124</w:t>
            </w:r>
          </w:p>
        </w:tc>
        <w:tc>
          <w:tcPr>
            <w:tcW w:w="1069" w:type="dxa"/>
            <w:tcBorders>
              <w:top w:val="single" w:sz="4" w:space="0" w:color="auto"/>
              <w:bottom w:val="single" w:sz="4" w:space="0" w:color="auto"/>
            </w:tcBorders>
            <w:shd w:val="clear" w:color="auto" w:fill="auto"/>
            <w:noWrap/>
          </w:tcPr>
          <w:p w14:paraId="19043FFB" w14:textId="77777777" w:rsidR="006C269A" w:rsidRPr="00C0440A" w:rsidRDefault="006C269A" w:rsidP="00AB05FB">
            <w:pPr>
              <w:pStyle w:val="BStabletextbold"/>
              <w:jc w:val="right"/>
              <w:rPr>
                <w:color w:val="472D8C"/>
              </w:rPr>
            </w:pPr>
            <w:r w:rsidRPr="00C0440A">
              <w:rPr>
                <w:color w:val="472D8C"/>
              </w:rPr>
              <w:t>180,442</w:t>
            </w:r>
          </w:p>
        </w:tc>
        <w:tc>
          <w:tcPr>
            <w:tcW w:w="1069" w:type="dxa"/>
            <w:tcBorders>
              <w:top w:val="single" w:sz="4" w:space="0" w:color="auto"/>
              <w:bottom w:val="single" w:sz="4" w:space="0" w:color="auto"/>
            </w:tcBorders>
            <w:shd w:val="clear" w:color="auto" w:fill="auto"/>
            <w:noWrap/>
          </w:tcPr>
          <w:p w14:paraId="531737C8" w14:textId="77777777" w:rsidR="006C269A" w:rsidRPr="00C0440A" w:rsidRDefault="006C269A" w:rsidP="00AB05FB">
            <w:pPr>
              <w:pStyle w:val="BStabletextbold"/>
              <w:jc w:val="right"/>
              <w:rPr>
                <w:color w:val="472D8C"/>
              </w:rPr>
            </w:pPr>
            <w:r w:rsidRPr="00C0440A">
              <w:rPr>
                <w:color w:val="472D8C"/>
              </w:rPr>
              <w:t>-182,900</w:t>
            </w:r>
          </w:p>
          <w:p w14:paraId="3CC3C4F4"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3D67A18D" w14:textId="77777777" w:rsidR="006C269A" w:rsidRPr="00C0440A" w:rsidRDefault="006C269A" w:rsidP="00AB05FB">
            <w:pPr>
              <w:pStyle w:val="BStabletextbold"/>
              <w:jc w:val="right"/>
              <w:rPr>
                <w:color w:val="472D8C"/>
              </w:rPr>
            </w:pPr>
            <w:r w:rsidRPr="00C0440A">
              <w:rPr>
                <w:color w:val="472D8C"/>
              </w:rPr>
              <w:t>8,254</w:t>
            </w:r>
          </w:p>
        </w:tc>
        <w:tc>
          <w:tcPr>
            <w:tcW w:w="1069" w:type="dxa"/>
            <w:tcBorders>
              <w:top w:val="single" w:sz="4" w:space="0" w:color="auto"/>
              <w:bottom w:val="single" w:sz="4" w:space="0" w:color="auto"/>
            </w:tcBorders>
            <w:shd w:val="clear" w:color="auto" w:fill="auto"/>
            <w:noWrap/>
          </w:tcPr>
          <w:p w14:paraId="4BAD810D" w14:textId="77777777" w:rsidR="006C269A" w:rsidRPr="00C0440A" w:rsidRDefault="006C269A" w:rsidP="00AB05FB">
            <w:pPr>
              <w:pStyle w:val="BStabletextbold"/>
              <w:jc w:val="right"/>
              <w:rPr>
                <w:color w:val="472D8C"/>
              </w:rPr>
            </w:pPr>
            <w:r w:rsidRPr="00C0440A">
              <w:rPr>
                <w:color w:val="472D8C"/>
              </w:rPr>
              <w:t>37,535</w:t>
            </w:r>
          </w:p>
        </w:tc>
        <w:tc>
          <w:tcPr>
            <w:tcW w:w="1069" w:type="dxa"/>
            <w:tcBorders>
              <w:top w:val="single" w:sz="4" w:space="0" w:color="auto"/>
              <w:bottom w:val="single" w:sz="4" w:space="0" w:color="auto"/>
            </w:tcBorders>
            <w:shd w:val="clear" w:color="auto" w:fill="auto"/>
            <w:noWrap/>
          </w:tcPr>
          <w:p w14:paraId="5A3CBFF7" w14:textId="77777777" w:rsidR="006C269A" w:rsidRPr="00C0440A" w:rsidRDefault="006C269A" w:rsidP="00AB05FB">
            <w:pPr>
              <w:pStyle w:val="BStabletextbold"/>
              <w:jc w:val="right"/>
              <w:rPr>
                <w:color w:val="472D8C"/>
              </w:rPr>
            </w:pPr>
            <w:r w:rsidRPr="00C0440A">
              <w:rPr>
                <w:color w:val="472D8C"/>
              </w:rPr>
              <w:t>-68,081</w:t>
            </w:r>
          </w:p>
        </w:tc>
      </w:tr>
      <w:tr w:rsidR="006C269A" w:rsidRPr="00C0440A" w14:paraId="2C9EC26A" w14:textId="77777777" w:rsidTr="00AB05FB">
        <w:trPr>
          <w:cantSplit/>
          <w:jc w:val="center"/>
        </w:trPr>
        <w:tc>
          <w:tcPr>
            <w:tcW w:w="2869" w:type="dxa"/>
            <w:tcBorders>
              <w:top w:val="single" w:sz="4" w:space="0" w:color="auto"/>
              <w:bottom w:val="single" w:sz="4" w:space="0" w:color="auto"/>
            </w:tcBorders>
            <w:shd w:val="clear" w:color="auto" w:fill="auto"/>
            <w:noWrap/>
          </w:tcPr>
          <w:p w14:paraId="1752AC3F" w14:textId="77777777" w:rsidR="006C269A" w:rsidRPr="00C0440A" w:rsidRDefault="006C269A" w:rsidP="00AB05FB">
            <w:pPr>
              <w:pStyle w:val="BStabletextbold"/>
              <w:rPr>
                <w:color w:val="472D8C"/>
              </w:rPr>
            </w:pPr>
          </w:p>
        </w:tc>
        <w:tc>
          <w:tcPr>
            <w:tcW w:w="1068" w:type="dxa"/>
            <w:tcBorders>
              <w:top w:val="single" w:sz="4" w:space="0" w:color="auto"/>
              <w:bottom w:val="single" w:sz="4" w:space="0" w:color="auto"/>
            </w:tcBorders>
            <w:shd w:val="clear" w:color="auto" w:fill="auto"/>
          </w:tcPr>
          <w:p w14:paraId="59A6B80A"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6BEF3896"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535AD458"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5E910590"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7C8F5E18" w14:textId="77777777" w:rsidR="006C269A" w:rsidRPr="00C0440A" w:rsidRDefault="006C269A" w:rsidP="00AB05FB">
            <w:pPr>
              <w:pStyle w:val="BStabletextbold"/>
              <w:jc w:val="right"/>
              <w:rPr>
                <w:color w:val="472D8C"/>
              </w:rPr>
            </w:pPr>
          </w:p>
        </w:tc>
        <w:tc>
          <w:tcPr>
            <w:tcW w:w="1069" w:type="dxa"/>
            <w:tcBorders>
              <w:top w:val="single" w:sz="4" w:space="0" w:color="auto"/>
              <w:bottom w:val="single" w:sz="4" w:space="0" w:color="auto"/>
            </w:tcBorders>
            <w:shd w:val="clear" w:color="auto" w:fill="auto"/>
            <w:noWrap/>
          </w:tcPr>
          <w:p w14:paraId="2319B76E" w14:textId="77777777" w:rsidR="006C269A" w:rsidRPr="00C0440A" w:rsidRDefault="006C269A" w:rsidP="00AB05FB">
            <w:pPr>
              <w:pStyle w:val="BStabletextbold"/>
              <w:jc w:val="right"/>
              <w:rPr>
                <w:color w:val="472D8C"/>
              </w:rPr>
            </w:pPr>
          </w:p>
        </w:tc>
      </w:tr>
      <w:tr w:rsidR="006C269A" w:rsidRPr="00C0440A" w14:paraId="22B4940A" w14:textId="77777777" w:rsidTr="00AB05FB">
        <w:trPr>
          <w:cantSplit/>
          <w:jc w:val="center"/>
        </w:trPr>
        <w:tc>
          <w:tcPr>
            <w:tcW w:w="2869" w:type="dxa"/>
            <w:tcBorders>
              <w:top w:val="single" w:sz="4" w:space="0" w:color="auto"/>
            </w:tcBorders>
            <w:shd w:val="clear" w:color="auto" w:fill="auto"/>
            <w:noWrap/>
            <w:vAlign w:val="bottom"/>
          </w:tcPr>
          <w:p w14:paraId="619532F9" w14:textId="77777777" w:rsidR="006C269A" w:rsidRPr="00C0440A" w:rsidRDefault="006C269A" w:rsidP="00AB05FB">
            <w:pPr>
              <w:pStyle w:val="BStabletextbold"/>
              <w:rPr>
                <w:color w:val="472D8C"/>
              </w:rPr>
            </w:pPr>
            <w:r w:rsidRPr="00C0440A">
              <w:rPr>
                <w:color w:val="472D8C"/>
              </w:rPr>
              <w:t>Cash and cash equivalents at the beginning of reporting period</w:t>
            </w:r>
          </w:p>
        </w:tc>
        <w:tc>
          <w:tcPr>
            <w:tcW w:w="1068" w:type="dxa"/>
            <w:tcBorders>
              <w:top w:val="single" w:sz="4" w:space="0" w:color="auto"/>
            </w:tcBorders>
            <w:shd w:val="clear" w:color="auto" w:fill="auto"/>
          </w:tcPr>
          <w:p w14:paraId="33D16BD3" w14:textId="77777777" w:rsidR="006C269A" w:rsidRPr="00C0440A" w:rsidRDefault="006C269A" w:rsidP="00AB05FB">
            <w:pPr>
              <w:pStyle w:val="BStabletextbold"/>
              <w:jc w:val="right"/>
              <w:rPr>
                <w:color w:val="472D8C"/>
              </w:rPr>
            </w:pPr>
            <w:r w:rsidRPr="00C0440A">
              <w:rPr>
                <w:color w:val="472D8C"/>
              </w:rPr>
              <w:t>184,704</w:t>
            </w:r>
          </w:p>
        </w:tc>
        <w:tc>
          <w:tcPr>
            <w:tcW w:w="1069" w:type="dxa"/>
            <w:tcBorders>
              <w:top w:val="single" w:sz="4" w:space="0" w:color="auto"/>
            </w:tcBorders>
            <w:shd w:val="clear" w:color="auto" w:fill="auto"/>
            <w:noWrap/>
          </w:tcPr>
          <w:p w14:paraId="042250AD" w14:textId="77777777" w:rsidR="006C269A" w:rsidRPr="00C0440A" w:rsidRDefault="006C269A" w:rsidP="00AB05FB">
            <w:pPr>
              <w:pStyle w:val="BStabletextbold"/>
              <w:jc w:val="right"/>
              <w:rPr>
                <w:color w:val="472D8C"/>
              </w:rPr>
            </w:pPr>
            <w:r w:rsidRPr="00C0440A">
              <w:rPr>
                <w:color w:val="472D8C"/>
              </w:rPr>
              <w:t>184,704</w:t>
            </w:r>
          </w:p>
        </w:tc>
        <w:tc>
          <w:tcPr>
            <w:tcW w:w="1069" w:type="dxa"/>
            <w:tcBorders>
              <w:top w:val="single" w:sz="4" w:space="0" w:color="auto"/>
            </w:tcBorders>
            <w:shd w:val="clear" w:color="auto" w:fill="auto"/>
            <w:noWrap/>
          </w:tcPr>
          <w:p w14:paraId="337DBA37" w14:textId="77777777" w:rsidR="006C269A" w:rsidRPr="00C0440A" w:rsidRDefault="006C269A" w:rsidP="00AB05FB">
            <w:pPr>
              <w:pStyle w:val="BStabletextbold"/>
              <w:jc w:val="right"/>
              <w:rPr>
                <w:color w:val="472D8C"/>
              </w:rPr>
            </w:pPr>
            <w:r w:rsidRPr="00C0440A">
              <w:rPr>
                <w:color w:val="472D8C"/>
              </w:rPr>
              <w:t>365,146</w:t>
            </w:r>
          </w:p>
        </w:tc>
        <w:tc>
          <w:tcPr>
            <w:tcW w:w="1069" w:type="dxa"/>
            <w:tcBorders>
              <w:top w:val="single" w:sz="4" w:space="0" w:color="auto"/>
            </w:tcBorders>
            <w:shd w:val="clear" w:color="auto" w:fill="auto"/>
            <w:noWrap/>
          </w:tcPr>
          <w:p w14:paraId="795DA0C0" w14:textId="77777777" w:rsidR="006C269A" w:rsidRPr="00C0440A" w:rsidRDefault="006C269A" w:rsidP="00AB05FB">
            <w:pPr>
              <w:pStyle w:val="BStabletextbold"/>
              <w:jc w:val="right"/>
              <w:rPr>
                <w:color w:val="472D8C"/>
              </w:rPr>
            </w:pPr>
            <w:r w:rsidRPr="00C0440A">
              <w:rPr>
                <w:color w:val="472D8C"/>
              </w:rPr>
              <w:t>182,248</w:t>
            </w:r>
          </w:p>
        </w:tc>
        <w:tc>
          <w:tcPr>
            <w:tcW w:w="1069" w:type="dxa"/>
            <w:tcBorders>
              <w:top w:val="single" w:sz="4" w:space="0" w:color="auto"/>
            </w:tcBorders>
            <w:shd w:val="clear" w:color="auto" w:fill="auto"/>
            <w:noWrap/>
          </w:tcPr>
          <w:p w14:paraId="17ECDE9D" w14:textId="77777777" w:rsidR="006C269A" w:rsidRPr="00C0440A" w:rsidRDefault="006C269A" w:rsidP="00AB05FB">
            <w:pPr>
              <w:pStyle w:val="BStabletextbold"/>
              <w:jc w:val="right"/>
              <w:rPr>
                <w:color w:val="472D8C"/>
              </w:rPr>
            </w:pPr>
            <w:r w:rsidRPr="00C0440A">
              <w:rPr>
                <w:color w:val="472D8C"/>
              </w:rPr>
              <w:t>190,502</w:t>
            </w:r>
          </w:p>
        </w:tc>
        <w:tc>
          <w:tcPr>
            <w:tcW w:w="1069" w:type="dxa"/>
            <w:tcBorders>
              <w:top w:val="single" w:sz="4" w:space="0" w:color="auto"/>
            </w:tcBorders>
            <w:shd w:val="clear" w:color="auto" w:fill="auto"/>
            <w:noWrap/>
          </w:tcPr>
          <w:p w14:paraId="7524E00F" w14:textId="77777777" w:rsidR="006C269A" w:rsidRPr="00C0440A" w:rsidRDefault="006C269A" w:rsidP="00AB05FB">
            <w:pPr>
              <w:pStyle w:val="BStabletextbold"/>
              <w:jc w:val="right"/>
              <w:rPr>
                <w:color w:val="472D8C"/>
              </w:rPr>
            </w:pPr>
            <w:r w:rsidRPr="00C0440A">
              <w:rPr>
                <w:color w:val="472D8C"/>
              </w:rPr>
              <w:t>228,038</w:t>
            </w:r>
          </w:p>
        </w:tc>
      </w:tr>
      <w:tr w:rsidR="006C269A" w:rsidRPr="00C0440A" w14:paraId="2227F1CA" w14:textId="77777777" w:rsidTr="00AB05FB">
        <w:trPr>
          <w:cantSplit/>
          <w:jc w:val="center"/>
        </w:trPr>
        <w:tc>
          <w:tcPr>
            <w:tcW w:w="2869" w:type="dxa"/>
            <w:tcBorders>
              <w:bottom w:val="single" w:sz="4" w:space="0" w:color="auto"/>
            </w:tcBorders>
            <w:shd w:val="clear" w:color="auto" w:fill="auto"/>
            <w:noWrap/>
          </w:tcPr>
          <w:p w14:paraId="04A00F64" w14:textId="77777777" w:rsidR="006C269A" w:rsidRPr="00C0440A" w:rsidRDefault="006C269A" w:rsidP="00AB05FB">
            <w:pPr>
              <w:pStyle w:val="BStabletextbold"/>
              <w:rPr>
                <w:color w:val="472D8C"/>
              </w:rPr>
            </w:pPr>
            <w:r w:rsidRPr="00C0440A">
              <w:rPr>
                <w:color w:val="472D8C"/>
              </w:rPr>
              <w:t>Cash and cash equivalents at the end of reporting period</w:t>
            </w:r>
          </w:p>
        </w:tc>
        <w:tc>
          <w:tcPr>
            <w:tcW w:w="1068" w:type="dxa"/>
            <w:tcBorders>
              <w:bottom w:val="single" w:sz="4" w:space="0" w:color="auto"/>
            </w:tcBorders>
            <w:shd w:val="clear" w:color="auto" w:fill="auto"/>
          </w:tcPr>
          <w:p w14:paraId="0B7B14F2" w14:textId="77777777" w:rsidR="006C269A" w:rsidRPr="00C0440A" w:rsidRDefault="006C269A" w:rsidP="00AB05FB">
            <w:pPr>
              <w:pStyle w:val="BStabletextbold"/>
              <w:jc w:val="right"/>
              <w:rPr>
                <w:color w:val="472D8C"/>
              </w:rPr>
            </w:pPr>
            <w:r w:rsidRPr="00C0440A">
              <w:rPr>
                <w:color w:val="472D8C"/>
              </w:rPr>
              <w:t>142,581</w:t>
            </w:r>
          </w:p>
        </w:tc>
        <w:tc>
          <w:tcPr>
            <w:tcW w:w="1069" w:type="dxa"/>
            <w:tcBorders>
              <w:bottom w:val="single" w:sz="4" w:space="0" w:color="auto"/>
            </w:tcBorders>
            <w:shd w:val="clear" w:color="auto" w:fill="auto"/>
            <w:noWrap/>
          </w:tcPr>
          <w:p w14:paraId="0BDF4270" w14:textId="77777777" w:rsidR="006C269A" w:rsidRPr="00C0440A" w:rsidRDefault="006C269A" w:rsidP="00AB05FB">
            <w:pPr>
              <w:pStyle w:val="BStabletextbold"/>
              <w:jc w:val="right"/>
              <w:rPr>
                <w:color w:val="472D8C"/>
              </w:rPr>
            </w:pPr>
            <w:r w:rsidRPr="00C0440A">
              <w:rPr>
                <w:color w:val="472D8C"/>
              </w:rPr>
              <w:t>365,146</w:t>
            </w:r>
          </w:p>
        </w:tc>
        <w:tc>
          <w:tcPr>
            <w:tcW w:w="1069" w:type="dxa"/>
            <w:tcBorders>
              <w:bottom w:val="single" w:sz="4" w:space="0" w:color="auto"/>
            </w:tcBorders>
            <w:shd w:val="clear" w:color="auto" w:fill="auto"/>
            <w:noWrap/>
          </w:tcPr>
          <w:p w14:paraId="0F0470D9" w14:textId="77777777" w:rsidR="006C269A" w:rsidRPr="00C0440A" w:rsidRDefault="006C269A" w:rsidP="00AB05FB">
            <w:pPr>
              <w:pStyle w:val="BStabletextbold"/>
              <w:jc w:val="right"/>
              <w:rPr>
                <w:color w:val="472D8C"/>
              </w:rPr>
            </w:pPr>
            <w:r w:rsidRPr="00C0440A">
              <w:rPr>
                <w:color w:val="472D8C"/>
              </w:rPr>
              <w:t>182,248</w:t>
            </w:r>
          </w:p>
        </w:tc>
        <w:tc>
          <w:tcPr>
            <w:tcW w:w="1069" w:type="dxa"/>
            <w:tcBorders>
              <w:bottom w:val="single" w:sz="4" w:space="0" w:color="auto"/>
            </w:tcBorders>
            <w:shd w:val="clear" w:color="auto" w:fill="auto"/>
            <w:noWrap/>
          </w:tcPr>
          <w:p w14:paraId="3869E41D" w14:textId="77777777" w:rsidR="006C269A" w:rsidRPr="00C0440A" w:rsidRDefault="006C269A" w:rsidP="00AB05FB">
            <w:pPr>
              <w:pStyle w:val="BStabletextbold"/>
              <w:jc w:val="right"/>
              <w:rPr>
                <w:color w:val="472D8C"/>
              </w:rPr>
            </w:pPr>
            <w:r w:rsidRPr="00C0440A">
              <w:rPr>
                <w:color w:val="472D8C"/>
              </w:rPr>
              <w:t>190,502</w:t>
            </w:r>
          </w:p>
        </w:tc>
        <w:tc>
          <w:tcPr>
            <w:tcW w:w="1069" w:type="dxa"/>
            <w:tcBorders>
              <w:bottom w:val="single" w:sz="4" w:space="0" w:color="auto"/>
            </w:tcBorders>
            <w:shd w:val="clear" w:color="auto" w:fill="auto"/>
            <w:noWrap/>
          </w:tcPr>
          <w:p w14:paraId="5160F79D" w14:textId="77777777" w:rsidR="006C269A" w:rsidRPr="00C0440A" w:rsidRDefault="006C269A" w:rsidP="00AB05FB">
            <w:pPr>
              <w:pStyle w:val="BStabletextbold"/>
              <w:jc w:val="right"/>
              <w:rPr>
                <w:color w:val="472D8C"/>
              </w:rPr>
            </w:pPr>
            <w:r w:rsidRPr="00C0440A">
              <w:rPr>
                <w:color w:val="472D8C"/>
              </w:rPr>
              <w:t>228,038</w:t>
            </w:r>
          </w:p>
        </w:tc>
        <w:tc>
          <w:tcPr>
            <w:tcW w:w="1069" w:type="dxa"/>
            <w:tcBorders>
              <w:bottom w:val="single" w:sz="4" w:space="0" w:color="auto"/>
            </w:tcBorders>
            <w:shd w:val="clear" w:color="auto" w:fill="auto"/>
            <w:noWrap/>
          </w:tcPr>
          <w:p w14:paraId="10081C07" w14:textId="77777777" w:rsidR="006C269A" w:rsidRPr="00C0440A" w:rsidRDefault="006C269A" w:rsidP="00AB05FB">
            <w:pPr>
              <w:pStyle w:val="BStabletextbold"/>
              <w:jc w:val="right"/>
              <w:rPr>
                <w:color w:val="472D8C"/>
              </w:rPr>
            </w:pPr>
            <w:r w:rsidRPr="00C0440A">
              <w:rPr>
                <w:color w:val="472D8C"/>
              </w:rPr>
              <w:t>159,958</w:t>
            </w:r>
          </w:p>
        </w:tc>
      </w:tr>
      <w:tr w:rsidR="006C269A" w:rsidRPr="00C937FB" w14:paraId="2FB23763" w14:textId="77777777" w:rsidTr="00AB05FB">
        <w:trPr>
          <w:cantSplit/>
          <w:jc w:val="center"/>
        </w:trPr>
        <w:tc>
          <w:tcPr>
            <w:tcW w:w="2869" w:type="dxa"/>
            <w:tcBorders>
              <w:top w:val="single" w:sz="4" w:space="0" w:color="auto"/>
            </w:tcBorders>
            <w:shd w:val="clear" w:color="auto" w:fill="auto"/>
            <w:noWrap/>
            <w:vAlign w:val="bottom"/>
          </w:tcPr>
          <w:p w14:paraId="7173A387" w14:textId="77777777" w:rsidR="006C269A" w:rsidRPr="00C937FB" w:rsidRDefault="006C269A" w:rsidP="00AB05FB">
            <w:pPr>
              <w:pStyle w:val="BStabletextunbold"/>
              <w:rPr>
                <w:b/>
                <w:bCs w:val="0"/>
              </w:rPr>
            </w:pPr>
            <w:r w:rsidRPr="00C937FB">
              <w:rPr>
                <w:b/>
                <w:bCs w:val="0"/>
              </w:rPr>
              <w:t>Key fiscal aggregates</w:t>
            </w:r>
          </w:p>
        </w:tc>
        <w:tc>
          <w:tcPr>
            <w:tcW w:w="1068" w:type="dxa"/>
            <w:tcBorders>
              <w:top w:val="single" w:sz="4" w:space="0" w:color="auto"/>
            </w:tcBorders>
            <w:shd w:val="clear" w:color="auto" w:fill="auto"/>
          </w:tcPr>
          <w:p w14:paraId="7C556761" w14:textId="77777777" w:rsidR="006C269A" w:rsidRPr="00C937FB" w:rsidRDefault="006C269A" w:rsidP="00AB05FB">
            <w:pPr>
              <w:pStyle w:val="BStabletextunbold"/>
              <w:rPr>
                <w:b/>
                <w:bCs w:val="0"/>
              </w:rPr>
            </w:pPr>
          </w:p>
        </w:tc>
        <w:tc>
          <w:tcPr>
            <w:tcW w:w="1069" w:type="dxa"/>
            <w:tcBorders>
              <w:top w:val="single" w:sz="4" w:space="0" w:color="auto"/>
            </w:tcBorders>
            <w:shd w:val="clear" w:color="auto" w:fill="auto"/>
            <w:noWrap/>
          </w:tcPr>
          <w:p w14:paraId="736BDF75" w14:textId="77777777" w:rsidR="006C269A" w:rsidRPr="00C937FB" w:rsidRDefault="006C269A" w:rsidP="00AB05FB">
            <w:pPr>
              <w:pStyle w:val="BStabletextunbold"/>
              <w:rPr>
                <w:b/>
                <w:bCs w:val="0"/>
              </w:rPr>
            </w:pPr>
          </w:p>
        </w:tc>
        <w:tc>
          <w:tcPr>
            <w:tcW w:w="1069" w:type="dxa"/>
            <w:tcBorders>
              <w:top w:val="single" w:sz="4" w:space="0" w:color="auto"/>
            </w:tcBorders>
            <w:shd w:val="clear" w:color="auto" w:fill="auto"/>
            <w:noWrap/>
          </w:tcPr>
          <w:p w14:paraId="0C688903" w14:textId="77777777" w:rsidR="006C269A" w:rsidRPr="00C937FB" w:rsidRDefault="006C269A" w:rsidP="00AB05FB">
            <w:pPr>
              <w:pStyle w:val="BStabletextunbold"/>
              <w:rPr>
                <w:b/>
                <w:bCs w:val="0"/>
              </w:rPr>
            </w:pPr>
          </w:p>
        </w:tc>
        <w:tc>
          <w:tcPr>
            <w:tcW w:w="1069" w:type="dxa"/>
            <w:tcBorders>
              <w:top w:val="single" w:sz="4" w:space="0" w:color="auto"/>
            </w:tcBorders>
            <w:shd w:val="clear" w:color="auto" w:fill="auto"/>
            <w:noWrap/>
          </w:tcPr>
          <w:p w14:paraId="215CF529" w14:textId="77777777" w:rsidR="006C269A" w:rsidRPr="00C937FB" w:rsidRDefault="006C269A" w:rsidP="00AB05FB">
            <w:pPr>
              <w:pStyle w:val="BStabletextunbold"/>
              <w:rPr>
                <w:b/>
                <w:bCs w:val="0"/>
              </w:rPr>
            </w:pPr>
          </w:p>
        </w:tc>
        <w:tc>
          <w:tcPr>
            <w:tcW w:w="1069" w:type="dxa"/>
            <w:tcBorders>
              <w:top w:val="single" w:sz="4" w:space="0" w:color="auto"/>
            </w:tcBorders>
            <w:shd w:val="clear" w:color="auto" w:fill="auto"/>
            <w:noWrap/>
          </w:tcPr>
          <w:p w14:paraId="0635DACC" w14:textId="77777777" w:rsidR="006C269A" w:rsidRPr="00C937FB" w:rsidRDefault="006C269A" w:rsidP="00AB05FB">
            <w:pPr>
              <w:pStyle w:val="BStabletextunbold"/>
              <w:rPr>
                <w:b/>
                <w:bCs w:val="0"/>
              </w:rPr>
            </w:pPr>
          </w:p>
        </w:tc>
        <w:tc>
          <w:tcPr>
            <w:tcW w:w="1069" w:type="dxa"/>
            <w:tcBorders>
              <w:top w:val="single" w:sz="4" w:space="0" w:color="auto"/>
            </w:tcBorders>
            <w:shd w:val="clear" w:color="auto" w:fill="auto"/>
            <w:noWrap/>
          </w:tcPr>
          <w:p w14:paraId="5B1780BA" w14:textId="77777777" w:rsidR="006C269A" w:rsidRPr="00C937FB" w:rsidRDefault="006C269A" w:rsidP="00AB05FB">
            <w:pPr>
              <w:pStyle w:val="BStabletextunbold"/>
              <w:rPr>
                <w:b/>
                <w:bCs w:val="0"/>
              </w:rPr>
            </w:pPr>
          </w:p>
        </w:tc>
      </w:tr>
      <w:tr w:rsidR="006C269A" w:rsidRPr="00601709" w14:paraId="684BFAA8" w14:textId="77777777" w:rsidTr="00AB05FB">
        <w:trPr>
          <w:cantSplit/>
          <w:jc w:val="center"/>
        </w:trPr>
        <w:tc>
          <w:tcPr>
            <w:tcW w:w="2869" w:type="dxa"/>
            <w:shd w:val="clear" w:color="auto" w:fill="auto"/>
            <w:noWrap/>
          </w:tcPr>
          <w:p w14:paraId="6303A64E" w14:textId="77777777" w:rsidR="006C269A" w:rsidRPr="00193CB5" w:rsidRDefault="006C269A" w:rsidP="00AB05FB">
            <w:pPr>
              <w:pStyle w:val="BStabletextunbold"/>
            </w:pPr>
            <w:r w:rsidRPr="005002FD">
              <w:t xml:space="preserve">Net </w:t>
            </w:r>
            <w:r>
              <w:t>c</w:t>
            </w:r>
            <w:r w:rsidRPr="005002FD">
              <w:t xml:space="preserve">ash from </w:t>
            </w:r>
            <w:r>
              <w:t>o</w:t>
            </w:r>
            <w:r w:rsidRPr="005002FD">
              <w:t xml:space="preserve">perating </w:t>
            </w:r>
            <w:r>
              <w:t>a</w:t>
            </w:r>
            <w:r w:rsidRPr="005002FD">
              <w:t>ctivities</w:t>
            </w:r>
          </w:p>
        </w:tc>
        <w:tc>
          <w:tcPr>
            <w:tcW w:w="1068" w:type="dxa"/>
            <w:shd w:val="clear" w:color="auto" w:fill="auto"/>
          </w:tcPr>
          <w:p w14:paraId="1E0FFA45" w14:textId="77777777" w:rsidR="006C269A" w:rsidRPr="00193CB5" w:rsidRDefault="006C269A" w:rsidP="00AB05FB">
            <w:pPr>
              <w:pStyle w:val="BStabletextunbold"/>
              <w:jc w:val="right"/>
            </w:pPr>
            <w:r w:rsidRPr="00193CB5">
              <w:t>609,443</w:t>
            </w:r>
          </w:p>
        </w:tc>
        <w:tc>
          <w:tcPr>
            <w:tcW w:w="1069" w:type="dxa"/>
            <w:shd w:val="clear" w:color="auto" w:fill="auto"/>
            <w:noWrap/>
          </w:tcPr>
          <w:p w14:paraId="6600ED2D" w14:textId="77777777" w:rsidR="006C269A" w:rsidRPr="00193CB5" w:rsidRDefault="006C269A" w:rsidP="00AB05FB">
            <w:pPr>
              <w:pStyle w:val="BStabletextunbold"/>
              <w:jc w:val="right"/>
            </w:pPr>
            <w:r w:rsidRPr="00193CB5">
              <w:t>670,881</w:t>
            </w:r>
          </w:p>
        </w:tc>
        <w:tc>
          <w:tcPr>
            <w:tcW w:w="1069" w:type="dxa"/>
            <w:shd w:val="clear" w:color="auto" w:fill="auto"/>
            <w:noWrap/>
          </w:tcPr>
          <w:p w14:paraId="4C97B575" w14:textId="77777777" w:rsidR="006C269A" w:rsidRPr="00193CB5" w:rsidRDefault="006C269A" w:rsidP="00AB05FB">
            <w:pPr>
              <w:pStyle w:val="BStabletextunbold"/>
              <w:jc w:val="right"/>
            </w:pPr>
            <w:r w:rsidRPr="00193CB5">
              <w:t>250,593</w:t>
            </w:r>
          </w:p>
        </w:tc>
        <w:tc>
          <w:tcPr>
            <w:tcW w:w="1069" w:type="dxa"/>
            <w:shd w:val="clear" w:color="auto" w:fill="auto"/>
            <w:noWrap/>
          </w:tcPr>
          <w:p w14:paraId="731928BC" w14:textId="77777777" w:rsidR="006C269A" w:rsidRPr="00193CB5" w:rsidRDefault="006C269A" w:rsidP="00AB05FB">
            <w:pPr>
              <w:pStyle w:val="BStabletextunbold"/>
              <w:jc w:val="right"/>
            </w:pPr>
            <w:r w:rsidRPr="00193CB5">
              <w:t>287,162</w:t>
            </w:r>
          </w:p>
        </w:tc>
        <w:tc>
          <w:tcPr>
            <w:tcW w:w="1069" w:type="dxa"/>
            <w:shd w:val="clear" w:color="auto" w:fill="auto"/>
            <w:noWrap/>
          </w:tcPr>
          <w:p w14:paraId="273CAF55" w14:textId="77777777" w:rsidR="006C269A" w:rsidRPr="00193CB5" w:rsidRDefault="006C269A" w:rsidP="00AB05FB">
            <w:pPr>
              <w:pStyle w:val="BStabletextunbold"/>
              <w:jc w:val="right"/>
            </w:pPr>
            <w:r w:rsidRPr="00193CB5">
              <w:t>241,340</w:t>
            </w:r>
          </w:p>
        </w:tc>
        <w:tc>
          <w:tcPr>
            <w:tcW w:w="1069" w:type="dxa"/>
            <w:shd w:val="clear" w:color="auto" w:fill="auto"/>
            <w:noWrap/>
          </w:tcPr>
          <w:p w14:paraId="5E1F0D3E" w14:textId="77777777" w:rsidR="006C269A" w:rsidRPr="00193CB5" w:rsidRDefault="006C269A" w:rsidP="00AB05FB">
            <w:pPr>
              <w:pStyle w:val="BStabletextunbold"/>
              <w:jc w:val="right"/>
            </w:pPr>
            <w:r w:rsidRPr="00193CB5">
              <w:t>288,447</w:t>
            </w:r>
          </w:p>
        </w:tc>
      </w:tr>
      <w:tr w:rsidR="006C269A" w:rsidRPr="00601709" w14:paraId="6B9E7928" w14:textId="77777777" w:rsidTr="00AB05FB">
        <w:trPr>
          <w:cantSplit/>
          <w:jc w:val="center"/>
        </w:trPr>
        <w:tc>
          <w:tcPr>
            <w:tcW w:w="2869" w:type="dxa"/>
            <w:shd w:val="clear" w:color="auto" w:fill="auto"/>
            <w:noWrap/>
          </w:tcPr>
          <w:p w14:paraId="45DBF7E4" w14:textId="77777777" w:rsidR="006C269A" w:rsidRPr="00193CB5" w:rsidRDefault="006C269A" w:rsidP="00AB05FB">
            <w:pPr>
              <w:pStyle w:val="BStabletextunbold"/>
            </w:pPr>
            <w:r w:rsidRPr="005002FD">
              <w:t xml:space="preserve">Net </w:t>
            </w:r>
            <w:r>
              <w:t>c</w:t>
            </w:r>
            <w:r w:rsidRPr="005002FD">
              <w:t xml:space="preserve">ash </w:t>
            </w:r>
            <w:r>
              <w:t>f</w:t>
            </w:r>
            <w:r w:rsidRPr="005002FD">
              <w:t xml:space="preserve">lows from </w:t>
            </w:r>
            <w:r>
              <w:t>i</w:t>
            </w:r>
            <w:r w:rsidRPr="005002FD">
              <w:t>nvestments in</w:t>
            </w:r>
            <w:r>
              <w:t xml:space="preserve"> n</w:t>
            </w:r>
            <w:r w:rsidRPr="005002FD">
              <w:t>on-</w:t>
            </w:r>
            <w:r>
              <w:t>f</w:t>
            </w:r>
            <w:r w:rsidRPr="005002FD">
              <w:t xml:space="preserve">inancial </w:t>
            </w:r>
            <w:r>
              <w:t>a</w:t>
            </w:r>
            <w:r w:rsidRPr="005002FD">
              <w:t>ssets</w:t>
            </w:r>
          </w:p>
        </w:tc>
        <w:tc>
          <w:tcPr>
            <w:tcW w:w="1068" w:type="dxa"/>
            <w:shd w:val="clear" w:color="auto" w:fill="auto"/>
          </w:tcPr>
          <w:p w14:paraId="22C1BF25" w14:textId="77777777" w:rsidR="006C269A" w:rsidRPr="00193CB5" w:rsidRDefault="006C269A" w:rsidP="00AB05FB">
            <w:pPr>
              <w:pStyle w:val="BStabletextunbold"/>
              <w:jc w:val="right"/>
            </w:pPr>
            <w:r w:rsidRPr="00193CB5">
              <w:t>-204,501</w:t>
            </w:r>
          </w:p>
        </w:tc>
        <w:tc>
          <w:tcPr>
            <w:tcW w:w="1069" w:type="dxa"/>
            <w:shd w:val="clear" w:color="auto" w:fill="auto"/>
            <w:noWrap/>
          </w:tcPr>
          <w:p w14:paraId="7DCEB5B2" w14:textId="77777777" w:rsidR="006C269A" w:rsidRPr="00193CB5" w:rsidRDefault="006C269A" w:rsidP="00AB05FB">
            <w:pPr>
              <w:pStyle w:val="BStabletextunbold"/>
              <w:jc w:val="right"/>
            </w:pPr>
            <w:r w:rsidRPr="00193CB5">
              <w:t>-124,241</w:t>
            </w:r>
          </w:p>
        </w:tc>
        <w:tc>
          <w:tcPr>
            <w:tcW w:w="1069" w:type="dxa"/>
            <w:shd w:val="clear" w:color="auto" w:fill="auto"/>
            <w:noWrap/>
          </w:tcPr>
          <w:p w14:paraId="7E1D63E6" w14:textId="77777777" w:rsidR="006C269A" w:rsidRPr="00193CB5" w:rsidRDefault="006C269A" w:rsidP="00AB05FB">
            <w:pPr>
              <w:pStyle w:val="BStabletextunbold"/>
              <w:jc w:val="right"/>
            </w:pPr>
            <w:r w:rsidRPr="00193CB5">
              <w:t>-244,767</w:t>
            </w:r>
          </w:p>
        </w:tc>
        <w:tc>
          <w:tcPr>
            <w:tcW w:w="1069" w:type="dxa"/>
            <w:shd w:val="clear" w:color="auto" w:fill="auto"/>
            <w:noWrap/>
          </w:tcPr>
          <w:p w14:paraId="488E60AC" w14:textId="77777777" w:rsidR="006C269A" w:rsidRPr="00193CB5" w:rsidRDefault="006C269A" w:rsidP="00AB05FB">
            <w:pPr>
              <w:pStyle w:val="BStabletextunbold"/>
              <w:jc w:val="right"/>
            </w:pPr>
            <w:r w:rsidRPr="00193CB5">
              <w:t>-108,085</w:t>
            </w:r>
          </w:p>
        </w:tc>
        <w:tc>
          <w:tcPr>
            <w:tcW w:w="1069" w:type="dxa"/>
            <w:shd w:val="clear" w:color="auto" w:fill="auto"/>
            <w:noWrap/>
          </w:tcPr>
          <w:p w14:paraId="191F728A" w14:textId="77777777" w:rsidR="006C269A" w:rsidRPr="00193CB5" w:rsidRDefault="006C269A" w:rsidP="00AB05FB">
            <w:pPr>
              <w:pStyle w:val="BStabletextunbold"/>
              <w:jc w:val="right"/>
            </w:pPr>
            <w:r w:rsidRPr="00193CB5">
              <w:t>-95,565</w:t>
            </w:r>
          </w:p>
        </w:tc>
        <w:tc>
          <w:tcPr>
            <w:tcW w:w="1069" w:type="dxa"/>
            <w:shd w:val="clear" w:color="auto" w:fill="auto"/>
            <w:noWrap/>
          </w:tcPr>
          <w:p w14:paraId="6679D99E" w14:textId="77777777" w:rsidR="006C269A" w:rsidRPr="00193CB5" w:rsidRDefault="006C269A" w:rsidP="00AB05FB">
            <w:pPr>
              <w:pStyle w:val="BStabletextunbold"/>
              <w:jc w:val="right"/>
            </w:pPr>
            <w:r w:rsidRPr="00193CB5">
              <w:t>-115,046</w:t>
            </w:r>
          </w:p>
        </w:tc>
      </w:tr>
      <w:tr w:rsidR="006C269A" w:rsidRPr="006D5D15" w14:paraId="6ABDBCE6" w14:textId="77777777" w:rsidTr="00AB05FB">
        <w:trPr>
          <w:cantSplit/>
          <w:jc w:val="center"/>
        </w:trPr>
        <w:tc>
          <w:tcPr>
            <w:tcW w:w="2869" w:type="dxa"/>
            <w:tcBorders>
              <w:bottom w:val="single" w:sz="4" w:space="0" w:color="auto"/>
            </w:tcBorders>
            <w:shd w:val="clear" w:color="auto" w:fill="auto"/>
            <w:noWrap/>
          </w:tcPr>
          <w:p w14:paraId="399AEFEA" w14:textId="77777777" w:rsidR="006C269A" w:rsidRPr="00601709" w:rsidRDefault="006C269A" w:rsidP="00AB05FB">
            <w:pPr>
              <w:pStyle w:val="BStabletextunbold"/>
            </w:pPr>
            <w:r w:rsidRPr="005002FD">
              <w:t xml:space="preserve">Distributions </w:t>
            </w:r>
            <w:r>
              <w:t>p</w:t>
            </w:r>
            <w:r w:rsidRPr="005002FD">
              <w:t>aid</w:t>
            </w:r>
          </w:p>
        </w:tc>
        <w:tc>
          <w:tcPr>
            <w:tcW w:w="1068" w:type="dxa"/>
            <w:tcBorders>
              <w:bottom w:val="single" w:sz="4" w:space="0" w:color="auto"/>
            </w:tcBorders>
            <w:shd w:val="clear" w:color="auto" w:fill="auto"/>
          </w:tcPr>
          <w:p w14:paraId="07F2AB91" w14:textId="77777777" w:rsidR="006C269A" w:rsidRDefault="006C269A" w:rsidP="00AB05FB">
            <w:pPr>
              <w:pStyle w:val="BStabletextunbold"/>
              <w:jc w:val="right"/>
            </w:pPr>
            <w:r w:rsidRPr="00193CB5">
              <w:t>-596,274</w:t>
            </w:r>
          </w:p>
        </w:tc>
        <w:tc>
          <w:tcPr>
            <w:tcW w:w="1069" w:type="dxa"/>
            <w:tcBorders>
              <w:bottom w:val="single" w:sz="4" w:space="0" w:color="auto"/>
            </w:tcBorders>
            <w:shd w:val="clear" w:color="auto" w:fill="auto"/>
            <w:noWrap/>
          </w:tcPr>
          <w:p w14:paraId="03AC9F10" w14:textId="77777777" w:rsidR="006C269A" w:rsidRPr="006D5D15" w:rsidRDefault="006C269A" w:rsidP="00AB05FB">
            <w:pPr>
              <w:pStyle w:val="BStabletextunbold"/>
              <w:jc w:val="right"/>
            </w:pPr>
            <w:r w:rsidRPr="00193CB5">
              <w:t>-474,670</w:t>
            </w:r>
          </w:p>
        </w:tc>
        <w:tc>
          <w:tcPr>
            <w:tcW w:w="1069" w:type="dxa"/>
            <w:tcBorders>
              <w:bottom w:val="single" w:sz="4" w:space="0" w:color="auto"/>
            </w:tcBorders>
            <w:shd w:val="clear" w:color="auto" w:fill="auto"/>
            <w:noWrap/>
          </w:tcPr>
          <w:p w14:paraId="105EE3EF" w14:textId="77777777" w:rsidR="006C269A" w:rsidRPr="006D5D15" w:rsidRDefault="006C269A" w:rsidP="00AB05FB">
            <w:pPr>
              <w:pStyle w:val="BStabletextunbold"/>
              <w:jc w:val="right"/>
            </w:pPr>
            <w:r w:rsidRPr="00193CB5">
              <w:t>-361,144</w:t>
            </w:r>
          </w:p>
        </w:tc>
        <w:tc>
          <w:tcPr>
            <w:tcW w:w="1069" w:type="dxa"/>
            <w:tcBorders>
              <w:bottom w:val="single" w:sz="4" w:space="0" w:color="auto"/>
            </w:tcBorders>
            <w:shd w:val="clear" w:color="auto" w:fill="auto"/>
            <w:noWrap/>
          </w:tcPr>
          <w:p w14:paraId="235B075E" w14:textId="77777777" w:rsidR="006C269A" w:rsidRPr="006D5D15" w:rsidRDefault="006C269A" w:rsidP="00AB05FB">
            <w:pPr>
              <w:pStyle w:val="BStabletextunbold"/>
              <w:jc w:val="right"/>
            </w:pPr>
            <w:r w:rsidRPr="00193CB5">
              <w:t>-199,147</w:t>
            </w:r>
          </w:p>
        </w:tc>
        <w:tc>
          <w:tcPr>
            <w:tcW w:w="1069" w:type="dxa"/>
            <w:tcBorders>
              <w:bottom w:val="single" w:sz="4" w:space="0" w:color="auto"/>
            </w:tcBorders>
            <w:shd w:val="clear" w:color="auto" w:fill="auto"/>
            <w:noWrap/>
          </w:tcPr>
          <w:p w14:paraId="763655D2" w14:textId="77777777" w:rsidR="006C269A" w:rsidRPr="006D5D15" w:rsidRDefault="006C269A" w:rsidP="00AB05FB">
            <w:pPr>
              <w:pStyle w:val="BStabletextunbold"/>
              <w:jc w:val="right"/>
            </w:pPr>
            <w:r w:rsidRPr="00193CB5">
              <w:t>-168,928</w:t>
            </w:r>
          </w:p>
        </w:tc>
        <w:tc>
          <w:tcPr>
            <w:tcW w:w="1069" w:type="dxa"/>
            <w:tcBorders>
              <w:bottom w:val="single" w:sz="4" w:space="0" w:color="auto"/>
            </w:tcBorders>
            <w:shd w:val="clear" w:color="auto" w:fill="auto"/>
            <w:noWrap/>
          </w:tcPr>
          <w:p w14:paraId="1D874DBB" w14:textId="77777777" w:rsidR="006C269A" w:rsidRPr="006D5D15" w:rsidRDefault="006C269A" w:rsidP="00AB05FB">
            <w:pPr>
              <w:pStyle w:val="BStabletextunbold"/>
              <w:jc w:val="right"/>
            </w:pPr>
            <w:r w:rsidRPr="00193CB5">
              <w:t>-250,481</w:t>
            </w:r>
          </w:p>
        </w:tc>
      </w:tr>
      <w:tr w:rsidR="006C269A" w:rsidRPr="00C0440A" w14:paraId="2E2F5329" w14:textId="77777777" w:rsidTr="00AB05FB">
        <w:trPr>
          <w:cantSplit/>
          <w:jc w:val="center"/>
        </w:trPr>
        <w:tc>
          <w:tcPr>
            <w:tcW w:w="2869" w:type="dxa"/>
            <w:tcBorders>
              <w:top w:val="single" w:sz="4" w:space="0" w:color="auto"/>
              <w:bottom w:val="single" w:sz="4" w:space="0" w:color="auto"/>
            </w:tcBorders>
            <w:shd w:val="clear" w:color="auto" w:fill="auto"/>
            <w:noWrap/>
          </w:tcPr>
          <w:p w14:paraId="0C04A5B7" w14:textId="77777777" w:rsidR="006C269A" w:rsidRPr="00630494" w:rsidRDefault="006C269A" w:rsidP="00AB05FB">
            <w:pPr>
              <w:pStyle w:val="BStabletextbold"/>
              <w:rPr>
                <w:color w:val="472D8C"/>
                <w:lang w:val="en-US"/>
              </w:rPr>
            </w:pPr>
            <w:r w:rsidRPr="00C0440A">
              <w:rPr>
                <w:color w:val="472D8C"/>
              </w:rPr>
              <w:t xml:space="preserve">Cash </w:t>
            </w:r>
            <w:r>
              <w:rPr>
                <w:color w:val="472D8C"/>
                <w:lang w:val="en-US"/>
              </w:rPr>
              <w:t>surplus (+)/</w:t>
            </w:r>
            <w:r w:rsidRPr="00C0440A">
              <w:rPr>
                <w:color w:val="472D8C"/>
              </w:rPr>
              <w:t>deficit</w:t>
            </w:r>
            <w:r>
              <w:rPr>
                <w:color w:val="472D8C"/>
                <w:lang w:val="en-US"/>
              </w:rPr>
              <w:t>(-)</w:t>
            </w:r>
          </w:p>
        </w:tc>
        <w:tc>
          <w:tcPr>
            <w:tcW w:w="1068" w:type="dxa"/>
            <w:tcBorders>
              <w:top w:val="single" w:sz="4" w:space="0" w:color="auto"/>
              <w:bottom w:val="single" w:sz="4" w:space="0" w:color="auto"/>
            </w:tcBorders>
            <w:shd w:val="clear" w:color="auto" w:fill="auto"/>
          </w:tcPr>
          <w:p w14:paraId="29560F03" w14:textId="77777777" w:rsidR="006C269A" w:rsidRPr="00C0440A" w:rsidRDefault="006C269A" w:rsidP="00AB05FB">
            <w:pPr>
              <w:pStyle w:val="BStabletextbold"/>
              <w:jc w:val="right"/>
              <w:rPr>
                <w:color w:val="472D8C"/>
              </w:rPr>
            </w:pPr>
            <w:r w:rsidRPr="00C0440A">
              <w:rPr>
                <w:color w:val="472D8C"/>
              </w:rPr>
              <w:t>-191,332</w:t>
            </w:r>
          </w:p>
        </w:tc>
        <w:tc>
          <w:tcPr>
            <w:tcW w:w="1069" w:type="dxa"/>
            <w:tcBorders>
              <w:top w:val="single" w:sz="4" w:space="0" w:color="auto"/>
              <w:bottom w:val="single" w:sz="4" w:space="0" w:color="auto"/>
            </w:tcBorders>
            <w:shd w:val="clear" w:color="auto" w:fill="auto"/>
            <w:noWrap/>
          </w:tcPr>
          <w:p w14:paraId="658A9C09" w14:textId="77777777" w:rsidR="006C269A" w:rsidRPr="00C0440A" w:rsidRDefault="006C269A" w:rsidP="00AB05FB">
            <w:pPr>
              <w:pStyle w:val="BStabletextbold"/>
              <w:jc w:val="right"/>
              <w:rPr>
                <w:color w:val="472D8C"/>
              </w:rPr>
            </w:pPr>
            <w:r w:rsidRPr="00C0440A">
              <w:rPr>
                <w:color w:val="472D8C"/>
              </w:rPr>
              <w:t>71,971</w:t>
            </w:r>
          </w:p>
        </w:tc>
        <w:tc>
          <w:tcPr>
            <w:tcW w:w="1069" w:type="dxa"/>
            <w:tcBorders>
              <w:top w:val="single" w:sz="4" w:space="0" w:color="auto"/>
              <w:bottom w:val="single" w:sz="4" w:space="0" w:color="auto"/>
            </w:tcBorders>
            <w:shd w:val="clear" w:color="auto" w:fill="auto"/>
            <w:noWrap/>
            <w:vAlign w:val="bottom"/>
          </w:tcPr>
          <w:p w14:paraId="1190FD15" w14:textId="77777777" w:rsidR="006C269A" w:rsidRPr="00C0440A" w:rsidRDefault="006C269A" w:rsidP="00AB05FB">
            <w:pPr>
              <w:pStyle w:val="BStabletextbold"/>
              <w:jc w:val="right"/>
              <w:rPr>
                <w:color w:val="472D8C"/>
              </w:rPr>
            </w:pPr>
            <w:r w:rsidRPr="00C0440A">
              <w:rPr>
                <w:color w:val="472D8C"/>
              </w:rPr>
              <w:t>-355,318</w:t>
            </w:r>
          </w:p>
        </w:tc>
        <w:tc>
          <w:tcPr>
            <w:tcW w:w="1069" w:type="dxa"/>
            <w:tcBorders>
              <w:top w:val="single" w:sz="4" w:space="0" w:color="auto"/>
              <w:bottom w:val="single" w:sz="4" w:space="0" w:color="auto"/>
            </w:tcBorders>
            <w:shd w:val="clear" w:color="auto" w:fill="auto"/>
            <w:noWrap/>
            <w:vAlign w:val="bottom"/>
          </w:tcPr>
          <w:p w14:paraId="0249D31E" w14:textId="77777777" w:rsidR="006C269A" w:rsidRPr="00C0440A" w:rsidRDefault="006C269A" w:rsidP="00AB05FB">
            <w:pPr>
              <w:pStyle w:val="BStabletextbold"/>
              <w:jc w:val="right"/>
              <w:rPr>
                <w:color w:val="472D8C"/>
              </w:rPr>
            </w:pPr>
            <w:r w:rsidRPr="00C0440A">
              <w:rPr>
                <w:color w:val="472D8C"/>
              </w:rPr>
              <w:t>-20,070</w:t>
            </w:r>
          </w:p>
        </w:tc>
        <w:tc>
          <w:tcPr>
            <w:tcW w:w="1069" w:type="dxa"/>
            <w:tcBorders>
              <w:top w:val="single" w:sz="4" w:space="0" w:color="auto"/>
              <w:bottom w:val="single" w:sz="4" w:space="0" w:color="auto"/>
            </w:tcBorders>
            <w:shd w:val="clear" w:color="auto" w:fill="auto"/>
            <w:noWrap/>
            <w:vAlign w:val="bottom"/>
          </w:tcPr>
          <w:p w14:paraId="6534DA1F" w14:textId="77777777" w:rsidR="006C269A" w:rsidRPr="00C0440A" w:rsidRDefault="006C269A" w:rsidP="00AB05FB">
            <w:pPr>
              <w:pStyle w:val="BStabletextbold"/>
              <w:jc w:val="right"/>
              <w:rPr>
                <w:color w:val="472D8C"/>
              </w:rPr>
            </w:pPr>
            <w:r w:rsidRPr="00C0440A">
              <w:rPr>
                <w:color w:val="472D8C"/>
              </w:rPr>
              <w:t>-23,153</w:t>
            </w:r>
          </w:p>
        </w:tc>
        <w:tc>
          <w:tcPr>
            <w:tcW w:w="1069" w:type="dxa"/>
            <w:tcBorders>
              <w:top w:val="single" w:sz="4" w:space="0" w:color="auto"/>
              <w:bottom w:val="single" w:sz="4" w:space="0" w:color="auto"/>
            </w:tcBorders>
            <w:shd w:val="clear" w:color="auto" w:fill="auto"/>
            <w:noWrap/>
            <w:vAlign w:val="bottom"/>
          </w:tcPr>
          <w:p w14:paraId="37A0C842" w14:textId="77777777" w:rsidR="006C269A" w:rsidRPr="00C0440A" w:rsidRDefault="006C269A" w:rsidP="00AB05FB">
            <w:pPr>
              <w:pStyle w:val="BStabletextbold"/>
              <w:jc w:val="right"/>
              <w:rPr>
                <w:color w:val="472D8C"/>
              </w:rPr>
            </w:pPr>
            <w:r w:rsidRPr="00C0440A">
              <w:rPr>
                <w:color w:val="472D8C"/>
              </w:rPr>
              <w:t>-77,080</w:t>
            </w:r>
          </w:p>
        </w:tc>
      </w:tr>
    </w:tbl>
    <w:p w14:paraId="689614CC" w14:textId="77777777" w:rsidR="006C269A" w:rsidRPr="00601709" w:rsidRDefault="006C269A" w:rsidP="00AB05FB">
      <w:pPr>
        <w:pStyle w:val="BNoteBold"/>
      </w:pPr>
      <w:r w:rsidRPr="00601709">
        <w:t>Note</w:t>
      </w:r>
      <w:r>
        <w:t>s</w:t>
      </w:r>
      <w:r w:rsidRPr="00601709">
        <w:t>:</w:t>
      </w:r>
    </w:p>
    <w:p w14:paraId="60A8CC32" w14:textId="77777777" w:rsidR="006C269A" w:rsidRDefault="006C269A" w:rsidP="00AB05FB">
      <w:pPr>
        <w:pStyle w:val="BNotelist"/>
        <w:numPr>
          <w:ilvl w:val="0"/>
          <w:numId w:val="0"/>
        </w:numPr>
        <w:ind w:left="360" w:hanging="360"/>
      </w:pPr>
      <w:r>
        <w:t>Numbers may not add due to rounding.</w:t>
      </w:r>
    </w:p>
    <w:p w14:paraId="46AE7E31" w14:textId="77777777" w:rsidR="006C269A" w:rsidRPr="00065B25" w:rsidRDefault="006C269A" w:rsidP="00AB05FB">
      <w:pPr>
        <w:pStyle w:val="BNotelist"/>
        <w:numPr>
          <w:ilvl w:val="0"/>
          <w:numId w:val="0"/>
        </w:numPr>
      </w:pPr>
      <w:r w:rsidRPr="00065B25">
        <w:t>A positive number denotes a cash inflow, a negative sign denotes a cash outflow.</w:t>
      </w:r>
    </w:p>
    <w:p w14:paraId="3AC02197" w14:textId="77777777" w:rsidR="006C269A" w:rsidRDefault="006C269A">
      <w:pPr>
        <w:rPr>
          <w:rFonts w:ascii="Calibri" w:eastAsiaTheme="majorEastAsia" w:hAnsi="Calibri" w:cstheme="majorBidi"/>
          <w:b/>
          <w:caps/>
          <w:color w:val="472D8C"/>
          <w:sz w:val="36"/>
          <w:szCs w:val="26"/>
        </w:rPr>
        <w:sectPr w:rsidR="006C269A" w:rsidSect="00542DA2">
          <w:headerReference w:type="even" r:id="rId15"/>
          <w:headerReference w:type="default" r:id="rId16"/>
          <w:footerReference w:type="even" r:id="rId17"/>
          <w:footerReference w:type="default" r:id="rId18"/>
          <w:headerReference w:type="first" r:id="rId19"/>
          <w:footerReference w:type="first" r:id="rId20"/>
          <w:pgSz w:w="11906" w:h="16838" w:code="9"/>
          <w:pgMar w:top="1151" w:right="1440" w:bottom="1729" w:left="1440" w:header="720" w:footer="720" w:gutter="0"/>
          <w:cols w:space="708"/>
          <w:docGrid w:linePitch="360"/>
        </w:sectPr>
      </w:pPr>
    </w:p>
    <w:p w14:paraId="77D5833B" w14:textId="77777777" w:rsidR="006C269A" w:rsidRDefault="006C269A" w:rsidP="006C269A">
      <w:pPr>
        <w:rPr>
          <w:rFonts w:ascii="Calibri" w:hAnsi="Calibri"/>
          <w:b/>
          <w:sz w:val="36"/>
        </w:rPr>
      </w:pPr>
    </w:p>
    <w:p w14:paraId="5518656B" w14:textId="77777777" w:rsidR="006C269A" w:rsidRDefault="006C269A" w:rsidP="006C269A">
      <w:pPr>
        <w:jc w:val="center"/>
        <w:rPr>
          <w:b/>
          <w:bCs/>
          <w:sz w:val="32"/>
          <w:szCs w:val="32"/>
        </w:rPr>
      </w:pPr>
    </w:p>
    <w:p w14:paraId="23F7A4CC" w14:textId="3E59C870" w:rsidR="006C269A" w:rsidRDefault="006C269A" w:rsidP="006C269A">
      <w:pPr>
        <w:jc w:val="center"/>
        <w:rPr>
          <w:b/>
          <w:bCs/>
          <w:sz w:val="32"/>
          <w:szCs w:val="32"/>
        </w:rPr>
      </w:pPr>
      <w:r w:rsidRPr="00A3203C">
        <w:rPr>
          <w:b/>
          <w:bCs/>
          <w:sz w:val="32"/>
          <w:szCs w:val="32"/>
        </w:rPr>
        <w:t xml:space="preserve">APPENDIX </w:t>
      </w:r>
      <w:r>
        <w:rPr>
          <w:b/>
          <w:bCs/>
          <w:sz w:val="32"/>
          <w:szCs w:val="32"/>
        </w:rPr>
        <w:t>E</w:t>
      </w:r>
    </w:p>
    <w:p w14:paraId="6E79E14D" w14:textId="77777777" w:rsidR="006C269A" w:rsidRDefault="006C269A" w:rsidP="006C269A">
      <w:pPr>
        <w:jc w:val="center"/>
        <w:rPr>
          <w:b/>
          <w:bCs/>
          <w:sz w:val="32"/>
          <w:szCs w:val="32"/>
        </w:rPr>
      </w:pPr>
    </w:p>
    <w:p w14:paraId="54C533D8" w14:textId="77777777" w:rsidR="006C269A" w:rsidRPr="00A3203C" w:rsidRDefault="006C269A" w:rsidP="006C269A">
      <w:pPr>
        <w:jc w:val="center"/>
        <w:rPr>
          <w:b/>
          <w:bCs/>
          <w:sz w:val="32"/>
          <w:szCs w:val="32"/>
        </w:rPr>
      </w:pPr>
    </w:p>
    <w:p w14:paraId="2C62BC76" w14:textId="77777777" w:rsidR="006C269A" w:rsidRDefault="006C269A" w:rsidP="006C269A">
      <w:pPr>
        <w:jc w:val="center"/>
        <w:rPr>
          <w:b/>
          <w:bCs/>
          <w:sz w:val="32"/>
          <w:szCs w:val="32"/>
        </w:rPr>
      </w:pPr>
      <w:r>
        <w:rPr>
          <w:b/>
          <w:bCs/>
          <w:sz w:val="32"/>
          <w:szCs w:val="32"/>
        </w:rPr>
        <w:t>CONSOLIDATED FINANCIAL STATEMENTS</w:t>
      </w:r>
    </w:p>
    <w:p w14:paraId="62E4D049" w14:textId="639A67F6" w:rsidR="006C269A" w:rsidRPr="00A3203C" w:rsidRDefault="006C269A" w:rsidP="006C269A">
      <w:pPr>
        <w:jc w:val="center"/>
        <w:rPr>
          <w:b/>
          <w:bCs/>
          <w:sz w:val="32"/>
          <w:szCs w:val="32"/>
        </w:rPr>
      </w:pPr>
      <w:r>
        <w:rPr>
          <w:b/>
          <w:bCs/>
          <w:sz w:val="32"/>
          <w:szCs w:val="32"/>
        </w:rPr>
        <w:t>TOTAL TERRITORY</w:t>
      </w:r>
    </w:p>
    <w:p w14:paraId="2F2C0A73" w14:textId="3593294A" w:rsidR="006C269A" w:rsidRDefault="006C269A">
      <w:pPr>
        <w:rPr>
          <w:rFonts w:ascii="Calibri" w:eastAsiaTheme="majorEastAsia" w:hAnsi="Calibri" w:cstheme="majorBidi"/>
          <w:b/>
          <w:caps/>
          <w:color w:val="472D8C"/>
          <w:sz w:val="36"/>
          <w:szCs w:val="26"/>
        </w:rPr>
      </w:pPr>
      <w:r>
        <w:rPr>
          <w:rFonts w:ascii="Calibri" w:eastAsiaTheme="majorEastAsia" w:hAnsi="Calibri" w:cstheme="majorBidi"/>
          <w:b/>
          <w:caps/>
          <w:color w:val="472D8C"/>
          <w:sz w:val="36"/>
          <w:szCs w:val="26"/>
        </w:rPr>
        <w:br w:type="page"/>
      </w:r>
    </w:p>
    <w:p w14:paraId="69A3C0AA" w14:textId="77777777" w:rsidR="006C269A" w:rsidRDefault="006C269A">
      <w:pPr>
        <w:rPr>
          <w:rFonts w:ascii="Calibri" w:eastAsiaTheme="majorEastAsia" w:hAnsi="Calibri" w:cstheme="majorBidi"/>
          <w:b/>
          <w:caps/>
          <w:color w:val="472D8C"/>
          <w:sz w:val="36"/>
          <w:szCs w:val="26"/>
        </w:rPr>
      </w:pPr>
    </w:p>
    <w:p w14:paraId="147AF533" w14:textId="3CD8D16F" w:rsidR="00DD0834" w:rsidRPr="00930757" w:rsidRDefault="00DD0834" w:rsidP="003B6997">
      <w:pPr>
        <w:pStyle w:val="Heading2"/>
        <w:numPr>
          <w:ilvl w:val="0"/>
          <w:numId w:val="0"/>
        </w:numPr>
        <w:ind w:left="709" w:hanging="709"/>
      </w:pPr>
      <w:bookmarkStart w:id="6" w:name="_Toc84300600"/>
      <w:r>
        <w:t>Appendix E – C</w:t>
      </w:r>
      <w:r w:rsidR="008978CE">
        <w:t>onsolidated</w:t>
      </w:r>
      <w:r>
        <w:t xml:space="preserve"> F</w:t>
      </w:r>
      <w:r w:rsidR="008978CE">
        <w:t>inancial</w:t>
      </w:r>
      <w:r>
        <w:t xml:space="preserve"> S</w:t>
      </w:r>
      <w:r w:rsidR="008978CE">
        <w:t>tatements</w:t>
      </w:r>
      <w:r>
        <w:t xml:space="preserve"> – </w:t>
      </w:r>
      <w:r w:rsidR="008978CE">
        <w:t>T</w:t>
      </w:r>
      <w:r>
        <w:t xml:space="preserve">otal </w:t>
      </w:r>
      <w:r w:rsidR="008978CE">
        <w:t>T</w:t>
      </w:r>
      <w:r>
        <w:t>erritory</w:t>
      </w:r>
      <w:bookmarkEnd w:id="6"/>
    </w:p>
    <w:p w14:paraId="4C1D6E6F" w14:textId="10AC7C47" w:rsidR="00DD0834" w:rsidRDefault="00DD0834" w:rsidP="00111524">
      <w:pPr>
        <w:pStyle w:val="Caption"/>
      </w:pPr>
      <w:r>
        <w:t>Table E.</w:t>
      </w:r>
      <w:fldSimple w:instr=" SEQ Table \* ARABIC \s 2 ">
        <w:r w:rsidR="001478F3">
          <w:rPr>
            <w:noProof/>
          </w:rPr>
          <w:t>1</w:t>
        </w:r>
      </w:fldSimple>
      <w:r>
        <w:t>: Australian Capital Territory Consolidated Total Territory – Operating Statement</w:t>
      </w:r>
    </w:p>
    <w:tbl>
      <w:tblPr>
        <w:tblW w:w="9087" w:type="dxa"/>
        <w:jc w:val="center"/>
        <w:tblLayout w:type="fixed"/>
        <w:tblCellMar>
          <w:left w:w="45" w:type="dxa"/>
          <w:right w:w="45" w:type="dxa"/>
        </w:tblCellMar>
        <w:tblLook w:val="0000" w:firstRow="0" w:lastRow="0" w:firstColumn="0" w:lastColumn="0" w:noHBand="0" w:noVBand="0"/>
      </w:tblPr>
      <w:tblGrid>
        <w:gridCol w:w="2869"/>
        <w:gridCol w:w="1020"/>
        <w:gridCol w:w="1069"/>
        <w:gridCol w:w="1020"/>
        <w:gridCol w:w="1020"/>
        <w:gridCol w:w="1020"/>
        <w:gridCol w:w="1020"/>
        <w:gridCol w:w="49"/>
      </w:tblGrid>
      <w:tr w:rsidR="00DD0834" w:rsidRPr="006D5D15" w14:paraId="444EFF6C" w14:textId="77777777" w:rsidTr="003B6997">
        <w:trPr>
          <w:cantSplit/>
          <w:tblHeader/>
          <w:jc w:val="center"/>
        </w:trPr>
        <w:tc>
          <w:tcPr>
            <w:tcW w:w="2869" w:type="dxa"/>
            <w:tcBorders>
              <w:top w:val="single" w:sz="4" w:space="0" w:color="auto"/>
              <w:left w:val="nil"/>
              <w:bottom w:val="single" w:sz="4" w:space="0" w:color="auto"/>
              <w:right w:val="nil"/>
            </w:tcBorders>
            <w:shd w:val="clear" w:color="auto" w:fill="472D8C"/>
            <w:noWrap/>
          </w:tcPr>
          <w:p w14:paraId="2022680D" w14:textId="77777777" w:rsidR="00DD0834" w:rsidRPr="00F25F0C" w:rsidRDefault="00DD0834" w:rsidP="003B6997">
            <w:pPr>
              <w:pStyle w:val="EmptyCell0"/>
              <w:rPr>
                <w:rFonts w:eastAsia="SimSun"/>
              </w:rPr>
            </w:pPr>
          </w:p>
        </w:tc>
        <w:tc>
          <w:tcPr>
            <w:tcW w:w="1020" w:type="dxa"/>
            <w:tcBorders>
              <w:top w:val="single" w:sz="4" w:space="0" w:color="auto"/>
              <w:left w:val="nil"/>
              <w:bottom w:val="single" w:sz="4" w:space="0" w:color="auto"/>
              <w:right w:val="nil"/>
            </w:tcBorders>
            <w:shd w:val="clear" w:color="auto" w:fill="472D8C"/>
          </w:tcPr>
          <w:p w14:paraId="62FE7863" w14:textId="77777777" w:rsidR="00DD0834" w:rsidRPr="006D5D15" w:rsidRDefault="00DD0834" w:rsidP="003B6997">
            <w:pPr>
              <w:pStyle w:val="BStableheading"/>
              <w:framePr w:wrap="auto" w:vAnchor="margin" w:yAlign="inline"/>
              <w:rPr>
                <w:rFonts w:eastAsia="SimSun"/>
                <w:color w:val="FFFFFF" w:themeColor="background1"/>
                <w:lang w:val="en-AU"/>
              </w:rPr>
            </w:pPr>
            <w:r>
              <w:rPr>
                <w:rFonts w:eastAsia="SimSun"/>
                <w:color w:val="FFFFFF" w:themeColor="background1"/>
                <w:lang w:val="en-AU"/>
              </w:rPr>
              <w:t>2020-21</w:t>
            </w:r>
          </w:p>
          <w:p w14:paraId="575D5A9C" w14:textId="77777777" w:rsidR="00DD0834" w:rsidRPr="006D5D15" w:rsidRDefault="00DD0834" w:rsidP="003B6997">
            <w:pPr>
              <w:pStyle w:val="BStableheading"/>
              <w:framePr w:wrap="auto" w:vAnchor="margin" w:yAlign="inline"/>
              <w:rPr>
                <w:rFonts w:eastAsia="SimSun"/>
                <w:color w:val="FFFFFF" w:themeColor="background1"/>
                <w:lang w:val="en-AU"/>
              </w:rPr>
            </w:pPr>
            <w:r w:rsidRPr="006D5D15">
              <w:rPr>
                <w:rFonts w:eastAsia="SimSun"/>
                <w:color w:val="FFFFFF" w:themeColor="background1"/>
                <w:lang w:val="en-AU"/>
              </w:rPr>
              <w:t>Budget</w:t>
            </w:r>
          </w:p>
          <w:p w14:paraId="3369FB0C" w14:textId="77777777" w:rsidR="00DD0834" w:rsidRDefault="00DD0834" w:rsidP="003B6997">
            <w:pPr>
              <w:pStyle w:val="BStableheading"/>
              <w:framePr w:wrap="around"/>
              <w:rPr>
                <w:rFonts w:eastAsia="SimSun"/>
                <w:color w:val="FFFFFF" w:themeColor="background1"/>
                <w:lang w:val="en-AU"/>
              </w:rPr>
            </w:pPr>
          </w:p>
          <w:p w14:paraId="03D0D62D"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tcBorders>
              <w:top w:val="single" w:sz="4" w:space="0" w:color="auto"/>
              <w:left w:val="nil"/>
              <w:bottom w:val="single" w:sz="4" w:space="0" w:color="auto"/>
              <w:right w:val="nil"/>
            </w:tcBorders>
            <w:shd w:val="clear" w:color="auto" w:fill="472D8C"/>
            <w:noWrap/>
          </w:tcPr>
          <w:p w14:paraId="7DB53584"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2BD2F97F" w14:textId="77777777" w:rsidR="00DD0834" w:rsidRPr="006D5D15" w:rsidRDefault="00DD0834" w:rsidP="003B6997">
            <w:pPr>
              <w:pStyle w:val="BStableheading"/>
              <w:framePr w:wrap="around"/>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57BA5062"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21AA91E0"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27AB02C9"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Budget</w:t>
            </w:r>
          </w:p>
          <w:p w14:paraId="6696ACA3" w14:textId="77777777" w:rsidR="00DD0834" w:rsidRPr="006D5D15" w:rsidRDefault="00DD0834" w:rsidP="003B6997">
            <w:pPr>
              <w:pStyle w:val="BStableheading"/>
              <w:framePr w:wrap="around"/>
              <w:rPr>
                <w:rFonts w:eastAsia="SimSun"/>
                <w:color w:val="FFFFFF" w:themeColor="background1"/>
                <w:lang w:val="en-AU"/>
              </w:rPr>
            </w:pPr>
          </w:p>
          <w:p w14:paraId="3D69DE54"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218312AF"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3C709911"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46AD04AE" w14:textId="77777777" w:rsidR="00DD0834" w:rsidRPr="006D5D15" w:rsidRDefault="00DD0834" w:rsidP="003B6997">
            <w:pPr>
              <w:pStyle w:val="BStableheading"/>
              <w:framePr w:wrap="around"/>
              <w:rPr>
                <w:rFonts w:eastAsia="SimSun"/>
                <w:color w:val="FFFFFF" w:themeColor="background1"/>
                <w:lang w:val="en-AU"/>
              </w:rPr>
            </w:pPr>
          </w:p>
          <w:p w14:paraId="76996970"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766EF2E8"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1969ACFD"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061E1F62" w14:textId="77777777" w:rsidR="00DD0834" w:rsidRPr="006D5D15" w:rsidRDefault="00DD0834" w:rsidP="003B6997">
            <w:pPr>
              <w:pStyle w:val="BStableheading"/>
              <w:framePr w:wrap="around"/>
              <w:rPr>
                <w:rFonts w:eastAsia="SimSun"/>
                <w:color w:val="FFFFFF" w:themeColor="background1"/>
                <w:lang w:val="en-AU"/>
              </w:rPr>
            </w:pPr>
          </w:p>
          <w:p w14:paraId="4CA6B24A"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69" w:type="dxa"/>
            <w:gridSpan w:val="2"/>
            <w:tcBorders>
              <w:top w:val="single" w:sz="4" w:space="0" w:color="auto"/>
              <w:left w:val="nil"/>
              <w:bottom w:val="single" w:sz="4" w:space="0" w:color="auto"/>
              <w:right w:val="nil"/>
            </w:tcBorders>
            <w:shd w:val="clear" w:color="auto" w:fill="472D8C"/>
            <w:noWrap/>
          </w:tcPr>
          <w:p w14:paraId="3212A9DC"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110B22C2"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73412B0A" w14:textId="77777777" w:rsidR="00DD0834" w:rsidRPr="006D5D15" w:rsidRDefault="00DD0834" w:rsidP="003B6997">
            <w:pPr>
              <w:pStyle w:val="BStableheading"/>
              <w:framePr w:wrap="around"/>
              <w:rPr>
                <w:rFonts w:eastAsia="SimSun"/>
                <w:color w:val="FFFFFF" w:themeColor="background1"/>
                <w:lang w:val="en-AU"/>
              </w:rPr>
            </w:pPr>
          </w:p>
          <w:p w14:paraId="261D122D"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r>
      <w:tr w:rsidR="00DD0834" w:rsidRPr="00F9704D" w14:paraId="3649525D" w14:textId="77777777" w:rsidTr="003B6997">
        <w:trPr>
          <w:cantSplit/>
          <w:trHeight w:val="20"/>
          <w:jc w:val="center"/>
        </w:trPr>
        <w:tc>
          <w:tcPr>
            <w:tcW w:w="2869" w:type="dxa"/>
            <w:shd w:val="clear" w:color="auto" w:fill="auto"/>
            <w:noWrap/>
          </w:tcPr>
          <w:p w14:paraId="25A9991E" w14:textId="77777777" w:rsidR="00DD0834" w:rsidRPr="00AE3D6E" w:rsidRDefault="00DD0834" w:rsidP="003B6997">
            <w:pPr>
              <w:pStyle w:val="BStabletextbold"/>
            </w:pPr>
            <w:r w:rsidRPr="00CA5883">
              <w:t>Revenue</w:t>
            </w:r>
          </w:p>
        </w:tc>
        <w:tc>
          <w:tcPr>
            <w:tcW w:w="1020" w:type="dxa"/>
            <w:shd w:val="clear" w:color="auto" w:fill="auto"/>
          </w:tcPr>
          <w:p w14:paraId="7663E74A" w14:textId="77777777" w:rsidR="00DD0834" w:rsidRPr="00F9704D" w:rsidRDefault="00DD0834" w:rsidP="003B6997">
            <w:pPr>
              <w:pStyle w:val="Btablefigureunbold"/>
              <w:rPr>
                <w:rFonts w:eastAsia="SimSun"/>
                <w:highlight w:val="yellow"/>
              </w:rPr>
            </w:pPr>
            <w:r w:rsidRPr="00FA07D8">
              <w:rPr>
                <w:highlight w:val="yellow"/>
              </w:rPr>
              <w:t xml:space="preserve"> </w:t>
            </w:r>
          </w:p>
        </w:tc>
        <w:tc>
          <w:tcPr>
            <w:tcW w:w="1069" w:type="dxa"/>
            <w:shd w:val="clear" w:color="auto" w:fill="auto"/>
            <w:noWrap/>
          </w:tcPr>
          <w:p w14:paraId="71AD0874" w14:textId="77777777" w:rsidR="00DD0834" w:rsidRPr="00F9704D" w:rsidRDefault="00DD0834" w:rsidP="003B6997">
            <w:pPr>
              <w:pStyle w:val="Btablefigureunbold"/>
              <w:rPr>
                <w:rFonts w:eastAsia="SimSun"/>
                <w:highlight w:val="yellow"/>
              </w:rPr>
            </w:pPr>
            <w:r w:rsidRPr="00FA07D8">
              <w:rPr>
                <w:highlight w:val="yellow"/>
              </w:rPr>
              <w:t xml:space="preserve"> </w:t>
            </w:r>
          </w:p>
        </w:tc>
        <w:tc>
          <w:tcPr>
            <w:tcW w:w="1020" w:type="dxa"/>
            <w:shd w:val="clear" w:color="auto" w:fill="auto"/>
            <w:noWrap/>
          </w:tcPr>
          <w:p w14:paraId="162A2CAD" w14:textId="77777777" w:rsidR="00DD0834" w:rsidRPr="00F9704D" w:rsidRDefault="00DD0834" w:rsidP="003B6997">
            <w:pPr>
              <w:pStyle w:val="Btablefigureunbold"/>
              <w:rPr>
                <w:rFonts w:eastAsia="SimSun"/>
                <w:highlight w:val="yellow"/>
              </w:rPr>
            </w:pPr>
            <w:r w:rsidRPr="00FA07D8">
              <w:rPr>
                <w:highlight w:val="yellow"/>
              </w:rPr>
              <w:t xml:space="preserve"> </w:t>
            </w:r>
          </w:p>
        </w:tc>
        <w:tc>
          <w:tcPr>
            <w:tcW w:w="1020" w:type="dxa"/>
            <w:shd w:val="clear" w:color="auto" w:fill="auto"/>
            <w:noWrap/>
          </w:tcPr>
          <w:p w14:paraId="6B0096ED" w14:textId="77777777" w:rsidR="00DD0834" w:rsidRPr="00F9704D" w:rsidRDefault="00DD0834" w:rsidP="003B6997">
            <w:pPr>
              <w:pStyle w:val="Btablefigureunbold"/>
              <w:rPr>
                <w:rFonts w:eastAsia="SimSun"/>
                <w:highlight w:val="yellow"/>
              </w:rPr>
            </w:pPr>
            <w:r w:rsidRPr="00FA07D8">
              <w:rPr>
                <w:highlight w:val="yellow"/>
              </w:rPr>
              <w:t xml:space="preserve"> </w:t>
            </w:r>
          </w:p>
        </w:tc>
        <w:tc>
          <w:tcPr>
            <w:tcW w:w="1020" w:type="dxa"/>
            <w:shd w:val="clear" w:color="auto" w:fill="auto"/>
            <w:noWrap/>
          </w:tcPr>
          <w:p w14:paraId="10AAF724" w14:textId="77777777" w:rsidR="00DD0834" w:rsidRPr="00F9704D" w:rsidRDefault="00DD0834" w:rsidP="003B6997">
            <w:pPr>
              <w:pStyle w:val="Btablefigureunbold"/>
              <w:rPr>
                <w:rFonts w:eastAsia="SimSun"/>
                <w:highlight w:val="yellow"/>
              </w:rPr>
            </w:pPr>
            <w:r w:rsidRPr="00FA07D8">
              <w:rPr>
                <w:highlight w:val="yellow"/>
              </w:rPr>
              <w:t xml:space="preserve"> </w:t>
            </w:r>
          </w:p>
        </w:tc>
        <w:tc>
          <w:tcPr>
            <w:tcW w:w="1069" w:type="dxa"/>
            <w:gridSpan w:val="2"/>
            <w:shd w:val="clear" w:color="auto" w:fill="auto"/>
            <w:noWrap/>
          </w:tcPr>
          <w:p w14:paraId="09D7C911" w14:textId="77777777" w:rsidR="00DD0834" w:rsidRPr="00F9704D" w:rsidRDefault="00DD0834" w:rsidP="003B6997">
            <w:pPr>
              <w:pStyle w:val="Btablefigureunbold"/>
              <w:rPr>
                <w:rFonts w:eastAsia="SimSun"/>
                <w:highlight w:val="yellow"/>
              </w:rPr>
            </w:pPr>
            <w:r w:rsidRPr="00FA07D8">
              <w:rPr>
                <w:highlight w:val="yellow"/>
              </w:rPr>
              <w:t xml:space="preserve"> </w:t>
            </w:r>
          </w:p>
        </w:tc>
      </w:tr>
      <w:tr w:rsidR="00DD0834" w:rsidRPr="007A3A83" w14:paraId="65831E74" w14:textId="77777777" w:rsidTr="003B6997">
        <w:trPr>
          <w:cantSplit/>
          <w:trHeight w:val="20"/>
          <w:jc w:val="center"/>
        </w:trPr>
        <w:tc>
          <w:tcPr>
            <w:tcW w:w="2869" w:type="dxa"/>
            <w:shd w:val="clear" w:color="auto" w:fill="auto"/>
            <w:noWrap/>
          </w:tcPr>
          <w:p w14:paraId="35E994AD" w14:textId="77777777" w:rsidR="00DD0834" w:rsidRPr="00AE3D6E" w:rsidRDefault="00DD0834" w:rsidP="003B6997">
            <w:pPr>
              <w:pStyle w:val="BStabletext"/>
            </w:pPr>
            <w:r w:rsidRPr="00CA5883">
              <w:t>Taxation revenue</w:t>
            </w:r>
          </w:p>
        </w:tc>
        <w:tc>
          <w:tcPr>
            <w:tcW w:w="1020" w:type="dxa"/>
            <w:shd w:val="clear" w:color="auto" w:fill="auto"/>
          </w:tcPr>
          <w:p w14:paraId="5CF970FC" w14:textId="77777777" w:rsidR="00DD0834" w:rsidRPr="00AE06B2" w:rsidRDefault="00DD0834" w:rsidP="003B6997">
            <w:pPr>
              <w:pStyle w:val="Btablefigureunbold"/>
            </w:pPr>
            <w:r w:rsidRPr="00AE06B2">
              <w:t>1,942,373</w:t>
            </w:r>
          </w:p>
        </w:tc>
        <w:tc>
          <w:tcPr>
            <w:tcW w:w="1069" w:type="dxa"/>
            <w:shd w:val="clear" w:color="auto" w:fill="auto"/>
            <w:noWrap/>
          </w:tcPr>
          <w:p w14:paraId="68705FF7" w14:textId="77777777" w:rsidR="00DD0834" w:rsidRPr="00AE06B2" w:rsidRDefault="00DD0834" w:rsidP="003B6997">
            <w:pPr>
              <w:pStyle w:val="Btablefigureunbold"/>
              <w:rPr>
                <w:highlight w:val="yellow"/>
              </w:rPr>
            </w:pPr>
            <w:r w:rsidRPr="00AE06B2">
              <w:t>1,994,644</w:t>
            </w:r>
          </w:p>
        </w:tc>
        <w:tc>
          <w:tcPr>
            <w:tcW w:w="1020" w:type="dxa"/>
            <w:shd w:val="clear" w:color="auto" w:fill="auto"/>
            <w:noWrap/>
          </w:tcPr>
          <w:p w14:paraId="3A1E8091" w14:textId="77777777" w:rsidR="00DD0834" w:rsidRPr="00AE06B2" w:rsidRDefault="00DD0834" w:rsidP="003B6997">
            <w:pPr>
              <w:pStyle w:val="Btablefigureunbold"/>
            </w:pPr>
            <w:r w:rsidRPr="00AE06B2">
              <w:t>2,163,866</w:t>
            </w:r>
          </w:p>
        </w:tc>
        <w:tc>
          <w:tcPr>
            <w:tcW w:w="1020" w:type="dxa"/>
            <w:shd w:val="clear" w:color="auto" w:fill="auto"/>
            <w:noWrap/>
          </w:tcPr>
          <w:p w14:paraId="3F36FB7D" w14:textId="77777777" w:rsidR="00DD0834" w:rsidRPr="00AE06B2" w:rsidRDefault="00DD0834" w:rsidP="003B6997">
            <w:pPr>
              <w:pStyle w:val="Btablefigureunbold"/>
            </w:pPr>
            <w:r w:rsidRPr="00AE06B2">
              <w:t>2,289,443</w:t>
            </w:r>
          </w:p>
        </w:tc>
        <w:tc>
          <w:tcPr>
            <w:tcW w:w="1020" w:type="dxa"/>
            <w:shd w:val="clear" w:color="auto" w:fill="auto"/>
            <w:noWrap/>
          </w:tcPr>
          <w:p w14:paraId="3B5AC8D2" w14:textId="77777777" w:rsidR="00DD0834" w:rsidRPr="00AE06B2" w:rsidRDefault="00DD0834" w:rsidP="003B6997">
            <w:pPr>
              <w:pStyle w:val="Btablefigureunbold"/>
            </w:pPr>
            <w:r w:rsidRPr="00AE06B2">
              <w:t>2,344,133</w:t>
            </w:r>
          </w:p>
        </w:tc>
        <w:tc>
          <w:tcPr>
            <w:tcW w:w="1069" w:type="dxa"/>
            <w:gridSpan w:val="2"/>
            <w:shd w:val="clear" w:color="auto" w:fill="auto"/>
            <w:noWrap/>
          </w:tcPr>
          <w:p w14:paraId="24D6F509" w14:textId="77777777" w:rsidR="00DD0834" w:rsidRPr="00AE06B2" w:rsidRDefault="00DD0834" w:rsidP="003B6997">
            <w:pPr>
              <w:pStyle w:val="Btablefigureunbold"/>
            </w:pPr>
            <w:r w:rsidRPr="00AE06B2">
              <w:t>2,462,524</w:t>
            </w:r>
          </w:p>
        </w:tc>
      </w:tr>
      <w:tr w:rsidR="00DD0834" w:rsidRPr="007A3A83" w14:paraId="7C8AA5A1" w14:textId="77777777" w:rsidTr="003B6997">
        <w:trPr>
          <w:cantSplit/>
          <w:trHeight w:val="20"/>
          <w:jc w:val="center"/>
        </w:trPr>
        <w:tc>
          <w:tcPr>
            <w:tcW w:w="2869" w:type="dxa"/>
            <w:shd w:val="clear" w:color="auto" w:fill="auto"/>
            <w:noWrap/>
          </w:tcPr>
          <w:p w14:paraId="72342D37" w14:textId="77777777" w:rsidR="00DD0834" w:rsidRPr="00AE3D6E" w:rsidRDefault="00DD0834" w:rsidP="003B6997">
            <w:pPr>
              <w:pStyle w:val="BStabletext"/>
              <w:rPr>
                <w:lang w:val="en-US"/>
              </w:rPr>
            </w:pPr>
            <w:r w:rsidRPr="00CA5883">
              <w:t>Commonwealth grants</w:t>
            </w:r>
          </w:p>
        </w:tc>
        <w:tc>
          <w:tcPr>
            <w:tcW w:w="1020" w:type="dxa"/>
            <w:shd w:val="clear" w:color="auto" w:fill="auto"/>
          </w:tcPr>
          <w:p w14:paraId="56B79875" w14:textId="77777777" w:rsidR="00DD0834" w:rsidRPr="00AE06B2" w:rsidRDefault="00DD0834" w:rsidP="003B6997">
            <w:pPr>
              <w:pStyle w:val="Btablefigureunbold"/>
            </w:pPr>
            <w:r w:rsidRPr="00AE06B2">
              <w:t>2,380,609</w:t>
            </w:r>
          </w:p>
        </w:tc>
        <w:tc>
          <w:tcPr>
            <w:tcW w:w="1069" w:type="dxa"/>
            <w:shd w:val="clear" w:color="auto" w:fill="auto"/>
            <w:noWrap/>
          </w:tcPr>
          <w:p w14:paraId="5C60958C" w14:textId="77777777" w:rsidR="00DD0834" w:rsidRPr="00AE06B2" w:rsidRDefault="00DD0834" w:rsidP="003B6997">
            <w:pPr>
              <w:pStyle w:val="Btablefigureunbold"/>
            </w:pPr>
            <w:r w:rsidRPr="00AE06B2">
              <w:t>2,509,196</w:t>
            </w:r>
          </w:p>
        </w:tc>
        <w:tc>
          <w:tcPr>
            <w:tcW w:w="1020" w:type="dxa"/>
            <w:shd w:val="clear" w:color="auto" w:fill="auto"/>
            <w:noWrap/>
          </w:tcPr>
          <w:p w14:paraId="0055FBEC" w14:textId="77777777" w:rsidR="00DD0834" w:rsidRPr="00AE06B2" w:rsidRDefault="00DD0834" w:rsidP="003B6997">
            <w:pPr>
              <w:pStyle w:val="Btablefigureunbold"/>
            </w:pPr>
            <w:r w:rsidRPr="00AE06B2">
              <w:t>2,767,551</w:t>
            </w:r>
          </w:p>
        </w:tc>
        <w:tc>
          <w:tcPr>
            <w:tcW w:w="1020" w:type="dxa"/>
            <w:shd w:val="clear" w:color="auto" w:fill="auto"/>
            <w:noWrap/>
          </w:tcPr>
          <w:p w14:paraId="7DAE3AF6" w14:textId="77777777" w:rsidR="00DD0834" w:rsidRPr="00AE06B2" w:rsidRDefault="00DD0834" w:rsidP="003B6997">
            <w:pPr>
              <w:pStyle w:val="Btablefigureunbold"/>
            </w:pPr>
            <w:r w:rsidRPr="00AE06B2">
              <w:t>2,737,053</w:t>
            </w:r>
          </w:p>
        </w:tc>
        <w:tc>
          <w:tcPr>
            <w:tcW w:w="1020" w:type="dxa"/>
            <w:shd w:val="clear" w:color="auto" w:fill="auto"/>
            <w:noWrap/>
          </w:tcPr>
          <w:p w14:paraId="2018F258" w14:textId="77777777" w:rsidR="00DD0834" w:rsidRPr="00AE06B2" w:rsidRDefault="00DD0834" w:rsidP="003B6997">
            <w:pPr>
              <w:pStyle w:val="Btablefigureunbold"/>
            </w:pPr>
            <w:r w:rsidRPr="00AE06B2">
              <w:t>2,865,514</w:t>
            </w:r>
          </w:p>
        </w:tc>
        <w:tc>
          <w:tcPr>
            <w:tcW w:w="1069" w:type="dxa"/>
            <w:gridSpan w:val="2"/>
            <w:shd w:val="clear" w:color="auto" w:fill="auto"/>
            <w:noWrap/>
          </w:tcPr>
          <w:p w14:paraId="7815EF4F" w14:textId="77777777" w:rsidR="00DD0834" w:rsidRPr="00AE06B2" w:rsidRDefault="00DD0834" w:rsidP="003B6997">
            <w:pPr>
              <w:pStyle w:val="Btablefigureunbold"/>
            </w:pPr>
            <w:r w:rsidRPr="00AE06B2">
              <w:t>2,859,841</w:t>
            </w:r>
          </w:p>
        </w:tc>
      </w:tr>
      <w:tr w:rsidR="00DD0834" w:rsidRPr="007A3A83" w14:paraId="261B2E87" w14:textId="77777777" w:rsidTr="003B6997">
        <w:trPr>
          <w:cantSplit/>
          <w:trHeight w:val="20"/>
          <w:jc w:val="center"/>
        </w:trPr>
        <w:tc>
          <w:tcPr>
            <w:tcW w:w="2869" w:type="dxa"/>
            <w:shd w:val="clear" w:color="auto" w:fill="auto"/>
          </w:tcPr>
          <w:p w14:paraId="6E00FC1C" w14:textId="77777777" w:rsidR="00DD0834" w:rsidRPr="00AE3D6E" w:rsidRDefault="00DD0834" w:rsidP="003B6997">
            <w:pPr>
              <w:pStyle w:val="BStabletext"/>
            </w:pPr>
            <w:r w:rsidRPr="00CA5883">
              <w:t xml:space="preserve">Sales of goods and services </w:t>
            </w:r>
          </w:p>
        </w:tc>
        <w:tc>
          <w:tcPr>
            <w:tcW w:w="1020" w:type="dxa"/>
            <w:shd w:val="clear" w:color="auto" w:fill="auto"/>
          </w:tcPr>
          <w:p w14:paraId="36D4AA4B" w14:textId="77777777" w:rsidR="00DD0834" w:rsidRPr="00AE06B2" w:rsidRDefault="00DD0834" w:rsidP="003B6997">
            <w:pPr>
              <w:pStyle w:val="Btablefigureunbold"/>
            </w:pPr>
          </w:p>
        </w:tc>
        <w:tc>
          <w:tcPr>
            <w:tcW w:w="1069" w:type="dxa"/>
            <w:shd w:val="clear" w:color="auto" w:fill="auto"/>
            <w:noWrap/>
          </w:tcPr>
          <w:p w14:paraId="1795DD49" w14:textId="77777777" w:rsidR="00DD0834" w:rsidRPr="00AE06B2" w:rsidRDefault="00DD0834" w:rsidP="003B6997">
            <w:pPr>
              <w:pStyle w:val="Btablefigureunbold"/>
            </w:pPr>
          </w:p>
        </w:tc>
        <w:tc>
          <w:tcPr>
            <w:tcW w:w="1020" w:type="dxa"/>
            <w:shd w:val="clear" w:color="auto" w:fill="auto"/>
            <w:noWrap/>
          </w:tcPr>
          <w:p w14:paraId="6B56EB6B" w14:textId="77777777" w:rsidR="00DD0834" w:rsidRPr="00AE06B2" w:rsidRDefault="00DD0834" w:rsidP="003B6997">
            <w:pPr>
              <w:pStyle w:val="Btablefigureunbold"/>
            </w:pPr>
            <w:r w:rsidRPr="00AE06B2">
              <w:t> </w:t>
            </w:r>
          </w:p>
        </w:tc>
        <w:tc>
          <w:tcPr>
            <w:tcW w:w="1020" w:type="dxa"/>
            <w:shd w:val="clear" w:color="auto" w:fill="auto"/>
            <w:noWrap/>
          </w:tcPr>
          <w:p w14:paraId="00926707" w14:textId="77777777" w:rsidR="00DD0834" w:rsidRPr="00AE06B2" w:rsidRDefault="00DD0834" w:rsidP="003B6997">
            <w:pPr>
              <w:pStyle w:val="Btablefigureunbold"/>
            </w:pPr>
            <w:r w:rsidRPr="00AE06B2">
              <w:t> </w:t>
            </w:r>
          </w:p>
        </w:tc>
        <w:tc>
          <w:tcPr>
            <w:tcW w:w="1020" w:type="dxa"/>
            <w:shd w:val="clear" w:color="auto" w:fill="auto"/>
            <w:noWrap/>
          </w:tcPr>
          <w:p w14:paraId="0B873477" w14:textId="77777777" w:rsidR="00DD0834" w:rsidRPr="00AE06B2" w:rsidRDefault="00DD0834" w:rsidP="003B6997">
            <w:pPr>
              <w:pStyle w:val="Btablefigureunbold"/>
            </w:pPr>
            <w:r w:rsidRPr="00AE06B2">
              <w:t> </w:t>
            </w:r>
          </w:p>
        </w:tc>
        <w:tc>
          <w:tcPr>
            <w:tcW w:w="1069" w:type="dxa"/>
            <w:gridSpan w:val="2"/>
            <w:shd w:val="clear" w:color="auto" w:fill="auto"/>
            <w:noWrap/>
          </w:tcPr>
          <w:p w14:paraId="5CF46031" w14:textId="77777777" w:rsidR="00DD0834" w:rsidRPr="00AE06B2" w:rsidRDefault="00DD0834" w:rsidP="003B6997">
            <w:pPr>
              <w:pStyle w:val="Btablefigureunbold"/>
            </w:pPr>
            <w:r w:rsidRPr="00AE06B2">
              <w:t> </w:t>
            </w:r>
          </w:p>
        </w:tc>
      </w:tr>
      <w:tr w:rsidR="00DD0834" w:rsidRPr="007A3A83" w14:paraId="17C96100" w14:textId="77777777" w:rsidTr="003B6997">
        <w:trPr>
          <w:cantSplit/>
          <w:trHeight w:val="20"/>
          <w:jc w:val="center"/>
        </w:trPr>
        <w:tc>
          <w:tcPr>
            <w:tcW w:w="2869" w:type="dxa"/>
            <w:shd w:val="clear" w:color="auto" w:fill="auto"/>
          </w:tcPr>
          <w:p w14:paraId="7BD4B06E" w14:textId="77777777" w:rsidR="00DD0834" w:rsidRDefault="00DD0834" w:rsidP="003B6997">
            <w:pPr>
              <w:pStyle w:val="BStabletext"/>
              <w:ind w:left="465"/>
            </w:pPr>
            <w:r w:rsidRPr="00CA5883">
              <w:t>Revenue from associates and joint ventures</w:t>
            </w:r>
          </w:p>
        </w:tc>
        <w:tc>
          <w:tcPr>
            <w:tcW w:w="1020" w:type="dxa"/>
            <w:shd w:val="clear" w:color="auto" w:fill="auto"/>
          </w:tcPr>
          <w:p w14:paraId="29815F6D" w14:textId="77777777" w:rsidR="00DD0834" w:rsidRPr="00AE06B2" w:rsidRDefault="00DD0834" w:rsidP="003B6997">
            <w:pPr>
              <w:pStyle w:val="Btablefigureunbold"/>
            </w:pPr>
            <w:r w:rsidRPr="00AE06B2">
              <w:t>36,930</w:t>
            </w:r>
          </w:p>
        </w:tc>
        <w:tc>
          <w:tcPr>
            <w:tcW w:w="1069" w:type="dxa"/>
            <w:shd w:val="clear" w:color="auto" w:fill="auto"/>
            <w:noWrap/>
          </w:tcPr>
          <w:p w14:paraId="6336AEFD" w14:textId="77777777" w:rsidR="00DD0834" w:rsidRPr="00AE06B2" w:rsidRDefault="00DD0834" w:rsidP="003B6997">
            <w:pPr>
              <w:pStyle w:val="Btablefigureunbold"/>
            </w:pPr>
            <w:r w:rsidRPr="00AE06B2">
              <w:t>41,539</w:t>
            </w:r>
          </w:p>
        </w:tc>
        <w:tc>
          <w:tcPr>
            <w:tcW w:w="1020" w:type="dxa"/>
            <w:shd w:val="clear" w:color="auto" w:fill="auto"/>
            <w:noWrap/>
          </w:tcPr>
          <w:p w14:paraId="43E40A4F" w14:textId="77777777" w:rsidR="00DD0834" w:rsidRPr="00AE06B2" w:rsidRDefault="00DD0834" w:rsidP="003B6997">
            <w:pPr>
              <w:pStyle w:val="Btablefigureunbold"/>
            </w:pPr>
            <w:r w:rsidRPr="00AE06B2">
              <w:t>77,093</w:t>
            </w:r>
          </w:p>
        </w:tc>
        <w:tc>
          <w:tcPr>
            <w:tcW w:w="1020" w:type="dxa"/>
            <w:shd w:val="clear" w:color="auto" w:fill="auto"/>
            <w:noWrap/>
          </w:tcPr>
          <w:p w14:paraId="1E6C4FD8" w14:textId="77777777" w:rsidR="00DD0834" w:rsidRPr="00AE06B2" w:rsidRDefault="00DD0834" w:rsidP="003B6997">
            <w:pPr>
              <w:pStyle w:val="Btablefigureunbold"/>
            </w:pPr>
            <w:r w:rsidRPr="00AE06B2">
              <w:t>78,721</w:t>
            </w:r>
          </w:p>
        </w:tc>
        <w:tc>
          <w:tcPr>
            <w:tcW w:w="1020" w:type="dxa"/>
            <w:shd w:val="clear" w:color="auto" w:fill="auto"/>
            <w:noWrap/>
          </w:tcPr>
          <w:p w14:paraId="3C3FCE76" w14:textId="77777777" w:rsidR="00DD0834" w:rsidRPr="00AE06B2" w:rsidRDefault="00DD0834" w:rsidP="003B6997">
            <w:pPr>
              <w:pStyle w:val="Btablefigureunbold"/>
            </w:pPr>
            <w:r w:rsidRPr="00AE06B2">
              <w:t>76,638</w:t>
            </w:r>
          </w:p>
        </w:tc>
        <w:tc>
          <w:tcPr>
            <w:tcW w:w="1069" w:type="dxa"/>
            <w:gridSpan w:val="2"/>
            <w:shd w:val="clear" w:color="auto" w:fill="auto"/>
            <w:noWrap/>
          </w:tcPr>
          <w:p w14:paraId="76E05929" w14:textId="77777777" w:rsidR="00DD0834" w:rsidRPr="00AE06B2" w:rsidRDefault="00DD0834" w:rsidP="003B6997">
            <w:pPr>
              <w:pStyle w:val="Btablefigureunbold"/>
            </w:pPr>
            <w:r w:rsidRPr="00AE06B2">
              <w:t>72,079</w:t>
            </w:r>
          </w:p>
        </w:tc>
      </w:tr>
      <w:tr w:rsidR="00DD0834" w:rsidRPr="007A3A83" w14:paraId="7AEBAFB0" w14:textId="77777777" w:rsidTr="003B6997">
        <w:trPr>
          <w:cantSplit/>
          <w:trHeight w:val="20"/>
          <w:jc w:val="center"/>
        </w:trPr>
        <w:tc>
          <w:tcPr>
            <w:tcW w:w="2869" w:type="dxa"/>
            <w:shd w:val="clear" w:color="auto" w:fill="auto"/>
          </w:tcPr>
          <w:p w14:paraId="239AEE15" w14:textId="77777777" w:rsidR="00DD0834" w:rsidRPr="008970B7" w:rsidRDefault="00DD0834" w:rsidP="003B6997">
            <w:pPr>
              <w:pStyle w:val="BStabletext"/>
              <w:ind w:left="465"/>
              <w:rPr>
                <w:vertAlign w:val="superscript"/>
              </w:rPr>
            </w:pPr>
            <w:r w:rsidRPr="00CA5883">
              <w:t>Other sales of goods and services</w:t>
            </w:r>
            <w:r>
              <w:rPr>
                <w:lang w:val="en-US"/>
              </w:rPr>
              <w:t xml:space="preserve"> from contracts with customers</w:t>
            </w:r>
          </w:p>
        </w:tc>
        <w:tc>
          <w:tcPr>
            <w:tcW w:w="1020" w:type="dxa"/>
            <w:shd w:val="clear" w:color="auto" w:fill="auto"/>
          </w:tcPr>
          <w:p w14:paraId="09AC4E22" w14:textId="77777777" w:rsidR="00DD0834" w:rsidRPr="00AE06B2" w:rsidRDefault="00DD0834" w:rsidP="003B6997">
            <w:pPr>
              <w:pStyle w:val="Btablefigureunbold"/>
            </w:pPr>
            <w:r w:rsidRPr="00AE06B2">
              <w:t>894,475</w:t>
            </w:r>
          </w:p>
        </w:tc>
        <w:tc>
          <w:tcPr>
            <w:tcW w:w="1069" w:type="dxa"/>
            <w:shd w:val="clear" w:color="auto" w:fill="auto"/>
            <w:noWrap/>
          </w:tcPr>
          <w:p w14:paraId="323E322A" w14:textId="77777777" w:rsidR="00DD0834" w:rsidRPr="00AE06B2" w:rsidRDefault="00DD0834" w:rsidP="003B6997">
            <w:pPr>
              <w:pStyle w:val="Btablefigureunbold"/>
            </w:pPr>
            <w:r w:rsidRPr="00AE06B2">
              <w:t>912,000</w:t>
            </w:r>
          </w:p>
        </w:tc>
        <w:tc>
          <w:tcPr>
            <w:tcW w:w="1020" w:type="dxa"/>
            <w:shd w:val="clear" w:color="auto" w:fill="auto"/>
            <w:noWrap/>
          </w:tcPr>
          <w:p w14:paraId="1717377F" w14:textId="77777777" w:rsidR="00DD0834" w:rsidRPr="00AE06B2" w:rsidRDefault="00DD0834" w:rsidP="003B6997">
            <w:pPr>
              <w:pStyle w:val="Btablefigureunbold"/>
            </w:pPr>
            <w:r w:rsidRPr="00AE06B2">
              <w:t>1,007,080</w:t>
            </w:r>
          </w:p>
        </w:tc>
        <w:tc>
          <w:tcPr>
            <w:tcW w:w="1020" w:type="dxa"/>
            <w:shd w:val="clear" w:color="auto" w:fill="auto"/>
            <w:noWrap/>
          </w:tcPr>
          <w:p w14:paraId="70B8CC7D" w14:textId="77777777" w:rsidR="00DD0834" w:rsidRPr="00AE06B2" w:rsidRDefault="00DD0834" w:rsidP="003B6997">
            <w:pPr>
              <w:pStyle w:val="Btablefigureunbold"/>
            </w:pPr>
            <w:r w:rsidRPr="00AE06B2">
              <w:t>1,030,894</w:t>
            </w:r>
          </w:p>
        </w:tc>
        <w:tc>
          <w:tcPr>
            <w:tcW w:w="1020" w:type="dxa"/>
            <w:shd w:val="clear" w:color="auto" w:fill="auto"/>
            <w:noWrap/>
          </w:tcPr>
          <w:p w14:paraId="7C89D0F1" w14:textId="77777777" w:rsidR="00DD0834" w:rsidRPr="00AE06B2" w:rsidRDefault="00DD0834" w:rsidP="003B6997">
            <w:pPr>
              <w:pStyle w:val="Btablefigureunbold"/>
            </w:pPr>
            <w:r w:rsidRPr="00AE06B2">
              <w:t>1,050,780</w:t>
            </w:r>
          </w:p>
        </w:tc>
        <w:tc>
          <w:tcPr>
            <w:tcW w:w="1069" w:type="dxa"/>
            <w:gridSpan w:val="2"/>
            <w:shd w:val="clear" w:color="auto" w:fill="auto"/>
            <w:noWrap/>
          </w:tcPr>
          <w:p w14:paraId="4E219F5E" w14:textId="77777777" w:rsidR="00DD0834" w:rsidRPr="00AE06B2" w:rsidRDefault="00DD0834" w:rsidP="003B6997">
            <w:pPr>
              <w:pStyle w:val="Btablefigureunbold"/>
            </w:pPr>
            <w:r w:rsidRPr="00AE06B2">
              <w:t>1,072,293</w:t>
            </w:r>
          </w:p>
        </w:tc>
      </w:tr>
      <w:tr w:rsidR="00DD0834" w:rsidRPr="007A3A83" w14:paraId="3E72CEBE" w14:textId="77777777" w:rsidTr="003B6997">
        <w:trPr>
          <w:cantSplit/>
          <w:trHeight w:val="20"/>
          <w:jc w:val="center"/>
        </w:trPr>
        <w:tc>
          <w:tcPr>
            <w:tcW w:w="2869" w:type="dxa"/>
            <w:shd w:val="clear" w:color="auto" w:fill="auto"/>
          </w:tcPr>
          <w:p w14:paraId="3EBFEB46" w14:textId="77777777" w:rsidR="00DD0834" w:rsidRPr="008D57D3" w:rsidRDefault="00DD0834" w:rsidP="003B6997">
            <w:pPr>
              <w:pStyle w:val="BStabletext"/>
              <w:rPr>
                <w:vertAlign w:val="superscript"/>
              </w:rPr>
            </w:pPr>
            <w:r w:rsidRPr="008D57D3">
              <w:rPr>
                <w:lang w:val="en-US"/>
              </w:rPr>
              <w:t>Investment revenue</w:t>
            </w:r>
          </w:p>
        </w:tc>
        <w:tc>
          <w:tcPr>
            <w:tcW w:w="1020" w:type="dxa"/>
            <w:shd w:val="clear" w:color="auto" w:fill="auto"/>
          </w:tcPr>
          <w:p w14:paraId="63B1AB7A" w14:textId="77777777" w:rsidR="00DD0834" w:rsidRPr="00AE06B2" w:rsidRDefault="00DD0834" w:rsidP="003B6997">
            <w:pPr>
              <w:pStyle w:val="Btablefigureunbold"/>
            </w:pPr>
            <w:r w:rsidRPr="00AE06B2">
              <w:t>161,738</w:t>
            </w:r>
          </w:p>
        </w:tc>
        <w:tc>
          <w:tcPr>
            <w:tcW w:w="1069" w:type="dxa"/>
            <w:shd w:val="clear" w:color="auto" w:fill="auto"/>
            <w:noWrap/>
          </w:tcPr>
          <w:p w14:paraId="320C595D" w14:textId="77777777" w:rsidR="00DD0834" w:rsidRPr="00AE06B2" w:rsidRDefault="00DD0834" w:rsidP="003B6997">
            <w:pPr>
              <w:pStyle w:val="Btablefigureunbold"/>
            </w:pPr>
            <w:r w:rsidRPr="00AE06B2">
              <w:t>204,121</w:t>
            </w:r>
          </w:p>
        </w:tc>
        <w:tc>
          <w:tcPr>
            <w:tcW w:w="1020" w:type="dxa"/>
            <w:shd w:val="clear" w:color="auto" w:fill="auto"/>
            <w:noWrap/>
          </w:tcPr>
          <w:p w14:paraId="1ECD09CC" w14:textId="77777777" w:rsidR="00DD0834" w:rsidRPr="00AE06B2" w:rsidRDefault="00DD0834" w:rsidP="003B6997">
            <w:pPr>
              <w:pStyle w:val="Btablefigureunbold"/>
            </w:pPr>
            <w:r w:rsidRPr="00AE06B2">
              <w:t>176,567</w:t>
            </w:r>
          </w:p>
        </w:tc>
        <w:tc>
          <w:tcPr>
            <w:tcW w:w="1020" w:type="dxa"/>
            <w:shd w:val="clear" w:color="auto" w:fill="auto"/>
            <w:noWrap/>
          </w:tcPr>
          <w:p w14:paraId="3AFD95C0" w14:textId="77777777" w:rsidR="00DD0834" w:rsidRPr="00AE06B2" w:rsidRDefault="00DD0834" w:rsidP="003B6997">
            <w:pPr>
              <w:pStyle w:val="Btablefigureunbold"/>
            </w:pPr>
            <w:r w:rsidRPr="00AE06B2">
              <w:t>190,343</w:t>
            </w:r>
          </w:p>
        </w:tc>
        <w:tc>
          <w:tcPr>
            <w:tcW w:w="1020" w:type="dxa"/>
            <w:shd w:val="clear" w:color="auto" w:fill="auto"/>
            <w:noWrap/>
          </w:tcPr>
          <w:p w14:paraId="2D66BAE5" w14:textId="77777777" w:rsidR="00DD0834" w:rsidRPr="00AE06B2" w:rsidRDefault="00DD0834" w:rsidP="003B6997">
            <w:pPr>
              <w:pStyle w:val="Btablefigureunbold"/>
            </w:pPr>
            <w:r w:rsidRPr="00AE06B2">
              <w:t>196,976</w:t>
            </w:r>
          </w:p>
        </w:tc>
        <w:tc>
          <w:tcPr>
            <w:tcW w:w="1069" w:type="dxa"/>
            <w:gridSpan w:val="2"/>
            <w:shd w:val="clear" w:color="auto" w:fill="auto"/>
            <w:noWrap/>
          </w:tcPr>
          <w:p w14:paraId="591CBC5B" w14:textId="77777777" w:rsidR="00DD0834" w:rsidRPr="00AE06B2" w:rsidRDefault="00DD0834" w:rsidP="003B6997">
            <w:pPr>
              <w:pStyle w:val="Btablefigureunbold"/>
            </w:pPr>
            <w:r w:rsidRPr="00AE06B2">
              <w:t>208,898</w:t>
            </w:r>
          </w:p>
        </w:tc>
      </w:tr>
      <w:tr w:rsidR="00DD0834" w:rsidRPr="007A3A83" w14:paraId="2C04112D" w14:textId="77777777" w:rsidTr="003B6997">
        <w:trPr>
          <w:cantSplit/>
          <w:trHeight w:val="20"/>
          <w:jc w:val="center"/>
        </w:trPr>
        <w:tc>
          <w:tcPr>
            <w:tcW w:w="2869" w:type="dxa"/>
            <w:shd w:val="clear" w:color="auto" w:fill="auto"/>
          </w:tcPr>
          <w:p w14:paraId="55722723" w14:textId="77777777" w:rsidR="00DD0834" w:rsidRPr="00B11C91" w:rsidRDefault="00DD0834" w:rsidP="003B6997">
            <w:pPr>
              <w:pStyle w:val="BStabletext"/>
            </w:pPr>
            <w:r w:rsidRPr="00CA5883">
              <w:t>Other revenue</w:t>
            </w:r>
          </w:p>
        </w:tc>
        <w:tc>
          <w:tcPr>
            <w:tcW w:w="1020" w:type="dxa"/>
            <w:shd w:val="clear" w:color="auto" w:fill="auto"/>
          </w:tcPr>
          <w:p w14:paraId="17545AEF" w14:textId="77777777" w:rsidR="00DD0834" w:rsidRPr="00AE06B2" w:rsidRDefault="00DD0834" w:rsidP="003B6997">
            <w:pPr>
              <w:pStyle w:val="Btablefigureunbold"/>
            </w:pPr>
          </w:p>
        </w:tc>
        <w:tc>
          <w:tcPr>
            <w:tcW w:w="1069" w:type="dxa"/>
            <w:shd w:val="clear" w:color="auto" w:fill="auto"/>
            <w:noWrap/>
          </w:tcPr>
          <w:p w14:paraId="1A3147E9" w14:textId="77777777" w:rsidR="00DD0834" w:rsidRPr="00AE06B2" w:rsidRDefault="00DD0834" w:rsidP="003B6997">
            <w:pPr>
              <w:pStyle w:val="Btablefigureunbold"/>
            </w:pPr>
            <w:r w:rsidRPr="00AE06B2">
              <w:t> </w:t>
            </w:r>
          </w:p>
        </w:tc>
        <w:tc>
          <w:tcPr>
            <w:tcW w:w="1020" w:type="dxa"/>
            <w:shd w:val="clear" w:color="auto" w:fill="auto"/>
            <w:noWrap/>
          </w:tcPr>
          <w:p w14:paraId="6FA07B40" w14:textId="77777777" w:rsidR="00DD0834" w:rsidRPr="00AE06B2" w:rsidRDefault="00DD0834" w:rsidP="003B6997">
            <w:pPr>
              <w:pStyle w:val="Btablefigureunbold"/>
            </w:pPr>
            <w:r w:rsidRPr="00AE06B2">
              <w:t> </w:t>
            </w:r>
          </w:p>
        </w:tc>
        <w:tc>
          <w:tcPr>
            <w:tcW w:w="1020" w:type="dxa"/>
            <w:shd w:val="clear" w:color="auto" w:fill="auto"/>
            <w:noWrap/>
          </w:tcPr>
          <w:p w14:paraId="7AA53CA2" w14:textId="77777777" w:rsidR="00DD0834" w:rsidRPr="00AE06B2" w:rsidRDefault="00DD0834" w:rsidP="003B6997">
            <w:pPr>
              <w:pStyle w:val="Btablefigureunbold"/>
            </w:pPr>
            <w:r w:rsidRPr="00AE06B2">
              <w:t> </w:t>
            </w:r>
          </w:p>
        </w:tc>
        <w:tc>
          <w:tcPr>
            <w:tcW w:w="1020" w:type="dxa"/>
            <w:shd w:val="clear" w:color="auto" w:fill="auto"/>
            <w:noWrap/>
          </w:tcPr>
          <w:p w14:paraId="301412C1" w14:textId="77777777" w:rsidR="00DD0834" w:rsidRPr="00AE06B2" w:rsidRDefault="00DD0834" w:rsidP="003B6997">
            <w:pPr>
              <w:pStyle w:val="Btablefigureunbold"/>
            </w:pPr>
            <w:r w:rsidRPr="00AE06B2">
              <w:t> </w:t>
            </w:r>
          </w:p>
        </w:tc>
        <w:tc>
          <w:tcPr>
            <w:tcW w:w="1069" w:type="dxa"/>
            <w:gridSpan w:val="2"/>
            <w:shd w:val="clear" w:color="auto" w:fill="auto"/>
            <w:noWrap/>
          </w:tcPr>
          <w:p w14:paraId="0D20525A" w14:textId="77777777" w:rsidR="00DD0834" w:rsidRPr="00AE06B2" w:rsidRDefault="00DD0834" w:rsidP="003B6997">
            <w:pPr>
              <w:pStyle w:val="Btablefigureunbold"/>
            </w:pPr>
            <w:r w:rsidRPr="00AE06B2">
              <w:t> </w:t>
            </w:r>
          </w:p>
        </w:tc>
      </w:tr>
      <w:tr w:rsidR="00DD0834" w:rsidRPr="006D5D15" w14:paraId="7C53CE07" w14:textId="77777777" w:rsidTr="003B6997">
        <w:trPr>
          <w:cantSplit/>
          <w:trHeight w:val="20"/>
          <w:jc w:val="center"/>
        </w:trPr>
        <w:tc>
          <w:tcPr>
            <w:tcW w:w="2869" w:type="dxa"/>
            <w:shd w:val="clear" w:color="auto" w:fill="auto"/>
          </w:tcPr>
          <w:p w14:paraId="3313B3F4" w14:textId="77777777" w:rsidR="00DD0834" w:rsidRPr="008D57D3" w:rsidRDefault="00DD0834" w:rsidP="003B6997">
            <w:pPr>
              <w:pStyle w:val="BStabletext"/>
              <w:ind w:left="465"/>
            </w:pPr>
            <w:r w:rsidRPr="00CA5883">
              <w:t>Land revenue (value add component)</w:t>
            </w:r>
          </w:p>
        </w:tc>
        <w:tc>
          <w:tcPr>
            <w:tcW w:w="1020" w:type="dxa"/>
            <w:shd w:val="clear" w:color="auto" w:fill="auto"/>
          </w:tcPr>
          <w:p w14:paraId="15EB71DB" w14:textId="77777777" w:rsidR="00DD0834" w:rsidRPr="00AE06B2" w:rsidRDefault="00DD0834" w:rsidP="003B6997">
            <w:pPr>
              <w:pStyle w:val="Btablefigureunbold"/>
            </w:pPr>
            <w:r w:rsidRPr="00AE06B2">
              <w:t>704,971</w:t>
            </w:r>
          </w:p>
        </w:tc>
        <w:tc>
          <w:tcPr>
            <w:tcW w:w="1069" w:type="dxa"/>
            <w:shd w:val="clear" w:color="auto" w:fill="auto"/>
            <w:noWrap/>
          </w:tcPr>
          <w:p w14:paraId="047BACB6" w14:textId="77777777" w:rsidR="00DD0834" w:rsidRPr="00AE06B2" w:rsidRDefault="00DD0834" w:rsidP="003B6997">
            <w:pPr>
              <w:pStyle w:val="Btablefigureunbold"/>
            </w:pPr>
            <w:r w:rsidRPr="00AE06B2">
              <w:t>663,633</w:t>
            </w:r>
          </w:p>
        </w:tc>
        <w:tc>
          <w:tcPr>
            <w:tcW w:w="1020" w:type="dxa"/>
            <w:shd w:val="clear" w:color="auto" w:fill="auto"/>
            <w:noWrap/>
          </w:tcPr>
          <w:p w14:paraId="179D86E7" w14:textId="77777777" w:rsidR="00DD0834" w:rsidRPr="00AE06B2" w:rsidRDefault="00DD0834" w:rsidP="003B6997">
            <w:pPr>
              <w:pStyle w:val="Btablefigureunbold"/>
            </w:pPr>
            <w:r w:rsidRPr="00AE06B2">
              <w:t>350,186</w:t>
            </w:r>
          </w:p>
        </w:tc>
        <w:tc>
          <w:tcPr>
            <w:tcW w:w="1020" w:type="dxa"/>
            <w:shd w:val="clear" w:color="auto" w:fill="auto"/>
            <w:noWrap/>
          </w:tcPr>
          <w:p w14:paraId="114D1C05" w14:textId="77777777" w:rsidR="00DD0834" w:rsidRPr="00AE06B2" w:rsidRDefault="00DD0834" w:rsidP="003B6997">
            <w:pPr>
              <w:pStyle w:val="Btablefigureunbold"/>
            </w:pPr>
            <w:r w:rsidRPr="00AE06B2">
              <w:t>377,788</w:t>
            </w:r>
          </w:p>
        </w:tc>
        <w:tc>
          <w:tcPr>
            <w:tcW w:w="1020" w:type="dxa"/>
            <w:shd w:val="clear" w:color="auto" w:fill="auto"/>
            <w:noWrap/>
          </w:tcPr>
          <w:p w14:paraId="5638A5F6" w14:textId="77777777" w:rsidR="00DD0834" w:rsidRPr="00AE06B2" w:rsidRDefault="00DD0834" w:rsidP="003B6997">
            <w:pPr>
              <w:pStyle w:val="Btablefigureunbold"/>
            </w:pPr>
            <w:r w:rsidRPr="00AE06B2">
              <w:t>330,579</w:t>
            </w:r>
          </w:p>
        </w:tc>
        <w:tc>
          <w:tcPr>
            <w:tcW w:w="1069" w:type="dxa"/>
            <w:gridSpan w:val="2"/>
            <w:shd w:val="clear" w:color="auto" w:fill="auto"/>
            <w:noWrap/>
          </w:tcPr>
          <w:p w14:paraId="5643A668" w14:textId="77777777" w:rsidR="00DD0834" w:rsidRPr="00AE06B2" w:rsidRDefault="00DD0834" w:rsidP="003B6997">
            <w:pPr>
              <w:pStyle w:val="Btablefigureunbold"/>
            </w:pPr>
            <w:r w:rsidRPr="00AE06B2">
              <w:t>365,261</w:t>
            </w:r>
          </w:p>
        </w:tc>
      </w:tr>
      <w:tr w:rsidR="00DD0834" w:rsidRPr="00F9704D" w14:paraId="4687834D" w14:textId="77777777" w:rsidTr="003B6997">
        <w:trPr>
          <w:cantSplit/>
          <w:trHeight w:val="20"/>
          <w:jc w:val="center"/>
        </w:trPr>
        <w:tc>
          <w:tcPr>
            <w:tcW w:w="2869" w:type="dxa"/>
            <w:shd w:val="clear" w:color="auto" w:fill="auto"/>
          </w:tcPr>
          <w:p w14:paraId="3613D21D" w14:textId="77777777" w:rsidR="00DD0834" w:rsidRPr="00AE3D6E" w:rsidRDefault="00DD0834" w:rsidP="003B6997">
            <w:pPr>
              <w:pStyle w:val="BStabletext"/>
              <w:ind w:left="465"/>
            </w:pPr>
            <w:r w:rsidRPr="00CA5883">
              <w:t>Other revenue</w:t>
            </w:r>
          </w:p>
        </w:tc>
        <w:tc>
          <w:tcPr>
            <w:tcW w:w="1020" w:type="dxa"/>
            <w:shd w:val="clear" w:color="auto" w:fill="auto"/>
          </w:tcPr>
          <w:p w14:paraId="317067D8" w14:textId="77777777" w:rsidR="00DD0834" w:rsidRPr="00AE06B2" w:rsidRDefault="00DD0834" w:rsidP="003B6997">
            <w:pPr>
              <w:pStyle w:val="Btablefigureunbold"/>
            </w:pPr>
            <w:r w:rsidRPr="00AE06B2">
              <w:t>187,399</w:t>
            </w:r>
          </w:p>
        </w:tc>
        <w:tc>
          <w:tcPr>
            <w:tcW w:w="1069" w:type="dxa"/>
            <w:shd w:val="clear" w:color="auto" w:fill="auto"/>
            <w:noWrap/>
          </w:tcPr>
          <w:p w14:paraId="404CA3FC" w14:textId="77777777" w:rsidR="00DD0834" w:rsidRPr="00AE06B2" w:rsidRDefault="00DD0834" w:rsidP="003B6997">
            <w:pPr>
              <w:pStyle w:val="Btablefigureunbold"/>
            </w:pPr>
            <w:r w:rsidRPr="00AE06B2">
              <w:t>245,425</w:t>
            </w:r>
          </w:p>
        </w:tc>
        <w:tc>
          <w:tcPr>
            <w:tcW w:w="1020" w:type="dxa"/>
            <w:shd w:val="clear" w:color="auto" w:fill="auto"/>
            <w:noWrap/>
          </w:tcPr>
          <w:p w14:paraId="573BBE35" w14:textId="77777777" w:rsidR="00DD0834" w:rsidRPr="00AE06B2" w:rsidRDefault="00DD0834" w:rsidP="003B6997">
            <w:pPr>
              <w:pStyle w:val="Btablefigureunbold"/>
            </w:pPr>
            <w:r w:rsidRPr="00AE06B2">
              <w:t>200,883</w:t>
            </w:r>
          </w:p>
        </w:tc>
        <w:tc>
          <w:tcPr>
            <w:tcW w:w="1020" w:type="dxa"/>
            <w:shd w:val="clear" w:color="auto" w:fill="auto"/>
            <w:noWrap/>
          </w:tcPr>
          <w:p w14:paraId="29FCD1EB" w14:textId="77777777" w:rsidR="00DD0834" w:rsidRPr="00AE06B2" w:rsidRDefault="00DD0834" w:rsidP="003B6997">
            <w:pPr>
              <w:pStyle w:val="Btablefigureunbold"/>
            </w:pPr>
            <w:r w:rsidRPr="00AE06B2">
              <w:t>184,759</w:t>
            </w:r>
          </w:p>
        </w:tc>
        <w:tc>
          <w:tcPr>
            <w:tcW w:w="1020" w:type="dxa"/>
            <w:shd w:val="clear" w:color="auto" w:fill="auto"/>
            <w:noWrap/>
          </w:tcPr>
          <w:p w14:paraId="630DF5F7" w14:textId="77777777" w:rsidR="00DD0834" w:rsidRPr="00AE06B2" w:rsidRDefault="00DD0834" w:rsidP="003B6997">
            <w:pPr>
              <w:pStyle w:val="Btablefigureunbold"/>
            </w:pPr>
            <w:r w:rsidRPr="00AE06B2">
              <w:t>177,310</w:t>
            </w:r>
          </w:p>
        </w:tc>
        <w:tc>
          <w:tcPr>
            <w:tcW w:w="1069" w:type="dxa"/>
            <w:gridSpan w:val="2"/>
            <w:shd w:val="clear" w:color="auto" w:fill="auto"/>
            <w:noWrap/>
          </w:tcPr>
          <w:p w14:paraId="29A1FD84" w14:textId="77777777" w:rsidR="00DD0834" w:rsidRPr="00AE06B2" w:rsidRDefault="00DD0834" w:rsidP="003B6997">
            <w:pPr>
              <w:pStyle w:val="Btablefigureunbold"/>
            </w:pPr>
            <w:r w:rsidRPr="00AE06B2">
              <w:t>229,671</w:t>
            </w:r>
          </w:p>
        </w:tc>
      </w:tr>
      <w:tr w:rsidR="00DD0834" w:rsidRPr="00457CE0" w14:paraId="543A663D" w14:textId="77777777" w:rsidTr="003B6997">
        <w:trPr>
          <w:cantSplit/>
          <w:trHeight w:val="20"/>
          <w:jc w:val="center"/>
        </w:trPr>
        <w:tc>
          <w:tcPr>
            <w:tcW w:w="2869" w:type="dxa"/>
            <w:shd w:val="clear" w:color="auto" w:fill="auto"/>
          </w:tcPr>
          <w:p w14:paraId="57C4EC59" w14:textId="77777777" w:rsidR="00DD0834" w:rsidRPr="00AE3D6E" w:rsidRDefault="00DD0834" w:rsidP="003B6997">
            <w:pPr>
              <w:pStyle w:val="BStabletext"/>
              <w:ind w:left="465"/>
            </w:pPr>
            <w:r w:rsidRPr="00CA5883">
              <w:t>Gains from contributed assets</w:t>
            </w:r>
          </w:p>
        </w:tc>
        <w:tc>
          <w:tcPr>
            <w:tcW w:w="1020" w:type="dxa"/>
            <w:shd w:val="clear" w:color="auto" w:fill="auto"/>
          </w:tcPr>
          <w:p w14:paraId="38AC0832" w14:textId="77777777" w:rsidR="00DD0834" w:rsidRPr="00AE06B2" w:rsidRDefault="00DD0834" w:rsidP="003B6997">
            <w:pPr>
              <w:pStyle w:val="Btablefigureunbold"/>
            </w:pPr>
            <w:r w:rsidRPr="00AE06B2">
              <w:t>130,603</w:t>
            </w:r>
          </w:p>
        </w:tc>
        <w:tc>
          <w:tcPr>
            <w:tcW w:w="1069" w:type="dxa"/>
            <w:shd w:val="clear" w:color="auto" w:fill="auto"/>
            <w:noWrap/>
          </w:tcPr>
          <w:p w14:paraId="3AC3354A" w14:textId="77777777" w:rsidR="00DD0834" w:rsidRPr="00AE06B2" w:rsidRDefault="00DD0834" w:rsidP="003B6997">
            <w:pPr>
              <w:pStyle w:val="Btablefigureunbold"/>
            </w:pPr>
            <w:r w:rsidRPr="00AE06B2">
              <w:t>101,279</w:t>
            </w:r>
          </w:p>
        </w:tc>
        <w:tc>
          <w:tcPr>
            <w:tcW w:w="1020" w:type="dxa"/>
            <w:shd w:val="clear" w:color="auto" w:fill="auto"/>
            <w:noWrap/>
          </w:tcPr>
          <w:p w14:paraId="6DE02A87" w14:textId="77777777" w:rsidR="00DD0834" w:rsidRPr="00AE06B2" w:rsidRDefault="00DD0834" w:rsidP="003B6997">
            <w:pPr>
              <w:pStyle w:val="Btablefigureunbold"/>
            </w:pPr>
            <w:r w:rsidRPr="00AE06B2">
              <w:t>177,474</w:t>
            </w:r>
          </w:p>
        </w:tc>
        <w:tc>
          <w:tcPr>
            <w:tcW w:w="1020" w:type="dxa"/>
            <w:shd w:val="clear" w:color="auto" w:fill="auto"/>
            <w:noWrap/>
          </w:tcPr>
          <w:p w14:paraId="4BCC644B" w14:textId="77777777" w:rsidR="00DD0834" w:rsidRPr="00AE06B2" w:rsidRDefault="00DD0834" w:rsidP="003B6997">
            <w:pPr>
              <w:pStyle w:val="Btablefigureunbold"/>
            </w:pPr>
            <w:r w:rsidRPr="00AE06B2">
              <w:t>104,124</w:t>
            </w:r>
          </w:p>
        </w:tc>
        <w:tc>
          <w:tcPr>
            <w:tcW w:w="1020" w:type="dxa"/>
            <w:shd w:val="clear" w:color="auto" w:fill="auto"/>
            <w:noWrap/>
          </w:tcPr>
          <w:p w14:paraId="7B3076C5" w14:textId="77777777" w:rsidR="00DD0834" w:rsidRPr="00AE06B2" w:rsidRDefault="00DD0834" w:rsidP="003B6997">
            <w:pPr>
              <w:pStyle w:val="Btablefigureunbold"/>
            </w:pPr>
            <w:r w:rsidRPr="00AE06B2">
              <w:t>87,809</w:t>
            </w:r>
          </w:p>
        </w:tc>
        <w:tc>
          <w:tcPr>
            <w:tcW w:w="1069" w:type="dxa"/>
            <w:gridSpan w:val="2"/>
            <w:shd w:val="clear" w:color="auto" w:fill="auto"/>
            <w:noWrap/>
          </w:tcPr>
          <w:p w14:paraId="0D49687E" w14:textId="77777777" w:rsidR="00DD0834" w:rsidRPr="00AE06B2" w:rsidRDefault="00DD0834" w:rsidP="003B6997">
            <w:pPr>
              <w:pStyle w:val="Btablefigureunbold"/>
            </w:pPr>
            <w:r w:rsidRPr="00AE06B2">
              <w:t>86,109</w:t>
            </w:r>
          </w:p>
        </w:tc>
      </w:tr>
      <w:tr w:rsidR="00DD0834" w:rsidRPr="00457CE0" w14:paraId="3F8571B1" w14:textId="77777777" w:rsidTr="003B6997">
        <w:trPr>
          <w:cantSplit/>
          <w:trHeight w:val="20"/>
          <w:jc w:val="center"/>
        </w:trPr>
        <w:tc>
          <w:tcPr>
            <w:tcW w:w="2869" w:type="dxa"/>
            <w:shd w:val="clear" w:color="auto" w:fill="auto"/>
          </w:tcPr>
          <w:p w14:paraId="5F712267" w14:textId="77777777" w:rsidR="00DD0834" w:rsidRPr="00AE3D6E" w:rsidRDefault="00DD0834" w:rsidP="003B6997">
            <w:pPr>
              <w:pStyle w:val="BStabletextbold"/>
            </w:pPr>
            <w:r w:rsidRPr="00CA5883">
              <w:t>Total revenue</w:t>
            </w:r>
          </w:p>
        </w:tc>
        <w:tc>
          <w:tcPr>
            <w:tcW w:w="1020" w:type="dxa"/>
            <w:shd w:val="clear" w:color="auto" w:fill="auto"/>
          </w:tcPr>
          <w:p w14:paraId="1241A702" w14:textId="77777777" w:rsidR="00DD0834" w:rsidRPr="00AE06B2" w:rsidRDefault="00DD0834" w:rsidP="003B6997">
            <w:pPr>
              <w:pStyle w:val="BTableHeadingRowCentreAligned"/>
              <w:jc w:val="right"/>
            </w:pPr>
            <w:r w:rsidRPr="00AE06B2">
              <w:t>6,439,098</w:t>
            </w:r>
          </w:p>
        </w:tc>
        <w:tc>
          <w:tcPr>
            <w:tcW w:w="1069" w:type="dxa"/>
            <w:shd w:val="clear" w:color="auto" w:fill="auto"/>
            <w:noWrap/>
          </w:tcPr>
          <w:p w14:paraId="7BB0A62E" w14:textId="77777777" w:rsidR="00DD0834" w:rsidRPr="00AE06B2" w:rsidRDefault="00DD0834" w:rsidP="003B6997">
            <w:pPr>
              <w:pStyle w:val="BTableHeadingRowCentreAligned"/>
              <w:jc w:val="right"/>
            </w:pPr>
            <w:r w:rsidRPr="00AE06B2">
              <w:t>6,671,837</w:t>
            </w:r>
          </w:p>
        </w:tc>
        <w:tc>
          <w:tcPr>
            <w:tcW w:w="1020" w:type="dxa"/>
            <w:shd w:val="clear" w:color="auto" w:fill="auto"/>
            <w:noWrap/>
            <w:vAlign w:val="bottom"/>
          </w:tcPr>
          <w:p w14:paraId="42E4243A" w14:textId="77777777" w:rsidR="00DD0834" w:rsidRPr="00AE06B2" w:rsidRDefault="00DD0834" w:rsidP="003B6997">
            <w:pPr>
              <w:pStyle w:val="BTableHeadingRowCentreAligned"/>
              <w:jc w:val="right"/>
            </w:pPr>
            <w:r w:rsidRPr="00AE06B2">
              <w:t>6,920,700</w:t>
            </w:r>
          </w:p>
        </w:tc>
        <w:tc>
          <w:tcPr>
            <w:tcW w:w="1020" w:type="dxa"/>
            <w:shd w:val="clear" w:color="auto" w:fill="auto"/>
            <w:noWrap/>
            <w:vAlign w:val="bottom"/>
          </w:tcPr>
          <w:p w14:paraId="454EA61A" w14:textId="77777777" w:rsidR="00DD0834" w:rsidRPr="00AE06B2" w:rsidRDefault="00DD0834" w:rsidP="003B6997">
            <w:pPr>
              <w:pStyle w:val="BTableHeadingRowCentreAligned"/>
              <w:jc w:val="right"/>
            </w:pPr>
            <w:r w:rsidRPr="00AE06B2">
              <w:t>6,993,125</w:t>
            </w:r>
          </w:p>
        </w:tc>
        <w:tc>
          <w:tcPr>
            <w:tcW w:w="1020" w:type="dxa"/>
            <w:shd w:val="clear" w:color="auto" w:fill="auto"/>
            <w:noWrap/>
            <w:vAlign w:val="bottom"/>
          </w:tcPr>
          <w:p w14:paraId="754715E6" w14:textId="77777777" w:rsidR="00DD0834" w:rsidRPr="00AE06B2" w:rsidRDefault="00DD0834" w:rsidP="003B6997">
            <w:pPr>
              <w:pStyle w:val="BTableHeadingRowCentreAligned"/>
              <w:jc w:val="right"/>
            </w:pPr>
            <w:r w:rsidRPr="00AE06B2">
              <w:t>7,129,739</w:t>
            </w:r>
          </w:p>
        </w:tc>
        <w:tc>
          <w:tcPr>
            <w:tcW w:w="1069" w:type="dxa"/>
            <w:gridSpan w:val="2"/>
            <w:shd w:val="clear" w:color="auto" w:fill="auto"/>
            <w:noWrap/>
            <w:vAlign w:val="bottom"/>
          </w:tcPr>
          <w:p w14:paraId="43200C52" w14:textId="77777777" w:rsidR="00DD0834" w:rsidRPr="00AE06B2" w:rsidRDefault="00DD0834" w:rsidP="003B6997">
            <w:pPr>
              <w:pStyle w:val="BTableHeadingRowCentreAligned"/>
              <w:jc w:val="right"/>
            </w:pPr>
            <w:r w:rsidRPr="00AE06B2">
              <w:t>7,356,676</w:t>
            </w:r>
          </w:p>
        </w:tc>
      </w:tr>
      <w:tr w:rsidR="00DD0834" w:rsidRPr="00457CE0" w14:paraId="77902D2F" w14:textId="77777777" w:rsidTr="003B6997">
        <w:trPr>
          <w:cantSplit/>
          <w:trHeight w:val="20"/>
          <w:jc w:val="center"/>
        </w:trPr>
        <w:tc>
          <w:tcPr>
            <w:tcW w:w="2869" w:type="dxa"/>
            <w:shd w:val="clear" w:color="auto" w:fill="auto"/>
            <w:vAlign w:val="bottom"/>
          </w:tcPr>
          <w:p w14:paraId="7D676D36" w14:textId="77777777" w:rsidR="00DD0834" w:rsidRPr="001E3E77" w:rsidRDefault="00DD0834" w:rsidP="003B6997">
            <w:pPr>
              <w:pStyle w:val="BStabletextbold"/>
            </w:pPr>
            <w:r w:rsidRPr="00CA5883">
              <w:t>Expenses</w:t>
            </w:r>
          </w:p>
        </w:tc>
        <w:tc>
          <w:tcPr>
            <w:tcW w:w="1020" w:type="dxa"/>
            <w:shd w:val="clear" w:color="auto" w:fill="auto"/>
          </w:tcPr>
          <w:p w14:paraId="03D5AFA0" w14:textId="77777777" w:rsidR="00DD0834" w:rsidRPr="00457CE0" w:rsidRDefault="00DD0834" w:rsidP="003B6997">
            <w:pPr>
              <w:pStyle w:val="Btablefigureunbold"/>
            </w:pPr>
          </w:p>
        </w:tc>
        <w:tc>
          <w:tcPr>
            <w:tcW w:w="1069" w:type="dxa"/>
            <w:shd w:val="clear" w:color="auto" w:fill="auto"/>
            <w:noWrap/>
          </w:tcPr>
          <w:p w14:paraId="37BF3C1B" w14:textId="77777777" w:rsidR="00DD0834" w:rsidRPr="00457CE0" w:rsidRDefault="00DD0834" w:rsidP="003B6997">
            <w:pPr>
              <w:pStyle w:val="Btablefigureunbold"/>
            </w:pPr>
          </w:p>
        </w:tc>
        <w:tc>
          <w:tcPr>
            <w:tcW w:w="1020" w:type="dxa"/>
            <w:shd w:val="clear" w:color="auto" w:fill="auto"/>
            <w:noWrap/>
          </w:tcPr>
          <w:p w14:paraId="3E71AD61" w14:textId="77777777" w:rsidR="00DD0834" w:rsidRPr="00457CE0" w:rsidRDefault="00DD0834" w:rsidP="003B6997">
            <w:pPr>
              <w:pStyle w:val="Btablefigureunbold"/>
            </w:pPr>
          </w:p>
        </w:tc>
        <w:tc>
          <w:tcPr>
            <w:tcW w:w="1020" w:type="dxa"/>
            <w:shd w:val="clear" w:color="auto" w:fill="auto"/>
            <w:noWrap/>
          </w:tcPr>
          <w:p w14:paraId="2A15265A" w14:textId="77777777" w:rsidR="00DD0834" w:rsidRPr="00457CE0" w:rsidRDefault="00DD0834" w:rsidP="003B6997">
            <w:pPr>
              <w:pStyle w:val="Btablefigureunbold"/>
            </w:pPr>
          </w:p>
        </w:tc>
        <w:tc>
          <w:tcPr>
            <w:tcW w:w="1020" w:type="dxa"/>
            <w:shd w:val="clear" w:color="auto" w:fill="auto"/>
            <w:noWrap/>
          </w:tcPr>
          <w:p w14:paraId="086D0272" w14:textId="77777777" w:rsidR="00DD0834" w:rsidRPr="00457CE0" w:rsidRDefault="00DD0834" w:rsidP="003B6997">
            <w:pPr>
              <w:pStyle w:val="Btablefigureunbold"/>
            </w:pPr>
          </w:p>
        </w:tc>
        <w:tc>
          <w:tcPr>
            <w:tcW w:w="1069" w:type="dxa"/>
            <w:gridSpan w:val="2"/>
            <w:shd w:val="clear" w:color="auto" w:fill="auto"/>
            <w:noWrap/>
          </w:tcPr>
          <w:p w14:paraId="59038849" w14:textId="77777777" w:rsidR="00DD0834" w:rsidRPr="00457CE0" w:rsidRDefault="00DD0834" w:rsidP="003B6997">
            <w:pPr>
              <w:pStyle w:val="Btablefigureunbold"/>
            </w:pPr>
          </w:p>
        </w:tc>
      </w:tr>
      <w:tr w:rsidR="00DD0834" w:rsidRPr="00457CE0" w14:paraId="10EE6D0F" w14:textId="77777777" w:rsidTr="003B6997">
        <w:trPr>
          <w:cantSplit/>
          <w:trHeight w:val="20"/>
          <w:jc w:val="center"/>
        </w:trPr>
        <w:tc>
          <w:tcPr>
            <w:tcW w:w="2869" w:type="dxa"/>
            <w:shd w:val="clear" w:color="auto" w:fill="auto"/>
          </w:tcPr>
          <w:p w14:paraId="71226E04" w14:textId="77777777" w:rsidR="00DD0834" w:rsidRPr="00AE3D6E" w:rsidRDefault="00DD0834" w:rsidP="003B6997">
            <w:pPr>
              <w:pStyle w:val="BStabletext"/>
              <w:rPr>
                <w:lang w:val="en-US"/>
              </w:rPr>
            </w:pPr>
            <w:r w:rsidRPr="00CA5883">
              <w:t>Employee expenses</w:t>
            </w:r>
          </w:p>
        </w:tc>
        <w:tc>
          <w:tcPr>
            <w:tcW w:w="1020" w:type="dxa"/>
            <w:shd w:val="clear" w:color="auto" w:fill="auto"/>
          </w:tcPr>
          <w:p w14:paraId="50E378BA" w14:textId="77777777" w:rsidR="00DD0834" w:rsidRPr="00AE06B2" w:rsidRDefault="00DD0834" w:rsidP="003B6997">
            <w:pPr>
              <w:pStyle w:val="Btablefigureunbold"/>
            </w:pPr>
            <w:r w:rsidRPr="00AE06B2">
              <w:t>2,585,501</w:t>
            </w:r>
          </w:p>
        </w:tc>
        <w:tc>
          <w:tcPr>
            <w:tcW w:w="1069" w:type="dxa"/>
            <w:shd w:val="clear" w:color="auto" w:fill="auto"/>
            <w:noWrap/>
          </w:tcPr>
          <w:p w14:paraId="419B595A" w14:textId="77777777" w:rsidR="00DD0834" w:rsidRPr="00AE06B2" w:rsidRDefault="00DD0834" w:rsidP="003B6997">
            <w:pPr>
              <w:pStyle w:val="Btablefigureunbold"/>
            </w:pPr>
            <w:r w:rsidRPr="00AE06B2">
              <w:t>2,674,072</w:t>
            </w:r>
          </w:p>
        </w:tc>
        <w:tc>
          <w:tcPr>
            <w:tcW w:w="1020" w:type="dxa"/>
            <w:shd w:val="clear" w:color="auto" w:fill="auto"/>
            <w:noWrap/>
            <w:vAlign w:val="bottom"/>
          </w:tcPr>
          <w:p w14:paraId="7FBFAD1B" w14:textId="77777777" w:rsidR="00DD0834" w:rsidRPr="00AE06B2" w:rsidRDefault="00DD0834" w:rsidP="003B6997">
            <w:pPr>
              <w:pStyle w:val="Btablefigureunbold"/>
            </w:pPr>
            <w:r w:rsidRPr="00AE06B2">
              <w:t>2,744,955</w:t>
            </w:r>
          </w:p>
        </w:tc>
        <w:tc>
          <w:tcPr>
            <w:tcW w:w="1020" w:type="dxa"/>
            <w:shd w:val="clear" w:color="auto" w:fill="auto"/>
            <w:noWrap/>
            <w:vAlign w:val="bottom"/>
          </w:tcPr>
          <w:p w14:paraId="7760D5B9" w14:textId="77777777" w:rsidR="00DD0834" w:rsidRPr="00AE06B2" w:rsidRDefault="00DD0834" w:rsidP="003B6997">
            <w:pPr>
              <w:pStyle w:val="Btablefigureunbold"/>
            </w:pPr>
            <w:r w:rsidRPr="00AE06B2">
              <w:t>2,752,697</w:t>
            </w:r>
          </w:p>
        </w:tc>
        <w:tc>
          <w:tcPr>
            <w:tcW w:w="1020" w:type="dxa"/>
            <w:shd w:val="clear" w:color="auto" w:fill="auto"/>
            <w:noWrap/>
            <w:vAlign w:val="bottom"/>
          </w:tcPr>
          <w:p w14:paraId="58F41038" w14:textId="77777777" w:rsidR="00DD0834" w:rsidRPr="00AE06B2" w:rsidRDefault="00DD0834" w:rsidP="003B6997">
            <w:pPr>
              <w:pStyle w:val="Btablefigureunbold"/>
            </w:pPr>
            <w:r w:rsidRPr="00AE06B2">
              <w:t>2,826,792</w:t>
            </w:r>
          </w:p>
        </w:tc>
        <w:tc>
          <w:tcPr>
            <w:tcW w:w="1069" w:type="dxa"/>
            <w:gridSpan w:val="2"/>
            <w:shd w:val="clear" w:color="auto" w:fill="auto"/>
            <w:noWrap/>
            <w:vAlign w:val="bottom"/>
          </w:tcPr>
          <w:p w14:paraId="261F117B" w14:textId="77777777" w:rsidR="00DD0834" w:rsidRPr="00AE06B2" w:rsidRDefault="00DD0834" w:rsidP="003B6997">
            <w:pPr>
              <w:pStyle w:val="Btablefigureunbold"/>
            </w:pPr>
            <w:r w:rsidRPr="00AE06B2">
              <w:t>2,901,973</w:t>
            </w:r>
          </w:p>
        </w:tc>
      </w:tr>
      <w:tr w:rsidR="00DD0834" w:rsidRPr="00457CE0" w14:paraId="0A06B870" w14:textId="77777777" w:rsidTr="003B6997">
        <w:trPr>
          <w:cantSplit/>
          <w:trHeight w:val="20"/>
          <w:jc w:val="center"/>
        </w:trPr>
        <w:tc>
          <w:tcPr>
            <w:tcW w:w="2869" w:type="dxa"/>
            <w:shd w:val="clear" w:color="auto" w:fill="auto"/>
          </w:tcPr>
          <w:p w14:paraId="25DA95F8" w14:textId="77777777" w:rsidR="00DD0834" w:rsidRPr="00AE3D6E" w:rsidRDefault="00DD0834" w:rsidP="003B6997">
            <w:pPr>
              <w:pStyle w:val="BStabletext"/>
            </w:pPr>
            <w:r w:rsidRPr="00CA5883">
              <w:t>Superannuation expenses</w:t>
            </w:r>
          </w:p>
        </w:tc>
        <w:tc>
          <w:tcPr>
            <w:tcW w:w="1020" w:type="dxa"/>
            <w:shd w:val="clear" w:color="auto" w:fill="auto"/>
          </w:tcPr>
          <w:p w14:paraId="4DB80370" w14:textId="77777777" w:rsidR="00DD0834" w:rsidRPr="00AE06B2" w:rsidRDefault="00DD0834" w:rsidP="003B6997">
            <w:pPr>
              <w:pStyle w:val="Btablefigureunbold"/>
            </w:pPr>
          </w:p>
        </w:tc>
        <w:tc>
          <w:tcPr>
            <w:tcW w:w="1069" w:type="dxa"/>
            <w:shd w:val="clear" w:color="auto" w:fill="auto"/>
            <w:noWrap/>
          </w:tcPr>
          <w:p w14:paraId="2768D04E" w14:textId="77777777" w:rsidR="00DD0834" w:rsidRPr="00AE06B2" w:rsidRDefault="00DD0834" w:rsidP="003B6997">
            <w:pPr>
              <w:pStyle w:val="Btablefigureunbold"/>
            </w:pPr>
          </w:p>
        </w:tc>
        <w:tc>
          <w:tcPr>
            <w:tcW w:w="1020" w:type="dxa"/>
            <w:shd w:val="clear" w:color="auto" w:fill="auto"/>
            <w:noWrap/>
            <w:vAlign w:val="bottom"/>
          </w:tcPr>
          <w:p w14:paraId="7B0C1A65" w14:textId="77777777" w:rsidR="00DD0834" w:rsidRPr="00AE06B2" w:rsidRDefault="00DD0834" w:rsidP="003B6997">
            <w:pPr>
              <w:pStyle w:val="Btablefigureunbold"/>
            </w:pPr>
            <w:r w:rsidRPr="00AE06B2">
              <w:t> </w:t>
            </w:r>
          </w:p>
        </w:tc>
        <w:tc>
          <w:tcPr>
            <w:tcW w:w="1020" w:type="dxa"/>
            <w:shd w:val="clear" w:color="auto" w:fill="auto"/>
            <w:noWrap/>
            <w:vAlign w:val="bottom"/>
          </w:tcPr>
          <w:p w14:paraId="1A5DA1A2" w14:textId="77777777" w:rsidR="00DD0834" w:rsidRPr="00AE06B2" w:rsidRDefault="00DD0834" w:rsidP="003B6997">
            <w:pPr>
              <w:pStyle w:val="Btablefigureunbold"/>
            </w:pPr>
            <w:r w:rsidRPr="00AE06B2">
              <w:t> </w:t>
            </w:r>
          </w:p>
        </w:tc>
        <w:tc>
          <w:tcPr>
            <w:tcW w:w="1020" w:type="dxa"/>
            <w:shd w:val="clear" w:color="auto" w:fill="auto"/>
            <w:noWrap/>
            <w:vAlign w:val="bottom"/>
          </w:tcPr>
          <w:p w14:paraId="150E90F5" w14:textId="77777777" w:rsidR="00DD0834" w:rsidRPr="00AE06B2" w:rsidRDefault="00DD0834" w:rsidP="003B6997">
            <w:pPr>
              <w:pStyle w:val="Btablefigureunbold"/>
            </w:pPr>
            <w:r w:rsidRPr="00AE06B2">
              <w:t> </w:t>
            </w:r>
          </w:p>
        </w:tc>
        <w:tc>
          <w:tcPr>
            <w:tcW w:w="1069" w:type="dxa"/>
            <w:gridSpan w:val="2"/>
            <w:shd w:val="clear" w:color="auto" w:fill="auto"/>
            <w:noWrap/>
            <w:vAlign w:val="bottom"/>
          </w:tcPr>
          <w:p w14:paraId="6ADBB6F5" w14:textId="77777777" w:rsidR="00DD0834" w:rsidRPr="00AE06B2" w:rsidRDefault="00DD0834" w:rsidP="003B6997">
            <w:pPr>
              <w:pStyle w:val="Btablefigureunbold"/>
            </w:pPr>
            <w:r w:rsidRPr="00AE06B2">
              <w:t> </w:t>
            </w:r>
          </w:p>
        </w:tc>
      </w:tr>
      <w:tr w:rsidR="00DD0834" w:rsidRPr="00457CE0" w14:paraId="5103448D" w14:textId="77777777" w:rsidTr="003B6997">
        <w:trPr>
          <w:cantSplit/>
          <w:trHeight w:val="20"/>
          <w:jc w:val="center"/>
        </w:trPr>
        <w:tc>
          <w:tcPr>
            <w:tcW w:w="2869" w:type="dxa"/>
            <w:shd w:val="clear" w:color="auto" w:fill="auto"/>
          </w:tcPr>
          <w:p w14:paraId="3EDE55AA" w14:textId="77777777" w:rsidR="00DD0834" w:rsidRPr="00AE3D6E" w:rsidRDefault="00DD0834" w:rsidP="003B6997">
            <w:pPr>
              <w:pStyle w:val="BStabletext"/>
              <w:ind w:left="465"/>
            </w:pPr>
            <w:r w:rsidRPr="00CA5883">
              <w:t>Superannuation interest cost</w:t>
            </w:r>
          </w:p>
        </w:tc>
        <w:tc>
          <w:tcPr>
            <w:tcW w:w="1020" w:type="dxa"/>
            <w:shd w:val="clear" w:color="auto" w:fill="auto"/>
          </w:tcPr>
          <w:p w14:paraId="72891E57" w14:textId="77777777" w:rsidR="00DD0834" w:rsidRPr="00AE06B2" w:rsidRDefault="00DD0834" w:rsidP="003B6997">
            <w:pPr>
              <w:pStyle w:val="Btablefigureunbold"/>
            </w:pPr>
            <w:r w:rsidRPr="00AE06B2">
              <w:t>210,537</w:t>
            </w:r>
          </w:p>
        </w:tc>
        <w:tc>
          <w:tcPr>
            <w:tcW w:w="1069" w:type="dxa"/>
            <w:shd w:val="clear" w:color="auto" w:fill="auto"/>
            <w:noWrap/>
          </w:tcPr>
          <w:p w14:paraId="115DE9AB" w14:textId="77777777" w:rsidR="00DD0834" w:rsidRPr="00AE06B2" w:rsidRDefault="00DD0834" w:rsidP="003B6997">
            <w:pPr>
              <w:pStyle w:val="Btablefigureunbold"/>
            </w:pPr>
            <w:r w:rsidRPr="00AE06B2">
              <w:t>210,537</w:t>
            </w:r>
          </w:p>
        </w:tc>
        <w:tc>
          <w:tcPr>
            <w:tcW w:w="1020" w:type="dxa"/>
            <w:shd w:val="clear" w:color="auto" w:fill="auto"/>
            <w:noWrap/>
            <w:vAlign w:val="bottom"/>
          </w:tcPr>
          <w:p w14:paraId="5AD9F48D" w14:textId="77777777" w:rsidR="00DD0834" w:rsidRPr="00AE06B2" w:rsidRDefault="00DD0834" w:rsidP="003B6997">
            <w:pPr>
              <w:pStyle w:val="Btablefigureunbold"/>
            </w:pPr>
            <w:r w:rsidRPr="00AE06B2">
              <w:t>302,379</w:t>
            </w:r>
          </w:p>
        </w:tc>
        <w:tc>
          <w:tcPr>
            <w:tcW w:w="1020" w:type="dxa"/>
            <w:shd w:val="clear" w:color="auto" w:fill="auto"/>
            <w:noWrap/>
            <w:vAlign w:val="bottom"/>
          </w:tcPr>
          <w:p w14:paraId="76879E3C" w14:textId="77777777" w:rsidR="00DD0834" w:rsidRPr="00AE06B2" w:rsidRDefault="00DD0834" w:rsidP="003B6997">
            <w:pPr>
              <w:pStyle w:val="Btablefigureunbold"/>
            </w:pPr>
            <w:r w:rsidRPr="00AE06B2">
              <w:t>404,714</w:t>
            </w:r>
          </w:p>
        </w:tc>
        <w:tc>
          <w:tcPr>
            <w:tcW w:w="1020" w:type="dxa"/>
            <w:shd w:val="clear" w:color="auto" w:fill="auto"/>
            <w:noWrap/>
            <w:vAlign w:val="bottom"/>
          </w:tcPr>
          <w:p w14:paraId="4BCE5BE8" w14:textId="77777777" w:rsidR="00DD0834" w:rsidRPr="00AE06B2" w:rsidRDefault="00DD0834" w:rsidP="003B6997">
            <w:pPr>
              <w:pStyle w:val="Btablefigureunbold"/>
            </w:pPr>
            <w:r w:rsidRPr="00AE06B2">
              <w:t>413,652</w:t>
            </w:r>
          </w:p>
        </w:tc>
        <w:tc>
          <w:tcPr>
            <w:tcW w:w="1069" w:type="dxa"/>
            <w:gridSpan w:val="2"/>
            <w:shd w:val="clear" w:color="auto" w:fill="auto"/>
            <w:noWrap/>
            <w:vAlign w:val="bottom"/>
          </w:tcPr>
          <w:p w14:paraId="46A8B3B7" w14:textId="77777777" w:rsidR="00DD0834" w:rsidRPr="00AE06B2" w:rsidRDefault="00DD0834" w:rsidP="003B6997">
            <w:pPr>
              <w:pStyle w:val="Btablefigureunbold"/>
            </w:pPr>
            <w:r w:rsidRPr="00AE06B2">
              <w:t>421,708</w:t>
            </w:r>
          </w:p>
        </w:tc>
      </w:tr>
      <w:tr w:rsidR="00DD0834" w:rsidRPr="00457CE0" w14:paraId="57688EA6" w14:textId="77777777" w:rsidTr="003B6997">
        <w:trPr>
          <w:cantSplit/>
          <w:trHeight w:val="20"/>
          <w:jc w:val="center"/>
        </w:trPr>
        <w:tc>
          <w:tcPr>
            <w:tcW w:w="2869" w:type="dxa"/>
            <w:shd w:val="clear" w:color="auto" w:fill="auto"/>
          </w:tcPr>
          <w:p w14:paraId="0569C399" w14:textId="77777777" w:rsidR="00DD0834" w:rsidRPr="007547BC" w:rsidRDefault="00DD0834" w:rsidP="003B6997">
            <w:pPr>
              <w:pStyle w:val="BStabletext"/>
              <w:ind w:left="465"/>
            </w:pPr>
            <w:r w:rsidRPr="00CA5883">
              <w:t>Other superannuation expenses</w:t>
            </w:r>
          </w:p>
        </w:tc>
        <w:tc>
          <w:tcPr>
            <w:tcW w:w="1020" w:type="dxa"/>
            <w:shd w:val="clear" w:color="auto" w:fill="auto"/>
          </w:tcPr>
          <w:p w14:paraId="4581670D" w14:textId="77777777" w:rsidR="00DD0834" w:rsidRPr="00AE06B2" w:rsidRDefault="00DD0834" w:rsidP="003B6997">
            <w:pPr>
              <w:pStyle w:val="Btablefigureunbold"/>
            </w:pPr>
            <w:r w:rsidRPr="00AE06B2">
              <w:t>500,456</w:t>
            </w:r>
          </w:p>
        </w:tc>
        <w:tc>
          <w:tcPr>
            <w:tcW w:w="1069" w:type="dxa"/>
            <w:shd w:val="clear" w:color="auto" w:fill="auto"/>
            <w:noWrap/>
          </w:tcPr>
          <w:p w14:paraId="105B267B" w14:textId="77777777" w:rsidR="00DD0834" w:rsidRPr="00AE06B2" w:rsidRDefault="00DD0834" w:rsidP="003B6997">
            <w:pPr>
              <w:pStyle w:val="Btablefigureunbold"/>
            </w:pPr>
            <w:r w:rsidRPr="00AE06B2">
              <w:t>511,510</w:t>
            </w:r>
          </w:p>
        </w:tc>
        <w:tc>
          <w:tcPr>
            <w:tcW w:w="1020" w:type="dxa"/>
            <w:shd w:val="clear" w:color="auto" w:fill="auto"/>
            <w:noWrap/>
          </w:tcPr>
          <w:p w14:paraId="13DFFE79" w14:textId="77777777" w:rsidR="00DD0834" w:rsidRPr="00AE06B2" w:rsidRDefault="00DD0834" w:rsidP="003B6997">
            <w:pPr>
              <w:pStyle w:val="Btablefigureunbold"/>
            </w:pPr>
            <w:r w:rsidRPr="00AE06B2">
              <w:t>571,626</w:t>
            </w:r>
          </w:p>
        </w:tc>
        <w:tc>
          <w:tcPr>
            <w:tcW w:w="1020" w:type="dxa"/>
            <w:shd w:val="clear" w:color="auto" w:fill="auto"/>
            <w:noWrap/>
          </w:tcPr>
          <w:p w14:paraId="13322DDE" w14:textId="77777777" w:rsidR="00DD0834" w:rsidRPr="00AE06B2" w:rsidRDefault="00DD0834" w:rsidP="003B6997">
            <w:pPr>
              <w:pStyle w:val="Btablefigureunbold"/>
            </w:pPr>
            <w:r w:rsidRPr="00AE06B2">
              <w:t>449,050</w:t>
            </w:r>
          </w:p>
        </w:tc>
        <w:tc>
          <w:tcPr>
            <w:tcW w:w="1020" w:type="dxa"/>
            <w:shd w:val="clear" w:color="auto" w:fill="auto"/>
            <w:noWrap/>
          </w:tcPr>
          <w:p w14:paraId="07166330" w14:textId="77777777" w:rsidR="00DD0834" w:rsidRPr="00AE06B2" w:rsidRDefault="00DD0834" w:rsidP="003B6997">
            <w:pPr>
              <w:pStyle w:val="Btablefigureunbold"/>
            </w:pPr>
            <w:r w:rsidRPr="00AE06B2">
              <w:t>443,444</w:t>
            </w:r>
          </w:p>
        </w:tc>
        <w:tc>
          <w:tcPr>
            <w:tcW w:w="1069" w:type="dxa"/>
            <w:gridSpan w:val="2"/>
            <w:shd w:val="clear" w:color="auto" w:fill="auto"/>
            <w:noWrap/>
          </w:tcPr>
          <w:p w14:paraId="00E7CB22" w14:textId="77777777" w:rsidR="00DD0834" w:rsidRPr="00AE06B2" w:rsidRDefault="00DD0834" w:rsidP="003B6997">
            <w:pPr>
              <w:pStyle w:val="Btablefigureunbold"/>
            </w:pPr>
            <w:r w:rsidRPr="00AE06B2">
              <w:t>440,971</w:t>
            </w:r>
          </w:p>
        </w:tc>
      </w:tr>
      <w:tr w:rsidR="00DD0834" w:rsidRPr="00457CE0" w14:paraId="521666DB" w14:textId="77777777" w:rsidTr="003B6997">
        <w:trPr>
          <w:cantSplit/>
          <w:trHeight w:val="20"/>
          <w:jc w:val="center"/>
        </w:trPr>
        <w:tc>
          <w:tcPr>
            <w:tcW w:w="2869" w:type="dxa"/>
            <w:shd w:val="clear" w:color="auto" w:fill="auto"/>
          </w:tcPr>
          <w:p w14:paraId="61355217" w14:textId="77777777" w:rsidR="00DD0834" w:rsidRPr="00AE3D6E" w:rsidRDefault="00DD0834" w:rsidP="003B6997">
            <w:pPr>
              <w:pStyle w:val="BStabletext"/>
              <w:rPr>
                <w:lang w:val="en-US"/>
              </w:rPr>
            </w:pPr>
            <w:r w:rsidRPr="00CA5883">
              <w:t xml:space="preserve">Depreciation and amortisation </w:t>
            </w:r>
          </w:p>
        </w:tc>
        <w:tc>
          <w:tcPr>
            <w:tcW w:w="1020" w:type="dxa"/>
            <w:shd w:val="clear" w:color="auto" w:fill="auto"/>
          </w:tcPr>
          <w:p w14:paraId="559B3537" w14:textId="77777777" w:rsidR="00DD0834" w:rsidRPr="00AE06B2" w:rsidRDefault="00DD0834" w:rsidP="003B6997">
            <w:pPr>
              <w:pStyle w:val="Btablefigureunbold"/>
            </w:pPr>
            <w:r w:rsidRPr="00AE06B2">
              <w:t>640,292</w:t>
            </w:r>
          </w:p>
        </w:tc>
        <w:tc>
          <w:tcPr>
            <w:tcW w:w="1069" w:type="dxa"/>
            <w:shd w:val="clear" w:color="auto" w:fill="auto"/>
            <w:noWrap/>
          </w:tcPr>
          <w:p w14:paraId="3E55584C" w14:textId="77777777" w:rsidR="00DD0834" w:rsidRPr="00AE06B2" w:rsidRDefault="00DD0834" w:rsidP="003B6997">
            <w:pPr>
              <w:pStyle w:val="Btablefigureunbold"/>
            </w:pPr>
            <w:r w:rsidRPr="00AE06B2">
              <w:t>643,180</w:t>
            </w:r>
          </w:p>
        </w:tc>
        <w:tc>
          <w:tcPr>
            <w:tcW w:w="1020" w:type="dxa"/>
            <w:shd w:val="clear" w:color="auto" w:fill="auto"/>
            <w:noWrap/>
            <w:vAlign w:val="bottom"/>
          </w:tcPr>
          <w:p w14:paraId="6B2922DD" w14:textId="77777777" w:rsidR="00DD0834" w:rsidRPr="00AE06B2" w:rsidRDefault="00DD0834" w:rsidP="003B6997">
            <w:pPr>
              <w:pStyle w:val="Btablefigureunbold"/>
            </w:pPr>
            <w:r w:rsidRPr="00AE06B2">
              <w:t>699,032</w:t>
            </w:r>
          </w:p>
        </w:tc>
        <w:tc>
          <w:tcPr>
            <w:tcW w:w="1020" w:type="dxa"/>
            <w:shd w:val="clear" w:color="auto" w:fill="auto"/>
            <w:noWrap/>
            <w:vAlign w:val="bottom"/>
          </w:tcPr>
          <w:p w14:paraId="242B6E86" w14:textId="77777777" w:rsidR="00DD0834" w:rsidRPr="00AE06B2" w:rsidRDefault="00DD0834" w:rsidP="003B6997">
            <w:pPr>
              <w:pStyle w:val="Btablefigureunbold"/>
            </w:pPr>
            <w:r w:rsidRPr="00AE06B2">
              <w:t>734,369</w:t>
            </w:r>
          </w:p>
        </w:tc>
        <w:tc>
          <w:tcPr>
            <w:tcW w:w="1020" w:type="dxa"/>
            <w:shd w:val="clear" w:color="auto" w:fill="auto"/>
            <w:noWrap/>
            <w:vAlign w:val="bottom"/>
          </w:tcPr>
          <w:p w14:paraId="313BD66F" w14:textId="77777777" w:rsidR="00DD0834" w:rsidRPr="00AE06B2" w:rsidRDefault="00DD0834" w:rsidP="003B6997">
            <w:pPr>
              <w:pStyle w:val="Btablefigureunbold"/>
            </w:pPr>
            <w:r w:rsidRPr="00AE06B2">
              <w:t>763,562</w:t>
            </w:r>
          </w:p>
        </w:tc>
        <w:tc>
          <w:tcPr>
            <w:tcW w:w="1069" w:type="dxa"/>
            <w:gridSpan w:val="2"/>
            <w:shd w:val="clear" w:color="auto" w:fill="auto"/>
            <w:noWrap/>
            <w:vAlign w:val="bottom"/>
          </w:tcPr>
          <w:p w14:paraId="5F9E2C4D" w14:textId="77777777" w:rsidR="00DD0834" w:rsidRPr="00AE06B2" w:rsidRDefault="00DD0834" w:rsidP="003B6997">
            <w:pPr>
              <w:pStyle w:val="Btablefigureunbold"/>
            </w:pPr>
            <w:r w:rsidRPr="00AE06B2">
              <w:t>794,029</w:t>
            </w:r>
          </w:p>
        </w:tc>
      </w:tr>
      <w:tr w:rsidR="00DD0834" w:rsidRPr="00457CE0" w14:paraId="6060E73B" w14:textId="77777777" w:rsidTr="003B6997">
        <w:trPr>
          <w:cantSplit/>
          <w:trHeight w:val="20"/>
          <w:jc w:val="center"/>
        </w:trPr>
        <w:tc>
          <w:tcPr>
            <w:tcW w:w="2869" w:type="dxa"/>
            <w:shd w:val="clear" w:color="auto" w:fill="auto"/>
          </w:tcPr>
          <w:p w14:paraId="4074B414" w14:textId="77777777" w:rsidR="00DD0834" w:rsidRPr="00AE3D6E" w:rsidRDefault="00DD0834" w:rsidP="003B6997">
            <w:pPr>
              <w:pStyle w:val="BStabletext"/>
              <w:rPr>
                <w:lang w:val="en-US"/>
              </w:rPr>
            </w:pPr>
            <w:r w:rsidRPr="00CA5883">
              <w:t>Interest expense</w:t>
            </w:r>
          </w:p>
        </w:tc>
        <w:tc>
          <w:tcPr>
            <w:tcW w:w="1020" w:type="dxa"/>
            <w:shd w:val="clear" w:color="auto" w:fill="auto"/>
          </w:tcPr>
          <w:p w14:paraId="582D38E8" w14:textId="77777777" w:rsidR="00DD0834" w:rsidRPr="00AE06B2" w:rsidRDefault="00DD0834" w:rsidP="003B6997">
            <w:pPr>
              <w:pStyle w:val="Btablefigureunbold"/>
            </w:pPr>
            <w:r w:rsidRPr="00AE06B2">
              <w:t>219,873</w:t>
            </w:r>
          </w:p>
        </w:tc>
        <w:tc>
          <w:tcPr>
            <w:tcW w:w="1069" w:type="dxa"/>
            <w:shd w:val="clear" w:color="auto" w:fill="auto"/>
            <w:noWrap/>
          </w:tcPr>
          <w:p w14:paraId="59ED0DB9" w14:textId="77777777" w:rsidR="00DD0834" w:rsidRPr="00AE06B2" w:rsidRDefault="00DD0834" w:rsidP="003B6997">
            <w:pPr>
              <w:pStyle w:val="Btablefigureunbold"/>
            </w:pPr>
            <w:r w:rsidRPr="00AE06B2">
              <w:t>220,171</w:t>
            </w:r>
          </w:p>
        </w:tc>
        <w:tc>
          <w:tcPr>
            <w:tcW w:w="1020" w:type="dxa"/>
            <w:shd w:val="clear" w:color="auto" w:fill="auto"/>
            <w:noWrap/>
            <w:vAlign w:val="bottom"/>
          </w:tcPr>
          <w:p w14:paraId="76344C31" w14:textId="77777777" w:rsidR="00DD0834" w:rsidRPr="00AE06B2" w:rsidRDefault="00DD0834" w:rsidP="003B6997">
            <w:pPr>
              <w:pStyle w:val="Btablefigureunbold"/>
            </w:pPr>
            <w:r w:rsidRPr="00AE06B2">
              <w:t>258,457</w:t>
            </w:r>
          </w:p>
        </w:tc>
        <w:tc>
          <w:tcPr>
            <w:tcW w:w="1020" w:type="dxa"/>
            <w:shd w:val="clear" w:color="auto" w:fill="auto"/>
            <w:noWrap/>
            <w:vAlign w:val="bottom"/>
          </w:tcPr>
          <w:p w14:paraId="4F5BF9C6" w14:textId="77777777" w:rsidR="00DD0834" w:rsidRPr="00AE06B2" w:rsidRDefault="00DD0834" w:rsidP="003B6997">
            <w:pPr>
              <w:pStyle w:val="Btablefigureunbold"/>
            </w:pPr>
            <w:r w:rsidRPr="00AE06B2">
              <w:t>280,705</w:t>
            </w:r>
          </w:p>
        </w:tc>
        <w:tc>
          <w:tcPr>
            <w:tcW w:w="1020" w:type="dxa"/>
            <w:shd w:val="clear" w:color="auto" w:fill="auto"/>
            <w:noWrap/>
            <w:vAlign w:val="bottom"/>
          </w:tcPr>
          <w:p w14:paraId="1689F214" w14:textId="77777777" w:rsidR="00DD0834" w:rsidRPr="00AE06B2" w:rsidRDefault="00DD0834" w:rsidP="003B6997">
            <w:pPr>
              <w:pStyle w:val="Btablefigureunbold"/>
            </w:pPr>
            <w:r w:rsidRPr="00AE06B2">
              <w:t>313,153</w:t>
            </w:r>
          </w:p>
        </w:tc>
        <w:tc>
          <w:tcPr>
            <w:tcW w:w="1069" w:type="dxa"/>
            <w:gridSpan w:val="2"/>
            <w:shd w:val="clear" w:color="auto" w:fill="auto"/>
            <w:noWrap/>
            <w:vAlign w:val="bottom"/>
          </w:tcPr>
          <w:p w14:paraId="4518B83D" w14:textId="77777777" w:rsidR="00DD0834" w:rsidRPr="00AE06B2" w:rsidRDefault="00DD0834" w:rsidP="003B6997">
            <w:pPr>
              <w:pStyle w:val="Btablefigureunbold"/>
            </w:pPr>
            <w:r w:rsidRPr="00AE06B2">
              <w:t>340,772</w:t>
            </w:r>
          </w:p>
        </w:tc>
      </w:tr>
      <w:tr w:rsidR="00DD0834" w:rsidRPr="00457CE0" w14:paraId="6D5EF145" w14:textId="77777777" w:rsidTr="003B6997">
        <w:trPr>
          <w:cantSplit/>
          <w:trHeight w:val="20"/>
          <w:jc w:val="center"/>
        </w:trPr>
        <w:tc>
          <w:tcPr>
            <w:tcW w:w="2869" w:type="dxa"/>
            <w:shd w:val="clear" w:color="auto" w:fill="auto"/>
            <w:noWrap/>
          </w:tcPr>
          <w:p w14:paraId="0093B1EE" w14:textId="77777777" w:rsidR="00DD0834" w:rsidRPr="00AE3D6E" w:rsidRDefault="00DD0834" w:rsidP="003B6997">
            <w:pPr>
              <w:pStyle w:val="BStabletext"/>
            </w:pPr>
            <w:r w:rsidRPr="00CA5883">
              <w:t>Other operating expenses</w:t>
            </w:r>
          </w:p>
        </w:tc>
        <w:tc>
          <w:tcPr>
            <w:tcW w:w="1020" w:type="dxa"/>
            <w:shd w:val="clear" w:color="auto" w:fill="auto"/>
          </w:tcPr>
          <w:p w14:paraId="3D1DB5BA" w14:textId="77777777" w:rsidR="00DD0834" w:rsidRPr="00AE06B2" w:rsidRDefault="00DD0834" w:rsidP="003B6997">
            <w:pPr>
              <w:pStyle w:val="Btablefigureunbold"/>
            </w:pPr>
          </w:p>
        </w:tc>
        <w:tc>
          <w:tcPr>
            <w:tcW w:w="1069" w:type="dxa"/>
            <w:shd w:val="clear" w:color="auto" w:fill="auto"/>
            <w:noWrap/>
          </w:tcPr>
          <w:p w14:paraId="37D1783D" w14:textId="77777777" w:rsidR="00DD0834" w:rsidRPr="00AE06B2" w:rsidRDefault="00DD0834" w:rsidP="003B6997">
            <w:pPr>
              <w:pStyle w:val="Btablefigureunbold"/>
            </w:pPr>
          </w:p>
        </w:tc>
        <w:tc>
          <w:tcPr>
            <w:tcW w:w="1020" w:type="dxa"/>
            <w:shd w:val="clear" w:color="auto" w:fill="auto"/>
            <w:noWrap/>
            <w:vAlign w:val="bottom"/>
          </w:tcPr>
          <w:p w14:paraId="79FE8F07" w14:textId="77777777" w:rsidR="00DD0834" w:rsidRPr="00AE06B2" w:rsidRDefault="00DD0834" w:rsidP="003B6997">
            <w:pPr>
              <w:pStyle w:val="Btablefigureunbold"/>
            </w:pPr>
            <w:r w:rsidRPr="00AE06B2">
              <w:t> </w:t>
            </w:r>
          </w:p>
        </w:tc>
        <w:tc>
          <w:tcPr>
            <w:tcW w:w="1020" w:type="dxa"/>
            <w:shd w:val="clear" w:color="auto" w:fill="auto"/>
            <w:noWrap/>
            <w:vAlign w:val="bottom"/>
          </w:tcPr>
          <w:p w14:paraId="35C1FBB3" w14:textId="77777777" w:rsidR="00DD0834" w:rsidRPr="00AE06B2" w:rsidRDefault="00DD0834" w:rsidP="003B6997">
            <w:pPr>
              <w:pStyle w:val="Btablefigureunbold"/>
            </w:pPr>
            <w:r w:rsidRPr="00AE06B2">
              <w:t> </w:t>
            </w:r>
          </w:p>
        </w:tc>
        <w:tc>
          <w:tcPr>
            <w:tcW w:w="1020" w:type="dxa"/>
            <w:shd w:val="clear" w:color="auto" w:fill="auto"/>
            <w:noWrap/>
            <w:vAlign w:val="bottom"/>
          </w:tcPr>
          <w:p w14:paraId="6DE1DB1D" w14:textId="77777777" w:rsidR="00DD0834" w:rsidRPr="00AE06B2" w:rsidRDefault="00DD0834" w:rsidP="003B6997">
            <w:pPr>
              <w:pStyle w:val="Btablefigureunbold"/>
            </w:pPr>
            <w:r w:rsidRPr="00AE06B2">
              <w:t> </w:t>
            </w:r>
          </w:p>
        </w:tc>
        <w:tc>
          <w:tcPr>
            <w:tcW w:w="1069" w:type="dxa"/>
            <w:gridSpan w:val="2"/>
            <w:shd w:val="clear" w:color="auto" w:fill="auto"/>
            <w:noWrap/>
            <w:vAlign w:val="bottom"/>
          </w:tcPr>
          <w:p w14:paraId="0C9FE69E" w14:textId="77777777" w:rsidR="00DD0834" w:rsidRPr="00AE06B2" w:rsidRDefault="00DD0834" w:rsidP="003B6997">
            <w:pPr>
              <w:pStyle w:val="Btablefigureunbold"/>
            </w:pPr>
            <w:r w:rsidRPr="00AE06B2">
              <w:t> </w:t>
            </w:r>
          </w:p>
        </w:tc>
      </w:tr>
      <w:tr w:rsidR="00DD0834" w:rsidRPr="006D5D15" w14:paraId="4CF11C73" w14:textId="77777777" w:rsidTr="003B6997">
        <w:trPr>
          <w:cantSplit/>
          <w:trHeight w:val="20"/>
          <w:jc w:val="center"/>
        </w:trPr>
        <w:tc>
          <w:tcPr>
            <w:tcW w:w="2869" w:type="dxa"/>
            <w:shd w:val="clear" w:color="auto" w:fill="auto"/>
          </w:tcPr>
          <w:p w14:paraId="6E5AD4E8" w14:textId="77777777" w:rsidR="00DD0834" w:rsidRPr="007547BC" w:rsidRDefault="00DD0834" w:rsidP="003B6997">
            <w:pPr>
              <w:pStyle w:val="BStabletext"/>
              <w:ind w:left="465"/>
            </w:pPr>
            <w:r w:rsidRPr="00CA5883">
              <w:t>Supplies and services</w:t>
            </w:r>
          </w:p>
        </w:tc>
        <w:tc>
          <w:tcPr>
            <w:tcW w:w="1020" w:type="dxa"/>
            <w:shd w:val="clear" w:color="auto" w:fill="auto"/>
          </w:tcPr>
          <w:p w14:paraId="2DA6B767" w14:textId="77777777" w:rsidR="00DD0834" w:rsidRPr="00AE06B2" w:rsidRDefault="00DD0834" w:rsidP="003B6997">
            <w:pPr>
              <w:pStyle w:val="Btablefigureunbold"/>
            </w:pPr>
            <w:r w:rsidRPr="00AE06B2">
              <w:t>1,416,764</w:t>
            </w:r>
          </w:p>
        </w:tc>
        <w:tc>
          <w:tcPr>
            <w:tcW w:w="1069" w:type="dxa"/>
            <w:shd w:val="clear" w:color="auto" w:fill="auto"/>
            <w:noWrap/>
          </w:tcPr>
          <w:p w14:paraId="6FD6AC47" w14:textId="77777777" w:rsidR="00DD0834" w:rsidRPr="00AE06B2" w:rsidRDefault="00DD0834" w:rsidP="003B6997">
            <w:pPr>
              <w:pStyle w:val="Btablefigureunbold"/>
            </w:pPr>
            <w:r w:rsidRPr="00AE06B2">
              <w:t>1,299,995</w:t>
            </w:r>
          </w:p>
        </w:tc>
        <w:tc>
          <w:tcPr>
            <w:tcW w:w="1020" w:type="dxa"/>
            <w:shd w:val="clear" w:color="auto" w:fill="auto"/>
            <w:noWrap/>
            <w:vAlign w:val="bottom"/>
          </w:tcPr>
          <w:p w14:paraId="199C1309" w14:textId="77777777" w:rsidR="00DD0834" w:rsidRPr="00AE06B2" w:rsidRDefault="00DD0834" w:rsidP="003B6997">
            <w:pPr>
              <w:pStyle w:val="Btablefigureunbold"/>
            </w:pPr>
            <w:r w:rsidRPr="00AE06B2">
              <w:t>1,680,284</w:t>
            </w:r>
          </w:p>
        </w:tc>
        <w:tc>
          <w:tcPr>
            <w:tcW w:w="1020" w:type="dxa"/>
            <w:shd w:val="clear" w:color="auto" w:fill="auto"/>
            <w:noWrap/>
            <w:vAlign w:val="bottom"/>
          </w:tcPr>
          <w:p w14:paraId="139301D6" w14:textId="77777777" w:rsidR="00DD0834" w:rsidRPr="00AE06B2" w:rsidRDefault="00DD0834" w:rsidP="003B6997">
            <w:pPr>
              <w:pStyle w:val="Btablefigureunbold"/>
            </w:pPr>
            <w:r w:rsidRPr="00AE06B2">
              <w:t>1,664,772</w:t>
            </w:r>
          </w:p>
        </w:tc>
        <w:tc>
          <w:tcPr>
            <w:tcW w:w="1020" w:type="dxa"/>
            <w:shd w:val="clear" w:color="auto" w:fill="auto"/>
            <w:noWrap/>
            <w:vAlign w:val="bottom"/>
          </w:tcPr>
          <w:p w14:paraId="09BA1FC0" w14:textId="77777777" w:rsidR="00DD0834" w:rsidRPr="00AE06B2" w:rsidRDefault="00DD0834" w:rsidP="003B6997">
            <w:pPr>
              <w:pStyle w:val="Btablefigureunbold"/>
            </w:pPr>
            <w:r w:rsidRPr="00AE06B2">
              <w:t>1,702,077</w:t>
            </w:r>
          </w:p>
        </w:tc>
        <w:tc>
          <w:tcPr>
            <w:tcW w:w="1069" w:type="dxa"/>
            <w:gridSpan w:val="2"/>
            <w:shd w:val="clear" w:color="auto" w:fill="auto"/>
            <w:noWrap/>
            <w:vAlign w:val="bottom"/>
          </w:tcPr>
          <w:p w14:paraId="4460B449" w14:textId="77777777" w:rsidR="00DD0834" w:rsidRPr="00AE06B2" w:rsidRDefault="00DD0834" w:rsidP="003B6997">
            <w:pPr>
              <w:pStyle w:val="Btablefigureunbold"/>
            </w:pPr>
            <w:r w:rsidRPr="00AE06B2">
              <w:t>1,749,138</w:t>
            </w:r>
          </w:p>
        </w:tc>
      </w:tr>
      <w:tr w:rsidR="00DD0834" w:rsidRPr="006D5D15" w14:paraId="541DC258" w14:textId="77777777" w:rsidTr="003B6997">
        <w:trPr>
          <w:cantSplit/>
          <w:trHeight w:val="20"/>
          <w:jc w:val="center"/>
        </w:trPr>
        <w:tc>
          <w:tcPr>
            <w:tcW w:w="2869" w:type="dxa"/>
            <w:shd w:val="clear" w:color="auto" w:fill="auto"/>
            <w:noWrap/>
          </w:tcPr>
          <w:p w14:paraId="58DD5000" w14:textId="77777777" w:rsidR="00DD0834" w:rsidRPr="007547BC" w:rsidRDefault="00DD0834" w:rsidP="003B6997">
            <w:pPr>
              <w:pStyle w:val="BStabletext"/>
              <w:ind w:left="465"/>
            </w:pPr>
            <w:r w:rsidRPr="00CA5883">
              <w:t>Other operating expenses</w:t>
            </w:r>
          </w:p>
        </w:tc>
        <w:tc>
          <w:tcPr>
            <w:tcW w:w="1020" w:type="dxa"/>
            <w:shd w:val="clear" w:color="auto" w:fill="auto"/>
          </w:tcPr>
          <w:p w14:paraId="3D53033D" w14:textId="77777777" w:rsidR="00DD0834" w:rsidRPr="00AE06B2" w:rsidRDefault="00DD0834" w:rsidP="003B6997">
            <w:pPr>
              <w:pStyle w:val="Btablefigureunbold"/>
            </w:pPr>
            <w:r w:rsidRPr="00AE06B2">
              <w:t>491,803</w:t>
            </w:r>
          </w:p>
        </w:tc>
        <w:tc>
          <w:tcPr>
            <w:tcW w:w="1069" w:type="dxa"/>
            <w:shd w:val="clear" w:color="auto" w:fill="auto"/>
            <w:noWrap/>
          </w:tcPr>
          <w:p w14:paraId="34B022F0" w14:textId="77777777" w:rsidR="00DD0834" w:rsidRPr="00AE06B2" w:rsidRDefault="00DD0834" w:rsidP="003B6997">
            <w:pPr>
              <w:pStyle w:val="Btablefigureunbold"/>
            </w:pPr>
            <w:r w:rsidRPr="00AE06B2">
              <w:t>549,957</w:t>
            </w:r>
          </w:p>
        </w:tc>
        <w:tc>
          <w:tcPr>
            <w:tcW w:w="1020" w:type="dxa"/>
            <w:shd w:val="clear" w:color="auto" w:fill="auto"/>
            <w:noWrap/>
            <w:vAlign w:val="bottom"/>
          </w:tcPr>
          <w:p w14:paraId="64391A9E" w14:textId="77777777" w:rsidR="00DD0834" w:rsidRPr="00AE06B2" w:rsidRDefault="00DD0834" w:rsidP="003B6997">
            <w:pPr>
              <w:pStyle w:val="Btablefigureunbold"/>
            </w:pPr>
            <w:r w:rsidRPr="00AE06B2">
              <w:t>317,273</w:t>
            </w:r>
          </w:p>
        </w:tc>
        <w:tc>
          <w:tcPr>
            <w:tcW w:w="1020" w:type="dxa"/>
            <w:shd w:val="clear" w:color="auto" w:fill="auto"/>
            <w:noWrap/>
            <w:vAlign w:val="bottom"/>
          </w:tcPr>
          <w:p w14:paraId="7DBEF989" w14:textId="77777777" w:rsidR="00DD0834" w:rsidRPr="00AE06B2" w:rsidRDefault="00DD0834" w:rsidP="003B6997">
            <w:pPr>
              <w:pStyle w:val="Btablefigureunbold"/>
            </w:pPr>
            <w:r w:rsidRPr="00AE06B2">
              <w:t>454,841</w:t>
            </w:r>
          </w:p>
        </w:tc>
        <w:tc>
          <w:tcPr>
            <w:tcW w:w="1020" w:type="dxa"/>
            <w:shd w:val="clear" w:color="auto" w:fill="auto"/>
            <w:noWrap/>
            <w:vAlign w:val="bottom"/>
          </w:tcPr>
          <w:p w14:paraId="2277EA51" w14:textId="77777777" w:rsidR="00DD0834" w:rsidRPr="00AE06B2" w:rsidRDefault="00DD0834" w:rsidP="003B6997">
            <w:pPr>
              <w:pStyle w:val="Btablefigureunbold"/>
            </w:pPr>
            <w:r w:rsidRPr="00AE06B2">
              <w:t>403,802</w:t>
            </w:r>
          </w:p>
        </w:tc>
        <w:tc>
          <w:tcPr>
            <w:tcW w:w="1069" w:type="dxa"/>
            <w:gridSpan w:val="2"/>
            <w:shd w:val="clear" w:color="auto" w:fill="auto"/>
            <w:noWrap/>
            <w:vAlign w:val="bottom"/>
          </w:tcPr>
          <w:p w14:paraId="6D64EE7A" w14:textId="77777777" w:rsidR="00DD0834" w:rsidRPr="00AE06B2" w:rsidRDefault="00DD0834" w:rsidP="003B6997">
            <w:pPr>
              <w:pStyle w:val="Btablefigureunbold"/>
            </w:pPr>
            <w:r w:rsidRPr="00AE06B2">
              <w:t>409,289</w:t>
            </w:r>
          </w:p>
        </w:tc>
      </w:tr>
      <w:tr w:rsidR="00DD0834" w:rsidRPr="00F9704D" w14:paraId="54B7C83B" w14:textId="77777777" w:rsidTr="003B6997">
        <w:trPr>
          <w:cantSplit/>
          <w:trHeight w:val="20"/>
          <w:jc w:val="center"/>
        </w:trPr>
        <w:tc>
          <w:tcPr>
            <w:tcW w:w="2869" w:type="dxa"/>
            <w:shd w:val="clear" w:color="auto" w:fill="auto"/>
          </w:tcPr>
          <w:p w14:paraId="14B585E9" w14:textId="77777777" w:rsidR="00DD0834" w:rsidRPr="00D441E0" w:rsidRDefault="00DD0834" w:rsidP="003B6997">
            <w:pPr>
              <w:pStyle w:val="BStabletext"/>
            </w:pPr>
            <w:r w:rsidRPr="00CA5883">
              <w:t>Grants and purchased services</w:t>
            </w:r>
          </w:p>
        </w:tc>
        <w:tc>
          <w:tcPr>
            <w:tcW w:w="1020" w:type="dxa"/>
            <w:shd w:val="clear" w:color="auto" w:fill="auto"/>
          </w:tcPr>
          <w:p w14:paraId="12DEEA41" w14:textId="77777777" w:rsidR="00DD0834" w:rsidRPr="00AE06B2" w:rsidRDefault="00DD0834" w:rsidP="003B6997">
            <w:pPr>
              <w:pStyle w:val="Btablefigureunbold"/>
              <w:rPr>
                <w:highlight w:val="yellow"/>
              </w:rPr>
            </w:pPr>
            <w:r w:rsidRPr="00AE06B2">
              <w:t>1,253,032</w:t>
            </w:r>
          </w:p>
        </w:tc>
        <w:tc>
          <w:tcPr>
            <w:tcW w:w="1069" w:type="dxa"/>
            <w:shd w:val="clear" w:color="auto" w:fill="auto"/>
            <w:noWrap/>
          </w:tcPr>
          <w:p w14:paraId="0CCD7258" w14:textId="77777777" w:rsidR="00DD0834" w:rsidRPr="00AE06B2" w:rsidRDefault="00DD0834" w:rsidP="003B6997">
            <w:pPr>
              <w:pStyle w:val="Btablefigureunbold"/>
              <w:rPr>
                <w:highlight w:val="yellow"/>
              </w:rPr>
            </w:pPr>
            <w:r w:rsidRPr="00AE06B2">
              <w:t>1,210,659</w:t>
            </w:r>
          </w:p>
        </w:tc>
        <w:tc>
          <w:tcPr>
            <w:tcW w:w="1020" w:type="dxa"/>
            <w:shd w:val="clear" w:color="auto" w:fill="auto"/>
            <w:noWrap/>
            <w:vAlign w:val="bottom"/>
          </w:tcPr>
          <w:p w14:paraId="40A84C52" w14:textId="77777777" w:rsidR="00DD0834" w:rsidRPr="00AE06B2" w:rsidRDefault="00DD0834" w:rsidP="003B6997">
            <w:pPr>
              <w:pStyle w:val="Btablefigureunbold"/>
              <w:rPr>
                <w:highlight w:val="yellow"/>
              </w:rPr>
            </w:pPr>
            <w:r w:rsidRPr="00AE06B2">
              <w:t>1,609,273</w:t>
            </w:r>
          </w:p>
        </w:tc>
        <w:tc>
          <w:tcPr>
            <w:tcW w:w="1020" w:type="dxa"/>
            <w:shd w:val="clear" w:color="auto" w:fill="auto"/>
            <w:noWrap/>
            <w:vAlign w:val="bottom"/>
          </w:tcPr>
          <w:p w14:paraId="1384C207" w14:textId="77777777" w:rsidR="00DD0834" w:rsidRPr="00AE06B2" w:rsidRDefault="00DD0834" w:rsidP="003B6997">
            <w:pPr>
              <w:pStyle w:val="Btablefigureunbold"/>
              <w:rPr>
                <w:highlight w:val="yellow"/>
              </w:rPr>
            </w:pPr>
            <w:r w:rsidRPr="00AE06B2">
              <w:t>1,188,059</w:t>
            </w:r>
          </w:p>
        </w:tc>
        <w:tc>
          <w:tcPr>
            <w:tcW w:w="1020" w:type="dxa"/>
            <w:shd w:val="clear" w:color="auto" w:fill="auto"/>
            <w:noWrap/>
            <w:vAlign w:val="bottom"/>
          </w:tcPr>
          <w:p w14:paraId="67145105" w14:textId="77777777" w:rsidR="00DD0834" w:rsidRPr="00AE06B2" w:rsidRDefault="00DD0834" w:rsidP="003B6997">
            <w:pPr>
              <w:pStyle w:val="Btablefigureunbold"/>
              <w:rPr>
                <w:highlight w:val="yellow"/>
              </w:rPr>
            </w:pPr>
            <w:r w:rsidRPr="00AE06B2">
              <w:t>1,143,519</w:t>
            </w:r>
          </w:p>
        </w:tc>
        <w:tc>
          <w:tcPr>
            <w:tcW w:w="1069" w:type="dxa"/>
            <w:gridSpan w:val="2"/>
            <w:shd w:val="clear" w:color="auto" w:fill="auto"/>
            <w:noWrap/>
            <w:vAlign w:val="bottom"/>
          </w:tcPr>
          <w:p w14:paraId="11751BCA" w14:textId="77777777" w:rsidR="00DD0834" w:rsidRPr="00AE06B2" w:rsidRDefault="00DD0834" w:rsidP="003B6997">
            <w:pPr>
              <w:pStyle w:val="Btablefigureunbold"/>
              <w:rPr>
                <w:highlight w:val="yellow"/>
              </w:rPr>
            </w:pPr>
            <w:r w:rsidRPr="00AE06B2">
              <w:t>1,168,430</w:t>
            </w:r>
          </w:p>
        </w:tc>
      </w:tr>
      <w:tr w:rsidR="00DD0834" w:rsidRPr="00457CE0" w14:paraId="5F8D92C5" w14:textId="77777777" w:rsidTr="003B6997">
        <w:trPr>
          <w:cantSplit/>
          <w:trHeight w:val="20"/>
          <w:jc w:val="center"/>
        </w:trPr>
        <w:tc>
          <w:tcPr>
            <w:tcW w:w="2869" w:type="dxa"/>
            <w:shd w:val="clear" w:color="auto" w:fill="auto"/>
          </w:tcPr>
          <w:p w14:paraId="298973F3" w14:textId="77777777" w:rsidR="00DD0834" w:rsidRPr="00D441E0" w:rsidRDefault="00DD0834" w:rsidP="003B6997">
            <w:pPr>
              <w:pStyle w:val="BStabletextbold"/>
            </w:pPr>
            <w:r w:rsidRPr="00CA5883">
              <w:t>Total expenses</w:t>
            </w:r>
          </w:p>
        </w:tc>
        <w:tc>
          <w:tcPr>
            <w:tcW w:w="1020" w:type="dxa"/>
            <w:shd w:val="clear" w:color="auto" w:fill="auto"/>
          </w:tcPr>
          <w:p w14:paraId="1931F610" w14:textId="77777777" w:rsidR="00DD0834" w:rsidRPr="00AE06B2" w:rsidRDefault="00DD0834" w:rsidP="003B6997">
            <w:pPr>
              <w:pStyle w:val="BTableHeadingRowCentreAligned"/>
              <w:jc w:val="right"/>
            </w:pPr>
            <w:r w:rsidRPr="00AE06B2">
              <w:t>7,318,258</w:t>
            </w:r>
          </w:p>
        </w:tc>
        <w:tc>
          <w:tcPr>
            <w:tcW w:w="1069" w:type="dxa"/>
            <w:shd w:val="clear" w:color="auto" w:fill="auto"/>
            <w:noWrap/>
          </w:tcPr>
          <w:p w14:paraId="2CB993EA" w14:textId="77777777" w:rsidR="00DD0834" w:rsidRPr="00AE06B2" w:rsidRDefault="00DD0834" w:rsidP="003B6997">
            <w:pPr>
              <w:pStyle w:val="BTableHeadingRowCentreAligned"/>
              <w:jc w:val="right"/>
            </w:pPr>
            <w:r w:rsidRPr="00AE06B2">
              <w:t>7,320,082</w:t>
            </w:r>
          </w:p>
        </w:tc>
        <w:tc>
          <w:tcPr>
            <w:tcW w:w="1020" w:type="dxa"/>
            <w:shd w:val="clear" w:color="auto" w:fill="auto"/>
            <w:noWrap/>
            <w:vAlign w:val="bottom"/>
          </w:tcPr>
          <w:p w14:paraId="666C3226" w14:textId="77777777" w:rsidR="00DD0834" w:rsidRPr="00AE06B2" w:rsidRDefault="00DD0834" w:rsidP="003B6997">
            <w:pPr>
              <w:pStyle w:val="BTableHeadingRowCentreAligned"/>
              <w:jc w:val="right"/>
            </w:pPr>
            <w:r w:rsidRPr="00AE06B2">
              <w:t>8,183,279</w:t>
            </w:r>
          </w:p>
        </w:tc>
        <w:tc>
          <w:tcPr>
            <w:tcW w:w="1020" w:type="dxa"/>
            <w:shd w:val="clear" w:color="auto" w:fill="auto"/>
            <w:noWrap/>
            <w:vAlign w:val="bottom"/>
          </w:tcPr>
          <w:p w14:paraId="5FCCDA35" w14:textId="77777777" w:rsidR="00DD0834" w:rsidRPr="00AE06B2" w:rsidRDefault="00DD0834" w:rsidP="003B6997">
            <w:pPr>
              <w:pStyle w:val="BTableHeadingRowCentreAligned"/>
              <w:jc w:val="right"/>
            </w:pPr>
            <w:r w:rsidRPr="00AE06B2">
              <w:t>7,929,207</w:t>
            </w:r>
          </w:p>
        </w:tc>
        <w:tc>
          <w:tcPr>
            <w:tcW w:w="1020" w:type="dxa"/>
            <w:shd w:val="clear" w:color="auto" w:fill="auto"/>
            <w:noWrap/>
            <w:vAlign w:val="bottom"/>
          </w:tcPr>
          <w:p w14:paraId="50DC0D80" w14:textId="77777777" w:rsidR="00DD0834" w:rsidRPr="00AE06B2" w:rsidRDefault="00DD0834" w:rsidP="003B6997">
            <w:pPr>
              <w:pStyle w:val="BTableHeadingRowCentreAligned"/>
              <w:jc w:val="right"/>
            </w:pPr>
            <w:r w:rsidRPr="00AE06B2">
              <w:t>8,010,001</w:t>
            </w:r>
          </w:p>
        </w:tc>
        <w:tc>
          <w:tcPr>
            <w:tcW w:w="1069" w:type="dxa"/>
            <w:gridSpan w:val="2"/>
            <w:shd w:val="clear" w:color="auto" w:fill="auto"/>
            <w:noWrap/>
            <w:vAlign w:val="bottom"/>
          </w:tcPr>
          <w:p w14:paraId="24FED712" w14:textId="77777777" w:rsidR="00DD0834" w:rsidRPr="00AE06B2" w:rsidRDefault="00DD0834" w:rsidP="003B6997">
            <w:pPr>
              <w:pStyle w:val="BTableHeadingRowCentreAligned"/>
              <w:jc w:val="right"/>
            </w:pPr>
            <w:r w:rsidRPr="00AE06B2">
              <w:t>8,226,310</w:t>
            </w:r>
          </w:p>
        </w:tc>
      </w:tr>
      <w:tr w:rsidR="00DD0834" w:rsidRPr="00457CE0" w14:paraId="4F4EC5C4" w14:textId="77777777" w:rsidTr="003B6997">
        <w:trPr>
          <w:cantSplit/>
          <w:trHeight w:val="20"/>
          <w:jc w:val="center"/>
        </w:trPr>
        <w:tc>
          <w:tcPr>
            <w:tcW w:w="2869" w:type="dxa"/>
            <w:tcBorders>
              <w:top w:val="single" w:sz="4" w:space="0" w:color="auto"/>
              <w:bottom w:val="single" w:sz="4" w:space="0" w:color="auto"/>
            </w:tcBorders>
            <w:shd w:val="clear" w:color="auto" w:fill="auto"/>
          </w:tcPr>
          <w:p w14:paraId="55448979" w14:textId="77777777" w:rsidR="00DD0834" w:rsidRPr="001E3E77" w:rsidRDefault="00DD0834" w:rsidP="003B6997">
            <w:pPr>
              <w:pStyle w:val="BStabletextbold"/>
              <w:rPr>
                <w:color w:val="472D8C"/>
              </w:rPr>
            </w:pPr>
            <w:r w:rsidRPr="001E3E77">
              <w:rPr>
                <w:color w:val="472D8C"/>
              </w:rPr>
              <w:t>UPF net operating balance</w:t>
            </w:r>
          </w:p>
        </w:tc>
        <w:tc>
          <w:tcPr>
            <w:tcW w:w="1020" w:type="dxa"/>
            <w:tcBorders>
              <w:top w:val="single" w:sz="4" w:space="0" w:color="auto"/>
              <w:bottom w:val="single" w:sz="4" w:space="0" w:color="auto"/>
            </w:tcBorders>
            <w:shd w:val="clear" w:color="auto" w:fill="auto"/>
          </w:tcPr>
          <w:p w14:paraId="415AD51A" w14:textId="77777777" w:rsidR="00DD0834" w:rsidRPr="001E3E77" w:rsidRDefault="00DD0834" w:rsidP="003B6997">
            <w:pPr>
              <w:pStyle w:val="BStabletextbold"/>
              <w:jc w:val="right"/>
              <w:rPr>
                <w:color w:val="472D8C"/>
              </w:rPr>
            </w:pPr>
            <w:r w:rsidRPr="00AE06B2">
              <w:rPr>
                <w:color w:val="472D8C"/>
              </w:rPr>
              <w:t>-879,160</w:t>
            </w:r>
          </w:p>
        </w:tc>
        <w:tc>
          <w:tcPr>
            <w:tcW w:w="1069" w:type="dxa"/>
            <w:tcBorders>
              <w:top w:val="single" w:sz="4" w:space="0" w:color="auto"/>
              <w:bottom w:val="single" w:sz="4" w:space="0" w:color="auto"/>
            </w:tcBorders>
            <w:shd w:val="clear" w:color="auto" w:fill="auto"/>
            <w:noWrap/>
          </w:tcPr>
          <w:p w14:paraId="54AE20BC" w14:textId="77777777" w:rsidR="00DD0834" w:rsidRPr="001E3E77" w:rsidRDefault="00DD0834" w:rsidP="003B6997">
            <w:pPr>
              <w:pStyle w:val="BStabletextbold"/>
              <w:jc w:val="right"/>
              <w:rPr>
                <w:color w:val="472D8C"/>
              </w:rPr>
            </w:pPr>
            <w:r w:rsidRPr="00AE06B2">
              <w:rPr>
                <w:color w:val="472D8C"/>
              </w:rPr>
              <w:t>-648,245</w:t>
            </w:r>
          </w:p>
        </w:tc>
        <w:tc>
          <w:tcPr>
            <w:tcW w:w="1020" w:type="dxa"/>
            <w:tcBorders>
              <w:top w:val="single" w:sz="4" w:space="0" w:color="auto"/>
              <w:bottom w:val="single" w:sz="4" w:space="0" w:color="auto"/>
            </w:tcBorders>
            <w:shd w:val="clear" w:color="auto" w:fill="auto"/>
            <w:noWrap/>
            <w:vAlign w:val="bottom"/>
          </w:tcPr>
          <w:p w14:paraId="372AA16B" w14:textId="77777777" w:rsidR="00DD0834" w:rsidRPr="001E3E77" w:rsidRDefault="00DD0834" w:rsidP="003B6997">
            <w:pPr>
              <w:pStyle w:val="BStabletextbold"/>
              <w:jc w:val="right"/>
              <w:rPr>
                <w:color w:val="472D8C"/>
              </w:rPr>
            </w:pPr>
            <w:r w:rsidRPr="00AE06B2">
              <w:rPr>
                <w:color w:val="472D8C"/>
              </w:rPr>
              <w:t>-1,262,579</w:t>
            </w:r>
          </w:p>
        </w:tc>
        <w:tc>
          <w:tcPr>
            <w:tcW w:w="1020" w:type="dxa"/>
            <w:tcBorders>
              <w:top w:val="single" w:sz="4" w:space="0" w:color="auto"/>
              <w:bottom w:val="single" w:sz="4" w:space="0" w:color="auto"/>
            </w:tcBorders>
            <w:shd w:val="clear" w:color="auto" w:fill="auto"/>
            <w:noWrap/>
            <w:vAlign w:val="bottom"/>
          </w:tcPr>
          <w:p w14:paraId="797F4688" w14:textId="77777777" w:rsidR="00DD0834" w:rsidRPr="001E3E77" w:rsidRDefault="00DD0834" w:rsidP="003B6997">
            <w:pPr>
              <w:pStyle w:val="BStabletextbold"/>
              <w:jc w:val="right"/>
              <w:rPr>
                <w:color w:val="472D8C"/>
              </w:rPr>
            </w:pPr>
            <w:r w:rsidRPr="00AE06B2">
              <w:rPr>
                <w:color w:val="472D8C"/>
              </w:rPr>
              <w:t>-936,082</w:t>
            </w:r>
          </w:p>
        </w:tc>
        <w:tc>
          <w:tcPr>
            <w:tcW w:w="1020" w:type="dxa"/>
            <w:tcBorders>
              <w:top w:val="single" w:sz="4" w:space="0" w:color="auto"/>
              <w:bottom w:val="single" w:sz="4" w:space="0" w:color="auto"/>
            </w:tcBorders>
            <w:shd w:val="clear" w:color="auto" w:fill="auto"/>
            <w:noWrap/>
            <w:vAlign w:val="bottom"/>
          </w:tcPr>
          <w:p w14:paraId="22C1C63F" w14:textId="77777777" w:rsidR="00DD0834" w:rsidRPr="001E3E77" w:rsidRDefault="00DD0834" w:rsidP="003B6997">
            <w:pPr>
              <w:pStyle w:val="BStabletextbold"/>
              <w:jc w:val="right"/>
              <w:rPr>
                <w:color w:val="472D8C"/>
              </w:rPr>
            </w:pPr>
            <w:r w:rsidRPr="00AE06B2">
              <w:rPr>
                <w:color w:val="472D8C"/>
              </w:rPr>
              <w:t>-880,262</w:t>
            </w:r>
          </w:p>
        </w:tc>
        <w:tc>
          <w:tcPr>
            <w:tcW w:w="1069" w:type="dxa"/>
            <w:gridSpan w:val="2"/>
            <w:tcBorders>
              <w:top w:val="single" w:sz="4" w:space="0" w:color="auto"/>
              <w:bottom w:val="single" w:sz="4" w:space="0" w:color="auto"/>
            </w:tcBorders>
            <w:shd w:val="clear" w:color="auto" w:fill="auto"/>
            <w:noWrap/>
            <w:vAlign w:val="bottom"/>
          </w:tcPr>
          <w:p w14:paraId="7EDF15A8" w14:textId="77777777" w:rsidR="00DD0834" w:rsidRPr="001E3E77" w:rsidRDefault="00DD0834" w:rsidP="003B6997">
            <w:pPr>
              <w:pStyle w:val="BStabletextbold"/>
              <w:jc w:val="right"/>
              <w:rPr>
                <w:color w:val="472D8C"/>
              </w:rPr>
            </w:pPr>
            <w:r w:rsidRPr="00AE06B2">
              <w:rPr>
                <w:color w:val="472D8C"/>
              </w:rPr>
              <w:t>-869,634</w:t>
            </w:r>
          </w:p>
        </w:tc>
      </w:tr>
      <w:tr w:rsidR="00DD0834" w:rsidRPr="00457CE0" w14:paraId="189702DA" w14:textId="77777777" w:rsidTr="003B6997">
        <w:trPr>
          <w:cantSplit/>
          <w:trHeight w:val="20"/>
          <w:jc w:val="center"/>
        </w:trPr>
        <w:tc>
          <w:tcPr>
            <w:tcW w:w="2869" w:type="dxa"/>
            <w:tcBorders>
              <w:top w:val="single" w:sz="4" w:space="0" w:color="auto"/>
            </w:tcBorders>
            <w:shd w:val="clear" w:color="auto" w:fill="auto"/>
            <w:vAlign w:val="bottom"/>
          </w:tcPr>
          <w:p w14:paraId="1C05D43C" w14:textId="77777777" w:rsidR="00DD0834" w:rsidRPr="00D441E0" w:rsidRDefault="00DD0834" w:rsidP="003B6997">
            <w:pPr>
              <w:pStyle w:val="BStabletextbold"/>
            </w:pPr>
            <w:r w:rsidRPr="00CA5883">
              <w:t xml:space="preserve">Other economic flows </w:t>
            </w:r>
            <w:r w:rsidRPr="001E3E77">
              <w:t>–</w:t>
            </w:r>
            <w:r w:rsidRPr="00CA5883">
              <w:t xml:space="preserve"> included in the operating result</w:t>
            </w:r>
          </w:p>
        </w:tc>
        <w:tc>
          <w:tcPr>
            <w:tcW w:w="1020" w:type="dxa"/>
            <w:tcBorders>
              <w:top w:val="single" w:sz="4" w:space="0" w:color="auto"/>
            </w:tcBorders>
            <w:shd w:val="clear" w:color="auto" w:fill="auto"/>
          </w:tcPr>
          <w:p w14:paraId="26ABC815" w14:textId="77777777" w:rsidR="00DD0834" w:rsidRPr="00457CE0" w:rsidRDefault="00DD0834" w:rsidP="003B6997">
            <w:pPr>
              <w:pStyle w:val="Btablefigureunbold"/>
            </w:pPr>
          </w:p>
        </w:tc>
        <w:tc>
          <w:tcPr>
            <w:tcW w:w="1069" w:type="dxa"/>
            <w:tcBorders>
              <w:top w:val="single" w:sz="4" w:space="0" w:color="auto"/>
            </w:tcBorders>
            <w:shd w:val="clear" w:color="auto" w:fill="auto"/>
            <w:noWrap/>
          </w:tcPr>
          <w:p w14:paraId="27278FA4"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33BE6164"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29AB18DD"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23E5A077" w14:textId="77777777" w:rsidR="00DD0834" w:rsidRPr="00457CE0" w:rsidRDefault="00DD0834" w:rsidP="003B6997">
            <w:pPr>
              <w:pStyle w:val="Btablefigureunbold"/>
            </w:pPr>
          </w:p>
        </w:tc>
        <w:tc>
          <w:tcPr>
            <w:tcW w:w="1069" w:type="dxa"/>
            <w:gridSpan w:val="2"/>
            <w:tcBorders>
              <w:top w:val="single" w:sz="4" w:space="0" w:color="auto"/>
            </w:tcBorders>
            <w:shd w:val="clear" w:color="auto" w:fill="auto"/>
            <w:noWrap/>
          </w:tcPr>
          <w:p w14:paraId="3B49C854" w14:textId="77777777" w:rsidR="00DD0834" w:rsidRPr="00457CE0" w:rsidRDefault="00DD0834" w:rsidP="003B6997">
            <w:pPr>
              <w:pStyle w:val="Btablefigureunbold"/>
            </w:pPr>
          </w:p>
        </w:tc>
      </w:tr>
      <w:tr w:rsidR="00DD0834" w:rsidRPr="00457CE0" w14:paraId="06FFECA3" w14:textId="77777777" w:rsidTr="003B6997">
        <w:trPr>
          <w:cantSplit/>
          <w:trHeight w:val="20"/>
          <w:jc w:val="center"/>
        </w:trPr>
        <w:tc>
          <w:tcPr>
            <w:tcW w:w="2869" w:type="dxa"/>
            <w:shd w:val="clear" w:color="auto" w:fill="auto"/>
          </w:tcPr>
          <w:p w14:paraId="745531D8" w14:textId="77777777" w:rsidR="00DD0834" w:rsidRPr="00D441E0" w:rsidRDefault="00DD0834" w:rsidP="003B6997">
            <w:pPr>
              <w:pStyle w:val="BStabletext"/>
            </w:pPr>
            <w:r w:rsidRPr="00CA5883">
              <w:t>Land revenue (market gains on land sales)</w:t>
            </w:r>
          </w:p>
        </w:tc>
        <w:tc>
          <w:tcPr>
            <w:tcW w:w="1020" w:type="dxa"/>
            <w:shd w:val="clear" w:color="auto" w:fill="auto"/>
          </w:tcPr>
          <w:p w14:paraId="036624B5" w14:textId="77777777" w:rsidR="00DD0834" w:rsidRPr="00AE06B2" w:rsidRDefault="00DD0834" w:rsidP="003B6997">
            <w:pPr>
              <w:pStyle w:val="Btablefigureunbold"/>
            </w:pPr>
            <w:r w:rsidRPr="00AE06B2">
              <w:t>26,186</w:t>
            </w:r>
          </w:p>
        </w:tc>
        <w:tc>
          <w:tcPr>
            <w:tcW w:w="1069" w:type="dxa"/>
            <w:shd w:val="clear" w:color="auto" w:fill="auto"/>
            <w:noWrap/>
          </w:tcPr>
          <w:p w14:paraId="009AE356" w14:textId="77777777" w:rsidR="00DD0834" w:rsidRPr="00AE06B2" w:rsidRDefault="00DD0834" w:rsidP="003B6997">
            <w:pPr>
              <w:pStyle w:val="Btablefigureunbold"/>
            </w:pPr>
            <w:r w:rsidRPr="00AE06B2">
              <w:t>96,638</w:t>
            </w:r>
          </w:p>
        </w:tc>
        <w:tc>
          <w:tcPr>
            <w:tcW w:w="1020" w:type="dxa"/>
            <w:shd w:val="clear" w:color="auto" w:fill="auto"/>
            <w:noWrap/>
          </w:tcPr>
          <w:p w14:paraId="51101AD4" w14:textId="77777777" w:rsidR="00DD0834" w:rsidRPr="00AE06B2" w:rsidRDefault="00DD0834" w:rsidP="003B6997">
            <w:pPr>
              <w:pStyle w:val="Btablefigureunbold"/>
            </w:pPr>
            <w:r w:rsidRPr="00AE06B2">
              <w:t>4,322</w:t>
            </w:r>
          </w:p>
        </w:tc>
        <w:tc>
          <w:tcPr>
            <w:tcW w:w="1020" w:type="dxa"/>
            <w:shd w:val="clear" w:color="auto" w:fill="auto"/>
            <w:noWrap/>
          </w:tcPr>
          <w:p w14:paraId="71E226E2" w14:textId="77777777" w:rsidR="00DD0834" w:rsidRPr="00AE06B2" w:rsidRDefault="00DD0834" w:rsidP="003B6997">
            <w:pPr>
              <w:pStyle w:val="Btablefigureunbold"/>
            </w:pPr>
            <w:r w:rsidRPr="00AE06B2">
              <w:t>90,219</w:t>
            </w:r>
          </w:p>
        </w:tc>
        <w:tc>
          <w:tcPr>
            <w:tcW w:w="1020" w:type="dxa"/>
            <w:shd w:val="clear" w:color="auto" w:fill="auto"/>
            <w:noWrap/>
          </w:tcPr>
          <w:p w14:paraId="0BFA98AD" w14:textId="77777777" w:rsidR="00DD0834" w:rsidRPr="00AE06B2" w:rsidRDefault="00DD0834" w:rsidP="003B6997">
            <w:pPr>
              <w:pStyle w:val="Btablefigureunbold"/>
            </w:pPr>
            <w:r w:rsidRPr="00AE06B2">
              <w:t>51,692</w:t>
            </w:r>
          </w:p>
        </w:tc>
        <w:tc>
          <w:tcPr>
            <w:tcW w:w="1069" w:type="dxa"/>
            <w:gridSpan w:val="2"/>
            <w:shd w:val="clear" w:color="auto" w:fill="auto"/>
            <w:noWrap/>
          </w:tcPr>
          <w:p w14:paraId="27BFDFF8" w14:textId="77777777" w:rsidR="00DD0834" w:rsidRPr="00AE06B2" w:rsidRDefault="00DD0834" w:rsidP="003B6997">
            <w:pPr>
              <w:pStyle w:val="Btablefigureunbold"/>
            </w:pPr>
            <w:r w:rsidRPr="00AE06B2">
              <w:t>33,951</w:t>
            </w:r>
          </w:p>
        </w:tc>
      </w:tr>
      <w:tr w:rsidR="00DD0834" w:rsidRPr="00457CE0" w14:paraId="55FF1904" w14:textId="77777777" w:rsidTr="003B6997">
        <w:trPr>
          <w:cantSplit/>
          <w:trHeight w:val="20"/>
          <w:jc w:val="center"/>
        </w:trPr>
        <w:tc>
          <w:tcPr>
            <w:tcW w:w="2869" w:type="dxa"/>
            <w:shd w:val="clear" w:color="auto" w:fill="auto"/>
          </w:tcPr>
          <w:p w14:paraId="2325DDE4" w14:textId="77777777" w:rsidR="00DD0834" w:rsidRPr="001913A8" w:rsidRDefault="00DD0834" w:rsidP="003B6997">
            <w:pPr>
              <w:pStyle w:val="BStabletext"/>
              <w:rPr>
                <w:color w:val="472D8C"/>
              </w:rPr>
            </w:pPr>
            <w:r w:rsidRPr="00CA5883">
              <w:t>Net land revenue (undeveloped land value)</w:t>
            </w:r>
          </w:p>
        </w:tc>
        <w:tc>
          <w:tcPr>
            <w:tcW w:w="1020" w:type="dxa"/>
            <w:shd w:val="clear" w:color="auto" w:fill="auto"/>
          </w:tcPr>
          <w:p w14:paraId="7EBE41E6" w14:textId="77777777" w:rsidR="00DD0834" w:rsidRPr="00AE06B2" w:rsidRDefault="00DD0834" w:rsidP="003B6997">
            <w:pPr>
              <w:pStyle w:val="Btablefigureunbold"/>
            </w:pPr>
            <w:r w:rsidRPr="00AE06B2">
              <w:t>45,371</w:t>
            </w:r>
          </w:p>
        </w:tc>
        <w:tc>
          <w:tcPr>
            <w:tcW w:w="1069" w:type="dxa"/>
            <w:shd w:val="clear" w:color="auto" w:fill="auto"/>
            <w:noWrap/>
          </w:tcPr>
          <w:p w14:paraId="63F31F18" w14:textId="77777777" w:rsidR="00DD0834" w:rsidRPr="00AE06B2" w:rsidRDefault="00DD0834" w:rsidP="003B6997">
            <w:pPr>
              <w:pStyle w:val="Btablefigureunbold"/>
            </w:pPr>
            <w:r w:rsidRPr="00AE06B2">
              <w:t>-3,285</w:t>
            </w:r>
          </w:p>
        </w:tc>
        <w:tc>
          <w:tcPr>
            <w:tcW w:w="1020" w:type="dxa"/>
            <w:shd w:val="clear" w:color="auto" w:fill="auto"/>
            <w:noWrap/>
          </w:tcPr>
          <w:p w14:paraId="00FCD661" w14:textId="77777777" w:rsidR="00DD0834" w:rsidRPr="00AE06B2" w:rsidRDefault="00DD0834" w:rsidP="003B6997">
            <w:pPr>
              <w:pStyle w:val="Btablefigureunbold"/>
            </w:pPr>
            <w:r w:rsidRPr="00AE06B2">
              <w:t>42,315</w:t>
            </w:r>
          </w:p>
        </w:tc>
        <w:tc>
          <w:tcPr>
            <w:tcW w:w="1020" w:type="dxa"/>
            <w:shd w:val="clear" w:color="auto" w:fill="auto"/>
            <w:noWrap/>
          </w:tcPr>
          <w:p w14:paraId="7EB907F9" w14:textId="77777777" w:rsidR="00DD0834" w:rsidRPr="00AE06B2" w:rsidRDefault="00DD0834" w:rsidP="003B6997">
            <w:pPr>
              <w:pStyle w:val="Btablefigureunbold"/>
            </w:pPr>
            <w:r w:rsidRPr="00AE06B2">
              <w:t>29,409</w:t>
            </w:r>
          </w:p>
        </w:tc>
        <w:tc>
          <w:tcPr>
            <w:tcW w:w="1020" w:type="dxa"/>
            <w:shd w:val="clear" w:color="auto" w:fill="auto"/>
            <w:noWrap/>
          </w:tcPr>
          <w:p w14:paraId="1B73D944" w14:textId="77777777" w:rsidR="00DD0834" w:rsidRPr="00AE06B2" w:rsidRDefault="00DD0834" w:rsidP="003B6997">
            <w:pPr>
              <w:pStyle w:val="Btablefigureunbold"/>
            </w:pPr>
            <w:r w:rsidRPr="00AE06B2">
              <w:t>34,998</w:t>
            </w:r>
          </w:p>
        </w:tc>
        <w:tc>
          <w:tcPr>
            <w:tcW w:w="1069" w:type="dxa"/>
            <w:gridSpan w:val="2"/>
            <w:shd w:val="clear" w:color="auto" w:fill="auto"/>
            <w:noWrap/>
          </w:tcPr>
          <w:p w14:paraId="4662C3D2" w14:textId="77777777" w:rsidR="00DD0834" w:rsidRPr="00AE06B2" w:rsidRDefault="00DD0834" w:rsidP="003B6997">
            <w:pPr>
              <w:pStyle w:val="Btablefigureunbold"/>
            </w:pPr>
            <w:r w:rsidRPr="00AE06B2">
              <w:t>29,155</w:t>
            </w:r>
          </w:p>
        </w:tc>
      </w:tr>
      <w:tr w:rsidR="00DD0834" w:rsidRPr="00457CE0" w14:paraId="2A4C5304" w14:textId="77777777" w:rsidTr="003B6997">
        <w:trPr>
          <w:cantSplit/>
          <w:trHeight w:val="20"/>
          <w:jc w:val="center"/>
        </w:trPr>
        <w:tc>
          <w:tcPr>
            <w:tcW w:w="2869" w:type="dxa"/>
            <w:shd w:val="clear" w:color="auto" w:fill="auto"/>
          </w:tcPr>
          <w:p w14:paraId="366FA477" w14:textId="77777777" w:rsidR="00DD0834" w:rsidRPr="00D441E0" w:rsidRDefault="00DD0834" w:rsidP="003B6997">
            <w:pPr>
              <w:pStyle w:val="BStabletext"/>
            </w:pPr>
            <w:r w:rsidRPr="00CA5883">
              <w:t>Net gain/(loss) on sale/(disposal) of non</w:t>
            </w:r>
            <w:r w:rsidRPr="00CA5883">
              <w:noBreakHyphen/>
              <w:t>financial assets</w:t>
            </w:r>
          </w:p>
        </w:tc>
        <w:tc>
          <w:tcPr>
            <w:tcW w:w="1020" w:type="dxa"/>
            <w:shd w:val="clear" w:color="auto" w:fill="auto"/>
          </w:tcPr>
          <w:p w14:paraId="7405464A" w14:textId="77777777" w:rsidR="00DD0834" w:rsidRPr="00AE06B2" w:rsidRDefault="00DD0834" w:rsidP="003B6997">
            <w:pPr>
              <w:pStyle w:val="Btablefigureunbold"/>
            </w:pPr>
            <w:r w:rsidRPr="00AE06B2">
              <w:t>-11,359</w:t>
            </w:r>
          </w:p>
        </w:tc>
        <w:tc>
          <w:tcPr>
            <w:tcW w:w="1069" w:type="dxa"/>
            <w:shd w:val="clear" w:color="auto" w:fill="auto"/>
            <w:noWrap/>
          </w:tcPr>
          <w:p w14:paraId="096675A7" w14:textId="77777777" w:rsidR="00DD0834" w:rsidRPr="00AE06B2" w:rsidRDefault="00DD0834" w:rsidP="003B6997">
            <w:pPr>
              <w:pStyle w:val="Btablefigureunbold"/>
            </w:pPr>
            <w:r w:rsidRPr="00AE06B2">
              <w:t>3,801</w:t>
            </w:r>
          </w:p>
        </w:tc>
        <w:tc>
          <w:tcPr>
            <w:tcW w:w="1020" w:type="dxa"/>
            <w:shd w:val="clear" w:color="auto" w:fill="auto"/>
            <w:noWrap/>
          </w:tcPr>
          <w:p w14:paraId="3ABC4961" w14:textId="77777777" w:rsidR="00DD0834" w:rsidRPr="00AE06B2" w:rsidRDefault="00DD0834" w:rsidP="003B6997">
            <w:pPr>
              <w:pStyle w:val="Btablefigureunbold"/>
            </w:pPr>
            <w:r w:rsidRPr="00AE06B2">
              <w:t>-57,529</w:t>
            </w:r>
          </w:p>
        </w:tc>
        <w:tc>
          <w:tcPr>
            <w:tcW w:w="1020" w:type="dxa"/>
            <w:shd w:val="clear" w:color="auto" w:fill="auto"/>
            <w:noWrap/>
          </w:tcPr>
          <w:p w14:paraId="6457F38A" w14:textId="77777777" w:rsidR="00DD0834" w:rsidRPr="00AE06B2" w:rsidRDefault="00DD0834" w:rsidP="003B6997">
            <w:pPr>
              <w:pStyle w:val="Btablefigureunbold"/>
            </w:pPr>
            <w:r w:rsidRPr="00AE06B2">
              <w:t>-26,054</w:t>
            </w:r>
          </w:p>
        </w:tc>
        <w:tc>
          <w:tcPr>
            <w:tcW w:w="1020" w:type="dxa"/>
            <w:shd w:val="clear" w:color="auto" w:fill="auto"/>
            <w:noWrap/>
          </w:tcPr>
          <w:p w14:paraId="1D26E527" w14:textId="77777777" w:rsidR="00DD0834" w:rsidRPr="00AE06B2" w:rsidRDefault="00DD0834" w:rsidP="003B6997">
            <w:pPr>
              <w:pStyle w:val="Btablefigureunbold"/>
            </w:pPr>
            <w:r w:rsidRPr="00AE06B2">
              <w:t>-32,690</w:t>
            </w:r>
          </w:p>
        </w:tc>
        <w:tc>
          <w:tcPr>
            <w:tcW w:w="1069" w:type="dxa"/>
            <w:gridSpan w:val="2"/>
            <w:shd w:val="clear" w:color="auto" w:fill="auto"/>
            <w:noWrap/>
          </w:tcPr>
          <w:p w14:paraId="7831D1D8" w14:textId="77777777" w:rsidR="00DD0834" w:rsidRPr="00AE06B2" w:rsidRDefault="00DD0834" w:rsidP="003B6997">
            <w:pPr>
              <w:pStyle w:val="Btablefigureunbold"/>
            </w:pPr>
            <w:r w:rsidRPr="00AE06B2">
              <w:t>-37,592</w:t>
            </w:r>
          </w:p>
        </w:tc>
      </w:tr>
      <w:tr w:rsidR="00DD0834" w:rsidRPr="00457CE0" w14:paraId="294B20B5" w14:textId="77777777" w:rsidTr="003B6997">
        <w:trPr>
          <w:gridAfter w:val="1"/>
          <w:wAfter w:w="49" w:type="dxa"/>
          <w:cantSplit/>
          <w:trHeight w:val="20"/>
          <w:jc w:val="center"/>
        </w:trPr>
        <w:tc>
          <w:tcPr>
            <w:tcW w:w="2869" w:type="dxa"/>
            <w:shd w:val="clear" w:color="auto" w:fill="auto"/>
          </w:tcPr>
          <w:p w14:paraId="4D198A8F" w14:textId="77777777" w:rsidR="00DD0834" w:rsidRPr="00D441E0" w:rsidRDefault="00DD0834" w:rsidP="003B6997">
            <w:pPr>
              <w:pStyle w:val="BStabletext"/>
            </w:pPr>
            <w:r w:rsidRPr="00CA5883">
              <w:t>Net gain/(loss) on financial assets or liabilities at fair value</w:t>
            </w:r>
          </w:p>
        </w:tc>
        <w:tc>
          <w:tcPr>
            <w:tcW w:w="1020" w:type="dxa"/>
            <w:shd w:val="clear" w:color="auto" w:fill="auto"/>
          </w:tcPr>
          <w:p w14:paraId="67E55C13" w14:textId="77777777" w:rsidR="00DD0834" w:rsidRPr="00AE06B2" w:rsidRDefault="00DD0834" w:rsidP="003B6997">
            <w:pPr>
              <w:pStyle w:val="Btablefigureunbold"/>
            </w:pPr>
            <w:r w:rsidRPr="00AE06B2">
              <w:t>425,293</w:t>
            </w:r>
          </w:p>
        </w:tc>
        <w:tc>
          <w:tcPr>
            <w:tcW w:w="1069" w:type="dxa"/>
            <w:shd w:val="clear" w:color="auto" w:fill="auto"/>
            <w:noWrap/>
          </w:tcPr>
          <w:p w14:paraId="650A33B8" w14:textId="77777777" w:rsidR="00DD0834" w:rsidRPr="00AE06B2" w:rsidRDefault="00DD0834" w:rsidP="003B6997">
            <w:pPr>
              <w:pStyle w:val="Btablefigureunbold"/>
            </w:pPr>
            <w:r w:rsidRPr="00AE06B2">
              <w:t>694,682</w:t>
            </w:r>
          </w:p>
        </w:tc>
        <w:tc>
          <w:tcPr>
            <w:tcW w:w="1020" w:type="dxa"/>
            <w:shd w:val="clear" w:color="auto" w:fill="auto"/>
            <w:noWrap/>
          </w:tcPr>
          <w:p w14:paraId="536F0C7C" w14:textId="77777777" w:rsidR="00DD0834" w:rsidRPr="00AE06B2" w:rsidRDefault="00DD0834" w:rsidP="003B6997">
            <w:pPr>
              <w:pStyle w:val="Btablefigureunbold"/>
            </w:pPr>
            <w:r w:rsidRPr="00AE06B2">
              <w:t>229,323</w:t>
            </w:r>
          </w:p>
        </w:tc>
        <w:tc>
          <w:tcPr>
            <w:tcW w:w="1020" w:type="dxa"/>
            <w:shd w:val="clear" w:color="auto" w:fill="auto"/>
            <w:noWrap/>
          </w:tcPr>
          <w:p w14:paraId="663EC770" w14:textId="77777777" w:rsidR="00DD0834" w:rsidRPr="00AE06B2" w:rsidRDefault="00DD0834" w:rsidP="003B6997">
            <w:pPr>
              <w:pStyle w:val="Btablefigureunbold"/>
            </w:pPr>
            <w:r w:rsidRPr="00AE06B2">
              <w:t>249,203</w:t>
            </w:r>
          </w:p>
        </w:tc>
        <w:tc>
          <w:tcPr>
            <w:tcW w:w="1020" w:type="dxa"/>
            <w:shd w:val="clear" w:color="auto" w:fill="auto"/>
            <w:noWrap/>
          </w:tcPr>
          <w:p w14:paraId="1175FE17" w14:textId="77777777" w:rsidR="00DD0834" w:rsidRPr="00AE06B2" w:rsidRDefault="00DD0834" w:rsidP="003B6997">
            <w:pPr>
              <w:pStyle w:val="Btablefigureunbold"/>
            </w:pPr>
            <w:r w:rsidRPr="00AE06B2">
              <w:t>266,829</w:t>
            </w:r>
          </w:p>
        </w:tc>
        <w:tc>
          <w:tcPr>
            <w:tcW w:w="1020" w:type="dxa"/>
            <w:shd w:val="clear" w:color="auto" w:fill="auto"/>
            <w:noWrap/>
          </w:tcPr>
          <w:p w14:paraId="76A16921" w14:textId="77777777" w:rsidR="00DD0834" w:rsidRPr="00AE06B2" w:rsidRDefault="00DD0834" w:rsidP="003B6997">
            <w:pPr>
              <w:pStyle w:val="Btablefigureunbold"/>
            </w:pPr>
            <w:r w:rsidRPr="00AE06B2">
              <w:t>285,565</w:t>
            </w:r>
          </w:p>
        </w:tc>
      </w:tr>
      <w:tr w:rsidR="00DD0834" w:rsidRPr="00457CE0" w14:paraId="5B5A7673" w14:textId="77777777" w:rsidTr="003B6997">
        <w:trPr>
          <w:gridAfter w:val="1"/>
          <w:wAfter w:w="49" w:type="dxa"/>
          <w:cantSplit/>
          <w:trHeight w:val="20"/>
          <w:jc w:val="center"/>
        </w:trPr>
        <w:tc>
          <w:tcPr>
            <w:tcW w:w="2869" w:type="dxa"/>
            <w:tcBorders>
              <w:bottom w:val="single" w:sz="4" w:space="0" w:color="auto"/>
            </w:tcBorders>
            <w:shd w:val="clear" w:color="auto" w:fill="auto"/>
          </w:tcPr>
          <w:p w14:paraId="42329433" w14:textId="77777777" w:rsidR="00DD0834" w:rsidRPr="00D441E0" w:rsidRDefault="00DD0834" w:rsidP="003B6997">
            <w:pPr>
              <w:pStyle w:val="BStabletext"/>
            </w:pPr>
            <w:r w:rsidRPr="00CA5883">
              <w:t>Doubtful debts</w:t>
            </w:r>
          </w:p>
        </w:tc>
        <w:tc>
          <w:tcPr>
            <w:tcW w:w="1020" w:type="dxa"/>
            <w:tcBorders>
              <w:bottom w:val="single" w:sz="4" w:space="0" w:color="auto"/>
            </w:tcBorders>
            <w:shd w:val="clear" w:color="auto" w:fill="auto"/>
          </w:tcPr>
          <w:p w14:paraId="296C3734" w14:textId="77777777" w:rsidR="00DD0834" w:rsidRPr="00AE06B2" w:rsidRDefault="00DD0834" w:rsidP="003B6997">
            <w:pPr>
              <w:pStyle w:val="Btablefigureunbold"/>
            </w:pPr>
            <w:r w:rsidRPr="00AE06B2">
              <w:t>-15,900</w:t>
            </w:r>
          </w:p>
        </w:tc>
        <w:tc>
          <w:tcPr>
            <w:tcW w:w="1069" w:type="dxa"/>
            <w:tcBorders>
              <w:bottom w:val="single" w:sz="4" w:space="0" w:color="auto"/>
            </w:tcBorders>
            <w:shd w:val="clear" w:color="auto" w:fill="auto"/>
            <w:noWrap/>
          </w:tcPr>
          <w:p w14:paraId="378E9517" w14:textId="77777777" w:rsidR="00DD0834" w:rsidRPr="00AE06B2" w:rsidRDefault="00DD0834" w:rsidP="003B6997">
            <w:pPr>
              <w:pStyle w:val="Btablefigureunbold"/>
            </w:pPr>
            <w:r w:rsidRPr="00AE06B2">
              <w:t>-9,773</w:t>
            </w:r>
          </w:p>
        </w:tc>
        <w:tc>
          <w:tcPr>
            <w:tcW w:w="1020" w:type="dxa"/>
            <w:tcBorders>
              <w:bottom w:val="single" w:sz="4" w:space="0" w:color="auto"/>
            </w:tcBorders>
            <w:shd w:val="clear" w:color="auto" w:fill="auto"/>
            <w:noWrap/>
          </w:tcPr>
          <w:p w14:paraId="73FA6CF8" w14:textId="77777777" w:rsidR="00DD0834" w:rsidRPr="00AE06B2" w:rsidRDefault="00DD0834" w:rsidP="003B6997">
            <w:pPr>
              <w:pStyle w:val="Btablefigureunbold"/>
            </w:pPr>
            <w:r w:rsidRPr="00AE06B2">
              <w:t>-16,136</w:t>
            </w:r>
          </w:p>
        </w:tc>
        <w:tc>
          <w:tcPr>
            <w:tcW w:w="1020" w:type="dxa"/>
            <w:tcBorders>
              <w:bottom w:val="single" w:sz="4" w:space="0" w:color="auto"/>
            </w:tcBorders>
            <w:shd w:val="clear" w:color="auto" w:fill="auto"/>
            <w:noWrap/>
          </w:tcPr>
          <w:p w14:paraId="69334939" w14:textId="77777777" w:rsidR="00DD0834" w:rsidRPr="00AE06B2" w:rsidRDefault="00DD0834" w:rsidP="003B6997">
            <w:pPr>
              <w:pStyle w:val="Btablefigureunbold"/>
            </w:pPr>
            <w:r w:rsidRPr="00AE06B2">
              <w:t>-14,237</w:t>
            </w:r>
          </w:p>
        </w:tc>
        <w:tc>
          <w:tcPr>
            <w:tcW w:w="1020" w:type="dxa"/>
            <w:tcBorders>
              <w:bottom w:val="single" w:sz="4" w:space="0" w:color="auto"/>
            </w:tcBorders>
            <w:shd w:val="clear" w:color="auto" w:fill="auto"/>
            <w:noWrap/>
          </w:tcPr>
          <w:p w14:paraId="6F8CF588" w14:textId="77777777" w:rsidR="00DD0834" w:rsidRPr="00AE06B2" w:rsidRDefault="00DD0834" w:rsidP="003B6997">
            <w:pPr>
              <w:pStyle w:val="Btablefigureunbold"/>
            </w:pPr>
            <w:r w:rsidRPr="00AE06B2">
              <w:t>-14,450</w:t>
            </w:r>
          </w:p>
        </w:tc>
        <w:tc>
          <w:tcPr>
            <w:tcW w:w="1020" w:type="dxa"/>
            <w:tcBorders>
              <w:bottom w:val="single" w:sz="4" w:space="0" w:color="auto"/>
            </w:tcBorders>
            <w:shd w:val="clear" w:color="auto" w:fill="auto"/>
            <w:noWrap/>
          </w:tcPr>
          <w:p w14:paraId="0DB45CD8" w14:textId="77777777" w:rsidR="00DD0834" w:rsidRPr="00AE06B2" w:rsidRDefault="00DD0834" w:rsidP="003B6997">
            <w:pPr>
              <w:pStyle w:val="Btablefigureunbold"/>
            </w:pPr>
            <w:r w:rsidRPr="00AE06B2">
              <w:t>-14,694</w:t>
            </w:r>
          </w:p>
        </w:tc>
      </w:tr>
      <w:tr w:rsidR="00DD0834" w:rsidRPr="00AE06B2" w14:paraId="2B9D399F" w14:textId="77777777" w:rsidTr="003B6997">
        <w:trPr>
          <w:gridAfter w:val="1"/>
          <w:wAfter w:w="49" w:type="dxa"/>
          <w:cantSplit/>
          <w:trHeight w:val="20"/>
          <w:jc w:val="center"/>
        </w:trPr>
        <w:tc>
          <w:tcPr>
            <w:tcW w:w="2869" w:type="dxa"/>
            <w:tcBorders>
              <w:top w:val="single" w:sz="4" w:space="0" w:color="auto"/>
              <w:bottom w:val="single" w:sz="4" w:space="0" w:color="auto"/>
            </w:tcBorders>
            <w:shd w:val="clear" w:color="auto" w:fill="auto"/>
          </w:tcPr>
          <w:p w14:paraId="387F0B85" w14:textId="77777777" w:rsidR="00DD0834" w:rsidRPr="00B02825" w:rsidRDefault="00DD0834" w:rsidP="003B6997">
            <w:pPr>
              <w:pStyle w:val="BStabletextbold"/>
              <w:rPr>
                <w:color w:val="472D8C"/>
              </w:rPr>
            </w:pPr>
            <w:r w:rsidRPr="00B02825">
              <w:rPr>
                <w:color w:val="472D8C"/>
              </w:rPr>
              <w:lastRenderedPageBreak/>
              <w:t>Operating deficit</w:t>
            </w:r>
          </w:p>
        </w:tc>
        <w:tc>
          <w:tcPr>
            <w:tcW w:w="1020" w:type="dxa"/>
            <w:tcBorders>
              <w:top w:val="single" w:sz="4" w:space="0" w:color="auto"/>
              <w:bottom w:val="single" w:sz="4" w:space="0" w:color="auto"/>
            </w:tcBorders>
            <w:shd w:val="clear" w:color="auto" w:fill="auto"/>
          </w:tcPr>
          <w:p w14:paraId="7CE9BCD0" w14:textId="77777777" w:rsidR="00DD0834" w:rsidRPr="00B02825" w:rsidRDefault="00DD0834" w:rsidP="003B6997">
            <w:pPr>
              <w:pStyle w:val="BStabletextbold"/>
              <w:jc w:val="right"/>
              <w:rPr>
                <w:color w:val="472D8C"/>
              </w:rPr>
            </w:pPr>
            <w:r w:rsidRPr="00AE06B2">
              <w:rPr>
                <w:color w:val="472D8C"/>
              </w:rPr>
              <w:t>-409,569</w:t>
            </w:r>
          </w:p>
        </w:tc>
        <w:tc>
          <w:tcPr>
            <w:tcW w:w="1069" w:type="dxa"/>
            <w:tcBorders>
              <w:top w:val="single" w:sz="4" w:space="0" w:color="auto"/>
              <w:bottom w:val="single" w:sz="4" w:space="0" w:color="auto"/>
            </w:tcBorders>
            <w:shd w:val="clear" w:color="auto" w:fill="auto"/>
            <w:noWrap/>
          </w:tcPr>
          <w:p w14:paraId="2DFD6D0D" w14:textId="77777777" w:rsidR="00DD0834" w:rsidRPr="00B02825" w:rsidRDefault="00DD0834" w:rsidP="003B6997">
            <w:pPr>
              <w:pStyle w:val="BStabletextbold"/>
              <w:jc w:val="right"/>
              <w:rPr>
                <w:color w:val="472D8C"/>
              </w:rPr>
            </w:pPr>
            <w:r w:rsidRPr="00AE06B2">
              <w:rPr>
                <w:color w:val="472D8C"/>
              </w:rPr>
              <w:t>133,818</w:t>
            </w:r>
          </w:p>
        </w:tc>
        <w:tc>
          <w:tcPr>
            <w:tcW w:w="1020" w:type="dxa"/>
            <w:tcBorders>
              <w:top w:val="single" w:sz="4" w:space="0" w:color="auto"/>
              <w:bottom w:val="single" w:sz="4" w:space="0" w:color="auto"/>
            </w:tcBorders>
            <w:shd w:val="clear" w:color="auto" w:fill="auto"/>
            <w:noWrap/>
            <w:vAlign w:val="bottom"/>
          </w:tcPr>
          <w:p w14:paraId="6E4D5E5E" w14:textId="77777777" w:rsidR="00DD0834" w:rsidRPr="00B02825" w:rsidRDefault="00DD0834" w:rsidP="003B6997">
            <w:pPr>
              <w:pStyle w:val="BStabletextbold"/>
              <w:jc w:val="right"/>
              <w:rPr>
                <w:color w:val="472D8C"/>
              </w:rPr>
            </w:pPr>
            <w:r w:rsidRPr="00AE06B2">
              <w:rPr>
                <w:color w:val="472D8C"/>
              </w:rPr>
              <w:t>-1,060,284</w:t>
            </w:r>
          </w:p>
        </w:tc>
        <w:tc>
          <w:tcPr>
            <w:tcW w:w="1020" w:type="dxa"/>
            <w:tcBorders>
              <w:top w:val="single" w:sz="4" w:space="0" w:color="auto"/>
              <w:bottom w:val="single" w:sz="4" w:space="0" w:color="auto"/>
            </w:tcBorders>
            <w:shd w:val="clear" w:color="auto" w:fill="auto"/>
            <w:noWrap/>
            <w:vAlign w:val="bottom"/>
          </w:tcPr>
          <w:p w14:paraId="292A2367" w14:textId="77777777" w:rsidR="00DD0834" w:rsidRPr="00B02825" w:rsidRDefault="00DD0834" w:rsidP="003B6997">
            <w:pPr>
              <w:pStyle w:val="BStabletextbold"/>
              <w:jc w:val="right"/>
              <w:rPr>
                <w:color w:val="472D8C"/>
              </w:rPr>
            </w:pPr>
            <w:r w:rsidRPr="00AE06B2">
              <w:rPr>
                <w:color w:val="472D8C"/>
              </w:rPr>
              <w:t>-607,542</w:t>
            </w:r>
          </w:p>
        </w:tc>
        <w:tc>
          <w:tcPr>
            <w:tcW w:w="1020" w:type="dxa"/>
            <w:tcBorders>
              <w:top w:val="single" w:sz="4" w:space="0" w:color="auto"/>
              <w:bottom w:val="single" w:sz="4" w:space="0" w:color="auto"/>
            </w:tcBorders>
            <w:shd w:val="clear" w:color="auto" w:fill="auto"/>
            <w:noWrap/>
            <w:vAlign w:val="bottom"/>
          </w:tcPr>
          <w:p w14:paraId="509CE595" w14:textId="77777777" w:rsidR="00DD0834" w:rsidRPr="00B02825" w:rsidRDefault="00DD0834" w:rsidP="003B6997">
            <w:pPr>
              <w:pStyle w:val="BStabletextbold"/>
              <w:jc w:val="right"/>
              <w:rPr>
                <w:color w:val="472D8C"/>
              </w:rPr>
            </w:pPr>
            <w:r w:rsidRPr="00AE06B2">
              <w:rPr>
                <w:color w:val="472D8C"/>
              </w:rPr>
              <w:t>-573,883</w:t>
            </w:r>
          </w:p>
        </w:tc>
        <w:tc>
          <w:tcPr>
            <w:tcW w:w="1020" w:type="dxa"/>
            <w:tcBorders>
              <w:top w:val="single" w:sz="4" w:space="0" w:color="auto"/>
              <w:bottom w:val="single" w:sz="4" w:space="0" w:color="auto"/>
            </w:tcBorders>
            <w:shd w:val="clear" w:color="auto" w:fill="auto"/>
            <w:noWrap/>
            <w:vAlign w:val="bottom"/>
          </w:tcPr>
          <w:p w14:paraId="2E2063B1" w14:textId="77777777" w:rsidR="00DD0834" w:rsidRPr="00B02825" w:rsidRDefault="00DD0834" w:rsidP="003B6997">
            <w:pPr>
              <w:pStyle w:val="BStabletextbold"/>
              <w:jc w:val="right"/>
              <w:rPr>
                <w:color w:val="472D8C"/>
              </w:rPr>
            </w:pPr>
            <w:r w:rsidRPr="00AE06B2">
              <w:rPr>
                <w:color w:val="472D8C"/>
              </w:rPr>
              <w:t>-573,249</w:t>
            </w:r>
          </w:p>
        </w:tc>
      </w:tr>
      <w:tr w:rsidR="00DD0834" w:rsidRPr="00457CE0" w14:paraId="460F45B8" w14:textId="77777777" w:rsidTr="003B6997">
        <w:trPr>
          <w:gridAfter w:val="1"/>
          <w:wAfter w:w="49" w:type="dxa"/>
          <w:cantSplit/>
          <w:trHeight w:val="20"/>
          <w:jc w:val="center"/>
        </w:trPr>
        <w:tc>
          <w:tcPr>
            <w:tcW w:w="2869" w:type="dxa"/>
            <w:tcBorders>
              <w:top w:val="single" w:sz="4" w:space="0" w:color="auto"/>
            </w:tcBorders>
            <w:shd w:val="clear" w:color="auto" w:fill="auto"/>
            <w:vAlign w:val="bottom"/>
          </w:tcPr>
          <w:p w14:paraId="49B844B4" w14:textId="77777777" w:rsidR="00DD0834" w:rsidRPr="00D441E0" w:rsidRDefault="00DD0834" w:rsidP="003B6997">
            <w:pPr>
              <w:pStyle w:val="BStabletextbold"/>
              <w:keepNext/>
              <w:keepLines/>
            </w:pPr>
            <w:r w:rsidRPr="00CA5883">
              <w:t>Other economic flows – other comprehensive income</w:t>
            </w:r>
          </w:p>
        </w:tc>
        <w:tc>
          <w:tcPr>
            <w:tcW w:w="1020" w:type="dxa"/>
            <w:tcBorders>
              <w:top w:val="single" w:sz="4" w:space="0" w:color="auto"/>
            </w:tcBorders>
            <w:shd w:val="clear" w:color="auto" w:fill="auto"/>
          </w:tcPr>
          <w:p w14:paraId="3D309338" w14:textId="77777777" w:rsidR="00DD0834" w:rsidRPr="00457CE0" w:rsidRDefault="00DD0834" w:rsidP="003B6997">
            <w:pPr>
              <w:pStyle w:val="Btablefigureunbold"/>
            </w:pPr>
          </w:p>
        </w:tc>
        <w:tc>
          <w:tcPr>
            <w:tcW w:w="1069" w:type="dxa"/>
            <w:tcBorders>
              <w:top w:val="single" w:sz="4" w:space="0" w:color="auto"/>
            </w:tcBorders>
            <w:shd w:val="clear" w:color="auto" w:fill="auto"/>
            <w:noWrap/>
          </w:tcPr>
          <w:p w14:paraId="0B8C9F6B"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2CCC77B5"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3B191832"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4CC20DE8" w14:textId="77777777" w:rsidR="00DD0834" w:rsidRPr="00457CE0" w:rsidRDefault="00DD0834" w:rsidP="003B6997">
            <w:pPr>
              <w:pStyle w:val="Btablefigureunbold"/>
            </w:pPr>
          </w:p>
        </w:tc>
        <w:tc>
          <w:tcPr>
            <w:tcW w:w="1020" w:type="dxa"/>
            <w:tcBorders>
              <w:top w:val="single" w:sz="4" w:space="0" w:color="auto"/>
            </w:tcBorders>
            <w:shd w:val="clear" w:color="auto" w:fill="auto"/>
            <w:noWrap/>
          </w:tcPr>
          <w:p w14:paraId="4B9C4BA8" w14:textId="77777777" w:rsidR="00DD0834" w:rsidRPr="00457CE0" w:rsidRDefault="00DD0834" w:rsidP="003B6997">
            <w:pPr>
              <w:pStyle w:val="Btablefigureunbold"/>
            </w:pPr>
          </w:p>
        </w:tc>
      </w:tr>
      <w:tr w:rsidR="00DD0834" w:rsidRPr="00457CE0" w14:paraId="7B69F204" w14:textId="77777777" w:rsidTr="003B6997">
        <w:trPr>
          <w:gridAfter w:val="1"/>
          <w:wAfter w:w="49" w:type="dxa"/>
          <w:cantSplit/>
          <w:trHeight w:val="20"/>
          <w:jc w:val="center"/>
        </w:trPr>
        <w:tc>
          <w:tcPr>
            <w:tcW w:w="2869" w:type="dxa"/>
            <w:shd w:val="clear" w:color="auto" w:fill="auto"/>
          </w:tcPr>
          <w:p w14:paraId="52F28DF1" w14:textId="77777777" w:rsidR="00DD0834" w:rsidRPr="00D441E0" w:rsidRDefault="00DD0834" w:rsidP="003B6997">
            <w:pPr>
              <w:pStyle w:val="BStabletextbold"/>
              <w:keepNext/>
              <w:keepLines/>
            </w:pPr>
            <w:r w:rsidRPr="00CA5883">
              <w:t>Items that will not be subsequently reclassified to profit or loss</w:t>
            </w:r>
          </w:p>
        </w:tc>
        <w:tc>
          <w:tcPr>
            <w:tcW w:w="1020" w:type="dxa"/>
            <w:shd w:val="clear" w:color="auto" w:fill="auto"/>
          </w:tcPr>
          <w:p w14:paraId="3E3C382F" w14:textId="77777777" w:rsidR="00DD0834" w:rsidRPr="00457CE0" w:rsidRDefault="00DD0834" w:rsidP="003B6997">
            <w:pPr>
              <w:pStyle w:val="Btablefigureunbold"/>
            </w:pPr>
          </w:p>
        </w:tc>
        <w:tc>
          <w:tcPr>
            <w:tcW w:w="1069" w:type="dxa"/>
            <w:shd w:val="clear" w:color="auto" w:fill="auto"/>
            <w:noWrap/>
          </w:tcPr>
          <w:p w14:paraId="2744308D" w14:textId="77777777" w:rsidR="00DD0834" w:rsidRPr="00457CE0" w:rsidRDefault="00DD0834" w:rsidP="003B6997">
            <w:pPr>
              <w:pStyle w:val="Btablefigureunbold"/>
            </w:pPr>
          </w:p>
        </w:tc>
        <w:tc>
          <w:tcPr>
            <w:tcW w:w="1020" w:type="dxa"/>
            <w:shd w:val="clear" w:color="auto" w:fill="auto"/>
            <w:noWrap/>
          </w:tcPr>
          <w:p w14:paraId="7E076404" w14:textId="77777777" w:rsidR="00DD0834" w:rsidRPr="00457CE0" w:rsidRDefault="00DD0834" w:rsidP="003B6997">
            <w:pPr>
              <w:pStyle w:val="Btablefigureunbold"/>
            </w:pPr>
          </w:p>
        </w:tc>
        <w:tc>
          <w:tcPr>
            <w:tcW w:w="1020" w:type="dxa"/>
            <w:shd w:val="clear" w:color="auto" w:fill="auto"/>
            <w:noWrap/>
          </w:tcPr>
          <w:p w14:paraId="7C94E2A3" w14:textId="77777777" w:rsidR="00DD0834" w:rsidRPr="00457CE0" w:rsidRDefault="00DD0834" w:rsidP="003B6997">
            <w:pPr>
              <w:pStyle w:val="Btablefigureunbold"/>
            </w:pPr>
          </w:p>
        </w:tc>
        <w:tc>
          <w:tcPr>
            <w:tcW w:w="1020" w:type="dxa"/>
            <w:shd w:val="clear" w:color="auto" w:fill="auto"/>
            <w:noWrap/>
          </w:tcPr>
          <w:p w14:paraId="76C78AB6" w14:textId="77777777" w:rsidR="00DD0834" w:rsidRPr="00457CE0" w:rsidRDefault="00DD0834" w:rsidP="003B6997">
            <w:pPr>
              <w:pStyle w:val="Btablefigureunbold"/>
            </w:pPr>
          </w:p>
        </w:tc>
        <w:tc>
          <w:tcPr>
            <w:tcW w:w="1020" w:type="dxa"/>
            <w:shd w:val="clear" w:color="auto" w:fill="auto"/>
            <w:noWrap/>
          </w:tcPr>
          <w:p w14:paraId="60215FED" w14:textId="77777777" w:rsidR="00DD0834" w:rsidRPr="00457CE0" w:rsidRDefault="00DD0834" w:rsidP="003B6997">
            <w:pPr>
              <w:pStyle w:val="Btablefigureunbold"/>
            </w:pPr>
          </w:p>
        </w:tc>
      </w:tr>
      <w:tr w:rsidR="00DD0834" w:rsidRPr="00457CE0" w14:paraId="4DC1E593" w14:textId="77777777" w:rsidTr="003B6997">
        <w:trPr>
          <w:gridAfter w:val="1"/>
          <w:wAfter w:w="49" w:type="dxa"/>
          <w:cantSplit/>
          <w:trHeight w:val="20"/>
          <w:jc w:val="center"/>
        </w:trPr>
        <w:tc>
          <w:tcPr>
            <w:tcW w:w="2869" w:type="dxa"/>
            <w:shd w:val="clear" w:color="auto" w:fill="auto"/>
          </w:tcPr>
          <w:p w14:paraId="2A768B60" w14:textId="77777777" w:rsidR="00DD0834" w:rsidRPr="00D441E0" w:rsidRDefault="00DD0834" w:rsidP="003B6997">
            <w:pPr>
              <w:pStyle w:val="BStabletext"/>
            </w:pPr>
            <w:r w:rsidRPr="00CA5883">
              <w:t>Superannuation actuarial gain/(loss)</w:t>
            </w:r>
          </w:p>
        </w:tc>
        <w:tc>
          <w:tcPr>
            <w:tcW w:w="1020" w:type="dxa"/>
            <w:shd w:val="clear" w:color="auto" w:fill="auto"/>
          </w:tcPr>
          <w:p w14:paraId="20CDA889" w14:textId="77777777" w:rsidR="00DD0834" w:rsidRPr="00AE06B2" w:rsidRDefault="00DD0834" w:rsidP="003B6997">
            <w:pPr>
              <w:pStyle w:val="Btablefigureunbold"/>
            </w:pPr>
            <w:r w:rsidRPr="00AE06B2">
              <w:t>3,942,926</w:t>
            </w:r>
          </w:p>
        </w:tc>
        <w:tc>
          <w:tcPr>
            <w:tcW w:w="1069" w:type="dxa"/>
            <w:shd w:val="clear" w:color="auto" w:fill="auto"/>
            <w:noWrap/>
          </w:tcPr>
          <w:p w14:paraId="0CC74E43" w14:textId="77777777" w:rsidR="00DD0834" w:rsidRPr="00AE06B2" w:rsidRDefault="00DD0834" w:rsidP="003B6997">
            <w:pPr>
              <w:pStyle w:val="Btablefigureunbold"/>
            </w:pPr>
            <w:r w:rsidRPr="00AE06B2">
              <w:t>-994,929</w:t>
            </w:r>
          </w:p>
        </w:tc>
        <w:tc>
          <w:tcPr>
            <w:tcW w:w="1020" w:type="dxa"/>
            <w:shd w:val="clear" w:color="auto" w:fill="auto"/>
            <w:noWrap/>
          </w:tcPr>
          <w:p w14:paraId="5512268C" w14:textId="77777777" w:rsidR="00DD0834" w:rsidRPr="00AE06B2" w:rsidRDefault="00DD0834" w:rsidP="003B6997">
            <w:pPr>
              <w:pStyle w:val="Btablefigureunbold"/>
            </w:pPr>
            <w:r w:rsidRPr="00AE06B2">
              <w:t>3,412,160</w:t>
            </w:r>
          </w:p>
        </w:tc>
        <w:tc>
          <w:tcPr>
            <w:tcW w:w="1020" w:type="dxa"/>
            <w:shd w:val="clear" w:color="auto" w:fill="auto"/>
            <w:noWrap/>
          </w:tcPr>
          <w:p w14:paraId="345DAA44" w14:textId="77777777" w:rsidR="00DD0834" w:rsidRPr="00AE06B2" w:rsidRDefault="00DD0834" w:rsidP="003B6997">
            <w:pPr>
              <w:pStyle w:val="Btablefigureunbold"/>
            </w:pPr>
            <w:r w:rsidRPr="00AE06B2">
              <w:t>0</w:t>
            </w:r>
          </w:p>
        </w:tc>
        <w:tc>
          <w:tcPr>
            <w:tcW w:w="1020" w:type="dxa"/>
            <w:shd w:val="clear" w:color="auto" w:fill="auto"/>
            <w:noWrap/>
          </w:tcPr>
          <w:p w14:paraId="0859D1A4" w14:textId="77777777" w:rsidR="00DD0834" w:rsidRPr="00AE06B2" w:rsidRDefault="00DD0834" w:rsidP="003B6997">
            <w:pPr>
              <w:pStyle w:val="Btablefigureunbold"/>
            </w:pPr>
            <w:r w:rsidRPr="00AE06B2">
              <w:t>0</w:t>
            </w:r>
          </w:p>
        </w:tc>
        <w:tc>
          <w:tcPr>
            <w:tcW w:w="1020" w:type="dxa"/>
            <w:shd w:val="clear" w:color="auto" w:fill="auto"/>
            <w:noWrap/>
          </w:tcPr>
          <w:p w14:paraId="78CC395F" w14:textId="77777777" w:rsidR="00DD0834" w:rsidRPr="00AE06B2" w:rsidRDefault="00DD0834" w:rsidP="003B6997">
            <w:pPr>
              <w:pStyle w:val="Btablefigureunbold"/>
            </w:pPr>
            <w:r w:rsidRPr="00AE06B2">
              <w:t>0</w:t>
            </w:r>
          </w:p>
        </w:tc>
      </w:tr>
      <w:tr w:rsidR="00DD0834" w:rsidRPr="00457CE0" w14:paraId="0ADB7231" w14:textId="77777777" w:rsidTr="003B6997">
        <w:trPr>
          <w:gridAfter w:val="1"/>
          <w:wAfter w:w="49" w:type="dxa"/>
          <w:cantSplit/>
          <w:trHeight w:val="20"/>
          <w:jc w:val="center"/>
        </w:trPr>
        <w:tc>
          <w:tcPr>
            <w:tcW w:w="2869" w:type="dxa"/>
            <w:shd w:val="clear" w:color="auto" w:fill="auto"/>
          </w:tcPr>
          <w:p w14:paraId="2291202E" w14:textId="77777777" w:rsidR="00DD0834" w:rsidRPr="00D441E0" w:rsidRDefault="00DD0834" w:rsidP="003B6997">
            <w:pPr>
              <w:pStyle w:val="BStabletext"/>
            </w:pPr>
            <w:r w:rsidRPr="00CA5883">
              <w:t>Other movements</w:t>
            </w:r>
          </w:p>
        </w:tc>
        <w:tc>
          <w:tcPr>
            <w:tcW w:w="1020" w:type="dxa"/>
            <w:shd w:val="clear" w:color="auto" w:fill="auto"/>
          </w:tcPr>
          <w:p w14:paraId="348C4E24" w14:textId="77777777" w:rsidR="00DD0834" w:rsidRPr="00AE06B2" w:rsidRDefault="00DD0834" w:rsidP="003B6997">
            <w:pPr>
              <w:pStyle w:val="Btablefigureunbold"/>
            </w:pPr>
            <w:r w:rsidRPr="00AE06B2">
              <w:t>61,402</w:t>
            </w:r>
          </w:p>
        </w:tc>
        <w:tc>
          <w:tcPr>
            <w:tcW w:w="1069" w:type="dxa"/>
            <w:shd w:val="clear" w:color="auto" w:fill="auto"/>
            <w:noWrap/>
          </w:tcPr>
          <w:p w14:paraId="059E9539" w14:textId="77777777" w:rsidR="00DD0834" w:rsidRPr="00AE06B2" w:rsidRDefault="00DD0834" w:rsidP="003B6997">
            <w:pPr>
              <w:pStyle w:val="Btablefigureunbold"/>
            </w:pPr>
            <w:r w:rsidRPr="00AE06B2">
              <w:t>21,355</w:t>
            </w:r>
          </w:p>
        </w:tc>
        <w:tc>
          <w:tcPr>
            <w:tcW w:w="1020" w:type="dxa"/>
            <w:shd w:val="clear" w:color="auto" w:fill="auto"/>
            <w:noWrap/>
          </w:tcPr>
          <w:p w14:paraId="2FCF4C87" w14:textId="77777777" w:rsidR="00DD0834" w:rsidRPr="00AE06B2" w:rsidRDefault="00DD0834" w:rsidP="003B6997">
            <w:pPr>
              <w:pStyle w:val="Btablefigureunbold"/>
            </w:pPr>
            <w:r w:rsidRPr="00AE06B2">
              <w:t>-19,687</w:t>
            </w:r>
          </w:p>
        </w:tc>
        <w:tc>
          <w:tcPr>
            <w:tcW w:w="1020" w:type="dxa"/>
            <w:shd w:val="clear" w:color="auto" w:fill="auto"/>
            <w:noWrap/>
          </w:tcPr>
          <w:p w14:paraId="3EB79FF3" w14:textId="77777777" w:rsidR="00DD0834" w:rsidRPr="00AE06B2" w:rsidRDefault="00DD0834" w:rsidP="003B6997">
            <w:pPr>
              <w:pStyle w:val="Btablefigureunbold"/>
            </w:pPr>
            <w:r w:rsidRPr="00AE06B2">
              <w:t>9,421</w:t>
            </w:r>
          </w:p>
        </w:tc>
        <w:tc>
          <w:tcPr>
            <w:tcW w:w="1020" w:type="dxa"/>
            <w:shd w:val="clear" w:color="auto" w:fill="auto"/>
            <w:noWrap/>
          </w:tcPr>
          <w:p w14:paraId="257FFD01" w14:textId="77777777" w:rsidR="00DD0834" w:rsidRPr="00AE06B2" w:rsidRDefault="00DD0834" w:rsidP="003B6997">
            <w:pPr>
              <w:pStyle w:val="Btablefigureunbold"/>
            </w:pPr>
            <w:r w:rsidRPr="00AE06B2">
              <w:t>-590</w:t>
            </w:r>
          </w:p>
        </w:tc>
        <w:tc>
          <w:tcPr>
            <w:tcW w:w="1020" w:type="dxa"/>
            <w:shd w:val="clear" w:color="auto" w:fill="auto"/>
            <w:noWrap/>
          </w:tcPr>
          <w:p w14:paraId="3A19CD08" w14:textId="77777777" w:rsidR="00DD0834" w:rsidRPr="00AE06B2" w:rsidRDefault="00DD0834" w:rsidP="003B6997">
            <w:pPr>
              <w:pStyle w:val="Btablefigureunbold"/>
            </w:pPr>
            <w:r w:rsidRPr="00AE06B2">
              <w:t>-516</w:t>
            </w:r>
          </w:p>
        </w:tc>
      </w:tr>
      <w:tr w:rsidR="00DD0834" w:rsidRPr="00457CE0" w14:paraId="44A3C050" w14:textId="77777777" w:rsidTr="003B6997">
        <w:trPr>
          <w:gridAfter w:val="1"/>
          <w:wAfter w:w="49" w:type="dxa"/>
          <w:cantSplit/>
          <w:trHeight w:val="20"/>
          <w:jc w:val="center"/>
        </w:trPr>
        <w:tc>
          <w:tcPr>
            <w:tcW w:w="2869" w:type="dxa"/>
            <w:shd w:val="clear" w:color="auto" w:fill="auto"/>
          </w:tcPr>
          <w:p w14:paraId="1FB883D1" w14:textId="77777777" w:rsidR="00DD0834" w:rsidRPr="00D441E0" w:rsidRDefault="00DD0834" w:rsidP="003B6997">
            <w:pPr>
              <w:pStyle w:val="BStabletext"/>
            </w:pPr>
            <w:r w:rsidRPr="00CA5883">
              <w:t>Increase/(decrease) in asset revaluation reserve surpluses due to revaluations</w:t>
            </w:r>
          </w:p>
        </w:tc>
        <w:tc>
          <w:tcPr>
            <w:tcW w:w="1020" w:type="dxa"/>
            <w:shd w:val="clear" w:color="auto" w:fill="auto"/>
          </w:tcPr>
          <w:p w14:paraId="04A59D61" w14:textId="77777777" w:rsidR="00DD0834" w:rsidRPr="00AE06B2" w:rsidRDefault="00DD0834" w:rsidP="003B6997">
            <w:pPr>
              <w:pStyle w:val="Btablefigureunbold"/>
            </w:pPr>
            <w:r w:rsidRPr="00AE06B2">
              <w:t>-5,889</w:t>
            </w:r>
          </w:p>
        </w:tc>
        <w:tc>
          <w:tcPr>
            <w:tcW w:w="1069" w:type="dxa"/>
            <w:shd w:val="clear" w:color="auto" w:fill="auto"/>
            <w:noWrap/>
          </w:tcPr>
          <w:p w14:paraId="60934B68" w14:textId="77777777" w:rsidR="00DD0834" w:rsidRPr="00AE06B2" w:rsidRDefault="00DD0834" w:rsidP="003B6997">
            <w:pPr>
              <w:pStyle w:val="Btablefigureunbold"/>
            </w:pPr>
            <w:r w:rsidRPr="00AE06B2">
              <w:t>1,403,815</w:t>
            </w:r>
          </w:p>
        </w:tc>
        <w:tc>
          <w:tcPr>
            <w:tcW w:w="1020" w:type="dxa"/>
            <w:shd w:val="clear" w:color="auto" w:fill="auto"/>
            <w:noWrap/>
          </w:tcPr>
          <w:p w14:paraId="0DC0C554" w14:textId="77777777" w:rsidR="00DD0834" w:rsidRPr="00AE06B2" w:rsidRDefault="00DD0834" w:rsidP="003B6997">
            <w:pPr>
              <w:pStyle w:val="Btablefigureunbold"/>
            </w:pPr>
            <w:r w:rsidRPr="00AE06B2">
              <w:t>-25,024</w:t>
            </w:r>
          </w:p>
        </w:tc>
        <w:tc>
          <w:tcPr>
            <w:tcW w:w="1020" w:type="dxa"/>
            <w:shd w:val="clear" w:color="auto" w:fill="auto"/>
            <w:noWrap/>
          </w:tcPr>
          <w:p w14:paraId="375ED440" w14:textId="77777777" w:rsidR="00DD0834" w:rsidRPr="00AE06B2" w:rsidRDefault="00DD0834" w:rsidP="003B6997">
            <w:pPr>
              <w:pStyle w:val="Btablefigureunbold"/>
            </w:pPr>
            <w:r w:rsidRPr="00AE06B2">
              <w:t>-63,155</w:t>
            </w:r>
          </w:p>
        </w:tc>
        <w:tc>
          <w:tcPr>
            <w:tcW w:w="1020" w:type="dxa"/>
            <w:shd w:val="clear" w:color="auto" w:fill="auto"/>
            <w:noWrap/>
          </w:tcPr>
          <w:p w14:paraId="4C015F96" w14:textId="77777777" w:rsidR="00DD0834" w:rsidRPr="00AE06B2" w:rsidRDefault="00DD0834" w:rsidP="003B6997">
            <w:pPr>
              <w:pStyle w:val="Btablefigureunbold"/>
            </w:pPr>
            <w:r w:rsidRPr="00AE06B2">
              <w:t>180,455</w:t>
            </w:r>
          </w:p>
        </w:tc>
        <w:tc>
          <w:tcPr>
            <w:tcW w:w="1020" w:type="dxa"/>
            <w:shd w:val="clear" w:color="auto" w:fill="auto"/>
            <w:noWrap/>
          </w:tcPr>
          <w:p w14:paraId="6BBCCA24" w14:textId="77777777" w:rsidR="00DD0834" w:rsidRPr="00AE06B2" w:rsidRDefault="00DD0834" w:rsidP="003B6997">
            <w:pPr>
              <w:pStyle w:val="Btablefigureunbold"/>
            </w:pPr>
            <w:r w:rsidRPr="00AE06B2">
              <w:t>31,901</w:t>
            </w:r>
          </w:p>
        </w:tc>
      </w:tr>
      <w:tr w:rsidR="00DD0834" w:rsidRPr="00AE06B2" w14:paraId="73DE213E" w14:textId="77777777" w:rsidTr="003B6997">
        <w:trPr>
          <w:gridAfter w:val="1"/>
          <w:wAfter w:w="49" w:type="dxa"/>
          <w:cantSplit/>
          <w:trHeight w:val="20"/>
          <w:jc w:val="center"/>
        </w:trPr>
        <w:tc>
          <w:tcPr>
            <w:tcW w:w="2869" w:type="dxa"/>
            <w:tcBorders>
              <w:top w:val="single" w:sz="4" w:space="0" w:color="auto"/>
              <w:bottom w:val="single" w:sz="4" w:space="0" w:color="auto"/>
            </w:tcBorders>
            <w:shd w:val="clear" w:color="auto" w:fill="auto"/>
          </w:tcPr>
          <w:p w14:paraId="59159301" w14:textId="77777777" w:rsidR="00DD0834" w:rsidRPr="00B02825" w:rsidRDefault="00DD0834" w:rsidP="003B6997">
            <w:pPr>
              <w:pStyle w:val="BStabletextbold"/>
              <w:rPr>
                <w:color w:val="472D8C"/>
              </w:rPr>
            </w:pPr>
            <w:r w:rsidRPr="00B02825">
              <w:rPr>
                <w:color w:val="472D8C"/>
              </w:rPr>
              <w:t>Total comprehensive income/(loss)</w:t>
            </w:r>
          </w:p>
        </w:tc>
        <w:tc>
          <w:tcPr>
            <w:tcW w:w="1020" w:type="dxa"/>
            <w:tcBorders>
              <w:top w:val="single" w:sz="4" w:space="0" w:color="auto"/>
              <w:bottom w:val="single" w:sz="4" w:space="0" w:color="auto"/>
            </w:tcBorders>
            <w:shd w:val="clear" w:color="auto" w:fill="auto"/>
          </w:tcPr>
          <w:p w14:paraId="2BB57451" w14:textId="77777777" w:rsidR="00DD0834" w:rsidRPr="00B02825" w:rsidRDefault="00DD0834" w:rsidP="003B6997">
            <w:pPr>
              <w:pStyle w:val="BStabletextbold"/>
              <w:jc w:val="right"/>
              <w:rPr>
                <w:color w:val="472D8C"/>
              </w:rPr>
            </w:pPr>
            <w:r w:rsidRPr="00AE06B2">
              <w:rPr>
                <w:color w:val="472D8C"/>
              </w:rPr>
              <w:t>3,588,871</w:t>
            </w:r>
          </w:p>
        </w:tc>
        <w:tc>
          <w:tcPr>
            <w:tcW w:w="1069" w:type="dxa"/>
            <w:tcBorders>
              <w:top w:val="single" w:sz="4" w:space="0" w:color="auto"/>
              <w:bottom w:val="single" w:sz="4" w:space="0" w:color="auto"/>
            </w:tcBorders>
            <w:shd w:val="clear" w:color="auto" w:fill="auto"/>
            <w:noWrap/>
          </w:tcPr>
          <w:p w14:paraId="6B3C10EE" w14:textId="77777777" w:rsidR="00DD0834" w:rsidRPr="00B02825" w:rsidRDefault="00DD0834" w:rsidP="003B6997">
            <w:pPr>
              <w:pStyle w:val="BStabletextbold"/>
              <w:jc w:val="right"/>
              <w:rPr>
                <w:color w:val="472D8C"/>
              </w:rPr>
            </w:pPr>
            <w:r w:rsidRPr="00AE06B2">
              <w:rPr>
                <w:color w:val="472D8C"/>
              </w:rPr>
              <w:t>564,059</w:t>
            </w:r>
          </w:p>
        </w:tc>
        <w:tc>
          <w:tcPr>
            <w:tcW w:w="1020" w:type="dxa"/>
            <w:tcBorders>
              <w:top w:val="single" w:sz="4" w:space="0" w:color="auto"/>
              <w:bottom w:val="single" w:sz="4" w:space="0" w:color="auto"/>
            </w:tcBorders>
            <w:shd w:val="clear" w:color="auto" w:fill="auto"/>
            <w:noWrap/>
          </w:tcPr>
          <w:p w14:paraId="7A625B91" w14:textId="77777777" w:rsidR="00DD0834" w:rsidRPr="00B02825" w:rsidRDefault="00DD0834" w:rsidP="003B6997">
            <w:pPr>
              <w:pStyle w:val="BStabletextbold"/>
              <w:jc w:val="right"/>
              <w:rPr>
                <w:color w:val="472D8C"/>
              </w:rPr>
            </w:pPr>
            <w:r w:rsidRPr="00AE06B2">
              <w:rPr>
                <w:color w:val="472D8C"/>
              </w:rPr>
              <w:t>2,307,166</w:t>
            </w:r>
          </w:p>
        </w:tc>
        <w:tc>
          <w:tcPr>
            <w:tcW w:w="1020" w:type="dxa"/>
            <w:tcBorders>
              <w:top w:val="single" w:sz="4" w:space="0" w:color="auto"/>
              <w:bottom w:val="single" w:sz="4" w:space="0" w:color="auto"/>
            </w:tcBorders>
            <w:shd w:val="clear" w:color="auto" w:fill="auto"/>
            <w:noWrap/>
          </w:tcPr>
          <w:p w14:paraId="2A5FB31A" w14:textId="77777777" w:rsidR="00DD0834" w:rsidRPr="00B02825" w:rsidRDefault="00DD0834" w:rsidP="003B6997">
            <w:pPr>
              <w:pStyle w:val="BStabletextbold"/>
              <w:jc w:val="right"/>
              <w:rPr>
                <w:color w:val="472D8C"/>
              </w:rPr>
            </w:pPr>
            <w:r w:rsidRPr="00AE06B2">
              <w:rPr>
                <w:color w:val="472D8C"/>
              </w:rPr>
              <w:t>-661,276</w:t>
            </w:r>
          </w:p>
        </w:tc>
        <w:tc>
          <w:tcPr>
            <w:tcW w:w="1020" w:type="dxa"/>
            <w:tcBorders>
              <w:top w:val="single" w:sz="4" w:space="0" w:color="auto"/>
              <w:bottom w:val="single" w:sz="4" w:space="0" w:color="auto"/>
            </w:tcBorders>
            <w:shd w:val="clear" w:color="auto" w:fill="auto"/>
            <w:noWrap/>
          </w:tcPr>
          <w:p w14:paraId="3466B5CD" w14:textId="77777777" w:rsidR="00DD0834" w:rsidRPr="00B02825" w:rsidRDefault="00DD0834" w:rsidP="003B6997">
            <w:pPr>
              <w:pStyle w:val="BStabletextbold"/>
              <w:jc w:val="right"/>
              <w:rPr>
                <w:color w:val="472D8C"/>
              </w:rPr>
            </w:pPr>
            <w:r w:rsidRPr="00AE06B2">
              <w:rPr>
                <w:color w:val="472D8C"/>
              </w:rPr>
              <w:t>-394,018</w:t>
            </w:r>
          </w:p>
        </w:tc>
        <w:tc>
          <w:tcPr>
            <w:tcW w:w="1020" w:type="dxa"/>
            <w:tcBorders>
              <w:top w:val="single" w:sz="4" w:space="0" w:color="auto"/>
              <w:bottom w:val="single" w:sz="4" w:space="0" w:color="auto"/>
            </w:tcBorders>
            <w:shd w:val="clear" w:color="auto" w:fill="auto"/>
            <w:noWrap/>
          </w:tcPr>
          <w:p w14:paraId="63594CA4" w14:textId="77777777" w:rsidR="00DD0834" w:rsidRPr="00B02825" w:rsidRDefault="00DD0834" w:rsidP="003B6997">
            <w:pPr>
              <w:pStyle w:val="BStabletextbold"/>
              <w:jc w:val="right"/>
              <w:rPr>
                <w:color w:val="472D8C"/>
              </w:rPr>
            </w:pPr>
            <w:r w:rsidRPr="00AE06B2">
              <w:rPr>
                <w:color w:val="472D8C"/>
              </w:rPr>
              <w:t>-541,864</w:t>
            </w:r>
          </w:p>
        </w:tc>
      </w:tr>
      <w:tr w:rsidR="00DD0834" w:rsidRPr="00D561A1" w14:paraId="2685BCB5" w14:textId="77777777" w:rsidTr="003B6997">
        <w:trPr>
          <w:gridAfter w:val="1"/>
          <w:wAfter w:w="49" w:type="dxa"/>
          <w:cantSplit/>
          <w:trHeight w:val="20"/>
          <w:jc w:val="center"/>
        </w:trPr>
        <w:tc>
          <w:tcPr>
            <w:tcW w:w="2869" w:type="dxa"/>
            <w:tcBorders>
              <w:top w:val="single" w:sz="4" w:space="0" w:color="auto"/>
            </w:tcBorders>
            <w:shd w:val="clear" w:color="auto" w:fill="auto"/>
            <w:vAlign w:val="bottom"/>
          </w:tcPr>
          <w:p w14:paraId="2BAE366B" w14:textId="77777777" w:rsidR="00DD0834" w:rsidRPr="00D441E0" w:rsidRDefault="00DD0834" w:rsidP="003B6997">
            <w:pPr>
              <w:pStyle w:val="BStabletextbold"/>
            </w:pPr>
            <w:r w:rsidRPr="00D62C2C">
              <w:t>Key fiscal aggregates</w:t>
            </w:r>
          </w:p>
        </w:tc>
        <w:tc>
          <w:tcPr>
            <w:tcW w:w="1020" w:type="dxa"/>
            <w:tcBorders>
              <w:top w:val="single" w:sz="4" w:space="0" w:color="auto"/>
            </w:tcBorders>
            <w:shd w:val="clear" w:color="auto" w:fill="auto"/>
          </w:tcPr>
          <w:p w14:paraId="556A7A1E" w14:textId="77777777" w:rsidR="00DD0834" w:rsidRPr="00457CE0" w:rsidRDefault="00DD0834" w:rsidP="003B6997">
            <w:pPr>
              <w:pStyle w:val="Btablefigureunbold"/>
            </w:pPr>
          </w:p>
        </w:tc>
        <w:tc>
          <w:tcPr>
            <w:tcW w:w="1069" w:type="dxa"/>
            <w:tcBorders>
              <w:top w:val="single" w:sz="4" w:space="0" w:color="auto"/>
            </w:tcBorders>
            <w:shd w:val="clear" w:color="auto" w:fill="auto"/>
            <w:noWrap/>
          </w:tcPr>
          <w:p w14:paraId="70DBA32B" w14:textId="77777777" w:rsidR="00DD0834" w:rsidRPr="00D561A1" w:rsidRDefault="00DD0834" w:rsidP="003B6997">
            <w:pPr>
              <w:pStyle w:val="Btablefigureunbold"/>
            </w:pPr>
          </w:p>
        </w:tc>
        <w:tc>
          <w:tcPr>
            <w:tcW w:w="1020" w:type="dxa"/>
            <w:tcBorders>
              <w:top w:val="single" w:sz="4" w:space="0" w:color="auto"/>
            </w:tcBorders>
            <w:shd w:val="clear" w:color="auto" w:fill="auto"/>
            <w:noWrap/>
          </w:tcPr>
          <w:p w14:paraId="350F9365" w14:textId="77777777" w:rsidR="00DD0834" w:rsidRPr="00D561A1" w:rsidRDefault="00DD0834" w:rsidP="003B6997">
            <w:pPr>
              <w:pStyle w:val="Btablefigureunbold"/>
            </w:pPr>
          </w:p>
        </w:tc>
        <w:tc>
          <w:tcPr>
            <w:tcW w:w="1020" w:type="dxa"/>
            <w:tcBorders>
              <w:top w:val="single" w:sz="4" w:space="0" w:color="auto"/>
            </w:tcBorders>
            <w:shd w:val="clear" w:color="auto" w:fill="auto"/>
            <w:noWrap/>
          </w:tcPr>
          <w:p w14:paraId="31965D63" w14:textId="77777777" w:rsidR="00DD0834" w:rsidRPr="00D561A1" w:rsidRDefault="00DD0834" w:rsidP="003B6997">
            <w:pPr>
              <w:pStyle w:val="Btablefigureunbold"/>
            </w:pPr>
          </w:p>
        </w:tc>
        <w:tc>
          <w:tcPr>
            <w:tcW w:w="1020" w:type="dxa"/>
            <w:tcBorders>
              <w:top w:val="single" w:sz="4" w:space="0" w:color="auto"/>
            </w:tcBorders>
            <w:shd w:val="clear" w:color="auto" w:fill="auto"/>
            <w:noWrap/>
          </w:tcPr>
          <w:p w14:paraId="708974AE" w14:textId="77777777" w:rsidR="00DD0834" w:rsidRPr="00D561A1" w:rsidRDefault="00DD0834" w:rsidP="003B6997">
            <w:pPr>
              <w:pStyle w:val="Btablefigureunbold"/>
            </w:pPr>
          </w:p>
        </w:tc>
        <w:tc>
          <w:tcPr>
            <w:tcW w:w="1020" w:type="dxa"/>
            <w:tcBorders>
              <w:top w:val="single" w:sz="4" w:space="0" w:color="auto"/>
            </w:tcBorders>
            <w:shd w:val="clear" w:color="auto" w:fill="auto"/>
            <w:noWrap/>
          </w:tcPr>
          <w:p w14:paraId="644E2F9E" w14:textId="77777777" w:rsidR="00DD0834" w:rsidRPr="00D561A1" w:rsidRDefault="00DD0834" w:rsidP="003B6997">
            <w:pPr>
              <w:pStyle w:val="Btablefigureunbold"/>
            </w:pPr>
          </w:p>
        </w:tc>
      </w:tr>
      <w:tr w:rsidR="00DD0834" w:rsidRPr="00457CE0" w14:paraId="73C22A6F" w14:textId="77777777" w:rsidTr="003B6997">
        <w:trPr>
          <w:gridAfter w:val="1"/>
          <w:wAfter w:w="49" w:type="dxa"/>
          <w:cantSplit/>
          <w:trHeight w:val="20"/>
          <w:jc w:val="center"/>
        </w:trPr>
        <w:tc>
          <w:tcPr>
            <w:tcW w:w="2869" w:type="dxa"/>
            <w:shd w:val="clear" w:color="auto" w:fill="auto"/>
          </w:tcPr>
          <w:p w14:paraId="73A52C57" w14:textId="77777777" w:rsidR="00DD0834" w:rsidRPr="00D441E0" w:rsidRDefault="00DD0834" w:rsidP="003B6997">
            <w:pPr>
              <w:pStyle w:val="BStabletextbold"/>
            </w:pPr>
            <w:r w:rsidRPr="00D62C2C">
              <w:t xml:space="preserve">UPF </w:t>
            </w:r>
            <w:r>
              <w:t>n</w:t>
            </w:r>
            <w:r w:rsidRPr="00D62C2C">
              <w:t xml:space="preserve">et </w:t>
            </w:r>
            <w:r>
              <w:t>o</w:t>
            </w:r>
            <w:r w:rsidRPr="00D62C2C">
              <w:t xml:space="preserve">perating </w:t>
            </w:r>
            <w:r>
              <w:t>b</w:t>
            </w:r>
            <w:r w:rsidRPr="00D62C2C">
              <w:t xml:space="preserve">alance </w:t>
            </w:r>
          </w:p>
        </w:tc>
        <w:tc>
          <w:tcPr>
            <w:tcW w:w="1020" w:type="dxa"/>
            <w:shd w:val="clear" w:color="auto" w:fill="auto"/>
          </w:tcPr>
          <w:p w14:paraId="22A2F57A" w14:textId="77777777" w:rsidR="00DD0834" w:rsidRPr="006C18EA" w:rsidRDefault="00DD0834" w:rsidP="003B6997">
            <w:pPr>
              <w:pStyle w:val="BTablefigureBold"/>
            </w:pPr>
            <w:r w:rsidRPr="006C18EA">
              <w:t>-879,160</w:t>
            </w:r>
          </w:p>
        </w:tc>
        <w:tc>
          <w:tcPr>
            <w:tcW w:w="1069" w:type="dxa"/>
            <w:shd w:val="clear" w:color="auto" w:fill="auto"/>
            <w:noWrap/>
          </w:tcPr>
          <w:p w14:paraId="60B00423" w14:textId="77777777" w:rsidR="00DD0834" w:rsidRPr="006C18EA" w:rsidRDefault="00DD0834" w:rsidP="003B6997">
            <w:pPr>
              <w:pStyle w:val="BTablefigureBold"/>
            </w:pPr>
            <w:r w:rsidRPr="006C18EA">
              <w:t>-648,245</w:t>
            </w:r>
          </w:p>
        </w:tc>
        <w:tc>
          <w:tcPr>
            <w:tcW w:w="1020" w:type="dxa"/>
            <w:shd w:val="clear" w:color="auto" w:fill="auto"/>
            <w:noWrap/>
          </w:tcPr>
          <w:p w14:paraId="5B9BA31B" w14:textId="77777777" w:rsidR="00DD0834" w:rsidRPr="006C18EA" w:rsidRDefault="00DD0834" w:rsidP="003B6997">
            <w:pPr>
              <w:pStyle w:val="BTablefigureBold"/>
            </w:pPr>
            <w:r w:rsidRPr="006C18EA">
              <w:t>-1,262,579</w:t>
            </w:r>
          </w:p>
        </w:tc>
        <w:tc>
          <w:tcPr>
            <w:tcW w:w="1020" w:type="dxa"/>
            <w:shd w:val="clear" w:color="auto" w:fill="auto"/>
            <w:noWrap/>
          </w:tcPr>
          <w:p w14:paraId="7CCD2E54" w14:textId="77777777" w:rsidR="00DD0834" w:rsidRPr="006C18EA" w:rsidRDefault="00DD0834" w:rsidP="003B6997">
            <w:pPr>
              <w:pStyle w:val="BTablefigureBold"/>
            </w:pPr>
            <w:r w:rsidRPr="006C18EA">
              <w:t>-936,082</w:t>
            </w:r>
          </w:p>
        </w:tc>
        <w:tc>
          <w:tcPr>
            <w:tcW w:w="1020" w:type="dxa"/>
            <w:shd w:val="clear" w:color="auto" w:fill="auto"/>
            <w:noWrap/>
          </w:tcPr>
          <w:p w14:paraId="66773F74" w14:textId="77777777" w:rsidR="00DD0834" w:rsidRPr="006C18EA" w:rsidRDefault="00DD0834" w:rsidP="003B6997">
            <w:pPr>
              <w:pStyle w:val="BTablefigureBold"/>
            </w:pPr>
            <w:r w:rsidRPr="006C18EA">
              <w:t>-880,262</w:t>
            </w:r>
          </w:p>
        </w:tc>
        <w:tc>
          <w:tcPr>
            <w:tcW w:w="1020" w:type="dxa"/>
            <w:shd w:val="clear" w:color="auto" w:fill="auto"/>
            <w:noWrap/>
          </w:tcPr>
          <w:p w14:paraId="07CA378F" w14:textId="77777777" w:rsidR="00DD0834" w:rsidRPr="006C18EA" w:rsidRDefault="00DD0834" w:rsidP="003B6997">
            <w:pPr>
              <w:pStyle w:val="BTablefigureBold"/>
            </w:pPr>
            <w:r w:rsidRPr="006C18EA">
              <w:t>-869,634</w:t>
            </w:r>
          </w:p>
        </w:tc>
      </w:tr>
      <w:tr w:rsidR="00DD0834" w:rsidRPr="00457CE0" w14:paraId="2DF7539A" w14:textId="77777777" w:rsidTr="003B6997">
        <w:trPr>
          <w:gridAfter w:val="1"/>
          <w:wAfter w:w="49" w:type="dxa"/>
          <w:cantSplit/>
          <w:trHeight w:val="20"/>
          <w:jc w:val="center"/>
        </w:trPr>
        <w:tc>
          <w:tcPr>
            <w:tcW w:w="2869" w:type="dxa"/>
            <w:shd w:val="clear" w:color="auto" w:fill="auto"/>
          </w:tcPr>
          <w:p w14:paraId="7AE2DB15" w14:textId="77777777" w:rsidR="00DD0834" w:rsidRPr="00D441E0" w:rsidRDefault="00DD0834" w:rsidP="003B6997">
            <w:pPr>
              <w:pStyle w:val="BStabletextbold"/>
            </w:pPr>
            <w:r w:rsidRPr="0078648C">
              <w:rPr>
                <w:i/>
                <w:iCs/>
              </w:rPr>
              <w:t xml:space="preserve">less </w:t>
            </w:r>
            <w:r w:rsidRPr="00D62C2C">
              <w:t xml:space="preserve">net acquisition of non­financial assets </w:t>
            </w:r>
          </w:p>
        </w:tc>
        <w:tc>
          <w:tcPr>
            <w:tcW w:w="1020" w:type="dxa"/>
            <w:shd w:val="clear" w:color="auto" w:fill="auto"/>
          </w:tcPr>
          <w:p w14:paraId="6BFBB115" w14:textId="77777777" w:rsidR="00DD0834" w:rsidRPr="00457CE0" w:rsidRDefault="00DD0834" w:rsidP="003B6997">
            <w:pPr>
              <w:pStyle w:val="Btablefigureunbold"/>
            </w:pPr>
          </w:p>
        </w:tc>
        <w:tc>
          <w:tcPr>
            <w:tcW w:w="1069" w:type="dxa"/>
            <w:shd w:val="clear" w:color="auto" w:fill="auto"/>
            <w:noWrap/>
          </w:tcPr>
          <w:p w14:paraId="31C56798" w14:textId="77777777" w:rsidR="00DD0834" w:rsidRPr="00457CE0" w:rsidRDefault="00DD0834" w:rsidP="003B6997">
            <w:pPr>
              <w:pStyle w:val="Btablefigureunbold"/>
            </w:pPr>
          </w:p>
        </w:tc>
        <w:tc>
          <w:tcPr>
            <w:tcW w:w="1020" w:type="dxa"/>
            <w:shd w:val="clear" w:color="auto" w:fill="auto"/>
            <w:noWrap/>
          </w:tcPr>
          <w:p w14:paraId="7D23FA85" w14:textId="77777777" w:rsidR="00DD0834" w:rsidRPr="00457CE0" w:rsidRDefault="00DD0834" w:rsidP="003B6997">
            <w:pPr>
              <w:pStyle w:val="Btablefigureunbold"/>
            </w:pPr>
          </w:p>
        </w:tc>
        <w:tc>
          <w:tcPr>
            <w:tcW w:w="1020" w:type="dxa"/>
            <w:shd w:val="clear" w:color="auto" w:fill="auto"/>
            <w:noWrap/>
          </w:tcPr>
          <w:p w14:paraId="684ECB62" w14:textId="77777777" w:rsidR="00DD0834" w:rsidRPr="00457CE0" w:rsidRDefault="00DD0834" w:rsidP="003B6997">
            <w:pPr>
              <w:pStyle w:val="Btablefigureunbold"/>
            </w:pPr>
          </w:p>
        </w:tc>
        <w:tc>
          <w:tcPr>
            <w:tcW w:w="1020" w:type="dxa"/>
            <w:shd w:val="clear" w:color="auto" w:fill="auto"/>
            <w:noWrap/>
          </w:tcPr>
          <w:p w14:paraId="31DD4D3D" w14:textId="77777777" w:rsidR="00DD0834" w:rsidRPr="00457CE0" w:rsidRDefault="00DD0834" w:rsidP="003B6997">
            <w:pPr>
              <w:pStyle w:val="Btablefigureunbold"/>
            </w:pPr>
          </w:p>
        </w:tc>
        <w:tc>
          <w:tcPr>
            <w:tcW w:w="1020" w:type="dxa"/>
            <w:shd w:val="clear" w:color="auto" w:fill="auto"/>
            <w:noWrap/>
          </w:tcPr>
          <w:p w14:paraId="11E8E073" w14:textId="77777777" w:rsidR="00DD0834" w:rsidRPr="00457CE0" w:rsidRDefault="00DD0834" w:rsidP="003B6997">
            <w:pPr>
              <w:pStyle w:val="Btablefigureunbold"/>
            </w:pPr>
          </w:p>
        </w:tc>
      </w:tr>
      <w:tr w:rsidR="00DD0834" w:rsidRPr="00457CE0" w14:paraId="731784B9" w14:textId="77777777" w:rsidTr="003B6997">
        <w:trPr>
          <w:gridAfter w:val="1"/>
          <w:wAfter w:w="49" w:type="dxa"/>
          <w:cantSplit/>
          <w:trHeight w:val="20"/>
          <w:jc w:val="center"/>
        </w:trPr>
        <w:tc>
          <w:tcPr>
            <w:tcW w:w="2869" w:type="dxa"/>
            <w:shd w:val="clear" w:color="auto" w:fill="auto"/>
          </w:tcPr>
          <w:p w14:paraId="044EFACA" w14:textId="77777777" w:rsidR="00DD0834" w:rsidRPr="00D441E0" w:rsidRDefault="00DD0834" w:rsidP="003B6997">
            <w:pPr>
              <w:pStyle w:val="BStabletext"/>
            </w:pPr>
            <w:r w:rsidRPr="00D62C2C">
              <w:t>Payments for non-financial assets</w:t>
            </w:r>
          </w:p>
        </w:tc>
        <w:tc>
          <w:tcPr>
            <w:tcW w:w="1020" w:type="dxa"/>
            <w:shd w:val="clear" w:color="auto" w:fill="auto"/>
          </w:tcPr>
          <w:p w14:paraId="64F7C191" w14:textId="77777777" w:rsidR="00DD0834" w:rsidRPr="006C18EA" w:rsidRDefault="00DD0834" w:rsidP="003B6997">
            <w:pPr>
              <w:pStyle w:val="Btablefigureunbold"/>
            </w:pPr>
            <w:r w:rsidRPr="006C18EA">
              <w:t>1,274,120</w:t>
            </w:r>
          </w:p>
        </w:tc>
        <w:tc>
          <w:tcPr>
            <w:tcW w:w="1069" w:type="dxa"/>
            <w:shd w:val="clear" w:color="auto" w:fill="auto"/>
            <w:noWrap/>
          </w:tcPr>
          <w:p w14:paraId="0FC9BBA2" w14:textId="77777777" w:rsidR="00DD0834" w:rsidRPr="006C18EA" w:rsidRDefault="00DD0834" w:rsidP="003B6997">
            <w:pPr>
              <w:pStyle w:val="Btablefigureunbold"/>
            </w:pPr>
            <w:r w:rsidRPr="006C18EA">
              <w:t>866,331</w:t>
            </w:r>
          </w:p>
        </w:tc>
        <w:tc>
          <w:tcPr>
            <w:tcW w:w="1020" w:type="dxa"/>
            <w:shd w:val="clear" w:color="auto" w:fill="auto"/>
            <w:noWrap/>
          </w:tcPr>
          <w:p w14:paraId="492FF52A" w14:textId="77777777" w:rsidR="00DD0834" w:rsidRPr="006C18EA" w:rsidRDefault="00DD0834" w:rsidP="003B6997">
            <w:pPr>
              <w:pStyle w:val="Btablefigureunbold"/>
            </w:pPr>
            <w:r w:rsidRPr="006C18EA">
              <w:t>1,372,111</w:t>
            </w:r>
          </w:p>
        </w:tc>
        <w:tc>
          <w:tcPr>
            <w:tcW w:w="1020" w:type="dxa"/>
            <w:shd w:val="clear" w:color="auto" w:fill="auto"/>
            <w:noWrap/>
          </w:tcPr>
          <w:p w14:paraId="4FDD38C1" w14:textId="77777777" w:rsidR="00DD0834" w:rsidRPr="006C18EA" w:rsidRDefault="00DD0834" w:rsidP="003B6997">
            <w:pPr>
              <w:pStyle w:val="Btablefigureunbold"/>
            </w:pPr>
            <w:r w:rsidRPr="006C18EA">
              <w:t>1,100,557</w:t>
            </w:r>
          </w:p>
        </w:tc>
        <w:tc>
          <w:tcPr>
            <w:tcW w:w="1020" w:type="dxa"/>
            <w:shd w:val="clear" w:color="auto" w:fill="auto"/>
            <w:noWrap/>
          </w:tcPr>
          <w:p w14:paraId="74D71E8D" w14:textId="77777777" w:rsidR="00DD0834" w:rsidRPr="006C18EA" w:rsidRDefault="00DD0834" w:rsidP="003B6997">
            <w:pPr>
              <w:pStyle w:val="Btablefigureunbold"/>
            </w:pPr>
            <w:r w:rsidRPr="006C18EA">
              <w:t>1,359,568</w:t>
            </w:r>
          </w:p>
        </w:tc>
        <w:tc>
          <w:tcPr>
            <w:tcW w:w="1020" w:type="dxa"/>
            <w:shd w:val="clear" w:color="auto" w:fill="auto"/>
            <w:noWrap/>
          </w:tcPr>
          <w:p w14:paraId="7BBBEA46" w14:textId="77777777" w:rsidR="00DD0834" w:rsidRPr="006C18EA" w:rsidRDefault="00DD0834" w:rsidP="003B6997">
            <w:pPr>
              <w:pStyle w:val="Btablefigureunbold"/>
            </w:pPr>
            <w:r w:rsidRPr="006C18EA">
              <w:t>1,303,124</w:t>
            </w:r>
          </w:p>
        </w:tc>
      </w:tr>
      <w:tr w:rsidR="00DD0834" w:rsidRPr="00457CE0" w14:paraId="5FA630A3" w14:textId="77777777" w:rsidTr="003B6997">
        <w:trPr>
          <w:gridAfter w:val="1"/>
          <w:wAfter w:w="49" w:type="dxa"/>
          <w:cantSplit/>
          <w:trHeight w:val="20"/>
          <w:jc w:val="center"/>
        </w:trPr>
        <w:tc>
          <w:tcPr>
            <w:tcW w:w="2869" w:type="dxa"/>
            <w:shd w:val="clear" w:color="auto" w:fill="auto"/>
          </w:tcPr>
          <w:p w14:paraId="684BB2CD" w14:textId="77777777" w:rsidR="00DD0834" w:rsidRPr="00D441E0" w:rsidRDefault="00DD0834" w:rsidP="003B6997">
            <w:pPr>
              <w:pStyle w:val="BStabletext"/>
            </w:pPr>
            <w:r w:rsidRPr="00D62C2C">
              <w:t>Sales of non-financial assets</w:t>
            </w:r>
          </w:p>
        </w:tc>
        <w:tc>
          <w:tcPr>
            <w:tcW w:w="1020" w:type="dxa"/>
            <w:shd w:val="clear" w:color="auto" w:fill="auto"/>
          </w:tcPr>
          <w:p w14:paraId="3B175D95" w14:textId="77777777" w:rsidR="00DD0834" w:rsidRPr="006C18EA" w:rsidRDefault="00DD0834" w:rsidP="003B6997">
            <w:pPr>
              <w:pStyle w:val="Btablefigureunbold"/>
            </w:pPr>
            <w:r w:rsidRPr="006C18EA">
              <w:t>-173,853</w:t>
            </w:r>
          </w:p>
        </w:tc>
        <w:tc>
          <w:tcPr>
            <w:tcW w:w="1069" w:type="dxa"/>
            <w:shd w:val="clear" w:color="auto" w:fill="auto"/>
            <w:noWrap/>
          </w:tcPr>
          <w:p w14:paraId="0A6DE151" w14:textId="77777777" w:rsidR="00DD0834" w:rsidRPr="006C18EA" w:rsidRDefault="00DD0834" w:rsidP="003B6997">
            <w:pPr>
              <w:pStyle w:val="Btablefigureunbold"/>
            </w:pPr>
            <w:r w:rsidRPr="006C18EA">
              <w:t>-192,108</w:t>
            </w:r>
          </w:p>
        </w:tc>
        <w:tc>
          <w:tcPr>
            <w:tcW w:w="1020" w:type="dxa"/>
            <w:shd w:val="clear" w:color="auto" w:fill="auto"/>
            <w:noWrap/>
          </w:tcPr>
          <w:p w14:paraId="34699F24" w14:textId="77777777" w:rsidR="00DD0834" w:rsidRPr="006C18EA" w:rsidRDefault="00DD0834" w:rsidP="003B6997">
            <w:pPr>
              <w:pStyle w:val="Btablefigureunbold"/>
            </w:pPr>
            <w:r w:rsidRPr="006C18EA">
              <w:t>-176,957</w:t>
            </w:r>
          </w:p>
        </w:tc>
        <w:tc>
          <w:tcPr>
            <w:tcW w:w="1020" w:type="dxa"/>
            <w:shd w:val="clear" w:color="auto" w:fill="auto"/>
            <w:noWrap/>
          </w:tcPr>
          <w:p w14:paraId="530B0331" w14:textId="77777777" w:rsidR="00DD0834" w:rsidRPr="006C18EA" w:rsidRDefault="00DD0834" w:rsidP="003B6997">
            <w:pPr>
              <w:pStyle w:val="Btablefigureunbold"/>
            </w:pPr>
            <w:r w:rsidRPr="006C18EA">
              <w:t>-226,843</w:t>
            </w:r>
          </w:p>
        </w:tc>
        <w:tc>
          <w:tcPr>
            <w:tcW w:w="1020" w:type="dxa"/>
            <w:shd w:val="clear" w:color="auto" w:fill="auto"/>
            <w:noWrap/>
          </w:tcPr>
          <w:p w14:paraId="688643D8" w14:textId="77777777" w:rsidR="00DD0834" w:rsidRPr="006C18EA" w:rsidRDefault="00DD0834" w:rsidP="003B6997">
            <w:pPr>
              <w:pStyle w:val="Btablefigureunbold"/>
            </w:pPr>
            <w:r w:rsidRPr="006C18EA">
              <w:t>-188,370</w:t>
            </w:r>
          </w:p>
        </w:tc>
        <w:tc>
          <w:tcPr>
            <w:tcW w:w="1020" w:type="dxa"/>
            <w:shd w:val="clear" w:color="auto" w:fill="auto"/>
            <w:noWrap/>
          </w:tcPr>
          <w:p w14:paraId="01E59588" w14:textId="77777777" w:rsidR="00DD0834" w:rsidRPr="006C18EA" w:rsidRDefault="00DD0834" w:rsidP="003B6997">
            <w:pPr>
              <w:pStyle w:val="Btablefigureunbold"/>
            </w:pPr>
            <w:r w:rsidRPr="006C18EA">
              <w:t>-74,022</w:t>
            </w:r>
          </w:p>
        </w:tc>
      </w:tr>
      <w:tr w:rsidR="00DD0834" w:rsidRPr="00457CE0" w14:paraId="5D16F133" w14:textId="77777777" w:rsidTr="003B6997">
        <w:trPr>
          <w:gridAfter w:val="1"/>
          <w:wAfter w:w="49" w:type="dxa"/>
          <w:cantSplit/>
          <w:trHeight w:val="20"/>
          <w:jc w:val="center"/>
        </w:trPr>
        <w:tc>
          <w:tcPr>
            <w:tcW w:w="2869" w:type="dxa"/>
            <w:shd w:val="clear" w:color="auto" w:fill="auto"/>
          </w:tcPr>
          <w:p w14:paraId="05A4B9D5" w14:textId="77777777" w:rsidR="00DD0834" w:rsidRPr="00D441E0" w:rsidRDefault="00DD0834" w:rsidP="003B6997">
            <w:pPr>
              <w:pStyle w:val="BStabletext"/>
            </w:pPr>
            <w:r>
              <w:t>Change in inventories</w:t>
            </w:r>
          </w:p>
        </w:tc>
        <w:tc>
          <w:tcPr>
            <w:tcW w:w="1020" w:type="dxa"/>
            <w:shd w:val="clear" w:color="auto" w:fill="auto"/>
          </w:tcPr>
          <w:p w14:paraId="1B79D7FA" w14:textId="77777777" w:rsidR="00DD0834" w:rsidRPr="006C18EA" w:rsidRDefault="00DD0834" w:rsidP="003B6997">
            <w:pPr>
              <w:pStyle w:val="Btablefigureunbold"/>
            </w:pPr>
            <w:r w:rsidRPr="006C18EA">
              <w:t>-102,643</w:t>
            </w:r>
          </w:p>
        </w:tc>
        <w:tc>
          <w:tcPr>
            <w:tcW w:w="1069" w:type="dxa"/>
            <w:shd w:val="clear" w:color="auto" w:fill="auto"/>
            <w:noWrap/>
          </w:tcPr>
          <w:p w14:paraId="2C5F631E" w14:textId="77777777" w:rsidR="00DD0834" w:rsidRPr="006C18EA" w:rsidRDefault="00DD0834" w:rsidP="003B6997">
            <w:pPr>
              <w:pStyle w:val="Btablefigureunbold"/>
            </w:pPr>
            <w:r w:rsidRPr="006C18EA">
              <w:t>-125,402</w:t>
            </w:r>
          </w:p>
        </w:tc>
        <w:tc>
          <w:tcPr>
            <w:tcW w:w="1020" w:type="dxa"/>
            <w:shd w:val="clear" w:color="auto" w:fill="auto"/>
            <w:noWrap/>
          </w:tcPr>
          <w:p w14:paraId="626A52CF" w14:textId="77777777" w:rsidR="00DD0834" w:rsidRPr="006C18EA" w:rsidRDefault="00DD0834" w:rsidP="003B6997">
            <w:pPr>
              <w:pStyle w:val="Btablefigureunbold"/>
            </w:pPr>
            <w:r w:rsidRPr="006C18EA">
              <w:t>19,135</w:t>
            </w:r>
          </w:p>
        </w:tc>
        <w:tc>
          <w:tcPr>
            <w:tcW w:w="1020" w:type="dxa"/>
            <w:shd w:val="clear" w:color="auto" w:fill="auto"/>
            <w:noWrap/>
          </w:tcPr>
          <w:p w14:paraId="23F7B208" w14:textId="77777777" w:rsidR="00DD0834" w:rsidRPr="006C18EA" w:rsidRDefault="00DD0834" w:rsidP="003B6997">
            <w:pPr>
              <w:pStyle w:val="Btablefigureunbold"/>
            </w:pPr>
            <w:r w:rsidRPr="006C18EA">
              <w:t>51,933</w:t>
            </w:r>
          </w:p>
        </w:tc>
        <w:tc>
          <w:tcPr>
            <w:tcW w:w="1020" w:type="dxa"/>
            <w:shd w:val="clear" w:color="auto" w:fill="auto"/>
            <w:noWrap/>
          </w:tcPr>
          <w:p w14:paraId="7075A6C8" w14:textId="77777777" w:rsidR="00DD0834" w:rsidRPr="006C18EA" w:rsidRDefault="00DD0834" w:rsidP="003B6997">
            <w:pPr>
              <w:pStyle w:val="Btablefigureunbold"/>
            </w:pPr>
            <w:r w:rsidRPr="006C18EA">
              <w:t>-39,464</w:t>
            </w:r>
          </w:p>
        </w:tc>
        <w:tc>
          <w:tcPr>
            <w:tcW w:w="1020" w:type="dxa"/>
            <w:shd w:val="clear" w:color="auto" w:fill="auto"/>
            <w:noWrap/>
          </w:tcPr>
          <w:p w14:paraId="6C8C4A9A" w14:textId="77777777" w:rsidR="00DD0834" w:rsidRPr="006C18EA" w:rsidRDefault="00DD0834" w:rsidP="003B6997">
            <w:pPr>
              <w:pStyle w:val="Btablefigureunbold"/>
            </w:pPr>
            <w:r w:rsidRPr="006C18EA">
              <w:t>10,887</w:t>
            </w:r>
          </w:p>
        </w:tc>
      </w:tr>
      <w:tr w:rsidR="00DD0834" w:rsidRPr="00FB5881" w14:paraId="097E1098" w14:textId="77777777" w:rsidTr="003B6997">
        <w:trPr>
          <w:gridAfter w:val="1"/>
          <w:wAfter w:w="49" w:type="dxa"/>
          <w:cantSplit/>
          <w:trHeight w:val="20"/>
          <w:jc w:val="center"/>
        </w:trPr>
        <w:tc>
          <w:tcPr>
            <w:tcW w:w="2869" w:type="dxa"/>
            <w:shd w:val="clear" w:color="auto" w:fill="auto"/>
          </w:tcPr>
          <w:p w14:paraId="54302A16" w14:textId="77777777" w:rsidR="00DD0834" w:rsidRPr="001913A8" w:rsidRDefault="00DD0834" w:rsidP="003B6997">
            <w:pPr>
              <w:pStyle w:val="BStabletext"/>
              <w:rPr>
                <w:iCs/>
              </w:rPr>
            </w:pPr>
            <w:r w:rsidRPr="00D62C2C">
              <w:t>Depreciation and amortisation</w:t>
            </w:r>
          </w:p>
        </w:tc>
        <w:tc>
          <w:tcPr>
            <w:tcW w:w="1020" w:type="dxa"/>
            <w:shd w:val="clear" w:color="auto" w:fill="auto"/>
          </w:tcPr>
          <w:p w14:paraId="56CB71CC" w14:textId="77777777" w:rsidR="00DD0834" w:rsidRPr="006C18EA" w:rsidRDefault="00DD0834" w:rsidP="003B6997">
            <w:pPr>
              <w:pStyle w:val="Btablefigureunbold"/>
            </w:pPr>
            <w:r>
              <w:t>-640,292</w:t>
            </w:r>
          </w:p>
        </w:tc>
        <w:tc>
          <w:tcPr>
            <w:tcW w:w="1069" w:type="dxa"/>
            <w:shd w:val="clear" w:color="auto" w:fill="auto"/>
            <w:noWrap/>
          </w:tcPr>
          <w:p w14:paraId="55D976D9" w14:textId="77777777" w:rsidR="00DD0834" w:rsidRPr="006C18EA" w:rsidRDefault="00DD0834" w:rsidP="003B6997">
            <w:pPr>
              <w:pStyle w:val="Btablefigureunbold"/>
            </w:pPr>
            <w:r>
              <w:t>-643,180</w:t>
            </w:r>
          </w:p>
        </w:tc>
        <w:tc>
          <w:tcPr>
            <w:tcW w:w="1020" w:type="dxa"/>
            <w:shd w:val="clear" w:color="auto" w:fill="auto"/>
            <w:noWrap/>
            <w:vAlign w:val="bottom"/>
          </w:tcPr>
          <w:p w14:paraId="12B15793" w14:textId="77777777" w:rsidR="00DD0834" w:rsidRPr="006C18EA" w:rsidRDefault="00DD0834" w:rsidP="003B6997">
            <w:pPr>
              <w:pStyle w:val="Btablefigureunbold"/>
            </w:pPr>
            <w:r w:rsidRPr="00FC6484">
              <w:rPr>
                <w:rFonts w:cs="Calibri"/>
                <w:color w:val="000000"/>
                <w:szCs w:val="20"/>
              </w:rPr>
              <w:t>-699,032</w:t>
            </w:r>
          </w:p>
        </w:tc>
        <w:tc>
          <w:tcPr>
            <w:tcW w:w="1020" w:type="dxa"/>
            <w:shd w:val="clear" w:color="auto" w:fill="auto"/>
            <w:noWrap/>
            <w:vAlign w:val="bottom"/>
          </w:tcPr>
          <w:p w14:paraId="387955BB" w14:textId="77777777" w:rsidR="00DD0834" w:rsidRPr="006C18EA" w:rsidRDefault="00DD0834" w:rsidP="003B6997">
            <w:pPr>
              <w:pStyle w:val="Btablefigureunbold"/>
            </w:pPr>
            <w:r w:rsidRPr="00FC6484">
              <w:rPr>
                <w:rFonts w:cs="Calibri"/>
                <w:color w:val="000000"/>
                <w:szCs w:val="20"/>
              </w:rPr>
              <w:t>-734,369</w:t>
            </w:r>
          </w:p>
        </w:tc>
        <w:tc>
          <w:tcPr>
            <w:tcW w:w="1020" w:type="dxa"/>
            <w:shd w:val="clear" w:color="auto" w:fill="auto"/>
            <w:noWrap/>
            <w:vAlign w:val="bottom"/>
          </w:tcPr>
          <w:p w14:paraId="21DAAAAC" w14:textId="77777777" w:rsidR="00DD0834" w:rsidRPr="006C18EA" w:rsidRDefault="00DD0834" w:rsidP="003B6997">
            <w:pPr>
              <w:pStyle w:val="Btablefigureunbold"/>
            </w:pPr>
            <w:r w:rsidRPr="00FC6484">
              <w:rPr>
                <w:rFonts w:cs="Calibri"/>
                <w:color w:val="000000"/>
                <w:szCs w:val="20"/>
              </w:rPr>
              <w:t>-763,562</w:t>
            </w:r>
          </w:p>
        </w:tc>
        <w:tc>
          <w:tcPr>
            <w:tcW w:w="1020" w:type="dxa"/>
            <w:shd w:val="clear" w:color="auto" w:fill="auto"/>
            <w:noWrap/>
            <w:vAlign w:val="bottom"/>
          </w:tcPr>
          <w:p w14:paraId="5CD243C0" w14:textId="77777777" w:rsidR="00DD0834" w:rsidRPr="006C18EA" w:rsidRDefault="00DD0834" w:rsidP="003B6997">
            <w:pPr>
              <w:pStyle w:val="Btablefigureunbold"/>
            </w:pPr>
            <w:r w:rsidRPr="00FC6484">
              <w:rPr>
                <w:rFonts w:cs="Calibri"/>
                <w:color w:val="000000"/>
                <w:szCs w:val="20"/>
              </w:rPr>
              <w:t>-794,029</w:t>
            </w:r>
          </w:p>
        </w:tc>
      </w:tr>
      <w:tr w:rsidR="00DD0834" w:rsidRPr="00457CE0" w14:paraId="37BCBD3D" w14:textId="77777777" w:rsidTr="003B6997">
        <w:trPr>
          <w:gridAfter w:val="1"/>
          <w:wAfter w:w="49" w:type="dxa"/>
          <w:cantSplit/>
          <w:trHeight w:val="20"/>
          <w:jc w:val="center"/>
        </w:trPr>
        <w:tc>
          <w:tcPr>
            <w:tcW w:w="2869" w:type="dxa"/>
            <w:shd w:val="clear" w:color="auto" w:fill="auto"/>
          </w:tcPr>
          <w:p w14:paraId="444F43A7" w14:textId="77777777" w:rsidR="00DD0834" w:rsidRPr="00D879F2" w:rsidRDefault="00DD0834" w:rsidP="003B6997">
            <w:pPr>
              <w:pStyle w:val="BStabletext"/>
            </w:pPr>
            <w:r w:rsidRPr="00D62C2C">
              <w:t>Other movements in non</w:t>
            </w:r>
            <w:r>
              <w:noBreakHyphen/>
            </w:r>
            <w:r w:rsidRPr="00D62C2C">
              <w:t>financial assets</w:t>
            </w:r>
          </w:p>
        </w:tc>
        <w:tc>
          <w:tcPr>
            <w:tcW w:w="1020" w:type="dxa"/>
            <w:shd w:val="clear" w:color="auto" w:fill="auto"/>
          </w:tcPr>
          <w:p w14:paraId="2FE32C7E" w14:textId="77777777" w:rsidR="00DD0834" w:rsidRPr="006C18EA" w:rsidRDefault="00DD0834" w:rsidP="003B6997">
            <w:pPr>
              <w:pStyle w:val="BStabletext"/>
              <w:jc w:val="right"/>
            </w:pPr>
            <w:r>
              <w:t>48,627</w:t>
            </w:r>
          </w:p>
        </w:tc>
        <w:tc>
          <w:tcPr>
            <w:tcW w:w="1069" w:type="dxa"/>
            <w:shd w:val="clear" w:color="auto" w:fill="auto"/>
            <w:noWrap/>
          </w:tcPr>
          <w:p w14:paraId="392EBAE9" w14:textId="77777777" w:rsidR="00DD0834" w:rsidRPr="006C18EA" w:rsidRDefault="00DD0834" w:rsidP="003B6997">
            <w:pPr>
              <w:pStyle w:val="BStabletext"/>
              <w:jc w:val="right"/>
            </w:pPr>
            <w:r>
              <w:t>-34,579</w:t>
            </w:r>
          </w:p>
        </w:tc>
        <w:tc>
          <w:tcPr>
            <w:tcW w:w="1020" w:type="dxa"/>
            <w:shd w:val="clear" w:color="auto" w:fill="auto"/>
            <w:noWrap/>
          </w:tcPr>
          <w:p w14:paraId="50C54E04" w14:textId="77777777" w:rsidR="00DD0834" w:rsidRPr="006C18EA" w:rsidRDefault="00DD0834" w:rsidP="003B6997">
            <w:pPr>
              <w:pStyle w:val="BStabletext"/>
              <w:jc w:val="right"/>
            </w:pPr>
            <w:r w:rsidRPr="00D879F2">
              <w:t>126,887</w:t>
            </w:r>
          </w:p>
        </w:tc>
        <w:tc>
          <w:tcPr>
            <w:tcW w:w="1020" w:type="dxa"/>
            <w:shd w:val="clear" w:color="auto" w:fill="auto"/>
            <w:noWrap/>
          </w:tcPr>
          <w:p w14:paraId="3C4ED355" w14:textId="77777777" w:rsidR="00DD0834" w:rsidRPr="006C18EA" w:rsidRDefault="00DD0834" w:rsidP="003B6997">
            <w:pPr>
              <w:pStyle w:val="BStabletext"/>
              <w:jc w:val="right"/>
            </w:pPr>
            <w:r w:rsidRPr="00D879F2">
              <w:t>51,259</w:t>
            </w:r>
          </w:p>
        </w:tc>
        <w:tc>
          <w:tcPr>
            <w:tcW w:w="1020" w:type="dxa"/>
            <w:shd w:val="clear" w:color="auto" w:fill="auto"/>
            <w:noWrap/>
          </w:tcPr>
          <w:p w14:paraId="370E4297" w14:textId="77777777" w:rsidR="00DD0834" w:rsidRPr="006C18EA" w:rsidRDefault="00DD0834" w:rsidP="003B6997">
            <w:pPr>
              <w:pStyle w:val="BStabletext"/>
              <w:jc w:val="right"/>
            </w:pPr>
            <w:r w:rsidRPr="00D879F2">
              <w:t>65,686</w:t>
            </w:r>
          </w:p>
        </w:tc>
        <w:tc>
          <w:tcPr>
            <w:tcW w:w="1020" w:type="dxa"/>
            <w:shd w:val="clear" w:color="auto" w:fill="auto"/>
            <w:noWrap/>
          </w:tcPr>
          <w:p w14:paraId="391D651C" w14:textId="77777777" w:rsidR="00DD0834" w:rsidRPr="006C18EA" w:rsidRDefault="00DD0834" w:rsidP="003B6997">
            <w:pPr>
              <w:pStyle w:val="BStabletext"/>
              <w:jc w:val="right"/>
            </w:pPr>
            <w:r w:rsidRPr="00D879F2">
              <w:t>69,134</w:t>
            </w:r>
          </w:p>
        </w:tc>
      </w:tr>
      <w:tr w:rsidR="00DD0834" w:rsidRPr="00EB74AF" w14:paraId="6D77AC6F" w14:textId="77777777" w:rsidTr="003B6997">
        <w:trPr>
          <w:gridAfter w:val="1"/>
          <w:wAfter w:w="49" w:type="dxa"/>
          <w:cantSplit/>
          <w:trHeight w:val="20"/>
          <w:jc w:val="center"/>
        </w:trPr>
        <w:tc>
          <w:tcPr>
            <w:tcW w:w="2869" w:type="dxa"/>
            <w:tcBorders>
              <w:bottom w:val="single" w:sz="4" w:space="0" w:color="auto"/>
            </w:tcBorders>
            <w:shd w:val="clear" w:color="auto" w:fill="auto"/>
          </w:tcPr>
          <w:p w14:paraId="5EB48D5F" w14:textId="77777777" w:rsidR="00DD0834" w:rsidRPr="00185DEF" w:rsidRDefault="00DD0834" w:rsidP="003B6997">
            <w:pPr>
              <w:pStyle w:val="BStabletext"/>
              <w:rPr>
                <w:i/>
                <w:iCs/>
              </w:rPr>
            </w:pPr>
            <w:r w:rsidRPr="00185DEF">
              <w:rPr>
                <w:i/>
                <w:iCs/>
              </w:rPr>
              <w:t>Total net acquisition of non</w:t>
            </w:r>
            <w:r w:rsidRPr="00185DEF">
              <w:rPr>
                <w:i/>
                <w:iCs/>
              </w:rPr>
              <w:noBreakHyphen/>
              <w:t>financial assets</w:t>
            </w:r>
          </w:p>
        </w:tc>
        <w:tc>
          <w:tcPr>
            <w:tcW w:w="1020" w:type="dxa"/>
            <w:tcBorders>
              <w:bottom w:val="single" w:sz="4" w:space="0" w:color="auto"/>
            </w:tcBorders>
            <w:shd w:val="clear" w:color="auto" w:fill="auto"/>
          </w:tcPr>
          <w:p w14:paraId="4FA068E7" w14:textId="77777777" w:rsidR="00DD0834" w:rsidRPr="00185DEF" w:rsidRDefault="00DD0834" w:rsidP="003B6997">
            <w:pPr>
              <w:pStyle w:val="Btabletextitalic"/>
              <w:jc w:val="right"/>
            </w:pPr>
            <w:r>
              <w:t>405,959</w:t>
            </w:r>
          </w:p>
        </w:tc>
        <w:tc>
          <w:tcPr>
            <w:tcW w:w="1069" w:type="dxa"/>
            <w:tcBorders>
              <w:bottom w:val="single" w:sz="4" w:space="0" w:color="auto"/>
            </w:tcBorders>
            <w:shd w:val="clear" w:color="auto" w:fill="auto"/>
            <w:noWrap/>
          </w:tcPr>
          <w:p w14:paraId="57E53544" w14:textId="77777777" w:rsidR="00DD0834" w:rsidRPr="00185DEF" w:rsidRDefault="00DD0834" w:rsidP="003B6997">
            <w:pPr>
              <w:pStyle w:val="Btabletextitalic"/>
              <w:jc w:val="right"/>
            </w:pPr>
            <w:r>
              <w:t>-128,938</w:t>
            </w:r>
          </w:p>
        </w:tc>
        <w:tc>
          <w:tcPr>
            <w:tcW w:w="1020" w:type="dxa"/>
            <w:tcBorders>
              <w:bottom w:val="single" w:sz="4" w:space="0" w:color="auto"/>
            </w:tcBorders>
            <w:shd w:val="clear" w:color="auto" w:fill="auto"/>
            <w:noWrap/>
          </w:tcPr>
          <w:p w14:paraId="0F395942" w14:textId="77777777" w:rsidR="00DD0834" w:rsidRPr="00016294" w:rsidRDefault="00DD0834" w:rsidP="003B6997">
            <w:pPr>
              <w:pStyle w:val="Btabletextitalic"/>
              <w:jc w:val="right"/>
              <w:rPr>
                <w:rFonts w:cs="Calibri"/>
                <w:iCs/>
                <w:color w:val="000000"/>
                <w:szCs w:val="20"/>
              </w:rPr>
            </w:pPr>
            <w:r w:rsidRPr="00016294">
              <w:rPr>
                <w:rFonts w:cs="Calibri"/>
                <w:iCs/>
                <w:color w:val="000000"/>
                <w:szCs w:val="20"/>
              </w:rPr>
              <w:t>642,144</w:t>
            </w:r>
          </w:p>
          <w:p w14:paraId="2621ED81" w14:textId="77777777" w:rsidR="00DD0834" w:rsidRPr="00185DEF" w:rsidRDefault="00DD0834" w:rsidP="003B6997">
            <w:pPr>
              <w:pStyle w:val="Btabletextitalic"/>
              <w:jc w:val="right"/>
            </w:pPr>
          </w:p>
        </w:tc>
        <w:tc>
          <w:tcPr>
            <w:tcW w:w="1020" w:type="dxa"/>
            <w:tcBorders>
              <w:bottom w:val="single" w:sz="4" w:space="0" w:color="auto"/>
            </w:tcBorders>
            <w:shd w:val="clear" w:color="auto" w:fill="auto"/>
            <w:noWrap/>
          </w:tcPr>
          <w:p w14:paraId="7EA12E00" w14:textId="77777777" w:rsidR="00DD0834" w:rsidRPr="00092965" w:rsidRDefault="00DD0834" w:rsidP="003B6997">
            <w:pPr>
              <w:pStyle w:val="Btabletextitalic"/>
              <w:jc w:val="right"/>
              <w:rPr>
                <w:szCs w:val="20"/>
              </w:rPr>
            </w:pPr>
            <w:r w:rsidRPr="00092965">
              <w:rPr>
                <w:rFonts w:cs="Calibri"/>
                <w:iCs/>
                <w:color w:val="000000"/>
                <w:szCs w:val="20"/>
              </w:rPr>
              <w:t>242,537</w:t>
            </w:r>
          </w:p>
        </w:tc>
        <w:tc>
          <w:tcPr>
            <w:tcW w:w="1020" w:type="dxa"/>
            <w:tcBorders>
              <w:bottom w:val="single" w:sz="4" w:space="0" w:color="auto"/>
            </w:tcBorders>
            <w:shd w:val="clear" w:color="auto" w:fill="auto"/>
            <w:noWrap/>
          </w:tcPr>
          <w:p w14:paraId="086EA26D" w14:textId="77777777" w:rsidR="00DD0834" w:rsidRPr="00092965" w:rsidRDefault="00DD0834" w:rsidP="003B6997">
            <w:pPr>
              <w:pStyle w:val="Btabletextitalic"/>
              <w:jc w:val="right"/>
              <w:rPr>
                <w:szCs w:val="20"/>
              </w:rPr>
            </w:pPr>
            <w:r w:rsidRPr="00092965">
              <w:rPr>
                <w:rFonts w:cs="Calibri"/>
                <w:iCs/>
                <w:color w:val="000000"/>
                <w:szCs w:val="20"/>
              </w:rPr>
              <w:t>433,858</w:t>
            </w:r>
          </w:p>
        </w:tc>
        <w:tc>
          <w:tcPr>
            <w:tcW w:w="1020" w:type="dxa"/>
            <w:tcBorders>
              <w:bottom w:val="single" w:sz="4" w:space="0" w:color="auto"/>
            </w:tcBorders>
            <w:shd w:val="clear" w:color="auto" w:fill="auto"/>
            <w:noWrap/>
          </w:tcPr>
          <w:p w14:paraId="1759DCC8" w14:textId="77777777" w:rsidR="00DD0834" w:rsidRPr="00092965" w:rsidRDefault="00DD0834" w:rsidP="003B6997">
            <w:pPr>
              <w:pStyle w:val="Btabletextitalic"/>
              <w:jc w:val="right"/>
              <w:rPr>
                <w:szCs w:val="20"/>
              </w:rPr>
            </w:pPr>
            <w:r w:rsidRPr="00092965">
              <w:rPr>
                <w:rFonts w:cs="Calibri"/>
                <w:iCs/>
                <w:color w:val="000000"/>
                <w:szCs w:val="20"/>
              </w:rPr>
              <w:t>515,094</w:t>
            </w:r>
          </w:p>
        </w:tc>
      </w:tr>
      <w:tr w:rsidR="00DD0834" w:rsidRPr="00185DEF" w14:paraId="75DC252C" w14:textId="77777777" w:rsidTr="003B6997">
        <w:trPr>
          <w:gridAfter w:val="1"/>
          <w:wAfter w:w="49" w:type="dxa"/>
          <w:cantSplit/>
          <w:trHeight w:val="20"/>
          <w:jc w:val="center"/>
        </w:trPr>
        <w:tc>
          <w:tcPr>
            <w:tcW w:w="2869" w:type="dxa"/>
            <w:tcBorders>
              <w:top w:val="single" w:sz="4" w:space="0" w:color="auto"/>
              <w:bottom w:val="single" w:sz="4" w:space="0" w:color="auto"/>
            </w:tcBorders>
            <w:shd w:val="clear" w:color="auto" w:fill="auto"/>
          </w:tcPr>
          <w:p w14:paraId="231F1EFA" w14:textId="77777777" w:rsidR="00DD0834" w:rsidRPr="00B02825" w:rsidRDefault="00DD0834" w:rsidP="003B6997">
            <w:pPr>
              <w:pStyle w:val="BStabletextbold"/>
              <w:rPr>
                <w:color w:val="472D8C"/>
              </w:rPr>
            </w:pPr>
            <w:r w:rsidRPr="00B02825">
              <w:rPr>
                <w:color w:val="472D8C"/>
              </w:rPr>
              <w:t xml:space="preserve">Net borrowing </w:t>
            </w:r>
          </w:p>
        </w:tc>
        <w:tc>
          <w:tcPr>
            <w:tcW w:w="1020" w:type="dxa"/>
            <w:tcBorders>
              <w:top w:val="single" w:sz="4" w:space="0" w:color="auto"/>
              <w:bottom w:val="single" w:sz="4" w:space="0" w:color="auto"/>
            </w:tcBorders>
            <w:shd w:val="clear" w:color="auto" w:fill="auto"/>
          </w:tcPr>
          <w:p w14:paraId="7BF43203" w14:textId="77777777" w:rsidR="00DD0834" w:rsidRPr="00B02825" w:rsidRDefault="00DD0834" w:rsidP="003B6997">
            <w:pPr>
              <w:pStyle w:val="BStabletextbold"/>
              <w:jc w:val="right"/>
              <w:rPr>
                <w:color w:val="472D8C"/>
              </w:rPr>
            </w:pPr>
            <w:r w:rsidRPr="00185DEF">
              <w:rPr>
                <w:color w:val="472D8C"/>
              </w:rPr>
              <w:t>-1,285,119</w:t>
            </w:r>
          </w:p>
        </w:tc>
        <w:tc>
          <w:tcPr>
            <w:tcW w:w="1069" w:type="dxa"/>
            <w:tcBorders>
              <w:top w:val="single" w:sz="4" w:space="0" w:color="auto"/>
              <w:bottom w:val="single" w:sz="4" w:space="0" w:color="auto"/>
            </w:tcBorders>
            <w:shd w:val="clear" w:color="auto" w:fill="auto"/>
            <w:noWrap/>
          </w:tcPr>
          <w:p w14:paraId="622F8B15" w14:textId="77777777" w:rsidR="00DD0834" w:rsidRPr="00B02825" w:rsidRDefault="00DD0834" w:rsidP="003B6997">
            <w:pPr>
              <w:pStyle w:val="BStabletextbold"/>
              <w:jc w:val="right"/>
              <w:rPr>
                <w:color w:val="472D8C"/>
              </w:rPr>
            </w:pPr>
            <w:r w:rsidRPr="00185DEF">
              <w:rPr>
                <w:color w:val="472D8C"/>
              </w:rPr>
              <w:t>-519,307</w:t>
            </w:r>
          </w:p>
        </w:tc>
        <w:tc>
          <w:tcPr>
            <w:tcW w:w="1020" w:type="dxa"/>
            <w:tcBorders>
              <w:top w:val="single" w:sz="4" w:space="0" w:color="auto"/>
              <w:bottom w:val="single" w:sz="4" w:space="0" w:color="auto"/>
            </w:tcBorders>
            <w:shd w:val="clear" w:color="auto" w:fill="auto"/>
            <w:noWrap/>
          </w:tcPr>
          <w:p w14:paraId="54F79758" w14:textId="77777777" w:rsidR="00DD0834" w:rsidRPr="00B02825" w:rsidRDefault="00DD0834" w:rsidP="003B6997">
            <w:pPr>
              <w:pStyle w:val="BStabletextbold"/>
              <w:jc w:val="right"/>
              <w:rPr>
                <w:color w:val="472D8C"/>
              </w:rPr>
            </w:pPr>
            <w:r w:rsidRPr="00185DEF">
              <w:rPr>
                <w:color w:val="472D8C"/>
              </w:rPr>
              <w:t>-1,904,723</w:t>
            </w:r>
          </w:p>
        </w:tc>
        <w:tc>
          <w:tcPr>
            <w:tcW w:w="1020" w:type="dxa"/>
            <w:tcBorders>
              <w:top w:val="single" w:sz="4" w:space="0" w:color="auto"/>
              <w:bottom w:val="single" w:sz="4" w:space="0" w:color="auto"/>
            </w:tcBorders>
            <w:shd w:val="clear" w:color="auto" w:fill="auto"/>
            <w:noWrap/>
          </w:tcPr>
          <w:p w14:paraId="3975E855" w14:textId="77777777" w:rsidR="00DD0834" w:rsidRPr="00B02825" w:rsidRDefault="00DD0834" w:rsidP="003B6997">
            <w:pPr>
              <w:pStyle w:val="BStabletextbold"/>
              <w:jc w:val="right"/>
              <w:rPr>
                <w:color w:val="472D8C"/>
              </w:rPr>
            </w:pPr>
            <w:r w:rsidRPr="00185DEF">
              <w:rPr>
                <w:color w:val="472D8C"/>
              </w:rPr>
              <w:t>-1,178,619</w:t>
            </w:r>
          </w:p>
        </w:tc>
        <w:tc>
          <w:tcPr>
            <w:tcW w:w="1020" w:type="dxa"/>
            <w:tcBorders>
              <w:top w:val="single" w:sz="4" w:space="0" w:color="auto"/>
              <w:bottom w:val="single" w:sz="4" w:space="0" w:color="auto"/>
            </w:tcBorders>
            <w:shd w:val="clear" w:color="auto" w:fill="auto"/>
            <w:noWrap/>
          </w:tcPr>
          <w:p w14:paraId="7B5EC4CA" w14:textId="77777777" w:rsidR="00DD0834" w:rsidRPr="00B02825" w:rsidRDefault="00DD0834" w:rsidP="003B6997">
            <w:pPr>
              <w:pStyle w:val="BStabletextbold"/>
              <w:jc w:val="right"/>
              <w:rPr>
                <w:color w:val="472D8C"/>
              </w:rPr>
            </w:pPr>
            <w:r w:rsidRPr="00185DEF">
              <w:rPr>
                <w:color w:val="472D8C"/>
              </w:rPr>
              <w:t>-1,314,120</w:t>
            </w:r>
          </w:p>
        </w:tc>
        <w:tc>
          <w:tcPr>
            <w:tcW w:w="1020" w:type="dxa"/>
            <w:tcBorders>
              <w:top w:val="single" w:sz="4" w:space="0" w:color="auto"/>
              <w:bottom w:val="single" w:sz="4" w:space="0" w:color="auto"/>
            </w:tcBorders>
            <w:shd w:val="clear" w:color="auto" w:fill="auto"/>
            <w:noWrap/>
          </w:tcPr>
          <w:p w14:paraId="7DB07742" w14:textId="77777777" w:rsidR="00DD0834" w:rsidRPr="00B02825" w:rsidRDefault="00DD0834" w:rsidP="003B6997">
            <w:pPr>
              <w:pStyle w:val="BStabletextbold"/>
              <w:jc w:val="right"/>
              <w:rPr>
                <w:color w:val="472D8C"/>
              </w:rPr>
            </w:pPr>
            <w:r w:rsidRPr="00185DEF">
              <w:rPr>
                <w:color w:val="472D8C"/>
              </w:rPr>
              <w:t>-1,384,728</w:t>
            </w:r>
          </w:p>
        </w:tc>
      </w:tr>
      <w:tr w:rsidR="00DD0834" w:rsidRPr="00457CE0" w14:paraId="08779B83" w14:textId="77777777" w:rsidTr="003B6997">
        <w:trPr>
          <w:gridAfter w:val="1"/>
          <w:wAfter w:w="49" w:type="dxa"/>
          <w:cantSplit/>
          <w:trHeight w:val="20"/>
          <w:jc w:val="center"/>
        </w:trPr>
        <w:tc>
          <w:tcPr>
            <w:tcW w:w="2869" w:type="dxa"/>
            <w:tcBorders>
              <w:top w:val="single" w:sz="4" w:space="0" w:color="auto"/>
              <w:bottom w:val="single" w:sz="4" w:space="0" w:color="auto"/>
            </w:tcBorders>
            <w:shd w:val="clear" w:color="auto" w:fill="auto"/>
          </w:tcPr>
          <w:p w14:paraId="198AEF1D" w14:textId="77777777" w:rsidR="00DD0834" w:rsidRPr="00D441E0" w:rsidRDefault="00DD0834" w:rsidP="003B6997">
            <w:pPr>
              <w:pStyle w:val="BStabletext"/>
            </w:pPr>
          </w:p>
        </w:tc>
        <w:tc>
          <w:tcPr>
            <w:tcW w:w="1020" w:type="dxa"/>
            <w:tcBorders>
              <w:top w:val="single" w:sz="4" w:space="0" w:color="auto"/>
              <w:bottom w:val="single" w:sz="4" w:space="0" w:color="auto"/>
            </w:tcBorders>
            <w:shd w:val="clear" w:color="auto" w:fill="auto"/>
          </w:tcPr>
          <w:p w14:paraId="0203F532" w14:textId="77777777" w:rsidR="00DD0834" w:rsidRPr="00457CE0" w:rsidRDefault="00DD0834" w:rsidP="003B6997">
            <w:pPr>
              <w:pStyle w:val="Btablefigureunbold"/>
            </w:pPr>
          </w:p>
        </w:tc>
        <w:tc>
          <w:tcPr>
            <w:tcW w:w="1069" w:type="dxa"/>
            <w:tcBorders>
              <w:top w:val="single" w:sz="4" w:space="0" w:color="auto"/>
              <w:bottom w:val="single" w:sz="4" w:space="0" w:color="auto"/>
            </w:tcBorders>
            <w:shd w:val="clear" w:color="auto" w:fill="auto"/>
            <w:noWrap/>
            <w:vAlign w:val="bottom"/>
          </w:tcPr>
          <w:p w14:paraId="6CE2217B" w14:textId="77777777" w:rsidR="00DD0834" w:rsidRPr="00457CE0" w:rsidRDefault="00DD0834" w:rsidP="003B6997">
            <w:pPr>
              <w:pStyle w:val="Btablefigureunbold"/>
            </w:pPr>
          </w:p>
        </w:tc>
        <w:tc>
          <w:tcPr>
            <w:tcW w:w="1020" w:type="dxa"/>
            <w:tcBorders>
              <w:top w:val="single" w:sz="4" w:space="0" w:color="auto"/>
              <w:bottom w:val="single" w:sz="4" w:space="0" w:color="auto"/>
            </w:tcBorders>
            <w:shd w:val="clear" w:color="auto" w:fill="auto"/>
            <w:noWrap/>
            <w:vAlign w:val="bottom"/>
          </w:tcPr>
          <w:p w14:paraId="3A2B4CDE" w14:textId="77777777" w:rsidR="00DD0834" w:rsidRPr="00457CE0" w:rsidRDefault="00DD0834" w:rsidP="003B6997">
            <w:pPr>
              <w:pStyle w:val="Btablefigureunbold"/>
            </w:pPr>
          </w:p>
        </w:tc>
        <w:tc>
          <w:tcPr>
            <w:tcW w:w="1020" w:type="dxa"/>
            <w:tcBorders>
              <w:top w:val="single" w:sz="4" w:space="0" w:color="auto"/>
              <w:bottom w:val="single" w:sz="4" w:space="0" w:color="auto"/>
            </w:tcBorders>
            <w:shd w:val="clear" w:color="auto" w:fill="auto"/>
            <w:noWrap/>
            <w:vAlign w:val="bottom"/>
          </w:tcPr>
          <w:p w14:paraId="2A30C1AF" w14:textId="77777777" w:rsidR="00DD0834" w:rsidRPr="00457CE0" w:rsidRDefault="00DD0834" w:rsidP="003B6997">
            <w:pPr>
              <w:pStyle w:val="Btablefigureunbold"/>
            </w:pPr>
          </w:p>
        </w:tc>
        <w:tc>
          <w:tcPr>
            <w:tcW w:w="1020" w:type="dxa"/>
            <w:tcBorders>
              <w:top w:val="single" w:sz="4" w:space="0" w:color="auto"/>
              <w:bottom w:val="single" w:sz="4" w:space="0" w:color="auto"/>
            </w:tcBorders>
            <w:shd w:val="clear" w:color="auto" w:fill="auto"/>
            <w:noWrap/>
            <w:vAlign w:val="bottom"/>
          </w:tcPr>
          <w:p w14:paraId="2B8312AB" w14:textId="77777777" w:rsidR="00DD0834" w:rsidRPr="00457CE0" w:rsidRDefault="00DD0834" w:rsidP="003B6997">
            <w:pPr>
              <w:pStyle w:val="Btablefigureunbold"/>
            </w:pPr>
          </w:p>
        </w:tc>
        <w:tc>
          <w:tcPr>
            <w:tcW w:w="1020" w:type="dxa"/>
            <w:tcBorders>
              <w:top w:val="single" w:sz="4" w:space="0" w:color="auto"/>
              <w:bottom w:val="single" w:sz="4" w:space="0" w:color="auto"/>
            </w:tcBorders>
            <w:shd w:val="clear" w:color="auto" w:fill="auto"/>
            <w:noWrap/>
            <w:vAlign w:val="bottom"/>
          </w:tcPr>
          <w:p w14:paraId="5E6FF785" w14:textId="77777777" w:rsidR="00DD0834" w:rsidRPr="00457CE0" w:rsidRDefault="00DD0834" w:rsidP="003B6997">
            <w:pPr>
              <w:pStyle w:val="Btablefigureunbold"/>
            </w:pPr>
          </w:p>
        </w:tc>
      </w:tr>
      <w:tr w:rsidR="00DD0834" w:rsidRPr="00457CE0" w14:paraId="078242B1" w14:textId="77777777" w:rsidTr="003B6997">
        <w:trPr>
          <w:gridAfter w:val="1"/>
          <w:wAfter w:w="49" w:type="dxa"/>
          <w:cantSplit/>
          <w:trHeight w:val="20"/>
          <w:jc w:val="center"/>
        </w:trPr>
        <w:tc>
          <w:tcPr>
            <w:tcW w:w="2869" w:type="dxa"/>
            <w:tcBorders>
              <w:top w:val="single" w:sz="4" w:space="0" w:color="auto"/>
              <w:left w:val="single" w:sz="4" w:space="0" w:color="auto"/>
            </w:tcBorders>
            <w:shd w:val="clear" w:color="auto" w:fill="auto"/>
          </w:tcPr>
          <w:p w14:paraId="6F959D2B" w14:textId="77777777" w:rsidR="00DD0834" w:rsidRPr="00D441E0" w:rsidRDefault="00DD0834" w:rsidP="003B6997">
            <w:pPr>
              <w:pStyle w:val="BStabletextbold"/>
            </w:pPr>
            <w:r w:rsidRPr="001E3E77">
              <w:rPr>
                <w:color w:val="472D8C"/>
              </w:rPr>
              <w:t>GOVERNMENT FISCAL MEASURE – BUDGET OPERATING SURPLUS/DEFICIT</w:t>
            </w:r>
            <w:r w:rsidRPr="001E3E77">
              <w:rPr>
                <w:color w:val="472D8C"/>
                <w:highlight w:val="yellow"/>
              </w:rPr>
              <w:t xml:space="preserve">  </w:t>
            </w:r>
          </w:p>
        </w:tc>
        <w:tc>
          <w:tcPr>
            <w:tcW w:w="1020" w:type="dxa"/>
            <w:tcBorders>
              <w:top w:val="single" w:sz="4" w:space="0" w:color="auto"/>
            </w:tcBorders>
            <w:shd w:val="clear" w:color="auto" w:fill="auto"/>
          </w:tcPr>
          <w:p w14:paraId="59BB7DBF" w14:textId="77777777" w:rsidR="00DD0834" w:rsidRPr="00457CE0" w:rsidRDefault="00DD0834" w:rsidP="003B6997">
            <w:pPr>
              <w:pStyle w:val="Btablefigureunbold"/>
            </w:pPr>
          </w:p>
        </w:tc>
        <w:tc>
          <w:tcPr>
            <w:tcW w:w="1069" w:type="dxa"/>
            <w:tcBorders>
              <w:top w:val="single" w:sz="4" w:space="0" w:color="auto"/>
            </w:tcBorders>
            <w:shd w:val="clear" w:color="auto" w:fill="auto"/>
            <w:noWrap/>
            <w:vAlign w:val="bottom"/>
          </w:tcPr>
          <w:p w14:paraId="08D3DD6F" w14:textId="77777777" w:rsidR="00DD0834" w:rsidRPr="00457CE0" w:rsidRDefault="00DD0834" w:rsidP="003B6997">
            <w:pPr>
              <w:pStyle w:val="Btablefigureunbold"/>
            </w:pPr>
          </w:p>
        </w:tc>
        <w:tc>
          <w:tcPr>
            <w:tcW w:w="1020" w:type="dxa"/>
            <w:tcBorders>
              <w:top w:val="single" w:sz="4" w:space="0" w:color="auto"/>
            </w:tcBorders>
            <w:shd w:val="clear" w:color="auto" w:fill="auto"/>
            <w:noWrap/>
            <w:vAlign w:val="bottom"/>
          </w:tcPr>
          <w:p w14:paraId="42E2A505" w14:textId="77777777" w:rsidR="00DD0834" w:rsidRPr="00457CE0" w:rsidRDefault="00DD0834" w:rsidP="003B6997">
            <w:pPr>
              <w:pStyle w:val="Btablefigureunbold"/>
            </w:pPr>
          </w:p>
        </w:tc>
        <w:tc>
          <w:tcPr>
            <w:tcW w:w="1020" w:type="dxa"/>
            <w:tcBorders>
              <w:top w:val="single" w:sz="4" w:space="0" w:color="auto"/>
            </w:tcBorders>
            <w:shd w:val="clear" w:color="auto" w:fill="auto"/>
            <w:noWrap/>
            <w:vAlign w:val="bottom"/>
          </w:tcPr>
          <w:p w14:paraId="0BE1856A" w14:textId="77777777" w:rsidR="00DD0834" w:rsidRPr="00457CE0" w:rsidRDefault="00DD0834" w:rsidP="003B6997">
            <w:pPr>
              <w:pStyle w:val="Btablefigureunbold"/>
            </w:pPr>
          </w:p>
        </w:tc>
        <w:tc>
          <w:tcPr>
            <w:tcW w:w="1020" w:type="dxa"/>
            <w:tcBorders>
              <w:top w:val="single" w:sz="4" w:space="0" w:color="auto"/>
            </w:tcBorders>
            <w:shd w:val="clear" w:color="auto" w:fill="auto"/>
            <w:noWrap/>
            <w:vAlign w:val="bottom"/>
          </w:tcPr>
          <w:p w14:paraId="65C7E9C1" w14:textId="77777777" w:rsidR="00DD0834" w:rsidRPr="00457CE0" w:rsidRDefault="00DD0834" w:rsidP="003B6997">
            <w:pPr>
              <w:pStyle w:val="Btablefigureunbold"/>
            </w:pPr>
          </w:p>
        </w:tc>
        <w:tc>
          <w:tcPr>
            <w:tcW w:w="1020" w:type="dxa"/>
            <w:tcBorders>
              <w:top w:val="single" w:sz="4" w:space="0" w:color="auto"/>
              <w:right w:val="single" w:sz="4" w:space="0" w:color="auto"/>
            </w:tcBorders>
            <w:shd w:val="clear" w:color="auto" w:fill="auto"/>
            <w:noWrap/>
            <w:vAlign w:val="bottom"/>
          </w:tcPr>
          <w:p w14:paraId="415F7E6F" w14:textId="77777777" w:rsidR="00DD0834" w:rsidRPr="00457CE0" w:rsidRDefault="00DD0834" w:rsidP="003B6997">
            <w:pPr>
              <w:pStyle w:val="Btablefigureunbold"/>
            </w:pPr>
          </w:p>
        </w:tc>
      </w:tr>
      <w:tr w:rsidR="00DD0834" w:rsidRPr="00457CE0" w14:paraId="4FEE197F" w14:textId="77777777" w:rsidTr="003B6997">
        <w:trPr>
          <w:gridAfter w:val="1"/>
          <w:wAfter w:w="49" w:type="dxa"/>
          <w:cantSplit/>
          <w:trHeight w:val="20"/>
          <w:jc w:val="center"/>
        </w:trPr>
        <w:tc>
          <w:tcPr>
            <w:tcW w:w="2869" w:type="dxa"/>
            <w:tcBorders>
              <w:left w:val="single" w:sz="4" w:space="0" w:color="auto"/>
            </w:tcBorders>
            <w:shd w:val="clear" w:color="auto" w:fill="auto"/>
          </w:tcPr>
          <w:p w14:paraId="2B453607" w14:textId="77777777" w:rsidR="00DD0834" w:rsidRPr="001913A8" w:rsidRDefault="00DD0834" w:rsidP="003B6997">
            <w:pPr>
              <w:pStyle w:val="BStabletext"/>
              <w:rPr>
                <w:b/>
                <w:color w:val="472D8C"/>
              </w:rPr>
            </w:pPr>
            <w:r w:rsidRPr="00D62C2C">
              <w:t xml:space="preserve">UPF </w:t>
            </w:r>
            <w:r>
              <w:t>n</w:t>
            </w:r>
            <w:r w:rsidRPr="00D62C2C">
              <w:t xml:space="preserve">et </w:t>
            </w:r>
            <w:r>
              <w:t>o</w:t>
            </w:r>
            <w:r w:rsidRPr="00D62C2C">
              <w:t xml:space="preserve">perating </w:t>
            </w:r>
            <w:r>
              <w:t>b</w:t>
            </w:r>
            <w:r w:rsidRPr="00D62C2C">
              <w:t>alance</w:t>
            </w:r>
          </w:p>
        </w:tc>
        <w:tc>
          <w:tcPr>
            <w:tcW w:w="1020" w:type="dxa"/>
            <w:shd w:val="clear" w:color="auto" w:fill="auto"/>
          </w:tcPr>
          <w:p w14:paraId="19366716" w14:textId="77777777" w:rsidR="00DD0834" w:rsidRPr="00185DEF" w:rsidRDefault="00DD0834" w:rsidP="003B6997">
            <w:pPr>
              <w:pStyle w:val="BStabletextunbold"/>
              <w:jc w:val="right"/>
            </w:pPr>
            <w:r w:rsidRPr="00185DEF">
              <w:t>-879,160</w:t>
            </w:r>
          </w:p>
        </w:tc>
        <w:tc>
          <w:tcPr>
            <w:tcW w:w="1069" w:type="dxa"/>
            <w:shd w:val="clear" w:color="auto" w:fill="auto"/>
            <w:noWrap/>
          </w:tcPr>
          <w:p w14:paraId="571D87D7" w14:textId="77777777" w:rsidR="00DD0834" w:rsidRPr="00185DEF" w:rsidRDefault="00DD0834" w:rsidP="003B6997">
            <w:pPr>
              <w:pStyle w:val="BStabletextunbold"/>
              <w:jc w:val="right"/>
            </w:pPr>
            <w:r w:rsidRPr="00185DEF">
              <w:t>-648,245</w:t>
            </w:r>
          </w:p>
        </w:tc>
        <w:tc>
          <w:tcPr>
            <w:tcW w:w="1020" w:type="dxa"/>
            <w:shd w:val="clear" w:color="auto" w:fill="auto"/>
            <w:noWrap/>
          </w:tcPr>
          <w:p w14:paraId="22F11C92" w14:textId="77777777" w:rsidR="00DD0834" w:rsidRPr="00185DEF" w:rsidRDefault="00DD0834" w:rsidP="003B6997">
            <w:pPr>
              <w:pStyle w:val="BStabletextunbold"/>
              <w:jc w:val="right"/>
            </w:pPr>
            <w:r w:rsidRPr="00185DEF">
              <w:t>-1,262,579</w:t>
            </w:r>
          </w:p>
        </w:tc>
        <w:tc>
          <w:tcPr>
            <w:tcW w:w="1020" w:type="dxa"/>
            <w:shd w:val="clear" w:color="auto" w:fill="auto"/>
            <w:noWrap/>
          </w:tcPr>
          <w:p w14:paraId="16E1E23C" w14:textId="77777777" w:rsidR="00DD0834" w:rsidRPr="00185DEF" w:rsidRDefault="00DD0834" w:rsidP="003B6997">
            <w:pPr>
              <w:pStyle w:val="BStabletextunbold"/>
              <w:jc w:val="right"/>
            </w:pPr>
            <w:r w:rsidRPr="00185DEF">
              <w:t>-936,082</w:t>
            </w:r>
          </w:p>
        </w:tc>
        <w:tc>
          <w:tcPr>
            <w:tcW w:w="1020" w:type="dxa"/>
            <w:shd w:val="clear" w:color="auto" w:fill="auto"/>
            <w:noWrap/>
          </w:tcPr>
          <w:p w14:paraId="72B0DF6D" w14:textId="77777777" w:rsidR="00DD0834" w:rsidRPr="00185DEF" w:rsidRDefault="00DD0834" w:rsidP="003B6997">
            <w:pPr>
              <w:pStyle w:val="BStabletextunbold"/>
              <w:jc w:val="right"/>
            </w:pPr>
            <w:r w:rsidRPr="00185DEF">
              <w:t>-880,262</w:t>
            </w:r>
          </w:p>
        </w:tc>
        <w:tc>
          <w:tcPr>
            <w:tcW w:w="1020" w:type="dxa"/>
            <w:tcBorders>
              <w:right w:val="single" w:sz="4" w:space="0" w:color="auto"/>
            </w:tcBorders>
            <w:shd w:val="clear" w:color="auto" w:fill="auto"/>
            <w:noWrap/>
          </w:tcPr>
          <w:p w14:paraId="06784B51" w14:textId="77777777" w:rsidR="00DD0834" w:rsidRPr="00185DEF" w:rsidRDefault="00DD0834" w:rsidP="003B6997">
            <w:pPr>
              <w:pStyle w:val="BStabletextunbold"/>
              <w:jc w:val="right"/>
            </w:pPr>
            <w:r w:rsidRPr="00185DEF">
              <w:t>-869,634</w:t>
            </w:r>
          </w:p>
        </w:tc>
      </w:tr>
      <w:tr w:rsidR="00DD0834" w:rsidRPr="00457CE0" w14:paraId="0561CBFC" w14:textId="77777777" w:rsidTr="003B6997">
        <w:trPr>
          <w:gridAfter w:val="1"/>
          <w:wAfter w:w="49" w:type="dxa"/>
          <w:cantSplit/>
          <w:trHeight w:val="20"/>
          <w:jc w:val="center"/>
        </w:trPr>
        <w:tc>
          <w:tcPr>
            <w:tcW w:w="2869" w:type="dxa"/>
            <w:tcBorders>
              <w:left w:val="single" w:sz="4" w:space="0" w:color="auto"/>
            </w:tcBorders>
            <w:shd w:val="clear" w:color="auto" w:fill="auto"/>
          </w:tcPr>
          <w:p w14:paraId="7C550A61" w14:textId="77777777" w:rsidR="00DD0834" w:rsidRPr="00D62C2C" w:rsidRDefault="00DD0834" w:rsidP="003B6997">
            <w:pPr>
              <w:pStyle w:val="BStabletext"/>
            </w:pPr>
            <w:r w:rsidRPr="00D62C2C">
              <w:t>Superannuation return adjustment</w:t>
            </w:r>
          </w:p>
        </w:tc>
        <w:tc>
          <w:tcPr>
            <w:tcW w:w="1020" w:type="dxa"/>
            <w:shd w:val="clear" w:color="auto" w:fill="auto"/>
          </w:tcPr>
          <w:p w14:paraId="657C24FF" w14:textId="77777777" w:rsidR="00DD0834" w:rsidRPr="00185DEF" w:rsidRDefault="00DD0834" w:rsidP="003B6997">
            <w:pPr>
              <w:pStyle w:val="BStabletextunbold"/>
              <w:jc w:val="right"/>
            </w:pPr>
            <w:r w:rsidRPr="00185DEF">
              <w:t>165,588</w:t>
            </w:r>
          </w:p>
        </w:tc>
        <w:tc>
          <w:tcPr>
            <w:tcW w:w="1069" w:type="dxa"/>
            <w:shd w:val="clear" w:color="auto" w:fill="auto"/>
            <w:noWrap/>
          </w:tcPr>
          <w:p w14:paraId="66A42AEB" w14:textId="77777777" w:rsidR="00DD0834" w:rsidRPr="00185DEF" w:rsidRDefault="00DD0834" w:rsidP="003B6997">
            <w:pPr>
              <w:pStyle w:val="BStabletextunbold"/>
              <w:jc w:val="right"/>
            </w:pPr>
            <w:r w:rsidRPr="00185DEF">
              <w:t>123,533</w:t>
            </w:r>
          </w:p>
        </w:tc>
        <w:tc>
          <w:tcPr>
            <w:tcW w:w="1020" w:type="dxa"/>
            <w:shd w:val="clear" w:color="auto" w:fill="auto"/>
            <w:noWrap/>
          </w:tcPr>
          <w:p w14:paraId="430F62DF" w14:textId="77777777" w:rsidR="00DD0834" w:rsidRPr="00185DEF" w:rsidRDefault="00DD0834" w:rsidP="003B6997">
            <w:pPr>
              <w:pStyle w:val="BStabletextunbold"/>
              <w:jc w:val="right"/>
            </w:pPr>
            <w:r w:rsidRPr="00185DEF">
              <w:t>216,060</w:t>
            </w:r>
          </w:p>
        </w:tc>
        <w:tc>
          <w:tcPr>
            <w:tcW w:w="1020" w:type="dxa"/>
            <w:shd w:val="clear" w:color="auto" w:fill="auto"/>
            <w:noWrap/>
          </w:tcPr>
          <w:p w14:paraId="4050D543" w14:textId="77777777" w:rsidR="00DD0834" w:rsidRPr="00185DEF" w:rsidRDefault="00DD0834" w:rsidP="003B6997">
            <w:pPr>
              <w:pStyle w:val="BStabletextunbold"/>
              <w:jc w:val="right"/>
            </w:pPr>
            <w:r w:rsidRPr="00185DEF">
              <w:t>231,358</w:t>
            </w:r>
          </w:p>
        </w:tc>
        <w:tc>
          <w:tcPr>
            <w:tcW w:w="1020" w:type="dxa"/>
            <w:shd w:val="clear" w:color="auto" w:fill="auto"/>
            <w:noWrap/>
          </w:tcPr>
          <w:p w14:paraId="7812336B" w14:textId="77777777" w:rsidR="00DD0834" w:rsidRPr="00185DEF" w:rsidRDefault="00DD0834" w:rsidP="003B6997">
            <w:pPr>
              <w:pStyle w:val="BStabletextunbold"/>
              <w:jc w:val="right"/>
            </w:pPr>
            <w:r w:rsidRPr="00185DEF">
              <w:t>247,745</w:t>
            </w:r>
          </w:p>
        </w:tc>
        <w:tc>
          <w:tcPr>
            <w:tcW w:w="1020" w:type="dxa"/>
            <w:tcBorders>
              <w:right w:val="single" w:sz="4" w:space="0" w:color="auto"/>
            </w:tcBorders>
            <w:shd w:val="clear" w:color="auto" w:fill="auto"/>
            <w:noWrap/>
          </w:tcPr>
          <w:p w14:paraId="6D4B8608" w14:textId="77777777" w:rsidR="00DD0834" w:rsidRPr="00185DEF" w:rsidRDefault="00DD0834" w:rsidP="003B6997">
            <w:pPr>
              <w:pStyle w:val="BStabletextunbold"/>
              <w:jc w:val="right"/>
            </w:pPr>
            <w:r w:rsidRPr="00185DEF">
              <w:t>265,301</w:t>
            </w:r>
          </w:p>
        </w:tc>
      </w:tr>
      <w:tr w:rsidR="00DD0834" w:rsidRPr="00067E52" w14:paraId="454FD748" w14:textId="77777777" w:rsidTr="003B6997">
        <w:trPr>
          <w:gridAfter w:val="1"/>
          <w:wAfter w:w="49" w:type="dxa"/>
          <w:cantSplit/>
          <w:trHeight w:val="20"/>
          <w:jc w:val="center"/>
        </w:trPr>
        <w:tc>
          <w:tcPr>
            <w:tcW w:w="2869" w:type="dxa"/>
            <w:tcBorders>
              <w:left w:val="single" w:sz="4" w:space="0" w:color="auto"/>
              <w:bottom w:val="single" w:sz="4" w:space="0" w:color="auto"/>
            </w:tcBorders>
            <w:shd w:val="clear" w:color="auto" w:fill="auto"/>
          </w:tcPr>
          <w:p w14:paraId="13DB2564" w14:textId="77777777" w:rsidR="00DD0834" w:rsidRPr="001E3E77" w:rsidRDefault="00DD0834" w:rsidP="003B6997">
            <w:pPr>
              <w:pStyle w:val="BStabletextbold"/>
              <w:rPr>
                <w:color w:val="472D8C"/>
              </w:rPr>
            </w:pPr>
            <w:r w:rsidRPr="001E3E77">
              <w:rPr>
                <w:color w:val="472D8C"/>
              </w:rPr>
              <w:t>HEADLINE NET OPERATING BALANCE</w:t>
            </w:r>
          </w:p>
        </w:tc>
        <w:tc>
          <w:tcPr>
            <w:tcW w:w="1020" w:type="dxa"/>
            <w:tcBorders>
              <w:bottom w:val="single" w:sz="4" w:space="0" w:color="auto"/>
            </w:tcBorders>
            <w:shd w:val="clear" w:color="auto" w:fill="auto"/>
          </w:tcPr>
          <w:p w14:paraId="59363290" w14:textId="77777777" w:rsidR="00DD0834" w:rsidRPr="001E3E77" w:rsidRDefault="00DD0834" w:rsidP="003B6997">
            <w:pPr>
              <w:pStyle w:val="BStabletextbold"/>
              <w:jc w:val="right"/>
              <w:rPr>
                <w:color w:val="472D8C"/>
              </w:rPr>
            </w:pPr>
            <w:r w:rsidRPr="00067E52">
              <w:rPr>
                <w:color w:val="472D8C"/>
              </w:rPr>
              <w:t>-713,572</w:t>
            </w:r>
          </w:p>
        </w:tc>
        <w:tc>
          <w:tcPr>
            <w:tcW w:w="1069" w:type="dxa"/>
            <w:tcBorders>
              <w:bottom w:val="single" w:sz="4" w:space="0" w:color="auto"/>
            </w:tcBorders>
            <w:shd w:val="clear" w:color="auto" w:fill="auto"/>
            <w:noWrap/>
          </w:tcPr>
          <w:p w14:paraId="0F3E91DC" w14:textId="77777777" w:rsidR="00DD0834" w:rsidRPr="001E3E77" w:rsidRDefault="00DD0834" w:rsidP="003B6997">
            <w:pPr>
              <w:pStyle w:val="BStabletextbold"/>
              <w:jc w:val="right"/>
              <w:rPr>
                <w:color w:val="472D8C"/>
              </w:rPr>
            </w:pPr>
            <w:r w:rsidRPr="00067E52">
              <w:rPr>
                <w:color w:val="472D8C"/>
              </w:rPr>
              <w:t>-524,712</w:t>
            </w:r>
          </w:p>
        </w:tc>
        <w:tc>
          <w:tcPr>
            <w:tcW w:w="1020" w:type="dxa"/>
            <w:tcBorders>
              <w:bottom w:val="single" w:sz="4" w:space="0" w:color="auto"/>
            </w:tcBorders>
            <w:shd w:val="clear" w:color="auto" w:fill="auto"/>
            <w:noWrap/>
          </w:tcPr>
          <w:p w14:paraId="6E6E6CB3" w14:textId="77777777" w:rsidR="00DD0834" w:rsidRPr="00067E52" w:rsidRDefault="00DD0834" w:rsidP="003B6997">
            <w:pPr>
              <w:pStyle w:val="BStabletextbold"/>
              <w:jc w:val="right"/>
              <w:rPr>
                <w:color w:val="472D8C"/>
              </w:rPr>
            </w:pPr>
            <w:r w:rsidRPr="00067E52">
              <w:rPr>
                <w:color w:val="472D8C"/>
              </w:rPr>
              <w:t>-1,046,519</w:t>
            </w:r>
          </w:p>
          <w:p w14:paraId="1D4D0FAF" w14:textId="77777777" w:rsidR="00DD0834" w:rsidRPr="001E3E77" w:rsidRDefault="00DD0834" w:rsidP="003B6997">
            <w:pPr>
              <w:pStyle w:val="BStabletextbold"/>
              <w:jc w:val="right"/>
              <w:rPr>
                <w:color w:val="472D8C"/>
              </w:rPr>
            </w:pPr>
          </w:p>
        </w:tc>
        <w:tc>
          <w:tcPr>
            <w:tcW w:w="1020" w:type="dxa"/>
            <w:tcBorders>
              <w:bottom w:val="single" w:sz="4" w:space="0" w:color="auto"/>
            </w:tcBorders>
            <w:shd w:val="clear" w:color="auto" w:fill="auto"/>
            <w:noWrap/>
          </w:tcPr>
          <w:p w14:paraId="305F5B68" w14:textId="77777777" w:rsidR="00DD0834" w:rsidRPr="001E3E77" w:rsidRDefault="00DD0834" w:rsidP="003B6997">
            <w:pPr>
              <w:pStyle w:val="BStabletextbold"/>
              <w:jc w:val="right"/>
              <w:rPr>
                <w:color w:val="472D8C"/>
              </w:rPr>
            </w:pPr>
            <w:r w:rsidRPr="00067E52">
              <w:rPr>
                <w:color w:val="472D8C"/>
              </w:rPr>
              <w:t>-704,724</w:t>
            </w:r>
          </w:p>
        </w:tc>
        <w:tc>
          <w:tcPr>
            <w:tcW w:w="1020" w:type="dxa"/>
            <w:tcBorders>
              <w:bottom w:val="single" w:sz="4" w:space="0" w:color="auto"/>
            </w:tcBorders>
            <w:shd w:val="clear" w:color="auto" w:fill="auto"/>
            <w:noWrap/>
          </w:tcPr>
          <w:p w14:paraId="55426C69" w14:textId="77777777" w:rsidR="00DD0834" w:rsidRPr="001E3E77" w:rsidRDefault="00DD0834" w:rsidP="003B6997">
            <w:pPr>
              <w:pStyle w:val="BStabletextbold"/>
              <w:jc w:val="right"/>
              <w:rPr>
                <w:color w:val="472D8C"/>
              </w:rPr>
            </w:pPr>
            <w:r w:rsidRPr="00067E52">
              <w:rPr>
                <w:color w:val="472D8C"/>
              </w:rPr>
              <w:t>-632,517</w:t>
            </w:r>
          </w:p>
        </w:tc>
        <w:tc>
          <w:tcPr>
            <w:tcW w:w="1020" w:type="dxa"/>
            <w:tcBorders>
              <w:bottom w:val="single" w:sz="4" w:space="0" w:color="auto"/>
              <w:right w:val="single" w:sz="4" w:space="0" w:color="auto"/>
            </w:tcBorders>
            <w:shd w:val="clear" w:color="auto" w:fill="auto"/>
            <w:noWrap/>
          </w:tcPr>
          <w:p w14:paraId="7045EADB" w14:textId="77777777" w:rsidR="00DD0834" w:rsidRPr="001E3E77" w:rsidRDefault="00DD0834" w:rsidP="003B6997">
            <w:pPr>
              <w:pStyle w:val="BStabletextbold"/>
              <w:jc w:val="right"/>
              <w:rPr>
                <w:color w:val="472D8C"/>
              </w:rPr>
            </w:pPr>
            <w:r w:rsidRPr="00067E52">
              <w:rPr>
                <w:color w:val="472D8C"/>
              </w:rPr>
              <w:t>-604,333</w:t>
            </w:r>
          </w:p>
        </w:tc>
      </w:tr>
    </w:tbl>
    <w:p w14:paraId="2302CB96" w14:textId="77777777" w:rsidR="00DD0834" w:rsidRPr="00491ADB" w:rsidRDefault="00DD0834" w:rsidP="003B6997">
      <w:pPr>
        <w:pStyle w:val="BNoteBold"/>
      </w:pPr>
      <w:r w:rsidRPr="00491ADB">
        <w:t xml:space="preserve">Note: </w:t>
      </w:r>
    </w:p>
    <w:p w14:paraId="3D48F895" w14:textId="77777777" w:rsidR="00DD0834" w:rsidRPr="004B0596" w:rsidRDefault="00DD0834" w:rsidP="003B6997">
      <w:pPr>
        <w:pStyle w:val="BNote"/>
      </w:pPr>
      <w:r w:rsidRPr="00067E52">
        <w:t>Numbers may not add due to rounding.</w:t>
      </w:r>
    </w:p>
    <w:p w14:paraId="337543B9" w14:textId="77777777" w:rsidR="00DD0834" w:rsidRDefault="00DD0834">
      <w:pPr>
        <w:rPr>
          <w:b/>
          <w:iCs/>
          <w:color w:val="472D8C"/>
          <w:szCs w:val="18"/>
        </w:rPr>
      </w:pPr>
      <w:r>
        <w:br w:type="page"/>
      </w:r>
    </w:p>
    <w:p w14:paraId="34B3D0A5" w14:textId="4DC824ED" w:rsidR="00DD0834" w:rsidRDefault="00DD0834" w:rsidP="003B6997">
      <w:pPr>
        <w:pStyle w:val="Caption"/>
        <w:keepNext w:val="0"/>
        <w:widowControl w:val="0"/>
      </w:pPr>
      <w:r>
        <w:lastRenderedPageBreak/>
        <w:t>Table E.</w:t>
      </w:r>
      <w:fldSimple w:instr=" SEQ Table \* ARABIC \s 2 ">
        <w:r w:rsidR="001478F3">
          <w:rPr>
            <w:noProof/>
          </w:rPr>
          <w:t>2</w:t>
        </w:r>
      </w:fldSimple>
      <w:r>
        <w:t>: Australian Capital Territory Consolidated Total Territory – Balance sheet</w:t>
      </w:r>
    </w:p>
    <w:tbl>
      <w:tblPr>
        <w:tblW w:w="9240" w:type="dxa"/>
        <w:jc w:val="center"/>
        <w:tblCellMar>
          <w:left w:w="45" w:type="dxa"/>
          <w:right w:w="45" w:type="dxa"/>
        </w:tblCellMar>
        <w:tblLook w:val="0000" w:firstRow="0" w:lastRow="0" w:firstColumn="0" w:lastColumn="0" w:noHBand="0" w:noVBand="0"/>
      </w:tblPr>
      <w:tblGrid>
        <w:gridCol w:w="2778"/>
        <w:gridCol w:w="1077"/>
        <w:gridCol w:w="1077"/>
        <w:gridCol w:w="1077"/>
        <w:gridCol w:w="1077"/>
        <w:gridCol w:w="1077"/>
        <w:gridCol w:w="1077"/>
      </w:tblGrid>
      <w:tr w:rsidR="00DD0834" w:rsidRPr="006D5D15" w14:paraId="50B7C5F8" w14:textId="77777777" w:rsidTr="003B6997">
        <w:trPr>
          <w:tblHeader/>
          <w:jc w:val="center"/>
        </w:trPr>
        <w:tc>
          <w:tcPr>
            <w:tcW w:w="2778" w:type="dxa"/>
            <w:tcBorders>
              <w:top w:val="single" w:sz="4" w:space="0" w:color="auto"/>
              <w:left w:val="nil"/>
              <w:bottom w:val="single" w:sz="4" w:space="0" w:color="auto"/>
              <w:right w:val="nil"/>
            </w:tcBorders>
            <w:shd w:val="clear" w:color="auto" w:fill="472D8C"/>
            <w:noWrap/>
          </w:tcPr>
          <w:p w14:paraId="71582BDF" w14:textId="77777777" w:rsidR="00DD0834" w:rsidRPr="00F25F0C" w:rsidRDefault="00DD0834" w:rsidP="003B6997">
            <w:pPr>
              <w:pStyle w:val="EmptyCell0"/>
              <w:widowControl w:val="0"/>
              <w:rPr>
                <w:rFonts w:eastAsia="SimSun"/>
              </w:rPr>
            </w:pPr>
          </w:p>
        </w:tc>
        <w:tc>
          <w:tcPr>
            <w:tcW w:w="1077" w:type="dxa"/>
            <w:tcBorders>
              <w:top w:val="single" w:sz="4" w:space="0" w:color="auto"/>
              <w:left w:val="nil"/>
              <w:bottom w:val="single" w:sz="4" w:space="0" w:color="auto"/>
              <w:right w:val="nil"/>
            </w:tcBorders>
            <w:shd w:val="clear" w:color="auto" w:fill="472D8C"/>
          </w:tcPr>
          <w:p w14:paraId="5E97F35C" w14:textId="77777777" w:rsidR="00DD0834" w:rsidRPr="006D5D15" w:rsidRDefault="00DD0834" w:rsidP="003B6997">
            <w:pPr>
              <w:pStyle w:val="BStableheading"/>
              <w:framePr w:wrap="auto" w:vAnchor="margin" w:yAlign="inline"/>
              <w:widowControl w:val="0"/>
              <w:rPr>
                <w:rFonts w:eastAsia="SimSun"/>
                <w:color w:val="FFFFFF" w:themeColor="background1"/>
                <w:lang w:val="en-AU"/>
              </w:rPr>
            </w:pPr>
            <w:r>
              <w:rPr>
                <w:rFonts w:eastAsia="SimSun"/>
                <w:color w:val="FFFFFF" w:themeColor="background1"/>
                <w:lang w:val="en-AU"/>
              </w:rPr>
              <w:t>2020-21</w:t>
            </w:r>
          </w:p>
          <w:p w14:paraId="065FF940" w14:textId="77777777" w:rsidR="00DD0834" w:rsidRPr="006D5D15" w:rsidRDefault="00DD0834" w:rsidP="003B6997">
            <w:pPr>
              <w:pStyle w:val="BStableheading"/>
              <w:framePr w:wrap="auto" w:vAnchor="margin" w:yAlign="inline"/>
              <w:widowControl w:val="0"/>
              <w:rPr>
                <w:rFonts w:eastAsia="SimSun"/>
                <w:color w:val="FFFFFF" w:themeColor="background1"/>
                <w:lang w:val="en-AU"/>
              </w:rPr>
            </w:pPr>
            <w:r w:rsidRPr="006D5D15">
              <w:rPr>
                <w:rFonts w:eastAsia="SimSun"/>
                <w:color w:val="FFFFFF" w:themeColor="background1"/>
                <w:lang w:val="en-AU"/>
              </w:rPr>
              <w:t>Budget</w:t>
            </w:r>
          </w:p>
          <w:p w14:paraId="2AE9C426" w14:textId="77777777" w:rsidR="00DD0834" w:rsidRDefault="00DD0834" w:rsidP="003B6997">
            <w:pPr>
              <w:pStyle w:val="BStableheading"/>
              <w:framePr w:wrap="around"/>
              <w:widowControl w:val="0"/>
              <w:rPr>
                <w:rFonts w:eastAsia="SimSun"/>
                <w:color w:val="FFFFFF" w:themeColor="background1"/>
                <w:lang w:val="en-AU"/>
              </w:rPr>
            </w:pPr>
          </w:p>
          <w:p w14:paraId="6516AC9C"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077" w:type="dxa"/>
            <w:tcBorders>
              <w:top w:val="single" w:sz="4" w:space="0" w:color="auto"/>
              <w:left w:val="nil"/>
              <w:bottom w:val="single" w:sz="4" w:space="0" w:color="auto"/>
              <w:right w:val="nil"/>
            </w:tcBorders>
            <w:shd w:val="clear" w:color="auto" w:fill="472D8C"/>
            <w:noWrap/>
          </w:tcPr>
          <w:p w14:paraId="31E8CF77"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4B6BC632" w14:textId="77777777" w:rsidR="00DD0834" w:rsidRPr="006D5D15" w:rsidRDefault="00DD0834" w:rsidP="003B6997">
            <w:pPr>
              <w:pStyle w:val="BStableheading"/>
              <w:framePr w:wrap="around"/>
              <w:widowControl w:val="0"/>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009F4E53"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077" w:type="dxa"/>
            <w:tcBorders>
              <w:top w:val="single" w:sz="4" w:space="0" w:color="auto"/>
              <w:left w:val="nil"/>
              <w:bottom w:val="single" w:sz="4" w:space="0" w:color="auto"/>
              <w:right w:val="nil"/>
            </w:tcBorders>
            <w:shd w:val="clear" w:color="auto" w:fill="472D8C"/>
            <w:noWrap/>
          </w:tcPr>
          <w:p w14:paraId="7A8C77AD"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79D82A85"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Budget</w:t>
            </w:r>
          </w:p>
          <w:p w14:paraId="74E433AA" w14:textId="77777777" w:rsidR="00DD0834" w:rsidRPr="006D5D15" w:rsidRDefault="00DD0834" w:rsidP="003B6997">
            <w:pPr>
              <w:pStyle w:val="BStableheading"/>
              <w:framePr w:wrap="around"/>
              <w:widowControl w:val="0"/>
              <w:rPr>
                <w:rFonts w:eastAsia="SimSun"/>
                <w:color w:val="FFFFFF" w:themeColor="background1"/>
                <w:lang w:val="en-AU"/>
              </w:rPr>
            </w:pPr>
          </w:p>
          <w:p w14:paraId="719EEAA1"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077" w:type="dxa"/>
            <w:tcBorders>
              <w:top w:val="single" w:sz="4" w:space="0" w:color="auto"/>
              <w:left w:val="nil"/>
              <w:bottom w:val="single" w:sz="4" w:space="0" w:color="auto"/>
              <w:right w:val="nil"/>
            </w:tcBorders>
            <w:shd w:val="clear" w:color="auto" w:fill="472D8C"/>
            <w:noWrap/>
          </w:tcPr>
          <w:p w14:paraId="789C15A6"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16F7888E"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313E5DD1" w14:textId="77777777" w:rsidR="00DD0834" w:rsidRPr="006D5D15" w:rsidRDefault="00DD0834" w:rsidP="003B6997">
            <w:pPr>
              <w:pStyle w:val="BStableheading"/>
              <w:framePr w:wrap="around"/>
              <w:widowControl w:val="0"/>
              <w:rPr>
                <w:rFonts w:eastAsia="SimSun"/>
                <w:color w:val="FFFFFF" w:themeColor="background1"/>
                <w:lang w:val="en-AU"/>
              </w:rPr>
            </w:pPr>
          </w:p>
          <w:p w14:paraId="40A1F78A"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077" w:type="dxa"/>
            <w:tcBorders>
              <w:top w:val="single" w:sz="4" w:space="0" w:color="auto"/>
              <w:left w:val="nil"/>
              <w:bottom w:val="single" w:sz="4" w:space="0" w:color="auto"/>
              <w:right w:val="nil"/>
            </w:tcBorders>
            <w:shd w:val="clear" w:color="auto" w:fill="472D8C"/>
            <w:noWrap/>
          </w:tcPr>
          <w:p w14:paraId="20A23018"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091BBCB9"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0823BAEF" w14:textId="77777777" w:rsidR="00DD0834" w:rsidRPr="006D5D15" w:rsidRDefault="00DD0834" w:rsidP="003B6997">
            <w:pPr>
              <w:pStyle w:val="BStableheading"/>
              <w:framePr w:wrap="around"/>
              <w:widowControl w:val="0"/>
              <w:rPr>
                <w:rFonts w:eastAsia="SimSun"/>
                <w:color w:val="FFFFFF" w:themeColor="background1"/>
                <w:lang w:val="en-AU"/>
              </w:rPr>
            </w:pPr>
          </w:p>
          <w:p w14:paraId="5DC71F5D"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c>
          <w:tcPr>
            <w:tcW w:w="1077" w:type="dxa"/>
            <w:tcBorders>
              <w:top w:val="single" w:sz="4" w:space="0" w:color="auto"/>
              <w:left w:val="nil"/>
              <w:bottom w:val="single" w:sz="4" w:space="0" w:color="auto"/>
              <w:right w:val="nil"/>
            </w:tcBorders>
            <w:shd w:val="clear" w:color="auto" w:fill="472D8C"/>
            <w:noWrap/>
          </w:tcPr>
          <w:p w14:paraId="3B0B29FF"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3656F51A"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Estimate</w:t>
            </w:r>
          </w:p>
          <w:p w14:paraId="4105BBA4" w14:textId="77777777" w:rsidR="00DD0834" w:rsidRPr="006D5D15" w:rsidRDefault="00DD0834" w:rsidP="003B6997">
            <w:pPr>
              <w:pStyle w:val="BStableheading"/>
              <w:framePr w:wrap="around"/>
              <w:widowControl w:val="0"/>
              <w:rPr>
                <w:rFonts w:eastAsia="SimSun"/>
                <w:color w:val="FFFFFF" w:themeColor="background1"/>
                <w:lang w:val="en-AU"/>
              </w:rPr>
            </w:pPr>
          </w:p>
          <w:p w14:paraId="13FC4A36" w14:textId="77777777" w:rsidR="00DD0834" w:rsidRPr="006D5D15" w:rsidRDefault="00DD0834" w:rsidP="003B6997">
            <w:pPr>
              <w:pStyle w:val="BStableheading"/>
              <w:framePr w:wrap="around"/>
              <w:widowControl w:val="0"/>
              <w:rPr>
                <w:rFonts w:eastAsia="SimSun"/>
                <w:color w:val="FFFFFF" w:themeColor="background1"/>
                <w:lang w:val="en-AU"/>
              </w:rPr>
            </w:pPr>
            <w:r w:rsidRPr="006D5D15">
              <w:rPr>
                <w:rFonts w:eastAsia="SimSun"/>
                <w:color w:val="FFFFFF" w:themeColor="background1"/>
                <w:lang w:val="en-AU"/>
              </w:rPr>
              <w:t>$’000</w:t>
            </w:r>
          </w:p>
        </w:tc>
      </w:tr>
      <w:tr w:rsidR="00DD0834" w:rsidRPr="006D5D15" w14:paraId="4AFF9FA4" w14:textId="77777777" w:rsidTr="003B6997">
        <w:trPr>
          <w:tblHeader/>
          <w:jc w:val="center"/>
        </w:trPr>
        <w:tc>
          <w:tcPr>
            <w:tcW w:w="2778" w:type="dxa"/>
            <w:shd w:val="clear" w:color="auto" w:fill="auto"/>
            <w:noWrap/>
          </w:tcPr>
          <w:p w14:paraId="35329875" w14:textId="77777777" w:rsidR="00DD0834" w:rsidRPr="00E21387" w:rsidRDefault="00DD0834" w:rsidP="003B6997">
            <w:pPr>
              <w:pStyle w:val="BStabletextbold"/>
            </w:pPr>
            <w:r w:rsidRPr="006675BD">
              <w:t>Financial assets</w:t>
            </w:r>
          </w:p>
        </w:tc>
        <w:tc>
          <w:tcPr>
            <w:tcW w:w="1077" w:type="dxa"/>
            <w:shd w:val="clear" w:color="auto" w:fill="auto"/>
          </w:tcPr>
          <w:p w14:paraId="710F806A" w14:textId="77777777" w:rsidR="00DD0834" w:rsidRDefault="00DD0834" w:rsidP="003B6997">
            <w:pPr>
              <w:pStyle w:val="Btablefigureunbold"/>
              <w:rPr>
                <w:rFonts w:eastAsia="SimSun"/>
                <w:color w:val="FFFFFF" w:themeColor="background1"/>
              </w:rPr>
            </w:pPr>
            <w:r w:rsidRPr="00FA07D8">
              <w:rPr>
                <w:highlight w:val="yellow"/>
              </w:rPr>
              <w:t xml:space="preserve"> </w:t>
            </w:r>
          </w:p>
        </w:tc>
        <w:tc>
          <w:tcPr>
            <w:tcW w:w="1077" w:type="dxa"/>
            <w:shd w:val="clear" w:color="auto" w:fill="auto"/>
            <w:noWrap/>
          </w:tcPr>
          <w:p w14:paraId="7ABE6062"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77" w:type="dxa"/>
            <w:shd w:val="clear" w:color="auto" w:fill="auto"/>
            <w:noWrap/>
          </w:tcPr>
          <w:p w14:paraId="748495CC"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77" w:type="dxa"/>
            <w:shd w:val="clear" w:color="auto" w:fill="auto"/>
            <w:noWrap/>
          </w:tcPr>
          <w:p w14:paraId="1D73993D"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77" w:type="dxa"/>
            <w:shd w:val="clear" w:color="auto" w:fill="auto"/>
            <w:noWrap/>
          </w:tcPr>
          <w:p w14:paraId="76CA82D0"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77" w:type="dxa"/>
            <w:shd w:val="clear" w:color="auto" w:fill="auto"/>
            <w:noWrap/>
          </w:tcPr>
          <w:p w14:paraId="5209549B"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r>
      <w:tr w:rsidR="00DD0834" w:rsidRPr="006D5D15" w14:paraId="363C0233" w14:textId="77777777" w:rsidTr="003B6997">
        <w:trPr>
          <w:tblHeader/>
          <w:jc w:val="center"/>
        </w:trPr>
        <w:tc>
          <w:tcPr>
            <w:tcW w:w="2778" w:type="dxa"/>
            <w:shd w:val="clear" w:color="auto" w:fill="auto"/>
            <w:noWrap/>
          </w:tcPr>
          <w:p w14:paraId="4B9C2E8B" w14:textId="77777777" w:rsidR="00DD0834" w:rsidRPr="00E21387" w:rsidRDefault="00DD0834" w:rsidP="003B6997">
            <w:pPr>
              <w:pStyle w:val="BStabletextunbold"/>
            </w:pPr>
            <w:r w:rsidRPr="006675BD">
              <w:t>Cash and deposits</w:t>
            </w:r>
          </w:p>
        </w:tc>
        <w:tc>
          <w:tcPr>
            <w:tcW w:w="1077" w:type="dxa"/>
            <w:shd w:val="clear" w:color="auto" w:fill="auto"/>
          </w:tcPr>
          <w:p w14:paraId="41B26DC7" w14:textId="77777777" w:rsidR="00DD0834" w:rsidRPr="00D61852" w:rsidRDefault="00DD0834" w:rsidP="003B6997">
            <w:pPr>
              <w:pStyle w:val="Btablefigureunbold"/>
              <w:rPr>
                <w:szCs w:val="20"/>
              </w:rPr>
            </w:pPr>
            <w:r w:rsidRPr="00D61852">
              <w:rPr>
                <w:szCs w:val="20"/>
              </w:rPr>
              <w:t>2,099,307</w:t>
            </w:r>
          </w:p>
        </w:tc>
        <w:tc>
          <w:tcPr>
            <w:tcW w:w="1077" w:type="dxa"/>
            <w:shd w:val="clear" w:color="auto" w:fill="auto"/>
            <w:noWrap/>
          </w:tcPr>
          <w:p w14:paraId="752A389E" w14:textId="77777777" w:rsidR="00DD0834" w:rsidRPr="00D61852" w:rsidRDefault="00DD0834" w:rsidP="003B6997">
            <w:pPr>
              <w:pStyle w:val="Btablefigureunbold"/>
              <w:rPr>
                <w:szCs w:val="20"/>
              </w:rPr>
            </w:pPr>
            <w:r w:rsidRPr="00D61852">
              <w:rPr>
                <w:szCs w:val="20"/>
              </w:rPr>
              <w:t>2,934,805</w:t>
            </w:r>
          </w:p>
        </w:tc>
        <w:tc>
          <w:tcPr>
            <w:tcW w:w="1077" w:type="dxa"/>
            <w:shd w:val="clear" w:color="auto" w:fill="auto"/>
            <w:noWrap/>
          </w:tcPr>
          <w:p w14:paraId="6FCAF09E" w14:textId="77777777" w:rsidR="00DD0834" w:rsidRPr="00D61852" w:rsidRDefault="00DD0834" w:rsidP="003B6997">
            <w:pPr>
              <w:pStyle w:val="Btablefigureunbold"/>
              <w:rPr>
                <w:szCs w:val="20"/>
              </w:rPr>
            </w:pPr>
            <w:r w:rsidRPr="00D61852">
              <w:rPr>
                <w:szCs w:val="20"/>
              </w:rPr>
              <w:t>2,661,048</w:t>
            </w:r>
          </w:p>
        </w:tc>
        <w:tc>
          <w:tcPr>
            <w:tcW w:w="1077" w:type="dxa"/>
            <w:shd w:val="clear" w:color="auto" w:fill="auto"/>
            <w:noWrap/>
          </w:tcPr>
          <w:p w14:paraId="577DDAE7" w14:textId="77777777" w:rsidR="00DD0834" w:rsidRPr="00D61852" w:rsidRDefault="00DD0834" w:rsidP="003B6997">
            <w:pPr>
              <w:pStyle w:val="Btablefigureunbold"/>
              <w:rPr>
                <w:szCs w:val="20"/>
              </w:rPr>
            </w:pPr>
            <w:r w:rsidRPr="00D61852">
              <w:rPr>
                <w:szCs w:val="20"/>
              </w:rPr>
              <w:t>2,115,453</w:t>
            </w:r>
          </w:p>
        </w:tc>
        <w:tc>
          <w:tcPr>
            <w:tcW w:w="1077" w:type="dxa"/>
            <w:shd w:val="clear" w:color="auto" w:fill="auto"/>
            <w:noWrap/>
          </w:tcPr>
          <w:p w14:paraId="1243B35A" w14:textId="77777777" w:rsidR="00DD0834" w:rsidRPr="00D61852" w:rsidRDefault="00DD0834" w:rsidP="003B6997">
            <w:pPr>
              <w:pStyle w:val="Btablefigureunbold"/>
              <w:rPr>
                <w:szCs w:val="20"/>
              </w:rPr>
            </w:pPr>
            <w:r w:rsidRPr="00D61852">
              <w:rPr>
                <w:szCs w:val="20"/>
              </w:rPr>
              <w:t>2,730,445</w:t>
            </w:r>
          </w:p>
        </w:tc>
        <w:tc>
          <w:tcPr>
            <w:tcW w:w="1077" w:type="dxa"/>
            <w:shd w:val="clear" w:color="auto" w:fill="auto"/>
            <w:noWrap/>
          </w:tcPr>
          <w:p w14:paraId="4A443898" w14:textId="77777777" w:rsidR="00DD0834" w:rsidRPr="00D61852" w:rsidRDefault="00DD0834" w:rsidP="003B6997">
            <w:pPr>
              <w:pStyle w:val="Btablefigureunbold"/>
              <w:rPr>
                <w:szCs w:val="20"/>
              </w:rPr>
            </w:pPr>
            <w:r w:rsidRPr="00D61852">
              <w:rPr>
                <w:szCs w:val="20"/>
              </w:rPr>
              <w:t>2,222,078</w:t>
            </w:r>
          </w:p>
        </w:tc>
      </w:tr>
      <w:tr w:rsidR="00DD0834" w:rsidRPr="006D5D15" w14:paraId="27639232" w14:textId="77777777" w:rsidTr="003B6997">
        <w:trPr>
          <w:tblHeader/>
          <w:jc w:val="center"/>
        </w:trPr>
        <w:tc>
          <w:tcPr>
            <w:tcW w:w="2778" w:type="dxa"/>
            <w:shd w:val="clear" w:color="auto" w:fill="auto"/>
            <w:noWrap/>
          </w:tcPr>
          <w:p w14:paraId="372D3658" w14:textId="77777777" w:rsidR="00DD0834" w:rsidRPr="00E21387" w:rsidRDefault="00DD0834" w:rsidP="003B6997">
            <w:pPr>
              <w:pStyle w:val="BStabletextunbold"/>
            </w:pPr>
            <w:r w:rsidRPr="006675BD">
              <w:t>Advances paid</w:t>
            </w:r>
          </w:p>
        </w:tc>
        <w:tc>
          <w:tcPr>
            <w:tcW w:w="1077" w:type="dxa"/>
            <w:shd w:val="clear" w:color="auto" w:fill="auto"/>
          </w:tcPr>
          <w:p w14:paraId="5C8AA350" w14:textId="77777777" w:rsidR="00DD0834" w:rsidRPr="00D61852" w:rsidRDefault="00DD0834" w:rsidP="003B6997">
            <w:pPr>
              <w:pStyle w:val="Btablefigureunbold"/>
              <w:rPr>
                <w:szCs w:val="20"/>
              </w:rPr>
            </w:pPr>
            <w:r w:rsidRPr="00D61852">
              <w:rPr>
                <w:szCs w:val="20"/>
              </w:rPr>
              <w:t>74,584</w:t>
            </w:r>
          </w:p>
        </w:tc>
        <w:tc>
          <w:tcPr>
            <w:tcW w:w="1077" w:type="dxa"/>
            <w:shd w:val="clear" w:color="auto" w:fill="auto"/>
            <w:noWrap/>
          </w:tcPr>
          <w:p w14:paraId="4DA809A1" w14:textId="77777777" w:rsidR="00DD0834" w:rsidRPr="00D61852" w:rsidRDefault="00DD0834" w:rsidP="003B6997">
            <w:pPr>
              <w:pStyle w:val="Btablefigureunbold"/>
              <w:rPr>
                <w:szCs w:val="20"/>
              </w:rPr>
            </w:pPr>
            <w:r w:rsidRPr="00D61852">
              <w:rPr>
                <w:szCs w:val="20"/>
              </w:rPr>
              <w:t>64,980</w:t>
            </w:r>
          </w:p>
        </w:tc>
        <w:tc>
          <w:tcPr>
            <w:tcW w:w="1077" w:type="dxa"/>
            <w:shd w:val="clear" w:color="auto" w:fill="auto"/>
            <w:noWrap/>
          </w:tcPr>
          <w:p w14:paraId="42864FF6" w14:textId="77777777" w:rsidR="00DD0834" w:rsidRPr="00D61852" w:rsidRDefault="00DD0834" w:rsidP="003B6997">
            <w:pPr>
              <w:pStyle w:val="Btablefigureunbold"/>
              <w:rPr>
                <w:szCs w:val="20"/>
              </w:rPr>
            </w:pPr>
            <w:r w:rsidRPr="00D61852">
              <w:rPr>
                <w:szCs w:val="20"/>
              </w:rPr>
              <w:t>1,050</w:t>
            </w:r>
          </w:p>
        </w:tc>
        <w:tc>
          <w:tcPr>
            <w:tcW w:w="1077" w:type="dxa"/>
            <w:shd w:val="clear" w:color="auto" w:fill="auto"/>
            <w:noWrap/>
          </w:tcPr>
          <w:p w14:paraId="35B66E7A" w14:textId="77777777" w:rsidR="00DD0834" w:rsidRPr="00D61852" w:rsidRDefault="00DD0834" w:rsidP="003B6997">
            <w:pPr>
              <w:pStyle w:val="Btablefigureunbold"/>
              <w:rPr>
                <w:szCs w:val="20"/>
              </w:rPr>
            </w:pPr>
            <w:r w:rsidRPr="00D61852">
              <w:rPr>
                <w:szCs w:val="20"/>
              </w:rPr>
              <w:t>22,825</w:t>
            </w:r>
          </w:p>
        </w:tc>
        <w:tc>
          <w:tcPr>
            <w:tcW w:w="1077" w:type="dxa"/>
            <w:shd w:val="clear" w:color="auto" w:fill="auto"/>
            <w:noWrap/>
          </w:tcPr>
          <w:p w14:paraId="32B91D8E" w14:textId="77777777" w:rsidR="00DD0834" w:rsidRPr="00D61852" w:rsidRDefault="00DD0834" w:rsidP="003B6997">
            <w:pPr>
              <w:pStyle w:val="Btablefigureunbold"/>
              <w:rPr>
                <w:szCs w:val="20"/>
              </w:rPr>
            </w:pPr>
            <w:r w:rsidRPr="00D61852">
              <w:rPr>
                <w:szCs w:val="20"/>
              </w:rPr>
              <w:t>42,784</w:t>
            </w:r>
          </w:p>
        </w:tc>
        <w:tc>
          <w:tcPr>
            <w:tcW w:w="1077" w:type="dxa"/>
            <w:shd w:val="clear" w:color="auto" w:fill="auto"/>
            <w:noWrap/>
          </w:tcPr>
          <w:p w14:paraId="02AFA542" w14:textId="77777777" w:rsidR="00DD0834" w:rsidRPr="00D61852" w:rsidRDefault="00DD0834" w:rsidP="003B6997">
            <w:pPr>
              <w:pStyle w:val="Btablefigureunbold"/>
              <w:rPr>
                <w:szCs w:val="20"/>
              </w:rPr>
            </w:pPr>
            <w:r w:rsidRPr="00D61852">
              <w:rPr>
                <w:szCs w:val="20"/>
              </w:rPr>
              <w:t>60,829</w:t>
            </w:r>
          </w:p>
        </w:tc>
      </w:tr>
      <w:tr w:rsidR="00DD0834" w:rsidRPr="006D5D15" w14:paraId="24289684" w14:textId="77777777" w:rsidTr="003B6997">
        <w:trPr>
          <w:tblHeader/>
          <w:jc w:val="center"/>
        </w:trPr>
        <w:tc>
          <w:tcPr>
            <w:tcW w:w="2778" w:type="dxa"/>
            <w:shd w:val="clear" w:color="auto" w:fill="auto"/>
            <w:noWrap/>
          </w:tcPr>
          <w:p w14:paraId="31EC4B01" w14:textId="77777777" w:rsidR="00DD0834" w:rsidRPr="00E21387" w:rsidRDefault="00DD0834" w:rsidP="003B6997">
            <w:pPr>
              <w:pStyle w:val="BStabletextunbold"/>
            </w:pPr>
            <w:r w:rsidRPr="006675BD">
              <w:t xml:space="preserve">Investments </w:t>
            </w:r>
            <w:r w:rsidRPr="006675BD">
              <w:rPr>
                <w:lang w:eastAsia="zh-CN"/>
              </w:rPr>
              <w:t xml:space="preserve">and </w:t>
            </w:r>
            <w:r w:rsidRPr="006675BD">
              <w:t>loans</w:t>
            </w:r>
          </w:p>
        </w:tc>
        <w:tc>
          <w:tcPr>
            <w:tcW w:w="1077" w:type="dxa"/>
            <w:shd w:val="clear" w:color="auto" w:fill="auto"/>
          </w:tcPr>
          <w:p w14:paraId="510630BE" w14:textId="77777777" w:rsidR="00DD0834" w:rsidRPr="00D61852" w:rsidRDefault="00DD0834" w:rsidP="003B6997">
            <w:pPr>
              <w:pStyle w:val="Btablefigureunbold"/>
              <w:rPr>
                <w:szCs w:val="20"/>
              </w:rPr>
            </w:pPr>
            <w:r w:rsidRPr="00D61852">
              <w:rPr>
                <w:szCs w:val="20"/>
              </w:rPr>
              <w:t>5,563,489</w:t>
            </w:r>
          </w:p>
        </w:tc>
        <w:tc>
          <w:tcPr>
            <w:tcW w:w="1077" w:type="dxa"/>
            <w:shd w:val="clear" w:color="auto" w:fill="auto"/>
            <w:noWrap/>
          </w:tcPr>
          <w:p w14:paraId="7588B885" w14:textId="77777777" w:rsidR="00DD0834" w:rsidRPr="00D61852" w:rsidRDefault="00DD0834" w:rsidP="003B6997">
            <w:pPr>
              <w:pStyle w:val="Btablefigureunbold"/>
              <w:rPr>
                <w:szCs w:val="20"/>
              </w:rPr>
            </w:pPr>
            <w:r w:rsidRPr="00D61852">
              <w:rPr>
                <w:szCs w:val="20"/>
              </w:rPr>
              <w:t>5,434,424</w:t>
            </w:r>
          </w:p>
        </w:tc>
        <w:tc>
          <w:tcPr>
            <w:tcW w:w="1077" w:type="dxa"/>
            <w:shd w:val="clear" w:color="auto" w:fill="auto"/>
            <w:noWrap/>
          </w:tcPr>
          <w:p w14:paraId="191BBBCF" w14:textId="77777777" w:rsidR="00DD0834" w:rsidRPr="00D61852" w:rsidRDefault="00DD0834" w:rsidP="003B6997">
            <w:pPr>
              <w:pStyle w:val="Btablefigureunbold"/>
              <w:rPr>
                <w:szCs w:val="20"/>
              </w:rPr>
            </w:pPr>
            <w:r w:rsidRPr="00D61852">
              <w:rPr>
                <w:szCs w:val="20"/>
              </w:rPr>
              <w:t>6,285,886</w:t>
            </w:r>
          </w:p>
        </w:tc>
        <w:tc>
          <w:tcPr>
            <w:tcW w:w="1077" w:type="dxa"/>
            <w:shd w:val="clear" w:color="auto" w:fill="auto"/>
            <w:noWrap/>
          </w:tcPr>
          <w:p w14:paraId="5800A07B" w14:textId="77777777" w:rsidR="00DD0834" w:rsidRPr="00D61852" w:rsidRDefault="00DD0834" w:rsidP="003B6997">
            <w:pPr>
              <w:pStyle w:val="Btablefigureunbold"/>
              <w:rPr>
                <w:szCs w:val="20"/>
              </w:rPr>
            </w:pPr>
            <w:r w:rsidRPr="00D61852">
              <w:rPr>
                <w:szCs w:val="20"/>
              </w:rPr>
              <w:t>6,714,735</w:t>
            </w:r>
          </w:p>
        </w:tc>
        <w:tc>
          <w:tcPr>
            <w:tcW w:w="1077" w:type="dxa"/>
            <w:shd w:val="clear" w:color="auto" w:fill="auto"/>
            <w:noWrap/>
          </w:tcPr>
          <w:p w14:paraId="2B1975F0" w14:textId="77777777" w:rsidR="00DD0834" w:rsidRPr="00D61852" w:rsidRDefault="00DD0834" w:rsidP="003B6997">
            <w:pPr>
              <w:pStyle w:val="Btablefigureunbold"/>
              <w:rPr>
                <w:szCs w:val="20"/>
              </w:rPr>
            </w:pPr>
            <w:r w:rsidRPr="00D61852">
              <w:rPr>
                <w:szCs w:val="20"/>
              </w:rPr>
              <w:t>7,166,805</w:t>
            </w:r>
          </w:p>
        </w:tc>
        <w:tc>
          <w:tcPr>
            <w:tcW w:w="1077" w:type="dxa"/>
            <w:shd w:val="clear" w:color="auto" w:fill="auto"/>
            <w:noWrap/>
          </w:tcPr>
          <w:p w14:paraId="0ACE3735" w14:textId="77777777" w:rsidR="00DD0834" w:rsidRPr="00D61852" w:rsidRDefault="00DD0834" w:rsidP="003B6997">
            <w:pPr>
              <w:pStyle w:val="Btablefigureunbold"/>
              <w:rPr>
                <w:szCs w:val="20"/>
              </w:rPr>
            </w:pPr>
            <w:r w:rsidRPr="00D61852">
              <w:rPr>
                <w:szCs w:val="20"/>
              </w:rPr>
              <w:t>7,649,750</w:t>
            </w:r>
          </w:p>
        </w:tc>
      </w:tr>
      <w:tr w:rsidR="00DD0834" w:rsidRPr="006D5D15" w14:paraId="6AC357A3" w14:textId="77777777" w:rsidTr="003B6997">
        <w:trPr>
          <w:tblHeader/>
          <w:jc w:val="center"/>
        </w:trPr>
        <w:tc>
          <w:tcPr>
            <w:tcW w:w="2778" w:type="dxa"/>
            <w:shd w:val="clear" w:color="auto" w:fill="auto"/>
            <w:noWrap/>
          </w:tcPr>
          <w:p w14:paraId="44230A83" w14:textId="77777777" w:rsidR="00DD0834" w:rsidRPr="00E21387" w:rsidRDefault="00DD0834" w:rsidP="003B6997">
            <w:pPr>
              <w:pStyle w:val="BStabletextunbold"/>
            </w:pPr>
            <w:r w:rsidRPr="006675BD">
              <w:t>Receivables</w:t>
            </w:r>
          </w:p>
        </w:tc>
        <w:tc>
          <w:tcPr>
            <w:tcW w:w="1077" w:type="dxa"/>
            <w:shd w:val="clear" w:color="auto" w:fill="auto"/>
          </w:tcPr>
          <w:p w14:paraId="0F572526" w14:textId="77777777" w:rsidR="00DD0834" w:rsidRPr="00D61852" w:rsidRDefault="00DD0834" w:rsidP="003B6997">
            <w:pPr>
              <w:pStyle w:val="Btablefigureunbold"/>
              <w:rPr>
                <w:szCs w:val="20"/>
              </w:rPr>
            </w:pPr>
            <w:r w:rsidRPr="00D61852">
              <w:rPr>
                <w:szCs w:val="20"/>
              </w:rPr>
              <w:t>669,239</w:t>
            </w:r>
          </w:p>
        </w:tc>
        <w:tc>
          <w:tcPr>
            <w:tcW w:w="1077" w:type="dxa"/>
            <w:shd w:val="clear" w:color="auto" w:fill="auto"/>
            <w:noWrap/>
          </w:tcPr>
          <w:p w14:paraId="1D38E951" w14:textId="77777777" w:rsidR="00DD0834" w:rsidRPr="00D61852" w:rsidRDefault="00DD0834" w:rsidP="003B6997">
            <w:pPr>
              <w:pStyle w:val="Btablefigureunbold"/>
              <w:rPr>
                <w:szCs w:val="20"/>
              </w:rPr>
            </w:pPr>
            <w:r w:rsidRPr="00D61852">
              <w:rPr>
                <w:szCs w:val="20"/>
              </w:rPr>
              <w:t>1,092,332</w:t>
            </w:r>
          </w:p>
        </w:tc>
        <w:tc>
          <w:tcPr>
            <w:tcW w:w="1077" w:type="dxa"/>
            <w:shd w:val="clear" w:color="auto" w:fill="auto"/>
            <w:noWrap/>
          </w:tcPr>
          <w:p w14:paraId="2B5B78FB" w14:textId="77777777" w:rsidR="00DD0834" w:rsidRPr="00D61852" w:rsidRDefault="00DD0834" w:rsidP="003B6997">
            <w:pPr>
              <w:pStyle w:val="Btablefigureunbold"/>
              <w:rPr>
                <w:szCs w:val="20"/>
              </w:rPr>
            </w:pPr>
            <w:r w:rsidRPr="00D61852">
              <w:rPr>
                <w:szCs w:val="20"/>
              </w:rPr>
              <w:t>620,823</w:t>
            </w:r>
          </w:p>
        </w:tc>
        <w:tc>
          <w:tcPr>
            <w:tcW w:w="1077" w:type="dxa"/>
            <w:shd w:val="clear" w:color="auto" w:fill="auto"/>
            <w:noWrap/>
          </w:tcPr>
          <w:p w14:paraId="6F3D03A2" w14:textId="77777777" w:rsidR="00DD0834" w:rsidRPr="00D61852" w:rsidRDefault="00DD0834" w:rsidP="003B6997">
            <w:pPr>
              <w:pStyle w:val="Btablefigureunbold"/>
              <w:rPr>
                <w:szCs w:val="20"/>
              </w:rPr>
            </w:pPr>
            <w:r w:rsidRPr="00D61852">
              <w:rPr>
                <w:szCs w:val="20"/>
              </w:rPr>
              <w:t>750,446</w:t>
            </w:r>
          </w:p>
        </w:tc>
        <w:tc>
          <w:tcPr>
            <w:tcW w:w="1077" w:type="dxa"/>
            <w:shd w:val="clear" w:color="auto" w:fill="auto"/>
            <w:noWrap/>
          </w:tcPr>
          <w:p w14:paraId="12C13E83" w14:textId="77777777" w:rsidR="00DD0834" w:rsidRPr="00D61852" w:rsidRDefault="00DD0834" w:rsidP="003B6997">
            <w:pPr>
              <w:pStyle w:val="Btablefigureunbold"/>
              <w:rPr>
                <w:szCs w:val="20"/>
              </w:rPr>
            </w:pPr>
            <w:r w:rsidRPr="00D61852">
              <w:rPr>
                <w:szCs w:val="20"/>
              </w:rPr>
              <w:t>781,870</w:t>
            </w:r>
          </w:p>
        </w:tc>
        <w:tc>
          <w:tcPr>
            <w:tcW w:w="1077" w:type="dxa"/>
            <w:shd w:val="clear" w:color="auto" w:fill="auto"/>
            <w:noWrap/>
          </w:tcPr>
          <w:p w14:paraId="1A87E75B" w14:textId="77777777" w:rsidR="00DD0834" w:rsidRPr="00D61852" w:rsidRDefault="00DD0834" w:rsidP="003B6997">
            <w:pPr>
              <w:pStyle w:val="Btablefigureunbold"/>
              <w:rPr>
                <w:szCs w:val="20"/>
              </w:rPr>
            </w:pPr>
            <w:r w:rsidRPr="00D61852">
              <w:rPr>
                <w:szCs w:val="20"/>
              </w:rPr>
              <w:t>819,119</w:t>
            </w:r>
          </w:p>
        </w:tc>
      </w:tr>
      <w:tr w:rsidR="00DD0834" w:rsidRPr="006D5D15" w14:paraId="4B713950" w14:textId="77777777" w:rsidTr="003B6997">
        <w:trPr>
          <w:tblHeader/>
          <w:jc w:val="center"/>
        </w:trPr>
        <w:tc>
          <w:tcPr>
            <w:tcW w:w="2778" w:type="dxa"/>
            <w:shd w:val="clear" w:color="auto" w:fill="auto"/>
            <w:noWrap/>
          </w:tcPr>
          <w:p w14:paraId="6305F04A" w14:textId="77777777" w:rsidR="00DD0834" w:rsidRPr="00E21387" w:rsidRDefault="00DD0834" w:rsidP="003B6997">
            <w:pPr>
              <w:pStyle w:val="BStabletextunbold"/>
            </w:pPr>
            <w:r w:rsidRPr="006675BD">
              <w:t>Investments accounted for using the equity method</w:t>
            </w:r>
          </w:p>
        </w:tc>
        <w:tc>
          <w:tcPr>
            <w:tcW w:w="1077" w:type="dxa"/>
            <w:shd w:val="clear" w:color="auto" w:fill="auto"/>
          </w:tcPr>
          <w:p w14:paraId="75E02C2F" w14:textId="77777777" w:rsidR="00DD0834" w:rsidRPr="00D61852" w:rsidRDefault="00DD0834" w:rsidP="003B6997">
            <w:pPr>
              <w:pStyle w:val="Btablefigureunbold"/>
              <w:rPr>
                <w:szCs w:val="20"/>
              </w:rPr>
            </w:pPr>
            <w:r w:rsidRPr="00D61852">
              <w:rPr>
                <w:szCs w:val="20"/>
              </w:rPr>
              <w:t>1,047,451</w:t>
            </w:r>
          </w:p>
        </w:tc>
        <w:tc>
          <w:tcPr>
            <w:tcW w:w="1077" w:type="dxa"/>
            <w:shd w:val="clear" w:color="auto" w:fill="auto"/>
            <w:noWrap/>
          </w:tcPr>
          <w:p w14:paraId="340BF718" w14:textId="77777777" w:rsidR="00DD0834" w:rsidRPr="00D61852" w:rsidRDefault="00DD0834" w:rsidP="003B6997">
            <w:pPr>
              <w:pStyle w:val="Btablefigureunbold"/>
              <w:rPr>
                <w:szCs w:val="20"/>
              </w:rPr>
            </w:pPr>
            <w:r w:rsidRPr="00D61852">
              <w:rPr>
                <w:szCs w:val="20"/>
              </w:rPr>
              <w:t>969,514</w:t>
            </w:r>
          </w:p>
        </w:tc>
        <w:tc>
          <w:tcPr>
            <w:tcW w:w="1077" w:type="dxa"/>
            <w:shd w:val="clear" w:color="auto" w:fill="auto"/>
            <w:noWrap/>
          </w:tcPr>
          <w:p w14:paraId="4A131C79" w14:textId="77777777" w:rsidR="00DD0834" w:rsidRPr="00D61852" w:rsidRDefault="00DD0834" w:rsidP="003B6997">
            <w:pPr>
              <w:pStyle w:val="Btablefigureunbold"/>
              <w:rPr>
                <w:szCs w:val="20"/>
              </w:rPr>
            </w:pPr>
            <w:r w:rsidRPr="00D61852">
              <w:rPr>
                <w:szCs w:val="20"/>
              </w:rPr>
              <w:t>993,607</w:t>
            </w:r>
          </w:p>
        </w:tc>
        <w:tc>
          <w:tcPr>
            <w:tcW w:w="1077" w:type="dxa"/>
            <w:shd w:val="clear" w:color="auto" w:fill="auto"/>
            <w:noWrap/>
          </w:tcPr>
          <w:p w14:paraId="5A38361B" w14:textId="77777777" w:rsidR="00DD0834" w:rsidRPr="00D61852" w:rsidRDefault="00DD0834" w:rsidP="003B6997">
            <w:pPr>
              <w:pStyle w:val="Btablefigureunbold"/>
              <w:rPr>
                <w:szCs w:val="20"/>
              </w:rPr>
            </w:pPr>
            <w:r w:rsidRPr="00D61852">
              <w:rPr>
                <w:szCs w:val="20"/>
              </w:rPr>
              <w:t>1,010,828</w:t>
            </w:r>
          </w:p>
        </w:tc>
        <w:tc>
          <w:tcPr>
            <w:tcW w:w="1077" w:type="dxa"/>
            <w:shd w:val="clear" w:color="auto" w:fill="auto"/>
            <w:noWrap/>
          </w:tcPr>
          <w:p w14:paraId="39809615" w14:textId="77777777" w:rsidR="00DD0834" w:rsidRPr="00D61852" w:rsidRDefault="00DD0834" w:rsidP="003B6997">
            <w:pPr>
              <w:pStyle w:val="Btablefigureunbold"/>
              <w:rPr>
                <w:szCs w:val="20"/>
              </w:rPr>
            </w:pPr>
            <w:r w:rsidRPr="00D61852">
              <w:rPr>
                <w:szCs w:val="20"/>
              </w:rPr>
              <w:t>1,020,466</w:t>
            </w:r>
          </w:p>
        </w:tc>
        <w:tc>
          <w:tcPr>
            <w:tcW w:w="1077" w:type="dxa"/>
            <w:shd w:val="clear" w:color="auto" w:fill="auto"/>
            <w:noWrap/>
          </w:tcPr>
          <w:p w14:paraId="150A692A" w14:textId="77777777" w:rsidR="00DD0834" w:rsidRPr="00D61852" w:rsidRDefault="00DD0834" w:rsidP="003B6997">
            <w:pPr>
              <w:pStyle w:val="Btablefigureunbold"/>
              <w:rPr>
                <w:szCs w:val="20"/>
              </w:rPr>
            </w:pPr>
            <w:r w:rsidRPr="00D61852">
              <w:rPr>
                <w:szCs w:val="20"/>
              </w:rPr>
              <w:t>1,023,545</w:t>
            </w:r>
          </w:p>
        </w:tc>
      </w:tr>
      <w:tr w:rsidR="00DD0834" w:rsidRPr="006D5D15" w14:paraId="6F37636E" w14:textId="77777777" w:rsidTr="003B6997">
        <w:trPr>
          <w:tblHeader/>
          <w:jc w:val="center"/>
        </w:trPr>
        <w:tc>
          <w:tcPr>
            <w:tcW w:w="2778" w:type="dxa"/>
            <w:shd w:val="clear" w:color="auto" w:fill="auto"/>
            <w:noWrap/>
          </w:tcPr>
          <w:p w14:paraId="51B08FB9" w14:textId="77777777" w:rsidR="00DD0834" w:rsidRPr="00E21387" w:rsidRDefault="00DD0834" w:rsidP="003B6997">
            <w:pPr>
              <w:pStyle w:val="BStabletextbold"/>
            </w:pPr>
            <w:r w:rsidRPr="006675BD">
              <w:t>Total financial assets</w:t>
            </w:r>
          </w:p>
        </w:tc>
        <w:tc>
          <w:tcPr>
            <w:tcW w:w="1077" w:type="dxa"/>
            <w:shd w:val="clear" w:color="auto" w:fill="auto"/>
          </w:tcPr>
          <w:p w14:paraId="7D8687FE" w14:textId="77777777" w:rsidR="00DD0834" w:rsidRPr="00D61852" w:rsidRDefault="00DD0834" w:rsidP="003B6997">
            <w:pPr>
              <w:pStyle w:val="BStabletextbold"/>
              <w:jc w:val="right"/>
            </w:pPr>
            <w:r w:rsidRPr="00D61852">
              <w:t>9,454,070</w:t>
            </w:r>
          </w:p>
        </w:tc>
        <w:tc>
          <w:tcPr>
            <w:tcW w:w="1077" w:type="dxa"/>
            <w:shd w:val="clear" w:color="auto" w:fill="auto"/>
            <w:noWrap/>
          </w:tcPr>
          <w:p w14:paraId="2D1C08AC" w14:textId="77777777" w:rsidR="00DD0834" w:rsidRPr="00D61852" w:rsidRDefault="00DD0834" w:rsidP="003B6997">
            <w:pPr>
              <w:pStyle w:val="BStabletextbold"/>
              <w:jc w:val="right"/>
            </w:pPr>
            <w:r w:rsidRPr="00D61852">
              <w:t>10,496,055</w:t>
            </w:r>
          </w:p>
        </w:tc>
        <w:tc>
          <w:tcPr>
            <w:tcW w:w="1077" w:type="dxa"/>
            <w:shd w:val="clear" w:color="auto" w:fill="auto"/>
            <w:noWrap/>
            <w:vAlign w:val="bottom"/>
          </w:tcPr>
          <w:p w14:paraId="27856974" w14:textId="77777777" w:rsidR="00DD0834" w:rsidRPr="00D61852" w:rsidRDefault="00DD0834" w:rsidP="003B6997">
            <w:pPr>
              <w:pStyle w:val="BStabletextbold"/>
              <w:jc w:val="right"/>
            </w:pPr>
            <w:r w:rsidRPr="00D61852">
              <w:t>10,562,414</w:t>
            </w:r>
          </w:p>
        </w:tc>
        <w:tc>
          <w:tcPr>
            <w:tcW w:w="1077" w:type="dxa"/>
            <w:shd w:val="clear" w:color="auto" w:fill="auto"/>
            <w:noWrap/>
            <w:vAlign w:val="bottom"/>
          </w:tcPr>
          <w:p w14:paraId="442B5F1B" w14:textId="77777777" w:rsidR="00DD0834" w:rsidRPr="00D61852" w:rsidRDefault="00DD0834" w:rsidP="003B6997">
            <w:pPr>
              <w:pStyle w:val="BStabletextbold"/>
              <w:jc w:val="right"/>
            </w:pPr>
            <w:r w:rsidRPr="00D61852">
              <w:t>10,614,287</w:t>
            </w:r>
          </w:p>
        </w:tc>
        <w:tc>
          <w:tcPr>
            <w:tcW w:w="1077" w:type="dxa"/>
            <w:shd w:val="clear" w:color="auto" w:fill="auto"/>
            <w:noWrap/>
            <w:vAlign w:val="bottom"/>
          </w:tcPr>
          <w:p w14:paraId="4EEC7217" w14:textId="77777777" w:rsidR="00DD0834" w:rsidRPr="00D61852" w:rsidRDefault="00DD0834" w:rsidP="003B6997">
            <w:pPr>
              <w:pStyle w:val="BStabletextbold"/>
              <w:jc w:val="right"/>
            </w:pPr>
            <w:r w:rsidRPr="00D61852">
              <w:t>11,742,370</w:t>
            </w:r>
          </w:p>
        </w:tc>
        <w:tc>
          <w:tcPr>
            <w:tcW w:w="1077" w:type="dxa"/>
            <w:shd w:val="clear" w:color="auto" w:fill="auto"/>
            <w:noWrap/>
            <w:vAlign w:val="bottom"/>
          </w:tcPr>
          <w:p w14:paraId="5FE1A9AE" w14:textId="77777777" w:rsidR="00DD0834" w:rsidRPr="00D61852" w:rsidRDefault="00DD0834" w:rsidP="003B6997">
            <w:pPr>
              <w:pStyle w:val="BStabletextbold"/>
              <w:jc w:val="right"/>
            </w:pPr>
            <w:r w:rsidRPr="00D61852">
              <w:t>11,775,321</w:t>
            </w:r>
          </w:p>
        </w:tc>
      </w:tr>
      <w:tr w:rsidR="00DD0834" w:rsidRPr="006D5D15" w14:paraId="343B6836" w14:textId="77777777" w:rsidTr="003B6997">
        <w:trPr>
          <w:tblHeader/>
          <w:jc w:val="center"/>
        </w:trPr>
        <w:tc>
          <w:tcPr>
            <w:tcW w:w="2778" w:type="dxa"/>
            <w:shd w:val="clear" w:color="auto" w:fill="auto"/>
            <w:noWrap/>
            <w:vAlign w:val="bottom"/>
          </w:tcPr>
          <w:p w14:paraId="3AEE7064" w14:textId="77777777" w:rsidR="00DD0834" w:rsidRPr="00E21387" w:rsidRDefault="00DD0834" w:rsidP="003B6997">
            <w:pPr>
              <w:pStyle w:val="BStabletextbold"/>
            </w:pPr>
            <w:r w:rsidRPr="006675BD">
              <w:t>Non-financial assets</w:t>
            </w:r>
          </w:p>
        </w:tc>
        <w:tc>
          <w:tcPr>
            <w:tcW w:w="1077" w:type="dxa"/>
            <w:shd w:val="clear" w:color="auto" w:fill="auto"/>
          </w:tcPr>
          <w:p w14:paraId="685A88DD" w14:textId="77777777" w:rsidR="00DD0834" w:rsidRPr="00D61852" w:rsidRDefault="00DD0834" w:rsidP="003B6997">
            <w:pPr>
              <w:pStyle w:val="Btablefigureunbold"/>
              <w:rPr>
                <w:szCs w:val="20"/>
              </w:rPr>
            </w:pPr>
          </w:p>
        </w:tc>
        <w:tc>
          <w:tcPr>
            <w:tcW w:w="1077" w:type="dxa"/>
            <w:shd w:val="clear" w:color="auto" w:fill="auto"/>
            <w:noWrap/>
          </w:tcPr>
          <w:p w14:paraId="74416CA2" w14:textId="77777777" w:rsidR="00DD0834" w:rsidRPr="00D61852" w:rsidRDefault="00DD0834" w:rsidP="003B6997">
            <w:pPr>
              <w:pStyle w:val="Btablefigureunbold"/>
              <w:rPr>
                <w:szCs w:val="20"/>
              </w:rPr>
            </w:pPr>
          </w:p>
        </w:tc>
        <w:tc>
          <w:tcPr>
            <w:tcW w:w="1077" w:type="dxa"/>
            <w:shd w:val="clear" w:color="auto" w:fill="auto"/>
            <w:noWrap/>
          </w:tcPr>
          <w:p w14:paraId="0CF187B4" w14:textId="77777777" w:rsidR="00DD0834" w:rsidRPr="00D61852" w:rsidRDefault="00DD0834" w:rsidP="003B6997">
            <w:pPr>
              <w:pStyle w:val="Btablefigureunbold"/>
              <w:rPr>
                <w:szCs w:val="20"/>
              </w:rPr>
            </w:pPr>
          </w:p>
        </w:tc>
        <w:tc>
          <w:tcPr>
            <w:tcW w:w="1077" w:type="dxa"/>
            <w:shd w:val="clear" w:color="auto" w:fill="auto"/>
            <w:noWrap/>
          </w:tcPr>
          <w:p w14:paraId="28EFB9D1" w14:textId="77777777" w:rsidR="00DD0834" w:rsidRPr="00D61852" w:rsidRDefault="00DD0834" w:rsidP="003B6997">
            <w:pPr>
              <w:pStyle w:val="Btablefigureunbold"/>
              <w:rPr>
                <w:szCs w:val="20"/>
              </w:rPr>
            </w:pPr>
          </w:p>
        </w:tc>
        <w:tc>
          <w:tcPr>
            <w:tcW w:w="1077" w:type="dxa"/>
            <w:shd w:val="clear" w:color="auto" w:fill="auto"/>
            <w:noWrap/>
          </w:tcPr>
          <w:p w14:paraId="0FB84DF6" w14:textId="77777777" w:rsidR="00DD0834" w:rsidRPr="00D61852" w:rsidRDefault="00DD0834" w:rsidP="003B6997">
            <w:pPr>
              <w:pStyle w:val="Btablefigureunbold"/>
              <w:rPr>
                <w:szCs w:val="20"/>
              </w:rPr>
            </w:pPr>
          </w:p>
        </w:tc>
        <w:tc>
          <w:tcPr>
            <w:tcW w:w="1077" w:type="dxa"/>
            <w:shd w:val="clear" w:color="auto" w:fill="auto"/>
            <w:noWrap/>
          </w:tcPr>
          <w:p w14:paraId="2C939156" w14:textId="77777777" w:rsidR="00DD0834" w:rsidRPr="00D61852" w:rsidRDefault="00DD0834" w:rsidP="003B6997">
            <w:pPr>
              <w:pStyle w:val="Btablefigureunbold"/>
              <w:rPr>
                <w:szCs w:val="20"/>
              </w:rPr>
            </w:pPr>
          </w:p>
        </w:tc>
      </w:tr>
      <w:tr w:rsidR="00DD0834" w:rsidRPr="006D5D15" w14:paraId="7AC59A0D" w14:textId="77777777" w:rsidTr="003B6997">
        <w:trPr>
          <w:tblHeader/>
          <w:jc w:val="center"/>
        </w:trPr>
        <w:tc>
          <w:tcPr>
            <w:tcW w:w="2778" w:type="dxa"/>
            <w:shd w:val="clear" w:color="auto" w:fill="auto"/>
            <w:noWrap/>
          </w:tcPr>
          <w:p w14:paraId="66199C88" w14:textId="77777777" w:rsidR="00DD0834" w:rsidRPr="00E21387" w:rsidRDefault="00DD0834" w:rsidP="003B6997">
            <w:pPr>
              <w:pStyle w:val="BStabletextunbold"/>
            </w:pPr>
            <w:r w:rsidRPr="006675BD">
              <w:t>Produced assets</w:t>
            </w:r>
          </w:p>
        </w:tc>
        <w:tc>
          <w:tcPr>
            <w:tcW w:w="1077" w:type="dxa"/>
            <w:shd w:val="clear" w:color="auto" w:fill="auto"/>
          </w:tcPr>
          <w:p w14:paraId="7F970118" w14:textId="77777777" w:rsidR="00DD0834" w:rsidRPr="00D61852" w:rsidRDefault="00DD0834" w:rsidP="003B6997">
            <w:pPr>
              <w:pStyle w:val="Btablefigureunbold"/>
              <w:rPr>
                <w:szCs w:val="20"/>
              </w:rPr>
            </w:pPr>
          </w:p>
        </w:tc>
        <w:tc>
          <w:tcPr>
            <w:tcW w:w="1077" w:type="dxa"/>
            <w:shd w:val="clear" w:color="auto" w:fill="auto"/>
            <w:noWrap/>
          </w:tcPr>
          <w:p w14:paraId="5F11E0F1" w14:textId="77777777" w:rsidR="00DD0834" w:rsidRPr="00D61852" w:rsidRDefault="00DD0834" w:rsidP="003B6997">
            <w:pPr>
              <w:pStyle w:val="Btablefigureunbold"/>
              <w:rPr>
                <w:szCs w:val="20"/>
              </w:rPr>
            </w:pPr>
          </w:p>
        </w:tc>
        <w:tc>
          <w:tcPr>
            <w:tcW w:w="1077" w:type="dxa"/>
            <w:shd w:val="clear" w:color="auto" w:fill="auto"/>
            <w:noWrap/>
          </w:tcPr>
          <w:p w14:paraId="4BEF54B1" w14:textId="77777777" w:rsidR="00DD0834" w:rsidRPr="00D61852" w:rsidRDefault="00DD0834" w:rsidP="003B6997">
            <w:pPr>
              <w:pStyle w:val="Btablefigureunbold"/>
              <w:rPr>
                <w:szCs w:val="20"/>
              </w:rPr>
            </w:pPr>
          </w:p>
        </w:tc>
        <w:tc>
          <w:tcPr>
            <w:tcW w:w="1077" w:type="dxa"/>
            <w:shd w:val="clear" w:color="auto" w:fill="auto"/>
            <w:noWrap/>
          </w:tcPr>
          <w:p w14:paraId="3790EDA8" w14:textId="77777777" w:rsidR="00DD0834" w:rsidRPr="00D61852" w:rsidRDefault="00DD0834" w:rsidP="003B6997">
            <w:pPr>
              <w:pStyle w:val="Btablefigureunbold"/>
              <w:rPr>
                <w:szCs w:val="20"/>
              </w:rPr>
            </w:pPr>
          </w:p>
        </w:tc>
        <w:tc>
          <w:tcPr>
            <w:tcW w:w="1077" w:type="dxa"/>
            <w:shd w:val="clear" w:color="auto" w:fill="auto"/>
            <w:noWrap/>
          </w:tcPr>
          <w:p w14:paraId="4DFA1A53" w14:textId="77777777" w:rsidR="00DD0834" w:rsidRPr="00D61852" w:rsidRDefault="00DD0834" w:rsidP="003B6997">
            <w:pPr>
              <w:pStyle w:val="Btablefigureunbold"/>
              <w:rPr>
                <w:szCs w:val="20"/>
              </w:rPr>
            </w:pPr>
          </w:p>
        </w:tc>
        <w:tc>
          <w:tcPr>
            <w:tcW w:w="1077" w:type="dxa"/>
            <w:shd w:val="clear" w:color="auto" w:fill="auto"/>
            <w:noWrap/>
          </w:tcPr>
          <w:p w14:paraId="0ED0C942" w14:textId="77777777" w:rsidR="00DD0834" w:rsidRPr="00D61852" w:rsidRDefault="00DD0834" w:rsidP="003B6997">
            <w:pPr>
              <w:pStyle w:val="Btablefigureunbold"/>
              <w:rPr>
                <w:szCs w:val="20"/>
              </w:rPr>
            </w:pPr>
          </w:p>
        </w:tc>
      </w:tr>
      <w:tr w:rsidR="00DD0834" w:rsidRPr="006D5D15" w14:paraId="3B34D028" w14:textId="77777777" w:rsidTr="003B6997">
        <w:trPr>
          <w:tblHeader/>
          <w:jc w:val="center"/>
        </w:trPr>
        <w:tc>
          <w:tcPr>
            <w:tcW w:w="2778" w:type="dxa"/>
            <w:shd w:val="clear" w:color="auto" w:fill="auto"/>
            <w:noWrap/>
          </w:tcPr>
          <w:p w14:paraId="09B3E3F4" w14:textId="77777777" w:rsidR="00DD0834" w:rsidRPr="00E21387" w:rsidRDefault="00DD0834" w:rsidP="003B6997">
            <w:pPr>
              <w:pStyle w:val="BStabletextunbold"/>
              <w:ind w:left="376"/>
            </w:pPr>
            <w:r w:rsidRPr="006675BD">
              <w:t>Property, plant and equipment</w:t>
            </w:r>
          </w:p>
        </w:tc>
        <w:tc>
          <w:tcPr>
            <w:tcW w:w="1077" w:type="dxa"/>
            <w:shd w:val="clear" w:color="auto" w:fill="auto"/>
          </w:tcPr>
          <w:p w14:paraId="553CCB9A" w14:textId="77777777" w:rsidR="00DD0834" w:rsidRPr="00D61852" w:rsidRDefault="00DD0834" w:rsidP="003B6997">
            <w:pPr>
              <w:pStyle w:val="BStabletext"/>
              <w:jc w:val="right"/>
            </w:pPr>
            <w:r w:rsidRPr="00D61852">
              <w:t>18,332,782</w:t>
            </w:r>
          </w:p>
        </w:tc>
        <w:tc>
          <w:tcPr>
            <w:tcW w:w="1077" w:type="dxa"/>
            <w:shd w:val="clear" w:color="auto" w:fill="auto"/>
            <w:noWrap/>
          </w:tcPr>
          <w:p w14:paraId="185BA31F" w14:textId="77777777" w:rsidR="00DD0834" w:rsidRPr="00D61852" w:rsidRDefault="00DD0834" w:rsidP="003B6997">
            <w:pPr>
              <w:pStyle w:val="BStabletext"/>
              <w:jc w:val="right"/>
            </w:pPr>
            <w:r w:rsidRPr="00D61852">
              <w:t>18,290,521</w:t>
            </w:r>
          </w:p>
        </w:tc>
        <w:tc>
          <w:tcPr>
            <w:tcW w:w="1077" w:type="dxa"/>
            <w:shd w:val="clear" w:color="auto" w:fill="auto"/>
            <w:noWrap/>
            <w:vAlign w:val="bottom"/>
          </w:tcPr>
          <w:p w14:paraId="0E8D9D61" w14:textId="77777777" w:rsidR="00DD0834" w:rsidRPr="00D61852" w:rsidRDefault="00DD0834" w:rsidP="003B6997">
            <w:pPr>
              <w:pStyle w:val="BStabletext"/>
              <w:jc w:val="right"/>
            </w:pPr>
            <w:r w:rsidRPr="00D61852">
              <w:rPr>
                <w:rFonts w:cs="Calibri"/>
                <w:color w:val="000000"/>
              </w:rPr>
              <w:t>18,813,699</w:t>
            </w:r>
          </w:p>
        </w:tc>
        <w:tc>
          <w:tcPr>
            <w:tcW w:w="1077" w:type="dxa"/>
            <w:shd w:val="clear" w:color="auto" w:fill="auto"/>
            <w:noWrap/>
            <w:vAlign w:val="bottom"/>
          </w:tcPr>
          <w:p w14:paraId="69DB3FCB" w14:textId="77777777" w:rsidR="00DD0834" w:rsidRPr="00D61852" w:rsidRDefault="00DD0834" w:rsidP="003B6997">
            <w:pPr>
              <w:pStyle w:val="BStabletext"/>
              <w:jc w:val="right"/>
            </w:pPr>
            <w:r w:rsidRPr="00D61852">
              <w:rPr>
                <w:rFonts w:cs="Calibri"/>
                <w:color w:val="000000"/>
              </w:rPr>
              <w:t>18,481,983</w:t>
            </w:r>
          </w:p>
        </w:tc>
        <w:tc>
          <w:tcPr>
            <w:tcW w:w="1077" w:type="dxa"/>
            <w:shd w:val="clear" w:color="auto" w:fill="auto"/>
            <w:noWrap/>
            <w:vAlign w:val="bottom"/>
          </w:tcPr>
          <w:p w14:paraId="1B2B395F" w14:textId="77777777" w:rsidR="00DD0834" w:rsidRPr="00D61852" w:rsidRDefault="00DD0834" w:rsidP="003B6997">
            <w:pPr>
              <w:pStyle w:val="BStabletext"/>
              <w:jc w:val="right"/>
            </w:pPr>
            <w:r w:rsidRPr="00D61852">
              <w:rPr>
                <w:rFonts w:cs="Calibri"/>
                <w:color w:val="000000"/>
              </w:rPr>
              <w:t>19,241,467</w:t>
            </w:r>
          </w:p>
        </w:tc>
        <w:tc>
          <w:tcPr>
            <w:tcW w:w="1077" w:type="dxa"/>
            <w:shd w:val="clear" w:color="auto" w:fill="auto"/>
            <w:noWrap/>
            <w:vAlign w:val="bottom"/>
          </w:tcPr>
          <w:p w14:paraId="6444B731" w14:textId="77777777" w:rsidR="00DD0834" w:rsidRPr="00D61852" w:rsidRDefault="00DD0834" w:rsidP="003B6997">
            <w:pPr>
              <w:pStyle w:val="BStabletext"/>
              <w:jc w:val="right"/>
            </w:pPr>
            <w:r w:rsidRPr="00D61852">
              <w:rPr>
                <w:rFonts w:cs="Calibri"/>
                <w:color w:val="000000"/>
              </w:rPr>
              <w:t>19,925,062</w:t>
            </w:r>
          </w:p>
        </w:tc>
      </w:tr>
      <w:tr w:rsidR="00DD0834" w:rsidRPr="006D5D15" w14:paraId="614176A4" w14:textId="77777777" w:rsidTr="003B6997">
        <w:trPr>
          <w:tblHeader/>
          <w:jc w:val="center"/>
        </w:trPr>
        <w:tc>
          <w:tcPr>
            <w:tcW w:w="2778" w:type="dxa"/>
            <w:shd w:val="clear" w:color="auto" w:fill="auto"/>
            <w:noWrap/>
          </w:tcPr>
          <w:p w14:paraId="742263F2" w14:textId="77777777" w:rsidR="00DD0834" w:rsidRPr="00E21387" w:rsidRDefault="00DD0834" w:rsidP="003B6997">
            <w:pPr>
              <w:pStyle w:val="BStabletextunbold"/>
              <w:ind w:left="376"/>
            </w:pPr>
            <w:r w:rsidRPr="006675BD">
              <w:t>Investment properties</w:t>
            </w:r>
          </w:p>
        </w:tc>
        <w:tc>
          <w:tcPr>
            <w:tcW w:w="1077" w:type="dxa"/>
            <w:shd w:val="clear" w:color="auto" w:fill="auto"/>
          </w:tcPr>
          <w:p w14:paraId="66613DD0" w14:textId="77777777" w:rsidR="00DD0834" w:rsidRPr="00D61852" w:rsidRDefault="00DD0834" w:rsidP="003B6997">
            <w:pPr>
              <w:pStyle w:val="BStabletext"/>
              <w:jc w:val="right"/>
            </w:pPr>
            <w:r w:rsidRPr="00D61852">
              <w:t>13,898</w:t>
            </w:r>
          </w:p>
        </w:tc>
        <w:tc>
          <w:tcPr>
            <w:tcW w:w="1077" w:type="dxa"/>
            <w:shd w:val="clear" w:color="auto" w:fill="auto"/>
            <w:noWrap/>
          </w:tcPr>
          <w:p w14:paraId="3B8D3AFD" w14:textId="77777777" w:rsidR="00DD0834" w:rsidRPr="00D61852" w:rsidRDefault="00DD0834" w:rsidP="003B6997">
            <w:pPr>
              <w:pStyle w:val="BStabletext"/>
              <w:jc w:val="right"/>
            </w:pPr>
            <w:r w:rsidRPr="00D61852">
              <w:t>33,501</w:t>
            </w:r>
          </w:p>
        </w:tc>
        <w:tc>
          <w:tcPr>
            <w:tcW w:w="1077" w:type="dxa"/>
            <w:shd w:val="clear" w:color="auto" w:fill="auto"/>
            <w:noWrap/>
            <w:vAlign w:val="bottom"/>
          </w:tcPr>
          <w:p w14:paraId="341CE15D" w14:textId="77777777" w:rsidR="00DD0834" w:rsidRPr="00D61852" w:rsidRDefault="00DD0834" w:rsidP="003B6997">
            <w:pPr>
              <w:pStyle w:val="BStabletext"/>
              <w:jc w:val="right"/>
            </w:pPr>
            <w:r w:rsidRPr="00D61852">
              <w:rPr>
                <w:rFonts w:cs="Calibri"/>
                <w:color w:val="000000"/>
              </w:rPr>
              <w:t>33,507</w:t>
            </w:r>
          </w:p>
        </w:tc>
        <w:tc>
          <w:tcPr>
            <w:tcW w:w="1077" w:type="dxa"/>
            <w:shd w:val="clear" w:color="auto" w:fill="auto"/>
            <w:noWrap/>
            <w:vAlign w:val="bottom"/>
          </w:tcPr>
          <w:p w14:paraId="52FE8460" w14:textId="77777777" w:rsidR="00DD0834" w:rsidRPr="00D61852" w:rsidRDefault="00DD0834" w:rsidP="003B6997">
            <w:pPr>
              <w:pStyle w:val="BStabletext"/>
              <w:jc w:val="right"/>
            </w:pPr>
            <w:r w:rsidRPr="00D61852">
              <w:rPr>
                <w:rFonts w:cs="Calibri"/>
                <w:color w:val="000000"/>
              </w:rPr>
              <w:t>33,513</w:t>
            </w:r>
          </w:p>
        </w:tc>
        <w:tc>
          <w:tcPr>
            <w:tcW w:w="1077" w:type="dxa"/>
            <w:shd w:val="clear" w:color="auto" w:fill="auto"/>
            <w:noWrap/>
            <w:vAlign w:val="bottom"/>
          </w:tcPr>
          <w:p w14:paraId="09293DAE" w14:textId="77777777" w:rsidR="00DD0834" w:rsidRPr="00D61852" w:rsidRDefault="00DD0834" w:rsidP="003B6997">
            <w:pPr>
              <w:pStyle w:val="BStabletext"/>
              <w:jc w:val="right"/>
            </w:pPr>
            <w:r w:rsidRPr="00D61852">
              <w:rPr>
                <w:rFonts w:cs="Calibri"/>
                <w:color w:val="000000"/>
              </w:rPr>
              <w:t>33,519</w:t>
            </w:r>
          </w:p>
        </w:tc>
        <w:tc>
          <w:tcPr>
            <w:tcW w:w="1077" w:type="dxa"/>
            <w:shd w:val="clear" w:color="auto" w:fill="auto"/>
            <w:noWrap/>
            <w:vAlign w:val="bottom"/>
          </w:tcPr>
          <w:p w14:paraId="0E2FF7C8" w14:textId="77777777" w:rsidR="00DD0834" w:rsidRPr="00D61852" w:rsidRDefault="00DD0834" w:rsidP="003B6997">
            <w:pPr>
              <w:pStyle w:val="BStabletext"/>
              <w:jc w:val="right"/>
            </w:pPr>
            <w:r w:rsidRPr="00D61852">
              <w:rPr>
                <w:rFonts w:cs="Calibri"/>
                <w:color w:val="000000"/>
              </w:rPr>
              <w:t>33,525</w:t>
            </w:r>
          </w:p>
        </w:tc>
      </w:tr>
      <w:tr w:rsidR="00DD0834" w:rsidRPr="006D5D15" w14:paraId="732120F5" w14:textId="77777777" w:rsidTr="003B6997">
        <w:trPr>
          <w:tblHeader/>
          <w:jc w:val="center"/>
        </w:trPr>
        <w:tc>
          <w:tcPr>
            <w:tcW w:w="2778" w:type="dxa"/>
            <w:shd w:val="clear" w:color="auto" w:fill="auto"/>
            <w:noWrap/>
          </w:tcPr>
          <w:p w14:paraId="27715A41" w14:textId="77777777" w:rsidR="00DD0834" w:rsidRPr="00E21387" w:rsidRDefault="00DD0834" w:rsidP="003B6997">
            <w:pPr>
              <w:pStyle w:val="BStabletextunbold"/>
              <w:ind w:left="376"/>
            </w:pPr>
            <w:r w:rsidRPr="006675BD">
              <w:t>Intangibles</w:t>
            </w:r>
          </w:p>
        </w:tc>
        <w:tc>
          <w:tcPr>
            <w:tcW w:w="1077" w:type="dxa"/>
            <w:shd w:val="clear" w:color="auto" w:fill="auto"/>
          </w:tcPr>
          <w:p w14:paraId="42A03FF0" w14:textId="77777777" w:rsidR="00DD0834" w:rsidRPr="00D61852" w:rsidRDefault="00DD0834" w:rsidP="003B6997">
            <w:pPr>
              <w:pStyle w:val="BStabletext"/>
              <w:jc w:val="right"/>
            </w:pPr>
            <w:r w:rsidRPr="00D61852">
              <w:t>318,224</w:t>
            </w:r>
          </w:p>
        </w:tc>
        <w:tc>
          <w:tcPr>
            <w:tcW w:w="1077" w:type="dxa"/>
            <w:shd w:val="clear" w:color="auto" w:fill="auto"/>
            <w:noWrap/>
          </w:tcPr>
          <w:p w14:paraId="18C1A93D" w14:textId="77777777" w:rsidR="00DD0834" w:rsidRPr="00D61852" w:rsidRDefault="00DD0834" w:rsidP="003B6997">
            <w:pPr>
              <w:pStyle w:val="BStabletext"/>
              <w:jc w:val="right"/>
            </w:pPr>
            <w:r w:rsidRPr="00D61852">
              <w:t>219,143</w:t>
            </w:r>
          </w:p>
        </w:tc>
        <w:tc>
          <w:tcPr>
            <w:tcW w:w="1077" w:type="dxa"/>
            <w:shd w:val="clear" w:color="auto" w:fill="auto"/>
            <w:noWrap/>
            <w:vAlign w:val="bottom"/>
          </w:tcPr>
          <w:p w14:paraId="588654D6" w14:textId="77777777" w:rsidR="00DD0834" w:rsidRPr="00D61852" w:rsidRDefault="00DD0834" w:rsidP="003B6997">
            <w:pPr>
              <w:pStyle w:val="BStabletext"/>
              <w:jc w:val="right"/>
            </w:pPr>
            <w:r w:rsidRPr="00D61852">
              <w:rPr>
                <w:rFonts w:cs="Calibri"/>
                <w:color w:val="000000"/>
              </w:rPr>
              <w:t>324,286</w:t>
            </w:r>
          </w:p>
        </w:tc>
        <w:tc>
          <w:tcPr>
            <w:tcW w:w="1077" w:type="dxa"/>
            <w:shd w:val="clear" w:color="auto" w:fill="auto"/>
            <w:noWrap/>
            <w:vAlign w:val="bottom"/>
          </w:tcPr>
          <w:p w14:paraId="3471811E" w14:textId="77777777" w:rsidR="00DD0834" w:rsidRPr="00D61852" w:rsidRDefault="00DD0834" w:rsidP="003B6997">
            <w:pPr>
              <w:pStyle w:val="BStabletext"/>
              <w:jc w:val="right"/>
            </w:pPr>
            <w:r w:rsidRPr="00D61852">
              <w:rPr>
                <w:rFonts w:cs="Calibri"/>
                <w:color w:val="000000"/>
              </w:rPr>
              <w:t>337,975</w:t>
            </w:r>
          </w:p>
        </w:tc>
        <w:tc>
          <w:tcPr>
            <w:tcW w:w="1077" w:type="dxa"/>
            <w:shd w:val="clear" w:color="auto" w:fill="auto"/>
            <w:noWrap/>
            <w:vAlign w:val="bottom"/>
          </w:tcPr>
          <w:p w14:paraId="01731A8B" w14:textId="77777777" w:rsidR="00DD0834" w:rsidRPr="00D61852" w:rsidRDefault="00DD0834" w:rsidP="003B6997">
            <w:pPr>
              <w:pStyle w:val="BStabletext"/>
              <w:jc w:val="right"/>
            </w:pPr>
            <w:r w:rsidRPr="00D61852">
              <w:rPr>
                <w:rFonts w:cs="Calibri"/>
                <w:color w:val="000000"/>
              </w:rPr>
              <w:t>295,857</w:t>
            </w:r>
          </w:p>
        </w:tc>
        <w:tc>
          <w:tcPr>
            <w:tcW w:w="1077" w:type="dxa"/>
            <w:shd w:val="clear" w:color="auto" w:fill="auto"/>
            <w:noWrap/>
            <w:vAlign w:val="bottom"/>
          </w:tcPr>
          <w:p w14:paraId="37CDF447" w14:textId="77777777" w:rsidR="00DD0834" w:rsidRPr="00D61852" w:rsidRDefault="00DD0834" w:rsidP="003B6997">
            <w:pPr>
              <w:pStyle w:val="BStabletext"/>
              <w:jc w:val="right"/>
            </w:pPr>
            <w:r w:rsidRPr="00D61852">
              <w:rPr>
                <w:rFonts w:cs="Calibri"/>
                <w:color w:val="000000"/>
              </w:rPr>
              <w:t>234,179</w:t>
            </w:r>
          </w:p>
        </w:tc>
      </w:tr>
      <w:tr w:rsidR="00DD0834" w:rsidRPr="006D5D15" w14:paraId="10D760AC" w14:textId="77777777" w:rsidTr="003B6997">
        <w:trPr>
          <w:tblHeader/>
          <w:jc w:val="center"/>
        </w:trPr>
        <w:tc>
          <w:tcPr>
            <w:tcW w:w="2778" w:type="dxa"/>
            <w:shd w:val="clear" w:color="auto" w:fill="auto"/>
            <w:noWrap/>
          </w:tcPr>
          <w:p w14:paraId="58FA4226" w14:textId="77777777" w:rsidR="00DD0834" w:rsidRPr="00E21387" w:rsidRDefault="00DD0834" w:rsidP="003B6997">
            <w:pPr>
              <w:pStyle w:val="BStabletextunbold"/>
              <w:ind w:left="376"/>
            </w:pPr>
            <w:r w:rsidRPr="006675BD">
              <w:t>Inventories</w:t>
            </w:r>
          </w:p>
        </w:tc>
        <w:tc>
          <w:tcPr>
            <w:tcW w:w="1077" w:type="dxa"/>
            <w:shd w:val="clear" w:color="auto" w:fill="auto"/>
          </w:tcPr>
          <w:p w14:paraId="13C8A26B" w14:textId="77777777" w:rsidR="00DD0834" w:rsidRPr="00D61852" w:rsidRDefault="00DD0834" w:rsidP="003B6997">
            <w:pPr>
              <w:pStyle w:val="BStabletext"/>
              <w:jc w:val="right"/>
            </w:pPr>
            <w:r w:rsidRPr="00D61852">
              <w:t>436,160</w:t>
            </w:r>
          </w:p>
        </w:tc>
        <w:tc>
          <w:tcPr>
            <w:tcW w:w="1077" w:type="dxa"/>
            <w:shd w:val="clear" w:color="auto" w:fill="auto"/>
            <w:noWrap/>
          </w:tcPr>
          <w:p w14:paraId="130BAAF5" w14:textId="77777777" w:rsidR="00DD0834" w:rsidRPr="00D61852" w:rsidRDefault="00DD0834" w:rsidP="003B6997">
            <w:pPr>
              <w:pStyle w:val="BStabletext"/>
              <w:jc w:val="right"/>
            </w:pPr>
            <w:r w:rsidRPr="00D61852">
              <w:t>413,401</w:t>
            </w:r>
          </w:p>
        </w:tc>
        <w:tc>
          <w:tcPr>
            <w:tcW w:w="1077" w:type="dxa"/>
            <w:shd w:val="clear" w:color="auto" w:fill="auto"/>
            <w:noWrap/>
            <w:vAlign w:val="bottom"/>
          </w:tcPr>
          <w:p w14:paraId="41AA2271" w14:textId="77777777" w:rsidR="00DD0834" w:rsidRPr="00D61852" w:rsidRDefault="00DD0834" w:rsidP="003B6997">
            <w:pPr>
              <w:pStyle w:val="BStabletext"/>
              <w:jc w:val="right"/>
            </w:pPr>
            <w:r w:rsidRPr="00D61852">
              <w:rPr>
                <w:rFonts w:cs="Calibri"/>
                <w:color w:val="000000"/>
              </w:rPr>
              <w:t>432,536</w:t>
            </w:r>
          </w:p>
        </w:tc>
        <w:tc>
          <w:tcPr>
            <w:tcW w:w="1077" w:type="dxa"/>
            <w:shd w:val="clear" w:color="auto" w:fill="auto"/>
            <w:noWrap/>
            <w:vAlign w:val="bottom"/>
          </w:tcPr>
          <w:p w14:paraId="36F80DB0" w14:textId="77777777" w:rsidR="00DD0834" w:rsidRPr="00D61852" w:rsidRDefault="00DD0834" w:rsidP="003B6997">
            <w:pPr>
              <w:pStyle w:val="BStabletext"/>
              <w:jc w:val="right"/>
            </w:pPr>
            <w:r w:rsidRPr="00D61852">
              <w:rPr>
                <w:rFonts w:cs="Calibri"/>
                <w:color w:val="000000"/>
              </w:rPr>
              <w:t>484,469</w:t>
            </w:r>
          </w:p>
        </w:tc>
        <w:tc>
          <w:tcPr>
            <w:tcW w:w="1077" w:type="dxa"/>
            <w:shd w:val="clear" w:color="auto" w:fill="auto"/>
            <w:noWrap/>
            <w:vAlign w:val="bottom"/>
          </w:tcPr>
          <w:p w14:paraId="6531DB19" w14:textId="77777777" w:rsidR="00DD0834" w:rsidRPr="00D61852" w:rsidRDefault="00DD0834" w:rsidP="003B6997">
            <w:pPr>
              <w:pStyle w:val="BStabletext"/>
              <w:jc w:val="right"/>
            </w:pPr>
            <w:r w:rsidRPr="00D61852">
              <w:rPr>
                <w:rFonts w:cs="Calibri"/>
                <w:color w:val="000000"/>
              </w:rPr>
              <w:t>445,005</w:t>
            </w:r>
          </w:p>
        </w:tc>
        <w:tc>
          <w:tcPr>
            <w:tcW w:w="1077" w:type="dxa"/>
            <w:shd w:val="clear" w:color="auto" w:fill="auto"/>
            <w:noWrap/>
            <w:vAlign w:val="bottom"/>
          </w:tcPr>
          <w:p w14:paraId="44AF36D5" w14:textId="77777777" w:rsidR="00DD0834" w:rsidRPr="00D61852" w:rsidRDefault="00DD0834" w:rsidP="003B6997">
            <w:pPr>
              <w:pStyle w:val="BStabletext"/>
              <w:jc w:val="right"/>
            </w:pPr>
            <w:r w:rsidRPr="00D61852">
              <w:rPr>
                <w:rFonts w:cs="Calibri"/>
                <w:color w:val="000000"/>
              </w:rPr>
              <w:t>455,892</w:t>
            </w:r>
          </w:p>
        </w:tc>
      </w:tr>
      <w:tr w:rsidR="00DD0834" w:rsidRPr="006D5D15" w14:paraId="4B58E584" w14:textId="77777777" w:rsidTr="003B6997">
        <w:trPr>
          <w:tblHeader/>
          <w:jc w:val="center"/>
        </w:trPr>
        <w:tc>
          <w:tcPr>
            <w:tcW w:w="2778" w:type="dxa"/>
            <w:shd w:val="clear" w:color="auto" w:fill="auto"/>
            <w:noWrap/>
          </w:tcPr>
          <w:p w14:paraId="31A4716A" w14:textId="77777777" w:rsidR="00DD0834" w:rsidRPr="00E21387" w:rsidRDefault="00DD0834" w:rsidP="003B6997">
            <w:pPr>
              <w:pStyle w:val="BStabletextunbold"/>
              <w:ind w:left="376"/>
            </w:pPr>
            <w:r>
              <w:rPr>
                <w:lang w:val="en-US"/>
              </w:rPr>
              <w:t>Non-current a</w:t>
            </w:r>
            <w:r w:rsidRPr="006675BD">
              <w:t>ssets held for sale</w:t>
            </w:r>
          </w:p>
        </w:tc>
        <w:tc>
          <w:tcPr>
            <w:tcW w:w="1077" w:type="dxa"/>
            <w:shd w:val="clear" w:color="auto" w:fill="auto"/>
          </w:tcPr>
          <w:p w14:paraId="0C9FBB90" w14:textId="77777777" w:rsidR="00DD0834" w:rsidRPr="00D61852" w:rsidRDefault="00DD0834" w:rsidP="003B6997">
            <w:pPr>
              <w:pStyle w:val="BStabletext"/>
              <w:jc w:val="right"/>
            </w:pPr>
            <w:r w:rsidRPr="00D61852">
              <w:t>30,939</w:t>
            </w:r>
          </w:p>
        </w:tc>
        <w:tc>
          <w:tcPr>
            <w:tcW w:w="1077" w:type="dxa"/>
            <w:shd w:val="clear" w:color="auto" w:fill="auto"/>
            <w:noWrap/>
          </w:tcPr>
          <w:p w14:paraId="66EB44CC" w14:textId="77777777" w:rsidR="00DD0834" w:rsidRPr="00D61852" w:rsidRDefault="00DD0834" w:rsidP="003B6997">
            <w:pPr>
              <w:pStyle w:val="BStabletext"/>
              <w:jc w:val="right"/>
            </w:pPr>
            <w:r w:rsidRPr="00D61852">
              <w:t>42,989</w:t>
            </w:r>
          </w:p>
        </w:tc>
        <w:tc>
          <w:tcPr>
            <w:tcW w:w="1077" w:type="dxa"/>
            <w:shd w:val="clear" w:color="auto" w:fill="auto"/>
            <w:noWrap/>
            <w:vAlign w:val="bottom"/>
          </w:tcPr>
          <w:p w14:paraId="6ABB3CDE" w14:textId="77777777" w:rsidR="00DD0834" w:rsidRPr="00D61852" w:rsidRDefault="00DD0834" w:rsidP="003B6997">
            <w:pPr>
              <w:pStyle w:val="BStabletext"/>
              <w:jc w:val="right"/>
            </w:pPr>
            <w:r w:rsidRPr="00D61852">
              <w:rPr>
                <w:rFonts w:cs="Calibri"/>
                <w:color w:val="000000"/>
              </w:rPr>
              <w:t>31,063</w:t>
            </w:r>
          </w:p>
        </w:tc>
        <w:tc>
          <w:tcPr>
            <w:tcW w:w="1077" w:type="dxa"/>
            <w:shd w:val="clear" w:color="auto" w:fill="auto"/>
            <w:noWrap/>
            <w:vAlign w:val="bottom"/>
          </w:tcPr>
          <w:p w14:paraId="2C1B0D08" w14:textId="77777777" w:rsidR="00DD0834" w:rsidRPr="00D61852" w:rsidRDefault="00DD0834" w:rsidP="003B6997">
            <w:pPr>
              <w:pStyle w:val="BStabletext"/>
              <w:jc w:val="right"/>
            </w:pPr>
            <w:r w:rsidRPr="00D61852">
              <w:rPr>
                <w:rFonts w:cs="Calibri"/>
                <w:color w:val="000000"/>
              </w:rPr>
              <w:t>27,084</w:t>
            </w:r>
          </w:p>
        </w:tc>
        <w:tc>
          <w:tcPr>
            <w:tcW w:w="1077" w:type="dxa"/>
            <w:shd w:val="clear" w:color="auto" w:fill="auto"/>
            <w:noWrap/>
            <w:vAlign w:val="bottom"/>
          </w:tcPr>
          <w:p w14:paraId="24CFB377" w14:textId="77777777" w:rsidR="00DD0834" w:rsidRPr="00D61852" w:rsidRDefault="00DD0834" w:rsidP="003B6997">
            <w:pPr>
              <w:pStyle w:val="BStabletext"/>
              <w:jc w:val="right"/>
            </w:pPr>
            <w:r w:rsidRPr="00D61852">
              <w:rPr>
                <w:rFonts w:cs="Calibri"/>
                <w:color w:val="000000"/>
              </w:rPr>
              <w:t>25,969</w:t>
            </w:r>
          </w:p>
        </w:tc>
        <w:tc>
          <w:tcPr>
            <w:tcW w:w="1077" w:type="dxa"/>
            <w:shd w:val="clear" w:color="auto" w:fill="auto"/>
            <w:noWrap/>
            <w:vAlign w:val="bottom"/>
          </w:tcPr>
          <w:p w14:paraId="4F24A19D" w14:textId="77777777" w:rsidR="00DD0834" w:rsidRPr="00D61852" w:rsidRDefault="00DD0834" w:rsidP="003B6997">
            <w:pPr>
              <w:pStyle w:val="BStabletext"/>
              <w:jc w:val="right"/>
            </w:pPr>
            <w:r w:rsidRPr="00D61852">
              <w:rPr>
                <w:rFonts w:cs="Calibri"/>
                <w:color w:val="000000"/>
              </w:rPr>
              <w:t>24,854</w:t>
            </w:r>
          </w:p>
        </w:tc>
      </w:tr>
      <w:tr w:rsidR="00DD0834" w:rsidRPr="006D5D15" w14:paraId="5494DC9E" w14:textId="77777777" w:rsidTr="003B6997">
        <w:trPr>
          <w:tblHeader/>
          <w:jc w:val="center"/>
        </w:trPr>
        <w:tc>
          <w:tcPr>
            <w:tcW w:w="2778" w:type="dxa"/>
            <w:shd w:val="clear" w:color="auto" w:fill="auto"/>
            <w:noWrap/>
          </w:tcPr>
          <w:p w14:paraId="2C69DEDB" w14:textId="77777777" w:rsidR="00DD0834" w:rsidRPr="00E21387" w:rsidRDefault="00DD0834" w:rsidP="003B6997">
            <w:pPr>
              <w:pStyle w:val="BStabletextunbold"/>
              <w:ind w:left="376"/>
            </w:pPr>
            <w:r w:rsidRPr="006675BD">
              <w:t>Capital works-in-progress</w:t>
            </w:r>
          </w:p>
        </w:tc>
        <w:tc>
          <w:tcPr>
            <w:tcW w:w="1077" w:type="dxa"/>
            <w:shd w:val="clear" w:color="auto" w:fill="auto"/>
          </w:tcPr>
          <w:p w14:paraId="74975298" w14:textId="77777777" w:rsidR="00DD0834" w:rsidRPr="00D61852" w:rsidRDefault="00DD0834" w:rsidP="003B6997">
            <w:pPr>
              <w:pStyle w:val="BStabletext"/>
              <w:jc w:val="right"/>
            </w:pPr>
            <w:r w:rsidRPr="00D61852">
              <w:t>896,149</w:t>
            </w:r>
          </w:p>
        </w:tc>
        <w:tc>
          <w:tcPr>
            <w:tcW w:w="1077" w:type="dxa"/>
            <w:shd w:val="clear" w:color="auto" w:fill="auto"/>
            <w:noWrap/>
          </w:tcPr>
          <w:p w14:paraId="6C4885A8" w14:textId="77777777" w:rsidR="00DD0834" w:rsidRPr="00D61852" w:rsidRDefault="00DD0834" w:rsidP="003B6997">
            <w:pPr>
              <w:pStyle w:val="BStabletext"/>
              <w:jc w:val="right"/>
            </w:pPr>
            <w:r w:rsidRPr="00D61852">
              <w:t>856,882</w:t>
            </w:r>
          </w:p>
        </w:tc>
        <w:tc>
          <w:tcPr>
            <w:tcW w:w="1077" w:type="dxa"/>
            <w:shd w:val="clear" w:color="auto" w:fill="auto"/>
            <w:noWrap/>
            <w:vAlign w:val="bottom"/>
          </w:tcPr>
          <w:p w14:paraId="353C625C" w14:textId="77777777" w:rsidR="00DD0834" w:rsidRPr="00D61852" w:rsidRDefault="00DD0834" w:rsidP="003B6997">
            <w:pPr>
              <w:pStyle w:val="BStabletext"/>
              <w:jc w:val="right"/>
            </w:pPr>
            <w:r w:rsidRPr="00D61852">
              <w:rPr>
                <w:rFonts w:cs="Calibri"/>
                <w:color w:val="000000"/>
              </w:rPr>
              <w:t>1,091,365</w:t>
            </w:r>
          </w:p>
        </w:tc>
        <w:tc>
          <w:tcPr>
            <w:tcW w:w="1077" w:type="dxa"/>
            <w:shd w:val="clear" w:color="auto" w:fill="auto"/>
            <w:noWrap/>
            <w:vAlign w:val="bottom"/>
          </w:tcPr>
          <w:p w14:paraId="689645A7" w14:textId="77777777" w:rsidR="00DD0834" w:rsidRPr="00D61852" w:rsidRDefault="00DD0834" w:rsidP="003B6997">
            <w:pPr>
              <w:pStyle w:val="BStabletext"/>
              <w:jc w:val="right"/>
            </w:pPr>
            <w:r w:rsidRPr="00D61852">
              <w:rPr>
                <w:rFonts w:cs="Calibri"/>
                <w:color w:val="000000"/>
              </w:rPr>
              <w:t>1,652,136</w:t>
            </w:r>
          </w:p>
        </w:tc>
        <w:tc>
          <w:tcPr>
            <w:tcW w:w="1077" w:type="dxa"/>
            <w:shd w:val="clear" w:color="auto" w:fill="auto"/>
            <w:noWrap/>
            <w:vAlign w:val="bottom"/>
          </w:tcPr>
          <w:p w14:paraId="67FAF686" w14:textId="77777777" w:rsidR="00DD0834" w:rsidRPr="00D61852" w:rsidRDefault="00DD0834" w:rsidP="003B6997">
            <w:pPr>
              <w:pStyle w:val="BStabletext"/>
              <w:jc w:val="right"/>
            </w:pPr>
            <w:r w:rsidRPr="00D61852">
              <w:rPr>
                <w:rFonts w:cs="Calibri"/>
                <w:color w:val="000000"/>
              </w:rPr>
              <w:t>1,829,585</w:t>
            </w:r>
          </w:p>
        </w:tc>
        <w:tc>
          <w:tcPr>
            <w:tcW w:w="1077" w:type="dxa"/>
            <w:shd w:val="clear" w:color="auto" w:fill="auto"/>
            <w:noWrap/>
            <w:vAlign w:val="bottom"/>
          </w:tcPr>
          <w:p w14:paraId="21D0713C" w14:textId="77777777" w:rsidR="00DD0834" w:rsidRPr="00D61852" w:rsidRDefault="00DD0834" w:rsidP="003B6997">
            <w:pPr>
              <w:pStyle w:val="BStabletext"/>
              <w:jc w:val="right"/>
            </w:pPr>
            <w:r w:rsidRPr="00D61852">
              <w:rPr>
                <w:rFonts w:cs="Calibri"/>
                <w:color w:val="000000"/>
              </w:rPr>
              <w:t>1,852,142</w:t>
            </w:r>
          </w:p>
        </w:tc>
      </w:tr>
      <w:tr w:rsidR="00DD0834" w:rsidRPr="006D5D15" w14:paraId="4A81FA46" w14:textId="77777777" w:rsidTr="003B6997">
        <w:trPr>
          <w:tblHeader/>
          <w:jc w:val="center"/>
        </w:trPr>
        <w:tc>
          <w:tcPr>
            <w:tcW w:w="2778" w:type="dxa"/>
            <w:shd w:val="clear" w:color="auto" w:fill="auto"/>
            <w:noWrap/>
          </w:tcPr>
          <w:p w14:paraId="6DE080B9" w14:textId="77777777" w:rsidR="00DD0834" w:rsidRPr="00E21387" w:rsidRDefault="00DD0834" w:rsidP="003B6997">
            <w:pPr>
              <w:pStyle w:val="BStabletextunbold"/>
            </w:pPr>
            <w:r w:rsidRPr="006675BD">
              <w:t>Non-produced assets</w:t>
            </w:r>
          </w:p>
        </w:tc>
        <w:tc>
          <w:tcPr>
            <w:tcW w:w="1077" w:type="dxa"/>
            <w:shd w:val="clear" w:color="auto" w:fill="auto"/>
          </w:tcPr>
          <w:p w14:paraId="58B7258D" w14:textId="77777777" w:rsidR="00DD0834" w:rsidRPr="00D61852" w:rsidRDefault="00DD0834" w:rsidP="003B6997">
            <w:pPr>
              <w:pStyle w:val="BStabletext"/>
              <w:jc w:val="right"/>
            </w:pPr>
          </w:p>
        </w:tc>
        <w:tc>
          <w:tcPr>
            <w:tcW w:w="1077" w:type="dxa"/>
            <w:shd w:val="clear" w:color="auto" w:fill="auto"/>
            <w:noWrap/>
          </w:tcPr>
          <w:p w14:paraId="0528853E" w14:textId="77777777" w:rsidR="00DD0834" w:rsidRPr="00D61852" w:rsidRDefault="00DD0834" w:rsidP="003B6997">
            <w:pPr>
              <w:pStyle w:val="BStabletext"/>
              <w:jc w:val="right"/>
            </w:pPr>
          </w:p>
        </w:tc>
        <w:tc>
          <w:tcPr>
            <w:tcW w:w="1077" w:type="dxa"/>
            <w:shd w:val="clear" w:color="auto" w:fill="auto"/>
            <w:noWrap/>
            <w:vAlign w:val="bottom"/>
          </w:tcPr>
          <w:p w14:paraId="7E8C4807" w14:textId="77777777" w:rsidR="00DD0834" w:rsidRPr="00D61852" w:rsidRDefault="00DD0834" w:rsidP="003B6997">
            <w:pPr>
              <w:pStyle w:val="BStabletext"/>
              <w:jc w:val="right"/>
            </w:pPr>
          </w:p>
        </w:tc>
        <w:tc>
          <w:tcPr>
            <w:tcW w:w="1077" w:type="dxa"/>
            <w:shd w:val="clear" w:color="auto" w:fill="auto"/>
            <w:noWrap/>
            <w:vAlign w:val="bottom"/>
          </w:tcPr>
          <w:p w14:paraId="66B430B2" w14:textId="77777777" w:rsidR="00DD0834" w:rsidRPr="00D61852" w:rsidRDefault="00DD0834" w:rsidP="003B6997">
            <w:pPr>
              <w:pStyle w:val="BStabletext"/>
              <w:jc w:val="right"/>
            </w:pPr>
          </w:p>
        </w:tc>
        <w:tc>
          <w:tcPr>
            <w:tcW w:w="1077" w:type="dxa"/>
            <w:shd w:val="clear" w:color="auto" w:fill="auto"/>
            <w:noWrap/>
            <w:vAlign w:val="bottom"/>
          </w:tcPr>
          <w:p w14:paraId="29BD1C1E" w14:textId="77777777" w:rsidR="00DD0834" w:rsidRPr="00D61852" w:rsidRDefault="00DD0834" w:rsidP="003B6997">
            <w:pPr>
              <w:pStyle w:val="BStabletext"/>
              <w:jc w:val="right"/>
            </w:pPr>
          </w:p>
        </w:tc>
        <w:tc>
          <w:tcPr>
            <w:tcW w:w="1077" w:type="dxa"/>
            <w:shd w:val="clear" w:color="auto" w:fill="auto"/>
            <w:noWrap/>
            <w:vAlign w:val="bottom"/>
          </w:tcPr>
          <w:p w14:paraId="56EC839D" w14:textId="77777777" w:rsidR="00DD0834" w:rsidRPr="00D61852" w:rsidRDefault="00DD0834" w:rsidP="003B6997">
            <w:pPr>
              <w:pStyle w:val="BStabletext"/>
              <w:jc w:val="right"/>
            </w:pPr>
          </w:p>
        </w:tc>
      </w:tr>
      <w:tr w:rsidR="00DD0834" w:rsidRPr="006D5D15" w14:paraId="02160EA2" w14:textId="77777777" w:rsidTr="003B6997">
        <w:trPr>
          <w:tblHeader/>
          <w:jc w:val="center"/>
        </w:trPr>
        <w:tc>
          <w:tcPr>
            <w:tcW w:w="2778" w:type="dxa"/>
            <w:shd w:val="clear" w:color="auto" w:fill="auto"/>
            <w:noWrap/>
          </w:tcPr>
          <w:p w14:paraId="776B19E8" w14:textId="77777777" w:rsidR="00DD0834" w:rsidRPr="00E21387" w:rsidRDefault="00DD0834" w:rsidP="003B6997">
            <w:pPr>
              <w:pStyle w:val="BStabletextunbold"/>
              <w:ind w:left="517" w:hanging="376"/>
            </w:pPr>
            <w:r w:rsidRPr="006675BD">
              <w:t>Property, plant and equipment</w:t>
            </w:r>
          </w:p>
        </w:tc>
        <w:tc>
          <w:tcPr>
            <w:tcW w:w="1077" w:type="dxa"/>
            <w:shd w:val="clear" w:color="auto" w:fill="auto"/>
          </w:tcPr>
          <w:p w14:paraId="62CDC840" w14:textId="77777777" w:rsidR="00DD0834" w:rsidRPr="00D61852" w:rsidRDefault="00DD0834" w:rsidP="003B6997">
            <w:pPr>
              <w:pStyle w:val="BStabletext"/>
              <w:jc w:val="right"/>
            </w:pPr>
            <w:r w:rsidRPr="00D61852">
              <w:t>7,899,003</w:t>
            </w:r>
          </w:p>
        </w:tc>
        <w:tc>
          <w:tcPr>
            <w:tcW w:w="1077" w:type="dxa"/>
            <w:shd w:val="clear" w:color="auto" w:fill="auto"/>
            <w:noWrap/>
          </w:tcPr>
          <w:p w14:paraId="0B88198B" w14:textId="77777777" w:rsidR="00DD0834" w:rsidRPr="00D61852" w:rsidRDefault="00DD0834" w:rsidP="003B6997">
            <w:pPr>
              <w:pStyle w:val="BStabletext"/>
              <w:jc w:val="right"/>
            </w:pPr>
            <w:r w:rsidRPr="00D61852">
              <w:t>9,074,399</w:t>
            </w:r>
          </w:p>
        </w:tc>
        <w:tc>
          <w:tcPr>
            <w:tcW w:w="1077" w:type="dxa"/>
            <w:shd w:val="clear" w:color="auto" w:fill="auto"/>
            <w:noWrap/>
            <w:vAlign w:val="bottom"/>
          </w:tcPr>
          <w:p w14:paraId="7F48983F" w14:textId="77777777" w:rsidR="00DD0834" w:rsidRPr="00D61852" w:rsidRDefault="00DD0834" w:rsidP="003B6997">
            <w:pPr>
              <w:pStyle w:val="BStabletext"/>
              <w:jc w:val="right"/>
            </w:pPr>
            <w:r w:rsidRPr="00D61852">
              <w:rPr>
                <w:rFonts w:cs="Calibri"/>
                <w:color w:val="000000"/>
              </w:rPr>
              <w:t>9,104,260</w:t>
            </w:r>
          </w:p>
        </w:tc>
        <w:tc>
          <w:tcPr>
            <w:tcW w:w="1077" w:type="dxa"/>
            <w:shd w:val="clear" w:color="auto" w:fill="auto"/>
            <w:noWrap/>
            <w:vAlign w:val="bottom"/>
          </w:tcPr>
          <w:p w14:paraId="1F05B647" w14:textId="77777777" w:rsidR="00DD0834" w:rsidRPr="00D61852" w:rsidRDefault="00DD0834" w:rsidP="003B6997">
            <w:pPr>
              <w:pStyle w:val="BStabletext"/>
              <w:jc w:val="right"/>
            </w:pPr>
            <w:r w:rsidRPr="00D61852">
              <w:rPr>
                <w:rFonts w:cs="Calibri"/>
                <w:color w:val="000000"/>
              </w:rPr>
              <w:t>9,091,431</w:t>
            </w:r>
          </w:p>
        </w:tc>
        <w:tc>
          <w:tcPr>
            <w:tcW w:w="1077" w:type="dxa"/>
            <w:shd w:val="clear" w:color="auto" w:fill="auto"/>
            <w:noWrap/>
            <w:vAlign w:val="bottom"/>
          </w:tcPr>
          <w:p w14:paraId="392E9257" w14:textId="77777777" w:rsidR="00DD0834" w:rsidRPr="00D61852" w:rsidRDefault="00DD0834" w:rsidP="003B6997">
            <w:pPr>
              <w:pStyle w:val="BStabletext"/>
              <w:jc w:val="right"/>
            </w:pPr>
            <w:r w:rsidRPr="00D61852">
              <w:rPr>
                <w:rFonts w:cs="Calibri"/>
                <w:color w:val="000000"/>
              </w:rPr>
              <w:t>9,076,935</w:t>
            </w:r>
          </w:p>
        </w:tc>
        <w:tc>
          <w:tcPr>
            <w:tcW w:w="1077" w:type="dxa"/>
            <w:shd w:val="clear" w:color="auto" w:fill="auto"/>
            <w:noWrap/>
            <w:vAlign w:val="bottom"/>
          </w:tcPr>
          <w:p w14:paraId="4AB0F78F" w14:textId="77777777" w:rsidR="00DD0834" w:rsidRPr="00D61852" w:rsidRDefault="00DD0834" w:rsidP="003B6997">
            <w:pPr>
              <w:pStyle w:val="BStabletext"/>
              <w:jc w:val="right"/>
            </w:pPr>
            <w:r w:rsidRPr="00D61852">
              <w:rPr>
                <w:rFonts w:cs="Calibri"/>
                <w:color w:val="000000"/>
              </w:rPr>
              <w:t>9,102,616</w:t>
            </w:r>
          </w:p>
        </w:tc>
      </w:tr>
      <w:tr w:rsidR="00DD0834" w:rsidRPr="006D5D15" w14:paraId="08B56FB1" w14:textId="77777777" w:rsidTr="003B6997">
        <w:trPr>
          <w:tblHeader/>
          <w:jc w:val="center"/>
        </w:trPr>
        <w:tc>
          <w:tcPr>
            <w:tcW w:w="2778" w:type="dxa"/>
            <w:shd w:val="clear" w:color="auto" w:fill="auto"/>
            <w:noWrap/>
          </w:tcPr>
          <w:p w14:paraId="233BFCA0" w14:textId="77777777" w:rsidR="00DD0834" w:rsidRPr="00E21387" w:rsidRDefault="00DD0834" w:rsidP="003B6997">
            <w:pPr>
              <w:pStyle w:val="BStabletextunbold"/>
              <w:ind w:left="517" w:hanging="376"/>
            </w:pPr>
            <w:r w:rsidRPr="006675BD">
              <w:t>Biological assets</w:t>
            </w:r>
          </w:p>
        </w:tc>
        <w:tc>
          <w:tcPr>
            <w:tcW w:w="1077" w:type="dxa"/>
            <w:shd w:val="clear" w:color="auto" w:fill="auto"/>
          </w:tcPr>
          <w:p w14:paraId="4F573A34" w14:textId="77777777" w:rsidR="00DD0834" w:rsidRPr="00D61852" w:rsidRDefault="00DD0834" w:rsidP="003B6997">
            <w:pPr>
              <w:pStyle w:val="BStabletext"/>
              <w:jc w:val="right"/>
            </w:pPr>
            <w:r w:rsidRPr="00D61852">
              <w:t>25,494</w:t>
            </w:r>
          </w:p>
        </w:tc>
        <w:tc>
          <w:tcPr>
            <w:tcW w:w="1077" w:type="dxa"/>
            <w:shd w:val="clear" w:color="auto" w:fill="auto"/>
            <w:noWrap/>
          </w:tcPr>
          <w:p w14:paraId="6060B095" w14:textId="77777777" w:rsidR="00DD0834" w:rsidRPr="00D61852" w:rsidRDefault="00DD0834" w:rsidP="003B6997">
            <w:pPr>
              <w:pStyle w:val="BStabletext"/>
              <w:jc w:val="right"/>
            </w:pPr>
            <w:r w:rsidRPr="00D61852">
              <w:t>27,148</w:t>
            </w:r>
          </w:p>
        </w:tc>
        <w:tc>
          <w:tcPr>
            <w:tcW w:w="1077" w:type="dxa"/>
            <w:shd w:val="clear" w:color="auto" w:fill="auto"/>
            <w:noWrap/>
            <w:vAlign w:val="bottom"/>
          </w:tcPr>
          <w:p w14:paraId="78634035" w14:textId="77777777" w:rsidR="00DD0834" w:rsidRPr="00D61852" w:rsidRDefault="00DD0834" w:rsidP="003B6997">
            <w:pPr>
              <w:pStyle w:val="BStabletext"/>
              <w:jc w:val="right"/>
            </w:pPr>
            <w:r w:rsidRPr="00D61852">
              <w:rPr>
                <w:rFonts w:cs="Calibri"/>
                <w:color w:val="000000"/>
              </w:rPr>
              <w:t>27,148</w:t>
            </w:r>
          </w:p>
        </w:tc>
        <w:tc>
          <w:tcPr>
            <w:tcW w:w="1077" w:type="dxa"/>
            <w:shd w:val="clear" w:color="auto" w:fill="auto"/>
            <w:noWrap/>
            <w:vAlign w:val="bottom"/>
          </w:tcPr>
          <w:p w14:paraId="12A329AB" w14:textId="77777777" w:rsidR="00DD0834" w:rsidRPr="00D61852" w:rsidRDefault="00DD0834" w:rsidP="003B6997">
            <w:pPr>
              <w:pStyle w:val="BStabletext"/>
              <w:jc w:val="right"/>
            </w:pPr>
            <w:r w:rsidRPr="00D61852">
              <w:rPr>
                <w:rFonts w:cs="Calibri"/>
                <w:color w:val="000000"/>
              </w:rPr>
              <w:t>27,148</w:t>
            </w:r>
          </w:p>
        </w:tc>
        <w:tc>
          <w:tcPr>
            <w:tcW w:w="1077" w:type="dxa"/>
            <w:shd w:val="clear" w:color="auto" w:fill="auto"/>
            <w:noWrap/>
            <w:vAlign w:val="bottom"/>
          </w:tcPr>
          <w:p w14:paraId="188234B4" w14:textId="77777777" w:rsidR="00DD0834" w:rsidRPr="00D61852" w:rsidRDefault="00DD0834" w:rsidP="003B6997">
            <w:pPr>
              <w:pStyle w:val="BStabletext"/>
              <w:jc w:val="right"/>
            </w:pPr>
            <w:r w:rsidRPr="00D61852">
              <w:rPr>
                <w:rFonts w:cs="Calibri"/>
                <w:color w:val="000000"/>
              </w:rPr>
              <w:t>28,882</w:t>
            </w:r>
          </w:p>
        </w:tc>
        <w:tc>
          <w:tcPr>
            <w:tcW w:w="1077" w:type="dxa"/>
            <w:shd w:val="clear" w:color="auto" w:fill="auto"/>
            <w:noWrap/>
            <w:vAlign w:val="bottom"/>
          </w:tcPr>
          <w:p w14:paraId="562C9DFA" w14:textId="77777777" w:rsidR="00DD0834" w:rsidRPr="00D61852" w:rsidRDefault="00DD0834" w:rsidP="003B6997">
            <w:pPr>
              <w:pStyle w:val="BStabletext"/>
              <w:jc w:val="right"/>
            </w:pPr>
            <w:r w:rsidRPr="00D61852">
              <w:rPr>
                <w:rFonts w:cs="Calibri"/>
                <w:color w:val="000000"/>
              </w:rPr>
              <w:t>28,882</w:t>
            </w:r>
          </w:p>
        </w:tc>
      </w:tr>
      <w:tr w:rsidR="00DD0834" w:rsidRPr="006D5D15" w14:paraId="092FA86D" w14:textId="77777777" w:rsidTr="003B6997">
        <w:trPr>
          <w:tblHeader/>
          <w:jc w:val="center"/>
        </w:trPr>
        <w:tc>
          <w:tcPr>
            <w:tcW w:w="2778" w:type="dxa"/>
            <w:shd w:val="clear" w:color="auto" w:fill="auto"/>
            <w:noWrap/>
          </w:tcPr>
          <w:p w14:paraId="338A940C" w14:textId="77777777" w:rsidR="00DD0834" w:rsidRPr="00E21387" w:rsidRDefault="00DD0834" w:rsidP="003B6997">
            <w:pPr>
              <w:pStyle w:val="BStabletextunbold"/>
            </w:pPr>
            <w:r w:rsidRPr="006675BD">
              <w:t>Other non-financial assets</w:t>
            </w:r>
          </w:p>
        </w:tc>
        <w:tc>
          <w:tcPr>
            <w:tcW w:w="1077" w:type="dxa"/>
            <w:shd w:val="clear" w:color="auto" w:fill="auto"/>
          </w:tcPr>
          <w:p w14:paraId="665E536B" w14:textId="77777777" w:rsidR="00DD0834" w:rsidRPr="00D61852" w:rsidRDefault="00DD0834" w:rsidP="003B6997">
            <w:pPr>
              <w:pStyle w:val="BStabletext"/>
              <w:jc w:val="right"/>
            </w:pPr>
            <w:r w:rsidRPr="00D61852">
              <w:t>2,905</w:t>
            </w:r>
          </w:p>
        </w:tc>
        <w:tc>
          <w:tcPr>
            <w:tcW w:w="1077" w:type="dxa"/>
            <w:shd w:val="clear" w:color="auto" w:fill="auto"/>
            <w:noWrap/>
          </w:tcPr>
          <w:p w14:paraId="4BB31F84" w14:textId="77777777" w:rsidR="00DD0834" w:rsidRPr="00D61852" w:rsidRDefault="00DD0834" w:rsidP="003B6997">
            <w:pPr>
              <w:pStyle w:val="BStabletext"/>
              <w:jc w:val="right"/>
            </w:pPr>
            <w:r w:rsidRPr="00D61852">
              <w:t>11,318</w:t>
            </w:r>
          </w:p>
        </w:tc>
        <w:tc>
          <w:tcPr>
            <w:tcW w:w="1077" w:type="dxa"/>
            <w:shd w:val="clear" w:color="auto" w:fill="auto"/>
            <w:noWrap/>
            <w:vAlign w:val="bottom"/>
          </w:tcPr>
          <w:p w14:paraId="31CCD728" w14:textId="77777777" w:rsidR="00DD0834" w:rsidRPr="00D61852" w:rsidRDefault="00DD0834" w:rsidP="003B6997">
            <w:pPr>
              <w:pStyle w:val="BStabletext"/>
              <w:jc w:val="right"/>
            </w:pPr>
            <w:r w:rsidRPr="00D61852">
              <w:rPr>
                <w:rFonts w:cs="Calibri"/>
              </w:rPr>
              <w:t>11,375</w:t>
            </w:r>
          </w:p>
        </w:tc>
        <w:tc>
          <w:tcPr>
            <w:tcW w:w="1077" w:type="dxa"/>
            <w:shd w:val="clear" w:color="auto" w:fill="auto"/>
            <w:noWrap/>
            <w:vAlign w:val="bottom"/>
          </w:tcPr>
          <w:p w14:paraId="1A66E8F5" w14:textId="77777777" w:rsidR="00DD0834" w:rsidRPr="00D61852" w:rsidRDefault="00DD0834" w:rsidP="003B6997">
            <w:pPr>
              <w:pStyle w:val="BStabletext"/>
              <w:jc w:val="right"/>
            </w:pPr>
            <w:r w:rsidRPr="00D61852">
              <w:rPr>
                <w:rFonts w:cs="Calibri"/>
              </w:rPr>
              <w:t>11,375</w:t>
            </w:r>
          </w:p>
        </w:tc>
        <w:tc>
          <w:tcPr>
            <w:tcW w:w="1077" w:type="dxa"/>
            <w:shd w:val="clear" w:color="auto" w:fill="auto"/>
            <w:noWrap/>
            <w:vAlign w:val="bottom"/>
          </w:tcPr>
          <w:p w14:paraId="7903C728" w14:textId="77777777" w:rsidR="00DD0834" w:rsidRPr="00D61852" w:rsidRDefault="00DD0834" w:rsidP="003B6997">
            <w:pPr>
              <w:pStyle w:val="BStabletext"/>
              <w:jc w:val="right"/>
            </w:pPr>
            <w:r w:rsidRPr="00D61852">
              <w:rPr>
                <w:rFonts w:cs="Calibri"/>
              </w:rPr>
              <w:t>11,375</w:t>
            </w:r>
          </w:p>
        </w:tc>
        <w:tc>
          <w:tcPr>
            <w:tcW w:w="1077" w:type="dxa"/>
            <w:shd w:val="clear" w:color="auto" w:fill="auto"/>
            <w:noWrap/>
            <w:vAlign w:val="bottom"/>
          </w:tcPr>
          <w:p w14:paraId="20FC46AA" w14:textId="77777777" w:rsidR="00DD0834" w:rsidRPr="00D61852" w:rsidRDefault="00DD0834" w:rsidP="003B6997">
            <w:pPr>
              <w:pStyle w:val="BStabletext"/>
              <w:jc w:val="right"/>
            </w:pPr>
            <w:r w:rsidRPr="00D61852">
              <w:rPr>
                <w:rFonts w:cs="Calibri"/>
              </w:rPr>
              <w:t>11,375</w:t>
            </w:r>
          </w:p>
        </w:tc>
      </w:tr>
      <w:tr w:rsidR="00DD0834" w:rsidRPr="006D5D15" w14:paraId="383CD55C" w14:textId="77777777" w:rsidTr="003B6997">
        <w:trPr>
          <w:tblHeader/>
          <w:jc w:val="center"/>
        </w:trPr>
        <w:tc>
          <w:tcPr>
            <w:tcW w:w="2778" w:type="dxa"/>
            <w:tcBorders>
              <w:bottom w:val="single" w:sz="4" w:space="0" w:color="auto"/>
            </w:tcBorders>
            <w:shd w:val="clear" w:color="auto" w:fill="auto"/>
            <w:noWrap/>
          </w:tcPr>
          <w:p w14:paraId="045D07B6" w14:textId="77777777" w:rsidR="00DD0834" w:rsidRPr="00E21387" w:rsidRDefault="00DD0834" w:rsidP="003B6997">
            <w:pPr>
              <w:pStyle w:val="BStabletextbold"/>
            </w:pPr>
            <w:r w:rsidRPr="006675BD">
              <w:t>Total non-financial assets</w:t>
            </w:r>
          </w:p>
        </w:tc>
        <w:tc>
          <w:tcPr>
            <w:tcW w:w="1077" w:type="dxa"/>
            <w:tcBorders>
              <w:bottom w:val="single" w:sz="4" w:space="0" w:color="auto"/>
            </w:tcBorders>
            <w:shd w:val="clear" w:color="auto" w:fill="auto"/>
          </w:tcPr>
          <w:p w14:paraId="7FFD87BD" w14:textId="77777777" w:rsidR="00DD0834" w:rsidRPr="00D61852" w:rsidRDefault="00DD0834" w:rsidP="003B6997">
            <w:pPr>
              <w:pStyle w:val="BStabletextbold"/>
              <w:jc w:val="right"/>
            </w:pPr>
            <w:r w:rsidRPr="00D61852">
              <w:t>27,955,554</w:t>
            </w:r>
          </w:p>
        </w:tc>
        <w:tc>
          <w:tcPr>
            <w:tcW w:w="1077" w:type="dxa"/>
            <w:tcBorders>
              <w:bottom w:val="single" w:sz="4" w:space="0" w:color="auto"/>
            </w:tcBorders>
            <w:shd w:val="clear" w:color="auto" w:fill="auto"/>
            <w:noWrap/>
          </w:tcPr>
          <w:p w14:paraId="3C4D4776" w14:textId="77777777" w:rsidR="00DD0834" w:rsidRPr="00D61852" w:rsidRDefault="00DD0834" w:rsidP="003B6997">
            <w:pPr>
              <w:pStyle w:val="BStabletextbold"/>
              <w:jc w:val="right"/>
            </w:pPr>
            <w:r w:rsidRPr="00D61852">
              <w:t>28,969,302</w:t>
            </w:r>
          </w:p>
        </w:tc>
        <w:tc>
          <w:tcPr>
            <w:tcW w:w="1077" w:type="dxa"/>
            <w:tcBorders>
              <w:bottom w:val="single" w:sz="4" w:space="0" w:color="auto"/>
            </w:tcBorders>
            <w:shd w:val="clear" w:color="auto" w:fill="auto"/>
            <w:noWrap/>
            <w:vAlign w:val="bottom"/>
          </w:tcPr>
          <w:p w14:paraId="7BBB3F9F" w14:textId="77777777" w:rsidR="00DD0834" w:rsidRPr="00D61852" w:rsidRDefault="00DD0834" w:rsidP="003B6997">
            <w:pPr>
              <w:pStyle w:val="BStabletextbold"/>
              <w:jc w:val="right"/>
            </w:pPr>
            <w:r w:rsidRPr="00D61852">
              <w:t>29,869,239</w:t>
            </w:r>
          </w:p>
        </w:tc>
        <w:tc>
          <w:tcPr>
            <w:tcW w:w="1077" w:type="dxa"/>
            <w:tcBorders>
              <w:bottom w:val="single" w:sz="4" w:space="0" w:color="auto"/>
            </w:tcBorders>
            <w:shd w:val="clear" w:color="auto" w:fill="auto"/>
            <w:noWrap/>
            <w:vAlign w:val="bottom"/>
          </w:tcPr>
          <w:p w14:paraId="5984BB15" w14:textId="77777777" w:rsidR="00DD0834" w:rsidRPr="00D61852" w:rsidRDefault="00DD0834" w:rsidP="003B6997">
            <w:pPr>
              <w:pStyle w:val="BStabletextbold"/>
              <w:jc w:val="right"/>
            </w:pPr>
            <w:r w:rsidRPr="00D61852">
              <w:t>30,147,114</w:t>
            </w:r>
          </w:p>
        </w:tc>
        <w:tc>
          <w:tcPr>
            <w:tcW w:w="1077" w:type="dxa"/>
            <w:tcBorders>
              <w:bottom w:val="single" w:sz="4" w:space="0" w:color="auto"/>
            </w:tcBorders>
            <w:shd w:val="clear" w:color="auto" w:fill="auto"/>
            <w:noWrap/>
            <w:vAlign w:val="bottom"/>
          </w:tcPr>
          <w:p w14:paraId="540A0C70" w14:textId="77777777" w:rsidR="00DD0834" w:rsidRPr="00D61852" w:rsidRDefault="00DD0834" w:rsidP="003B6997">
            <w:pPr>
              <w:pStyle w:val="BStabletextbold"/>
              <w:jc w:val="right"/>
            </w:pPr>
            <w:r w:rsidRPr="00D61852">
              <w:t>30,988,594</w:t>
            </w:r>
          </w:p>
        </w:tc>
        <w:tc>
          <w:tcPr>
            <w:tcW w:w="1077" w:type="dxa"/>
            <w:tcBorders>
              <w:bottom w:val="single" w:sz="4" w:space="0" w:color="auto"/>
            </w:tcBorders>
            <w:shd w:val="clear" w:color="auto" w:fill="auto"/>
            <w:noWrap/>
            <w:vAlign w:val="bottom"/>
          </w:tcPr>
          <w:p w14:paraId="208C0F8A" w14:textId="77777777" w:rsidR="00DD0834" w:rsidRPr="00D61852" w:rsidRDefault="00DD0834" w:rsidP="003B6997">
            <w:pPr>
              <w:pStyle w:val="BStabletextbold"/>
              <w:jc w:val="right"/>
            </w:pPr>
            <w:r w:rsidRPr="00D61852">
              <w:t>31,668,527</w:t>
            </w:r>
          </w:p>
        </w:tc>
      </w:tr>
      <w:tr w:rsidR="00DD0834" w:rsidRPr="006D5D15" w14:paraId="618D1483" w14:textId="77777777" w:rsidTr="003B6997">
        <w:trPr>
          <w:tblHeader/>
          <w:jc w:val="center"/>
        </w:trPr>
        <w:tc>
          <w:tcPr>
            <w:tcW w:w="2778" w:type="dxa"/>
            <w:tcBorders>
              <w:top w:val="single" w:sz="4" w:space="0" w:color="auto"/>
              <w:bottom w:val="single" w:sz="4" w:space="0" w:color="auto"/>
            </w:tcBorders>
            <w:shd w:val="clear" w:color="auto" w:fill="auto"/>
            <w:noWrap/>
          </w:tcPr>
          <w:p w14:paraId="10D1F50E" w14:textId="77777777" w:rsidR="00DD0834" w:rsidRPr="00550D36" w:rsidRDefault="00DD0834" w:rsidP="003B6997">
            <w:pPr>
              <w:pStyle w:val="BStabletextbold"/>
              <w:rPr>
                <w:color w:val="472D8C"/>
              </w:rPr>
            </w:pPr>
            <w:r w:rsidRPr="00550D36">
              <w:rPr>
                <w:color w:val="472D8C"/>
              </w:rPr>
              <w:t>Total assets</w:t>
            </w:r>
          </w:p>
        </w:tc>
        <w:tc>
          <w:tcPr>
            <w:tcW w:w="1077" w:type="dxa"/>
            <w:tcBorders>
              <w:top w:val="single" w:sz="4" w:space="0" w:color="auto"/>
              <w:bottom w:val="single" w:sz="4" w:space="0" w:color="auto"/>
            </w:tcBorders>
            <w:shd w:val="clear" w:color="auto" w:fill="auto"/>
          </w:tcPr>
          <w:p w14:paraId="61B2CA43" w14:textId="77777777" w:rsidR="00DD0834" w:rsidRPr="00D61852" w:rsidRDefault="00DD0834" w:rsidP="003B6997">
            <w:pPr>
              <w:pStyle w:val="BStabletextbold"/>
              <w:jc w:val="right"/>
              <w:rPr>
                <w:color w:val="472D8C"/>
              </w:rPr>
            </w:pPr>
            <w:r w:rsidRPr="00D61852">
              <w:rPr>
                <w:color w:val="472D8C"/>
              </w:rPr>
              <w:t>37,409,625</w:t>
            </w:r>
          </w:p>
        </w:tc>
        <w:tc>
          <w:tcPr>
            <w:tcW w:w="1077" w:type="dxa"/>
            <w:tcBorders>
              <w:top w:val="single" w:sz="4" w:space="0" w:color="auto"/>
              <w:bottom w:val="single" w:sz="4" w:space="0" w:color="auto"/>
            </w:tcBorders>
            <w:shd w:val="clear" w:color="auto" w:fill="auto"/>
            <w:noWrap/>
          </w:tcPr>
          <w:p w14:paraId="230664AD" w14:textId="77777777" w:rsidR="00DD0834" w:rsidRPr="00D61852" w:rsidRDefault="00DD0834" w:rsidP="003B6997">
            <w:pPr>
              <w:pStyle w:val="BStabletextbold"/>
              <w:jc w:val="right"/>
              <w:rPr>
                <w:color w:val="472D8C"/>
              </w:rPr>
            </w:pPr>
            <w:r w:rsidRPr="00D61852">
              <w:rPr>
                <w:color w:val="472D8C"/>
              </w:rPr>
              <w:t>39,465,357</w:t>
            </w:r>
          </w:p>
        </w:tc>
        <w:tc>
          <w:tcPr>
            <w:tcW w:w="1077" w:type="dxa"/>
            <w:tcBorders>
              <w:top w:val="single" w:sz="4" w:space="0" w:color="auto"/>
              <w:bottom w:val="single" w:sz="4" w:space="0" w:color="auto"/>
            </w:tcBorders>
            <w:shd w:val="clear" w:color="auto" w:fill="auto"/>
            <w:noWrap/>
            <w:vAlign w:val="bottom"/>
          </w:tcPr>
          <w:p w14:paraId="47510FBF" w14:textId="77777777" w:rsidR="00DD0834" w:rsidRPr="00D61852" w:rsidRDefault="00DD0834" w:rsidP="003B6997">
            <w:pPr>
              <w:pStyle w:val="BStabletextbold"/>
              <w:jc w:val="right"/>
              <w:rPr>
                <w:color w:val="472D8C"/>
              </w:rPr>
            </w:pPr>
            <w:r w:rsidRPr="00D61852">
              <w:rPr>
                <w:color w:val="472D8C"/>
              </w:rPr>
              <w:t>40,431,653</w:t>
            </w:r>
          </w:p>
        </w:tc>
        <w:tc>
          <w:tcPr>
            <w:tcW w:w="1077" w:type="dxa"/>
            <w:tcBorders>
              <w:top w:val="single" w:sz="4" w:space="0" w:color="auto"/>
              <w:bottom w:val="single" w:sz="4" w:space="0" w:color="auto"/>
            </w:tcBorders>
            <w:shd w:val="clear" w:color="auto" w:fill="auto"/>
            <w:noWrap/>
            <w:vAlign w:val="bottom"/>
          </w:tcPr>
          <w:p w14:paraId="0BD5F67F" w14:textId="77777777" w:rsidR="00DD0834" w:rsidRPr="00D61852" w:rsidRDefault="00DD0834" w:rsidP="003B6997">
            <w:pPr>
              <w:pStyle w:val="BStabletextbold"/>
              <w:jc w:val="right"/>
              <w:rPr>
                <w:color w:val="472D8C"/>
              </w:rPr>
            </w:pPr>
            <w:r w:rsidRPr="00D61852">
              <w:rPr>
                <w:color w:val="472D8C"/>
              </w:rPr>
              <w:t>40,761,401</w:t>
            </w:r>
          </w:p>
        </w:tc>
        <w:tc>
          <w:tcPr>
            <w:tcW w:w="1077" w:type="dxa"/>
            <w:tcBorders>
              <w:top w:val="single" w:sz="4" w:space="0" w:color="auto"/>
              <w:bottom w:val="single" w:sz="4" w:space="0" w:color="auto"/>
            </w:tcBorders>
            <w:shd w:val="clear" w:color="auto" w:fill="auto"/>
            <w:noWrap/>
            <w:vAlign w:val="bottom"/>
          </w:tcPr>
          <w:p w14:paraId="2A5E0D07" w14:textId="77777777" w:rsidR="00DD0834" w:rsidRPr="00D61852" w:rsidRDefault="00DD0834" w:rsidP="003B6997">
            <w:pPr>
              <w:pStyle w:val="BStabletextbold"/>
              <w:jc w:val="right"/>
              <w:rPr>
                <w:color w:val="472D8C"/>
              </w:rPr>
            </w:pPr>
            <w:r w:rsidRPr="00D61852">
              <w:rPr>
                <w:color w:val="472D8C"/>
              </w:rPr>
              <w:t>42,730,964</w:t>
            </w:r>
          </w:p>
        </w:tc>
        <w:tc>
          <w:tcPr>
            <w:tcW w:w="1077" w:type="dxa"/>
            <w:tcBorders>
              <w:top w:val="single" w:sz="4" w:space="0" w:color="auto"/>
              <w:bottom w:val="single" w:sz="4" w:space="0" w:color="auto"/>
            </w:tcBorders>
            <w:shd w:val="clear" w:color="auto" w:fill="auto"/>
            <w:noWrap/>
            <w:vAlign w:val="bottom"/>
          </w:tcPr>
          <w:p w14:paraId="7526836E" w14:textId="77777777" w:rsidR="00DD0834" w:rsidRPr="00D61852" w:rsidRDefault="00DD0834" w:rsidP="003B6997">
            <w:pPr>
              <w:pStyle w:val="BStabletextbold"/>
              <w:jc w:val="right"/>
              <w:rPr>
                <w:color w:val="472D8C"/>
              </w:rPr>
            </w:pPr>
            <w:r w:rsidRPr="00D61852">
              <w:rPr>
                <w:color w:val="472D8C"/>
              </w:rPr>
              <w:t>43,443,848</w:t>
            </w:r>
          </w:p>
        </w:tc>
      </w:tr>
      <w:tr w:rsidR="00DD0834" w:rsidRPr="006D5D15" w14:paraId="744EC245" w14:textId="77777777" w:rsidTr="003B6997">
        <w:trPr>
          <w:tblHeader/>
          <w:jc w:val="center"/>
        </w:trPr>
        <w:tc>
          <w:tcPr>
            <w:tcW w:w="2778" w:type="dxa"/>
            <w:shd w:val="clear" w:color="auto" w:fill="auto"/>
            <w:noWrap/>
            <w:vAlign w:val="bottom"/>
          </w:tcPr>
          <w:p w14:paraId="7C58C1AC" w14:textId="77777777" w:rsidR="00DD0834" w:rsidRPr="001913A8" w:rsidRDefault="00DD0834" w:rsidP="003B6997">
            <w:pPr>
              <w:pStyle w:val="BStabletextbold"/>
              <w:rPr>
                <w:color w:val="472D8C"/>
              </w:rPr>
            </w:pPr>
            <w:r w:rsidRPr="006675BD">
              <w:t>Liabilities</w:t>
            </w:r>
          </w:p>
        </w:tc>
        <w:tc>
          <w:tcPr>
            <w:tcW w:w="1077" w:type="dxa"/>
            <w:shd w:val="clear" w:color="auto" w:fill="auto"/>
          </w:tcPr>
          <w:p w14:paraId="740AECC0" w14:textId="77777777" w:rsidR="00DD0834" w:rsidRPr="00D61852" w:rsidRDefault="00DD0834" w:rsidP="003B6997">
            <w:pPr>
              <w:pStyle w:val="Btablefigureunbold"/>
              <w:rPr>
                <w:color w:val="472D8C"/>
                <w:szCs w:val="20"/>
              </w:rPr>
            </w:pPr>
          </w:p>
        </w:tc>
        <w:tc>
          <w:tcPr>
            <w:tcW w:w="1077" w:type="dxa"/>
            <w:shd w:val="clear" w:color="auto" w:fill="auto"/>
            <w:noWrap/>
          </w:tcPr>
          <w:p w14:paraId="622978F6" w14:textId="77777777" w:rsidR="00DD0834" w:rsidRPr="00D61852" w:rsidRDefault="00DD0834" w:rsidP="003B6997">
            <w:pPr>
              <w:pStyle w:val="Btablefigureunbold"/>
              <w:rPr>
                <w:color w:val="472D8C"/>
                <w:szCs w:val="20"/>
              </w:rPr>
            </w:pPr>
          </w:p>
        </w:tc>
        <w:tc>
          <w:tcPr>
            <w:tcW w:w="1077" w:type="dxa"/>
            <w:shd w:val="clear" w:color="auto" w:fill="auto"/>
            <w:noWrap/>
          </w:tcPr>
          <w:p w14:paraId="6C124EE7" w14:textId="77777777" w:rsidR="00DD0834" w:rsidRPr="00D61852" w:rsidRDefault="00DD0834" w:rsidP="003B6997">
            <w:pPr>
              <w:pStyle w:val="Btablefigureunbold"/>
              <w:rPr>
                <w:color w:val="472D8C"/>
                <w:szCs w:val="20"/>
              </w:rPr>
            </w:pPr>
          </w:p>
        </w:tc>
        <w:tc>
          <w:tcPr>
            <w:tcW w:w="1077" w:type="dxa"/>
            <w:shd w:val="clear" w:color="auto" w:fill="auto"/>
            <w:noWrap/>
          </w:tcPr>
          <w:p w14:paraId="1569F672" w14:textId="77777777" w:rsidR="00DD0834" w:rsidRPr="00D61852" w:rsidRDefault="00DD0834" w:rsidP="003B6997">
            <w:pPr>
              <w:pStyle w:val="Btablefigureunbold"/>
              <w:rPr>
                <w:color w:val="472D8C"/>
                <w:szCs w:val="20"/>
              </w:rPr>
            </w:pPr>
          </w:p>
        </w:tc>
        <w:tc>
          <w:tcPr>
            <w:tcW w:w="1077" w:type="dxa"/>
            <w:shd w:val="clear" w:color="auto" w:fill="auto"/>
            <w:noWrap/>
          </w:tcPr>
          <w:p w14:paraId="1D203714" w14:textId="77777777" w:rsidR="00DD0834" w:rsidRPr="00D61852" w:rsidRDefault="00DD0834" w:rsidP="003B6997">
            <w:pPr>
              <w:pStyle w:val="Btablefigureunbold"/>
              <w:rPr>
                <w:color w:val="472D8C"/>
                <w:szCs w:val="20"/>
              </w:rPr>
            </w:pPr>
          </w:p>
        </w:tc>
        <w:tc>
          <w:tcPr>
            <w:tcW w:w="1077" w:type="dxa"/>
            <w:shd w:val="clear" w:color="auto" w:fill="auto"/>
            <w:noWrap/>
          </w:tcPr>
          <w:p w14:paraId="77EDAE90" w14:textId="77777777" w:rsidR="00DD0834" w:rsidRPr="00D61852" w:rsidRDefault="00DD0834" w:rsidP="003B6997">
            <w:pPr>
              <w:pStyle w:val="Btablefigureunbold"/>
              <w:rPr>
                <w:color w:val="472D8C"/>
                <w:szCs w:val="20"/>
              </w:rPr>
            </w:pPr>
          </w:p>
        </w:tc>
      </w:tr>
      <w:tr w:rsidR="00DD0834" w:rsidRPr="006D5D15" w14:paraId="409810A1" w14:textId="77777777" w:rsidTr="003B6997">
        <w:trPr>
          <w:tblHeader/>
          <w:jc w:val="center"/>
        </w:trPr>
        <w:tc>
          <w:tcPr>
            <w:tcW w:w="2778" w:type="dxa"/>
            <w:shd w:val="clear" w:color="auto" w:fill="auto"/>
            <w:noWrap/>
          </w:tcPr>
          <w:p w14:paraId="0C7FC9EE" w14:textId="77777777" w:rsidR="00DD0834" w:rsidRPr="00E21387" w:rsidRDefault="00DD0834" w:rsidP="003B6997">
            <w:pPr>
              <w:pStyle w:val="BStabletextunbold"/>
            </w:pPr>
            <w:r w:rsidRPr="006675BD">
              <w:t>Advances received</w:t>
            </w:r>
          </w:p>
        </w:tc>
        <w:tc>
          <w:tcPr>
            <w:tcW w:w="1077" w:type="dxa"/>
            <w:shd w:val="clear" w:color="auto" w:fill="auto"/>
          </w:tcPr>
          <w:p w14:paraId="1D72627D" w14:textId="77777777" w:rsidR="00DD0834" w:rsidRPr="00D61852" w:rsidRDefault="00DD0834" w:rsidP="003B6997">
            <w:pPr>
              <w:pStyle w:val="BStabletext"/>
              <w:jc w:val="right"/>
            </w:pPr>
            <w:r w:rsidRPr="00D61852">
              <w:t>98,326</w:t>
            </w:r>
          </w:p>
        </w:tc>
        <w:tc>
          <w:tcPr>
            <w:tcW w:w="1077" w:type="dxa"/>
            <w:shd w:val="clear" w:color="auto" w:fill="auto"/>
            <w:noWrap/>
          </w:tcPr>
          <w:p w14:paraId="483923A3" w14:textId="77777777" w:rsidR="00DD0834" w:rsidRPr="00D61852" w:rsidRDefault="00DD0834" w:rsidP="003B6997">
            <w:pPr>
              <w:pStyle w:val="BStabletext"/>
              <w:jc w:val="right"/>
            </w:pPr>
            <w:r w:rsidRPr="00D61852">
              <w:t>98,327</w:t>
            </w:r>
          </w:p>
        </w:tc>
        <w:tc>
          <w:tcPr>
            <w:tcW w:w="1077" w:type="dxa"/>
            <w:shd w:val="clear" w:color="auto" w:fill="auto"/>
            <w:noWrap/>
            <w:vAlign w:val="bottom"/>
          </w:tcPr>
          <w:p w14:paraId="5318EFF7" w14:textId="77777777" w:rsidR="00DD0834" w:rsidRPr="00D61852" w:rsidRDefault="00DD0834" w:rsidP="003B6997">
            <w:pPr>
              <w:pStyle w:val="BStabletext"/>
              <w:jc w:val="right"/>
            </w:pPr>
            <w:r w:rsidRPr="00D61852">
              <w:rPr>
                <w:rFonts w:cs="Calibri"/>
                <w:color w:val="000000"/>
              </w:rPr>
              <w:t>89,949</w:t>
            </w:r>
          </w:p>
        </w:tc>
        <w:tc>
          <w:tcPr>
            <w:tcW w:w="1077" w:type="dxa"/>
            <w:shd w:val="clear" w:color="auto" w:fill="auto"/>
            <w:noWrap/>
            <w:vAlign w:val="bottom"/>
          </w:tcPr>
          <w:p w14:paraId="7EBAC911" w14:textId="77777777" w:rsidR="00DD0834" w:rsidRPr="00D61852" w:rsidRDefault="00DD0834" w:rsidP="003B6997">
            <w:pPr>
              <w:pStyle w:val="BStabletext"/>
              <w:jc w:val="right"/>
            </w:pPr>
            <w:r w:rsidRPr="00D61852">
              <w:rPr>
                <w:rFonts w:cs="Calibri"/>
                <w:color w:val="000000"/>
              </w:rPr>
              <w:t>81,586</w:t>
            </w:r>
          </w:p>
        </w:tc>
        <w:tc>
          <w:tcPr>
            <w:tcW w:w="1077" w:type="dxa"/>
            <w:shd w:val="clear" w:color="auto" w:fill="auto"/>
            <w:noWrap/>
            <w:vAlign w:val="bottom"/>
          </w:tcPr>
          <w:p w14:paraId="5EC0986B" w14:textId="77777777" w:rsidR="00DD0834" w:rsidRPr="00D61852" w:rsidRDefault="00DD0834" w:rsidP="003B6997">
            <w:pPr>
              <w:pStyle w:val="BStabletext"/>
              <w:jc w:val="right"/>
            </w:pPr>
            <w:r w:rsidRPr="00D61852">
              <w:rPr>
                <w:rFonts w:cs="Calibri"/>
                <w:color w:val="000000"/>
              </w:rPr>
              <w:t>73,231</w:t>
            </w:r>
          </w:p>
        </w:tc>
        <w:tc>
          <w:tcPr>
            <w:tcW w:w="1077" w:type="dxa"/>
            <w:shd w:val="clear" w:color="auto" w:fill="auto"/>
            <w:noWrap/>
            <w:vAlign w:val="bottom"/>
          </w:tcPr>
          <w:p w14:paraId="1DA43BD5" w14:textId="77777777" w:rsidR="00DD0834" w:rsidRPr="00D61852" w:rsidRDefault="00DD0834" w:rsidP="003B6997">
            <w:pPr>
              <w:pStyle w:val="BStabletext"/>
              <w:jc w:val="right"/>
            </w:pPr>
            <w:r w:rsidRPr="00D61852">
              <w:rPr>
                <w:rFonts w:cs="Calibri"/>
                <w:color w:val="000000"/>
              </w:rPr>
              <w:t>64,674</w:t>
            </w:r>
          </w:p>
        </w:tc>
      </w:tr>
      <w:tr w:rsidR="00DD0834" w:rsidRPr="006D5D15" w14:paraId="34EC79AD" w14:textId="77777777" w:rsidTr="003B6997">
        <w:trPr>
          <w:tblHeader/>
          <w:jc w:val="center"/>
        </w:trPr>
        <w:tc>
          <w:tcPr>
            <w:tcW w:w="2778" w:type="dxa"/>
            <w:shd w:val="clear" w:color="auto" w:fill="auto"/>
            <w:noWrap/>
          </w:tcPr>
          <w:p w14:paraId="24C2B773" w14:textId="77777777" w:rsidR="00DD0834" w:rsidRPr="00E21387" w:rsidRDefault="00DD0834" w:rsidP="003B6997">
            <w:pPr>
              <w:pStyle w:val="BStabletextunbold"/>
            </w:pPr>
            <w:r w:rsidRPr="006675BD">
              <w:t>Borrowings</w:t>
            </w:r>
          </w:p>
        </w:tc>
        <w:tc>
          <w:tcPr>
            <w:tcW w:w="1077" w:type="dxa"/>
            <w:shd w:val="clear" w:color="auto" w:fill="auto"/>
          </w:tcPr>
          <w:p w14:paraId="5D046AC7" w14:textId="77777777" w:rsidR="00DD0834" w:rsidRPr="00D61852" w:rsidRDefault="00DD0834" w:rsidP="003B6997">
            <w:pPr>
              <w:pStyle w:val="BStabletext"/>
              <w:jc w:val="right"/>
            </w:pPr>
          </w:p>
        </w:tc>
        <w:tc>
          <w:tcPr>
            <w:tcW w:w="1077" w:type="dxa"/>
            <w:shd w:val="clear" w:color="auto" w:fill="auto"/>
            <w:noWrap/>
          </w:tcPr>
          <w:p w14:paraId="0D813062" w14:textId="77777777" w:rsidR="00DD0834" w:rsidRPr="00D61852" w:rsidRDefault="00DD0834" w:rsidP="003B6997">
            <w:pPr>
              <w:pStyle w:val="BStabletext"/>
              <w:jc w:val="right"/>
            </w:pPr>
          </w:p>
        </w:tc>
        <w:tc>
          <w:tcPr>
            <w:tcW w:w="1077" w:type="dxa"/>
            <w:shd w:val="clear" w:color="auto" w:fill="auto"/>
            <w:noWrap/>
            <w:vAlign w:val="bottom"/>
          </w:tcPr>
          <w:p w14:paraId="3029DC25" w14:textId="77777777" w:rsidR="00DD0834" w:rsidRPr="00D61852" w:rsidRDefault="00DD0834" w:rsidP="003B6997">
            <w:pPr>
              <w:pStyle w:val="BStabletext"/>
              <w:jc w:val="right"/>
            </w:pPr>
          </w:p>
        </w:tc>
        <w:tc>
          <w:tcPr>
            <w:tcW w:w="1077" w:type="dxa"/>
            <w:shd w:val="clear" w:color="auto" w:fill="auto"/>
            <w:noWrap/>
            <w:vAlign w:val="bottom"/>
          </w:tcPr>
          <w:p w14:paraId="50EF484A" w14:textId="77777777" w:rsidR="00DD0834" w:rsidRPr="00D61852" w:rsidRDefault="00DD0834" w:rsidP="003B6997">
            <w:pPr>
              <w:pStyle w:val="BStabletext"/>
              <w:jc w:val="right"/>
            </w:pPr>
          </w:p>
        </w:tc>
        <w:tc>
          <w:tcPr>
            <w:tcW w:w="1077" w:type="dxa"/>
            <w:shd w:val="clear" w:color="auto" w:fill="auto"/>
            <w:noWrap/>
            <w:vAlign w:val="bottom"/>
          </w:tcPr>
          <w:p w14:paraId="06B5185A" w14:textId="77777777" w:rsidR="00DD0834" w:rsidRPr="00D61852" w:rsidRDefault="00DD0834" w:rsidP="003B6997">
            <w:pPr>
              <w:pStyle w:val="BStabletext"/>
              <w:jc w:val="right"/>
            </w:pPr>
          </w:p>
        </w:tc>
        <w:tc>
          <w:tcPr>
            <w:tcW w:w="1077" w:type="dxa"/>
            <w:shd w:val="clear" w:color="auto" w:fill="auto"/>
            <w:noWrap/>
            <w:vAlign w:val="bottom"/>
          </w:tcPr>
          <w:p w14:paraId="6C73E386" w14:textId="77777777" w:rsidR="00DD0834" w:rsidRPr="00D61852" w:rsidRDefault="00DD0834" w:rsidP="003B6997">
            <w:pPr>
              <w:pStyle w:val="BStabletext"/>
              <w:jc w:val="right"/>
            </w:pPr>
          </w:p>
        </w:tc>
      </w:tr>
      <w:tr w:rsidR="00DD0834" w:rsidRPr="006D5D15" w14:paraId="439E72FA" w14:textId="77777777" w:rsidTr="003B6997">
        <w:trPr>
          <w:tblHeader/>
          <w:jc w:val="center"/>
        </w:trPr>
        <w:tc>
          <w:tcPr>
            <w:tcW w:w="2778" w:type="dxa"/>
            <w:shd w:val="clear" w:color="auto" w:fill="auto"/>
            <w:noWrap/>
          </w:tcPr>
          <w:p w14:paraId="6F04AE32" w14:textId="77777777" w:rsidR="00DD0834" w:rsidRPr="00E21387" w:rsidRDefault="00DD0834" w:rsidP="003B6997">
            <w:pPr>
              <w:pStyle w:val="BStabletextunbold"/>
              <w:ind w:left="376"/>
            </w:pPr>
            <w:r w:rsidRPr="00584B94">
              <w:t>Lease liabilities</w:t>
            </w:r>
          </w:p>
        </w:tc>
        <w:tc>
          <w:tcPr>
            <w:tcW w:w="1077" w:type="dxa"/>
            <w:shd w:val="clear" w:color="auto" w:fill="auto"/>
          </w:tcPr>
          <w:p w14:paraId="219BB7E4" w14:textId="77777777" w:rsidR="00DD0834" w:rsidRPr="00D61852" w:rsidRDefault="00DD0834" w:rsidP="003B6997">
            <w:pPr>
              <w:pStyle w:val="BStabletext"/>
              <w:jc w:val="right"/>
            </w:pPr>
            <w:r w:rsidRPr="00D61852">
              <w:t>1,318,496</w:t>
            </w:r>
          </w:p>
        </w:tc>
        <w:tc>
          <w:tcPr>
            <w:tcW w:w="1077" w:type="dxa"/>
            <w:shd w:val="clear" w:color="auto" w:fill="auto"/>
            <w:noWrap/>
          </w:tcPr>
          <w:p w14:paraId="6DEA65E4" w14:textId="77777777" w:rsidR="00DD0834" w:rsidRPr="00D61852" w:rsidRDefault="00DD0834" w:rsidP="003B6997">
            <w:pPr>
              <w:pStyle w:val="BStabletext"/>
              <w:jc w:val="right"/>
            </w:pPr>
            <w:r w:rsidRPr="00D61852">
              <w:t>1,050,087</w:t>
            </w:r>
          </w:p>
        </w:tc>
        <w:tc>
          <w:tcPr>
            <w:tcW w:w="1077" w:type="dxa"/>
            <w:shd w:val="clear" w:color="auto" w:fill="auto"/>
            <w:noWrap/>
            <w:vAlign w:val="bottom"/>
          </w:tcPr>
          <w:p w14:paraId="5453C148" w14:textId="77777777" w:rsidR="00DD0834" w:rsidRPr="00D61852" w:rsidRDefault="00DD0834" w:rsidP="003B6997">
            <w:pPr>
              <w:pStyle w:val="BStabletext"/>
              <w:jc w:val="right"/>
            </w:pPr>
            <w:r w:rsidRPr="00D61852">
              <w:rPr>
                <w:rFonts w:cs="Calibri"/>
                <w:color w:val="000000"/>
              </w:rPr>
              <w:t>1,070,639</w:t>
            </w:r>
          </w:p>
        </w:tc>
        <w:tc>
          <w:tcPr>
            <w:tcW w:w="1077" w:type="dxa"/>
            <w:shd w:val="clear" w:color="auto" w:fill="auto"/>
            <w:noWrap/>
            <w:vAlign w:val="bottom"/>
          </w:tcPr>
          <w:p w14:paraId="2C2ABEE6" w14:textId="77777777" w:rsidR="00DD0834" w:rsidRPr="00D61852" w:rsidRDefault="00DD0834" w:rsidP="003B6997">
            <w:pPr>
              <w:pStyle w:val="BStabletext"/>
              <w:jc w:val="right"/>
            </w:pPr>
            <w:r w:rsidRPr="00D61852">
              <w:rPr>
                <w:rFonts w:cs="Calibri"/>
                <w:color w:val="000000"/>
              </w:rPr>
              <w:t>1,046,637</w:t>
            </w:r>
          </w:p>
        </w:tc>
        <w:tc>
          <w:tcPr>
            <w:tcW w:w="1077" w:type="dxa"/>
            <w:shd w:val="clear" w:color="auto" w:fill="auto"/>
            <w:noWrap/>
            <w:vAlign w:val="bottom"/>
          </w:tcPr>
          <w:p w14:paraId="7EEA4BED" w14:textId="77777777" w:rsidR="00DD0834" w:rsidRPr="00D61852" w:rsidRDefault="00DD0834" w:rsidP="003B6997">
            <w:pPr>
              <w:pStyle w:val="BStabletext"/>
              <w:jc w:val="right"/>
            </w:pPr>
            <w:r w:rsidRPr="00D61852">
              <w:rPr>
                <w:rFonts w:cs="Calibri"/>
                <w:color w:val="000000"/>
              </w:rPr>
              <w:t>1,011,708</w:t>
            </w:r>
          </w:p>
        </w:tc>
        <w:tc>
          <w:tcPr>
            <w:tcW w:w="1077" w:type="dxa"/>
            <w:shd w:val="clear" w:color="auto" w:fill="auto"/>
            <w:noWrap/>
            <w:vAlign w:val="bottom"/>
          </w:tcPr>
          <w:p w14:paraId="7D6FC326" w14:textId="77777777" w:rsidR="00DD0834" w:rsidRPr="00D61852" w:rsidRDefault="00DD0834" w:rsidP="003B6997">
            <w:pPr>
              <w:pStyle w:val="BStabletext"/>
              <w:jc w:val="right"/>
            </w:pPr>
            <w:r w:rsidRPr="00D61852">
              <w:rPr>
                <w:rFonts w:cs="Calibri"/>
                <w:color w:val="000000"/>
              </w:rPr>
              <w:t>975,348</w:t>
            </w:r>
          </w:p>
        </w:tc>
      </w:tr>
      <w:tr w:rsidR="00DD0834" w:rsidRPr="006D5D15" w14:paraId="686A630B" w14:textId="77777777" w:rsidTr="003B6997">
        <w:trPr>
          <w:tblHeader/>
          <w:jc w:val="center"/>
        </w:trPr>
        <w:tc>
          <w:tcPr>
            <w:tcW w:w="2778" w:type="dxa"/>
            <w:shd w:val="clear" w:color="auto" w:fill="auto"/>
            <w:noWrap/>
          </w:tcPr>
          <w:p w14:paraId="30ADC97F" w14:textId="77777777" w:rsidR="00DD0834" w:rsidRPr="00E21387" w:rsidRDefault="00DD0834" w:rsidP="003B6997">
            <w:pPr>
              <w:pStyle w:val="BStabletextunbold"/>
              <w:ind w:left="376"/>
            </w:pPr>
            <w:r w:rsidRPr="006675BD">
              <w:t>Other borrowings</w:t>
            </w:r>
          </w:p>
        </w:tc>
        <w:tc>
          <w:tcPr>
            <w:tcW w:w="1077" w:type="dxa"/>
            <w:shd w:val="clear" w:color="auto" w:fill="auto"/>
          </w:tcPr>
          <w:p w14:paraId="1617DD76" w14:textId="77777777" w:rsidR="00DD0834" w:rsidRPr="00D61852" w:rsidRDefault="00DD0834" w:rsidP="003B6997">
            <w:pPr>
              <w:pStyle w:val="BStabletext"/>
              <w:jc w:val="right"/>
            </w:pPr>
            <w:r w:rsidRPr="00D61852">
              <w:t>8,175,548</w:t>
            </w:r>
          </w:p>
        </w:tc>
        <w:tc>
          <w:tcPr>
            <w:tcW w:w="1077" w:type="dxa"/>
            <w:shd w:val="clear" w:color="auto" w:fill="auto"/>
            <w:noWrap/>
          </w:tcPr>
          <w:p w14:paraId="2C97C6EB" w14:textId="77777777" w:rsidR="00DD0834" w:rsidRPr="00D61852" w:rsidRDefault="00DD0834" w:rsidP="003B6997">
            <w:pPr>
              <w:pStyle w:val="BStabletext"/>
              <w:jc w:val="right"/>
            </w:pPr>
            <w:r w:rsidRPr="00D61852">
              <w:t>8,328,832</w:t>
            </w:r>
          </w:p>
        </w:tc>
        <w:tc>
          <w:tcPr>
            <w:tcW w:w="1077" w:type="dxa"/>
            <w:shd w:val="clear" w:color="auto" w:fill="auto"/>
            <w:noWrap/>
            <w:vAlign w:val="bottom"/>
          </w:tcPr>
          <w:p w14:paraId="55B6F10C" w14:textId="77777777" w:rsidR="00DD0834" w:rsidRPr="00D61852" w:rsidRDefault="00DD0834" w:rsidP="003B6997">
            <w:pPr>
              <w:pStyle w:val="BStabletext"/>
              <w:jc w:val="right"/>
            </w:pPr>
            <w:r w:rsidRPr="00D61852">
              <w:rPr>
                <w:rFonts w:cs="Calibri"/>
                <w:color w:val="000000"/>
              </w:rPr>
              <w:t>10,051,623</w:t>
            </w:r>
          </w:p>
        </w:tc>
        <w:tc>
          <w:tcPr>
            <w:tcW w:w="1077" w:type="dxa"/>
            <w:shd w:val="clear" w:color="auto" w:fill="auto"/>
            <w:noWrap/>
            <w:vAlign w:val="bottom"/>
          </w:tcPr>
          <w:p w14:paraId="664A44BB" w14:textId="77777777" w:rsidR="00DD0834" w:rsidRPr="00D61852" w:rsidRDefault="00DD0834" w:rsidP="003B6997">
            <w:pPr>
              <w:pStyle w:val="BStabletext"/>
              <w:jc w:val="right"/>
            </w:pPr>
            <w:r w:rsidRPr="00D61852">
              <w:rPr>
                <w:rFonts w:cs="Calibri"/>
                <w:color w:val="000000"/>
              </w:rPr>
              <w:t>10,749,174</w:t>
            </w:r>
          </w:p>
        </w:tc>
        <w:tc>
          <w:tcPr>
            <w:tcW w:w="1077" w:type="dxa"/>
            <w:shd w:val="clear" w:color="auto" w:fill="auto"/>
            <w:noWrap/>
            <w:vAlign w:val="bottom"/>
          </w:tcPr>
          <w:p w14:paraId="4A3B9EF0" w14:textId="77777777" w:rsidR="00DD0834" w:rsidRPr="00D61852" w:rsidRDefault="00DD0834" w:rsidP="003B6997">
            <w:pPr>
              <w:pStyle w:val="BStabletext"/>
              <w:jc w:val="right"/>
            </w:pPr>
            <w:r w:rsidRPr="00D61852">
              <w:rPr>
                <w:rFonts w:cs="Calibri"/>
                <w:color w:val="000000"/>
              </w:rPr>
              <w:t>12,837,723</w:t>
            </w:r>
          </w:p>
        </w:tc>
        <w:tc>
          <w:tcPr>
            <w:tcW w:w="1077" w:type="dxa"/>
            <w:shd w:val="clear" w:color="auto" w:fill="auto"/>
            <w:noWrap/>
            <w:vAlign w:val="bottom"/>
          </w:tcPr>
          <w:p w14:paraId="6C4D3154" w14:textId="77777777" w:rsidR="00DD0834" w:rsidRPr="00D61852" w:rsidRDefault="00DD0834" w:rsidP="003B6997">
            <w:pPr>
              <w:pStyle w:val="BStabletext"/>
              <w:jc w:val="right"/>
            </w:pPr>
            <w:r w:rsidRPr="00D61852">
              <w:rPr>
                <w:rFonts w:cs="Calibri"/>
                <w:color w:val="000000"/>
              </w:rPr>
              <w:t>13,869,795</w:t>
            </w:r>
          </w:p>
        </w:tc>
      </w:tr>
      <w:tr w:rsidR="00DD0834" w:rsidRPr="006D5D15" w14:paraId="118AD82E" w14:textId="77777777" w:rsidTr="003B6997">
        <w:trPr>
          <w:tblHeader/>
          <w:jc w:val="center"/>
        </w:trPr>
        <w:tc>
          <w:tcPr>
            <w:tcW w:w="2778" w:type="dxa"/>
            <w:shd w:val="clear" w:color="auto" w:fill="auto"/>
            <w:noWrap/>
          </w:tcPr>
          <w:p w14:paraId="54667CD4" w14:textId="77777777" w:rsidR="00DD0834" w:rsidRPr="00E21387" w:rsidRDefault="00DD0834" w:rsidP="003B6997">
            <w:pPr>
              <w:pStyle w:val="BStabletextunbold"/>
            </w:pPr>
            <w:r w:rsidRPr="006675BD">
              <w:t>Superannuation</w:t>
            </w:r>
          </w:p>
        </w:tc>
        <w:tc>
          <w:tcPr>
            <w:tcW w:w="1077" w:type="dxa"/>
            <w:shd w:val="clear" w:color="auto" w:fill="auto"/>
          </w:tcPr>
          <w:p w14:paraId="7ACFB711" w14:textId="77777777" w:rsidR="00DD0834" w:rsidRPr="00D61852" w:rsidRDefault="00DD0834" w:rsidP="003B6997">
            <w:pPr>
              <w:pStyle w:val="BStabletext"/>
              <w:jc w:val="right"/>
            </w:pPr>
            <w:r w:rsidRPr="00D61852">
              <w:t>8,282,643</w:t>
            </w:r>
          </w:p>
        </w:tc>
        <w:tc>
          <w:tcPr>
            <w:tcW w:w="1077" w:type="dxa"/>
            <w:shd w:val="clear" w:color="auto" w:fill="auto"/>
            <w:noWrap/>
          </w:tcPr>
          <w:p w14:paraId="0DAEF027" w14:textId="77777777" w:rsidR="00DD0834" w:rsidRPr="00D61852" w:rsidRDefault="00DD0834" w:rsidP="003B6997">
            <w:pPr>
              <w:pStyle w:val="BStabletext"/>
              <w:jc w:val="right"/>
            </w:pPr>
            <w:r w:rsidRPr="00D61852">
              <w:t>13,231,501</w:t>
            </w:r>
          </w:p>
        </w:tc>
        <w:tc>
          <w:tcPr>
            <w:tcW w:w="1077" w:type="dxa"/>
            <w:shd w:val="clear" w:color="auto" w:fill="auto"/>
            <w:noWrap/>
            <w:vAlign w:val="bottom"/>
          </w:tcPr>
          <w:p w14:paraId="0B3FCE14" w14:textId="77777777" w:rsidR="00DD0834" w:rsidRPr="00D61852" w:rsidRDefault="00DD0834" w:rsidP="003B6997">
            <w:pPr>
              <w:pStyle w:val="BStabletext"/>
              <w:jc w:val="right"/>
            </w:pPr>
            <w:r w:rsidRPr="00D61852">
              <w:rPr>
                <w:rFonts w:cs="Calibri"/>
                <w:color w:val="000000"/>
              </w:rPr>
              <w:t>10,103,261</w:t>
            </w:r>
          </w:p>
        </w:tc>
        <w:tc>
          <w:tcPr>
            <w:tcW w:w="1077" w:type="dxa"/>
            <w:shd w:val="clear" w:color="auto" w:fill="auto"/>
            <w:noWrap/>
            <w:vAlign w:val="bottom"/>
          </w:tcPr>
          <w:p w14:paraId="29D19ACD" w14:textId="77777777" w:rsidR="00DD0834" w:rsidRPr="00D61852" w:rsidRDefault="00DD0834" w:rsidP="003B6997">
            <w:pPr>
              <w:pStyle w:val="BStabletext"/>
              <w:jc w:val="right"/>
            </w:pPr>
            <w:r w:rsidRPr="00D61852">
              <w:rPr>
                <w:rFonts w:cs="Calibri"/>
                <w:color w:val="000000"/>
              </w:rPr>
              <w:t>10,346,516</w:t>
            </w:r>
          </w:p>
        </w:tc>
        <w:tc>
          <w:tcPr>
            <w:tcW w:w="1077" w:type="dxa"/>
            <w:shd w:val="clear" w:color="auto" w:fill="auto"/>
            <w:noWrap/>
            <w:vAlign w:val="bottom"/>
          </w:tcPr>
          <w:p w14:paraId="692C7387" w14:textId="77777777" w:rsidR="00DD0834" w:rsidRPr="00D61852" w:rsidRDefault="00DD0834" w:rsidP="003B6997">
            <w:pPr>
              <w:pStyle w:val="BStabletext"/>
              <w:jc w:val="right"/>
            </w:pPr>
            <w:r w:rsidRPr="00D61852">
              <w:rPr>
                <w:rFonts w:cs="Calibri"/>
                <w:color w:val="000000"/>
              </w:rPr>
              <w:t>10,568,326</w:t>
            </w:r>
          </w:p>
        </w:tc>
        <w:tc>
          <w:tcPr>
            <w:tcW w:w="1077" w:type="dxa"/>
            <w:shd w:val="clear" w:color="auto" w:fill="auto"/>
            <w:noWrap/>
            <w:vAlign w:val="bottom"/>
          </w:tcPr>
          <w:p w14:paraId="6958DFB3" w14:textId="77777777" w:rsidR="00DD0834" w:rsidRPr="00D61852" w:rsidRDefault="00DD0834" w:rsidP="003B6997">
            <w:pPr>
              <w:pStyle w:val="BStabletext"/>
              <w:jc w:val="right"/>
            </w:pPr>
            <w:r w:rsidRPr="00D61852">
              <w:rPr>
                <w:rFonts w:cs="Calibri"/>
                <w:color w:val="000000"/>
              </w:rPr>
              <w:t>10,766,423</w:t>
            </w:r>
          </w:p>
        </w:tc>
      </w:tr>
      <w:tr w:rsidR="00DD0834" w:rsidRPr="006D5D15" w14:paraId="340FB546" w14:textId="77777777" w:rsidTr="003B6997">
        <w:trPr>
          <w:tblHeader/>
          <w:jc w:val="center"/>
        </w:trPr>
        <w:tc>
          <w:tcPr>
            <w:tcW w:w="2778" w:type="dxa"/>
            <w:shd w:val="clear" w:color="auto" w:fill="auto"/>
            <w:noWrap/>
          </w:tcPr>
          <w:p w14:paraId="169423BF" w14:textId="77777777" w:rsidR="00DD0834" w:rsidRPr="00E21387" w:rsidRDefault="00DD0834" w:rsidP="003B6997">
            <w:pPr>
              <w:pStyle w:val="BStabletextunbold"/>
            </w:pPr>
            <w:r w:rsidRPr="006675BD">
              <w:t>Employee benefits</w:t>
            </w:r>
          </w:p>
        </w:tc>
        <w:tc>
          <w:tcPr>
            <w:tcW w:w="1077" w:type="dxa"/>
            <w:shd w:val="clear" w:color="auto" w:fill="auto"/>
          </w:tcPr>
          <w:p w14:paraId="4C2C115B" w14:textId="77777777" w:rsidR="00DD0834" w:rsidRPr="00D61852" w:rsidRDefault="00DD0834" w:rsidP="003B6997">
            <w:pPr>
              <w:pStyle w:val="BStabletext"/>
              <w:jc w:val="right"/>
            </w:pPr>
            <w:r w:rsidRPr="00D61852">
              <w:t>969,985</w:t>
            </w:r>
          </w:p>
        </w:tc>
        <w:tc>
          <w:tcPr>
            <w:tcW w:w="1077" w:type="dxa"/>
            <w:shd w:val="clear" w:color="auto" w:fill="auto"/>
            <w:noWrap/>
          </w:tcPr>
          <w:p w14:paraId="51A2A806" w14:textId="77777777" w:rsidR="00DD0834" w:rsidRPr="00D61852" w:rsidRDefault="00DD0834" w:rsidP="003B6997">
            <w:pPr>
              <w:pStyle w:val="BStabletext"/>
              <w:jc w:val="right"/>
            </w:pPr>
            <w:r w:rsidRPr="00D61852">
              <w:t>991,643</w:t>
            </w:r>
          </w:p>
        </w:tc>
        <w:tc>
          <w:tcPr>
            <w:tcW w:w="1077" w:type="dxa"/>
            <w:shd w:val="clear" w:color="auto" w:fill="auto"/>
            <w:noWrap/>
            <w:vAlign w:val="bottom"/>
          </w:tcPr>
          <w:p w14:paraId="6814D175" w14:textId="77777777" w:rsidR="00DD0834" w:rsidRPr="00D61852" w:rsidRDefault="00DD0834" w:rsidP="003B6997">
            <w:pPr>
              <w:pStyle w:val="BStabletext"/>
              <w:jc w:val="right"/>
            </w:pPr>
            <w:r w:rsidRPr="00D61852">
              <w:rPr>
                <w:rFonts w:cs="Calibri"/>
                <w:color w:val="000000"/>
              </w:rPr>
              <w:t>1,038,167</w:t>
            </w:r>
          </w:p>
        </w:tc>
        <w:tc>
          <w:tcPr>
            <w:tcW w:w="1077" w:type="dxa"/>
            <w:shd w:val="clear" w:color="auto" w:fill="auto"/>
            <w:noWrap/>
            <w:vAlign w:val="bottom"/>
          </w:tcPr>
          <w:p w14:paraId="01B46933" w14:textId="77777777" w:rsidR="00DD0834" w:rsidRPr="00D61852" w:rsidRDefault="00DD0834" w:rsidP="003B6997">
            <w:pPr>
              <w:pStyle w:val="BStabletext"/>
              <w:jc w:val="right"/>
            </w:pPr>
            <w:r w:rsidRPr="00D61852">
              <w:rPr>
                <w:rFonts w:cs="Calibri"/>
                <w:color w:val="000000"/>
              </w:rPr>
              <w:t>1,084,475</w:t>
            </w:r>
          </w:p>
        </w:tc>
        <w:tc>
          <w:tcPr>
            <w:tcW w:w="1077" w:type="dxa"/>
            <w:shd w:val="clear" w:color="auto" w:fill="auto"/>
            <w:noWrap/>
            <w:vAlign w:val="bottom"/>
          </w:tcPr>
          <w:p w14:paraId="01346807" w14:textId="77777777" w:rsidR="00DD0834" w:rsidRPr="00D61852" w:rsidRDefault="00DD0834" w:rsidP="003B6997">
            <w:pPr>
              <w:pStyle w:val="BStabletext"/>
              <w:jc w:val="right"/>
            </w:pPr>
            <w:r w:rsidRPr="00D61852">
              <w:rPr>
                <w:rFonts w:cs="Calibri"/>
                <w:color w:val="000000"/>
              </w:rPr>
              <w:t>1,132,641</w:t>
            </w:r>
          </w:p>
        </w:tc>
        <w:tc>
          <w:tcPr>
            <w:tcW w:w="1077" w:type="dxa"/>
            <w:shd w:val="clear" w:color="auto" w:fill="auto"/>
            <w:noWrap/>
            <w:vAlign w:val="bottom"/>
          </w:tcPr>
          <w:p w14:paraId="5287853F" w14:textId="77777777" w:rsidR="00DD0834" w:rsidRPr="00D61852" w:rsidRDefault="00DD0834" w:rsidP="003B6997">
            <w:pPr>
              <w:pStyle w:val="BStabletext"/>
              <w:jc w:val="right"/>
            </w:pPr>
            <w:r w:rsidRPr="00D61852">
              <w:rPr>
                <w:rFonts w:cs="Calibri"/>
                <w:color w:val="000000"/>
              </w:rPr>
              <w:t>1,181,640</w:t>
            </w:r>
          </w:p>
        </w:tc>
      </w:tr>
      <w:tr w:rsidR="00DD0834" w:rsidRPr="006D5D15" w14:paraId="10B1A572" w14:textId="77777777" w:rsidTr="003B6997">
        <w:trPr>
          <w:tblHeader/>
          <w:jc w:val="center"/>
        </w:trPr>
        <w:tc>
          <w:tcPr>
            <w:tcW w:w="2778" w:type="dxa"/>
            <w:shd w:val="clear" w:color="auto" w:fill="auto"/>
            <w:noWrap/>
          </w:tcPr>
          <w:p w14:paraId="59A9FAAC" w14:textId="77777777" w:rsidR="00DD0834" w:rsidRPr="00E21387" w:rsidRDefault="00DD0834" w:rsidP="003B6997">
            <w:pPr>
              <w:pStyle w:val="BStabletextunbold"/>
            </w:pPr>
            <w:r w:rsidRPr="006675BD">
              <w:t>Other provisions</w:t>
            </w:r>
          </w:p>
        </w:tc>
        <w:tc>
          <w:tcPr>
            <w:tcW w:w="1077" w:type="dxa"/>
            <w:shd w:val="clear" w:color="auto" w:fill="auto"/>
          </w:tcPr>
          <w:p w14:paraId="690273D2" w14:textId="77777777" w:rsidR="00DD0834" w:rsidRPr="00D61852" w:rsidRDefault="00DD0834" w:rsidP="003B6997">
            <w:pPr>
              <w:pStyle w:val="BStabletext"/>
              <w:jc w:val="right"/>
            </w:pPr>
            <w:r w:rsidRPr="00D61852">
              <w:t>921,445</w:t>
            </w:r>
          </w:p>
        </w:tc>
        <w:tc>
          <w:tcPr>
            <w:tcW w:w="1077" w:type="dxa"/>
            <w:shd w:val="clear" w:color="auto" w:fill="auto"/>
            <w:noWrap/>
          </w:tcPr>
          <w:p w14:paraId="1E22293D" w14:textId="77777777" w:rsidR="00DD0834" w:rsidRPr="00D61852" w:rsidRDefault="00DD0834" w:rsidP="003B6997">
            <w:pPr>
              <w:pStyle w:val="BStabletext"/>
              <w:jc w:val="right"/>
            </w:pPr>
            <w:r w:rsidRPr="00D61852">
              <w:t>1,106,113</w:t>
            </w:r>
          </w:p>
        </w:tc>
        <w:tc>
          <w:tcPr>
            <w:tcW w:w="1077" w:type="dxa"/>
            <w:shd w:val="clear" w:color="auto" w:fill="auto"/>
            <w:noWrap/>
            <w:vAlign w:val="bottom"/>
          </w:tcPr>
          <w:p w14:paraId="1F94DCDB" w14:textId="77777777" w:rsidR="00DD0834" w:rsidRPr="00D61852" w:rsidRDefault="00DD0834" w:rsidP="003B6997">
            <w:pPr>
              <w:pStyle w:val="BStabletext"/>
              <w:jc w:val="right"/>
            </w:pPr>
            <w:r w:rsidRPr="00D61852">
              <w:rPr>
                <w:rFonts w:cs="Calibri"/>
                <w:color w:val="000000"/>
              </w:rPr>
              <w:t>1,116,205</w:t>
            </w:r>
          </w:p>
        </w:tc>
        <w:tc>
          <w:tcPr>
            <w:tcW w:w="1077" w:type="dxa"/>
            <w:shd w:val="clear" w:color="auto" w:fill="auto"/>
            <w:noWrap/>
            <w:vAlign w:val="bottom"/>
          </w:tcPr>
          <w:p w14:paraId="2CE99347" w14:textId="77777777" w:rsidR="00DD0834" w:rsidRPr="00D61852" w:rsidRDefault="00DD0834" w:rsidP="003B6997">
            <w:pPr>
              <w:pStyle w:val="BStabletext"/>
              <w:jc w:val="right"/>
            </w:pPr>
            <w:r w:rsidRPr="00D61852">
              <w:rPr>
                <w:rFonts w:cs="Calibri"/>
                <w:color w:val="000000"/>
              </w:rPr>
              <w:t>1,134,101</w:t>
            </w:r>
          </w:p>
        </w:tc>
        <w:tc>
          <w:tcPr>
            <w:tcW w:w="1077" w:type="dxa"/>
            <w:shd w:val="clear" w:color="auto" w:fill="auto"/>
            <w:noWrap/>
            <w:vAlign w:val="bottom"/>
          </w:tcPr>
          <w:p w14:paraId="17C3DCD8" w14:textId="77777777" w:rsidR="00DD0834" w:rsidRPr="00D61852" w:rsidRDefault="00DD0834" w:rsidP="003B6997">
            <w:pPr>
              <w:pStyle w:val="BStabletext"/>
              <w:jc w:val="right"/>
            </w:pPr>
            <w:r w:rsidRPr="00D61852">
              <w:rPr>
                <w:rFonts w:cs="Calibri"/>
                <w:color w:val="000000"/>
              </w:rPr>
              <w:t>1,157,086</w:t>
            </w:r>
          </w:p>
        </w:tc>
        <w:tc>
          <w:tcPr>
            <w:tcW w:w="1077" w:type="dxa"/>
            <w:shd w:val="clear" w:color="auto" w:fill="auto"/>
            <w:noWrap/>
            <w:vAlign w:val="bottom"/>
          </w:tcPr>
          <w:p w14:paraId="4FFBF9F9" w14:textId="77777777" w:rsidR="00DD0834" w:rsidRPr="00D61852" w:rsidRDefault="00DD0834" w:rsidP="003B6997">
            <w:pPr>
              <w:pStyle w:val="BStabletext"/>
              <w:jc w:val="right"/>
            </w:pPr>
            <w:r w:rsidRPr="00D61852">
              <w:rPr>
                <w:rFonts w:cs="Calibri"/>
                <w:color w:val="000000"/>
              </w:rPr>
              <w:t>1,188,751</w:t>
            </w:r>
          </w:p>
        </w:tc>
      </w:tr>
      <w:tr w:rsidR="00DD0834" w:rsidRPr="006D5D15" w14:paraId="2F55AEA5" w14:textId="77777777" w:rsidTr="003B6997">
        <w:trPr>
          <w:tblHeader/>
          <w:jc w:val="center"/>
        </w:trPr>
        <w:tc>
          <w:tcPr>
            <w:tcW w:w="2778" w:type="dxa"/>
            <w:shd w:val="clear" w:color="auto" w:fill="auto"/>
            <w:noWrap/>
          </w:tcPr>
          <w:p w14:paraId="0A24ADAE" w14:textId="77777777" w:rsidR="00DD0834" w:rsidRPr="00E21387" w:rsidRDefault="00DD0834" w:rsidP="003B6997">
            <w:pPr>
              <w:pStyle w:val="BStabletextunbold"/>
            </w:pPr>
            <w:r w:rsidRPr="006675BD">
              <w:t>Payables</w:t>
            </w:r>
          </w:p>
        </w:tc>
        <w:tc>
          <w:tcPr>
            <w:tcW w:w="1077" w:type="dxa"/>
            <w:shd w:val="clear" w:color="auto" w:fill="auto"/>
          </w:tcPr>
          <w:p w14:paraId="3C27A695" w14:textId="77777777" w:rsidR="00DD0834" w:rsidRPr="00D61852" w:rsidRDefault="00DD0834" w:rsidP="003B6997">
            <w:pPr>
              <w:pStyle w:val="BStabletext"/>
              <w:jc w:val="right"/>
            </w:pPr>
            <w:r w:rsidRPr="00D61852">
              <w:t>393,894</w:t>
            </w:r>
          </w:p>
        </w:tc>
        <w:tc>
          <w:tcPr>
            <w:tcW w:w="1077" w:type="dxa"/>
            <w:shd w:val="clear" w:color="auto" w:fill="auto"/>
            <w:noWrap/>
          </w:tcPr>
          <w:p w14:paraId="582E68B6" w14:textId="77777777" w:rsidR="00DD0834" w:rsidRPr="00D61852" w:rsidRDefault="00DD0834" w:rsidP="003B6997">
            <w:pPr>
              <w:pStyle w:val="BStabletext"/>
              <w:jc w:val="right"/>
            </w:pPr>
            <w:r w:rsidRPr="00D61852">
              <w:t>445,243</w:t>
            </w:r>
          </w:p>
        </w:tc>
        <w:tc>
          <w:tcPr>
            <w:tcW w:w="1077" w:type="dxa"/>
            <w:shd w:val="clear" w:color="auto" w:fill="auto"/>
            <w:noWrap/>
            <w:vAlign w:val="bottom"/>
          </w:tcPr>
          <w:p w14:paraId="0773EC02" w14:textId="77777777" w:rsidR="00DD0834" w:rsidRPr="00D61852" w:rsidRDefault="00DD0834" w:rsidP="003B6997">
            <w:pPr>
              <w:pStyle w:val="BStabletext"/>
              <w:jc w:val="right"/>
            </w:pPr>
            <w:r w:rsidRPr="00D61852">
              <w:rPr>
                <w:rFonts w:cs="Calibri"/>
                <w:color w:val="000000"/>
              </w:rPr>
              <w:t>447,500</w:t>
            </w:r>
          </w:p>
        </w:tc>
        <w:tc>
          <w:tcPr>
            <w:tcW w:w="1077" w:type="dxa"/>
            <w:shd w:val="clear" w:color="auto" w:fill="auto"/>
            <w:noWrap/>
            <w:vAlign w:val="bottom"/>
          </w:tcPr>
          <w:p w14:paraId="0531ACB2" w14:textId="77777777" w:rsidR="00DD0834" w:rsidRPr="00D61852" w:rsidRDefault="00DD0834" w:rsidP="003B6997">
            <w:pPr>
              <w:pStyle w:val="BStabletext"/>
              <w:jc w:val="right"/>
            </w:pPr>
            <w:r w:rsidRPr="00D61852">
              <w:rPr>
                <w:rFonts w:cs="Calibri"/>
                <w:color w:val="000000"/>
              </w:rPr>
              <w:t>467,396</w:t>
            </w:r>
          </w:p>
        </w:tc>
        <w:tc>
          <w:tcPr>
            <w:tcW w:w="1077" w:type="dxa"/>
            <w:shd w:val="clear" w:color="auto" w:fill="auto"/>
            <w:noWrap/>
            <w:vAlign w:val="bottom"/>
          </w:tcPr>
          <w:p w14:paraId="5DBAE355" w14:textId="77777777" w:rsidR="00DD0834" w:rsidRPr="00D61852" w:rsidRDefault="00DD0834" w:rsidP="003B6997">
            <w:pPr>
              <w:pStyle w:val="BStabletext"/>
              <w:jc w:val="right"/>
            </w:pPr>
            <w:r w:rsidRPr="00D61852">
              <w:rPr>
                <w:rFonts w:cs="Calibri"/>
                <w:color w:val="000000"/>
              </w:rPr>
              <w:t>494,043</w:t>
            </w:r>
          </w:p>
        </w:tc>
        <w:tc>
          <w:tcPr>
            <w:tcW w:w="1077" w:type="dxa"/>
            <w:shd w:val="clear" w:color="auto" w:fill="auto"/>
            <w:noWrap/>
            <w:vAlign w:val="bottom"/>
          </w:tcPr>
          <w:p w14:paraId="65B01655" w14:textId="77777777" w:rsidR="00DD0834" w:rsidRPr="00D61852" w:rsidRDefault="00DD0834" w:rsidP="003B6997">
            <w:pPr>
              <w:pStyle w:val="BStabletext"/>
              <w:jc w:val="right"/>
            </w:pPr>
            <w:r w:rsidRPr="00D61852">
              <w:rPr>
                <w:rFonts w:cs="Calibri"/>
                <w:color w:val="000000"/>
              </w:rPr>
              <w:t>484,146</w:t>
            </w:r>
          </w:p>
        </w:tc>
      </w:tr>
      <w:tr w:rsidR="00DD0834" w:rsidRPr="006D5D15" w14:paraId="51DF2231" w14:textId="77777777" w:rsidTr="003B6997">
        <w:trPr>
          <w:tblHeader/>
          <w:jc w:val="center"/>
        </w:trPr>
        <w:tc>
          <w:tcPr>
            <w:tcW w:w="2778" w:type="dxa"/>
            <w:shd w:val="clear" w:color="auto" w:fill="auto"/>
            <w:noWrap/>
          </w:tcPr>
          <w:p w14:paraId="0519BBC6" w14:textId="77777777" w:rsidR="00DD0834" w:rsidRPr="00550D36" w:rsidRDefault="00DD0834" w:rsidP="003B6997">
            <w:pPr>
              <w:pStyle w:val="BStabletextunbold"/>
            </w:pPr>
            <w:r w:rsidRPr="00550D36">
              <w:t>Contract liabilities</w:t>
            </w:r>
          </w:p>
        </w:tc>
        <w:tc>
          <w:tcPr>
            <w:tcW w:w="1077" w:type="dxa"/>
            <w:shd w:val="clear" w:color="auto" w:fill="auto"/>
          </w:tcPr>
          <w:p w14:paraId="47454783" w14:textId="77777777" w:rsidR="00DD0834" w:rsidRPr="00D61852" w:rsidRDefault="00DD0834" w:rsidP="003B6997">
            <w:pPr>
              <w:pStyle w:val="BStabletext"/>
              <w:jc w:val="right"/>
            </w:pPr>
            <w:r w:rsidRPr="00D61852">
              <w:t>31,930</w:t>
            </w:r>
          </w:p>
        </w:tc>
        <w:tc>
          <w:tcPr>
            <w:tcW w:w="1077" w:type="dxa"/>
            <w:shd w:val="clear" w:color="auto" w:fill="auto"/>
            <w:noWrap/>
          </w:tcPr>
          <w:p w14:paraId="47D5495A" w14:textId="77777777" w:rsidR="00DD0834" w:rsidRPr="00D61852" w:rsidRDefault="00DD0834" w:rsidP="003B6997">
            <w:pPr>
              <w:pStyle w:val="BStabletext"/>
              <w:jc w:val="right"/>
            </w:pPr>
            <w:r w:rsidRPr="00D61852">
              <w:t>30,731</w:t>
            </w:r>
          </w:p>
        </w:tc>
        <w:tc>
          <w:tcPr>
            <w:tcW w:w="1077" w:type="dxa"/>
            <w:shd w:val="clear" w:color="auto" w:fill="auto"/>
            <w:noWrap/>
            <w:vAlign w:val="bottom"/>
          </w:tcPr>
          <w:p w14:paraId="5C6BD696" w14:textId="77777777" w:rsidR="00DD0834" w:rsidRPr="00D61852" w:rsidRDefault="00DD0834" w:rsidP="003B6997">
            <w:pPr>
              <w:pStyle w:val="BStabletext"/>
              <w:jc w:val="right"/>
            </w:pPr>
            <w:r w:rsidRPr="00D61852">
              <w:rPr>
                <w:rFonts w:cs="Calibri"/>
                <w:color w:val="000000"/>
              </w:rPr>
              <w:t>33,751</w:t>
            </w:r>
          </w:p>
        </w:tc>
        <w:tc>
          <w:tcPr>
            <w:tcW w:w="1077" w:type="dxa"/>
            <w:shd w:val="clear" w:color="auto" w:fill="auto"/>
            <w:noWrap/>
            <w:vAlign w:val="bottom"/>
          </w:tcPr>
          <w:p w14:paraId="301430FA" w14:textId="77777777" w:rsidR="00DD0834" w:rsidRPr="00D61852" w:rsidRDefault="00DD0834" w:rsidP="003B6997">
            <w:pPr>
              <w:pStyle w:val="BStabletext"/>
              <w:jc w:val="right"/>
            </w:pPr>
            <w:r w:rsidRPr="00D61852">
              <w:rPr>
                <w:rFonts w:cs="Calibri"/>
                <w:color w:val="000000"/>
              </w:rPr>
              <w:t>34,173</w:t>
            </w:r>
          </w:p>
        </w:tc>
        <w:tc>
          <w:tcPr>
            <w:tcW w:w="1077" w:type="dxa"/>
            <w:shd w:val="clear" w:color="auto" w:fill="auto"/>
            <w:noWrap/>
            <w:vAlign w:val="bottom"/>
          </w:tcPr>
          <w:p w14:paraId="11A7C3A9" w14:textId="77777777" w:rsidR="00DD0834" w:rsidRPr="00D61852" w:rsidRDefault="00DD0834" w:rsidP="003B6997">
            <w:pPr>
              <w:pStyle w:val="BStabletext"/>
              <w:jc w:val="right"/>
            </w:pPr>
            <w:r w:rsidRPr="00D61852">
              <w:rPr>
                <w:rFonts w:cs="Calibri"/>
                <w:color w:val="000000"/>
              </w:rPr>
              <w:t>34,754</w:t>
            </w:r>
          </w:p>
        </w:tc>
        <w:tc>
          <w:tcPr>
            <w:tcW w:w="1077" w:type="dxa"/>
            <w:shd w:val="clear" w:color="auto" w:fill="auto"/>
            <w:noWrap/>
            <w:vAlign w:val="bottom"/>
          </w:tcPr>
          <w:p w14:paraId="6C09DFE4" w14:textId="77777777" w:rsidR="00DD0834" w:rsidRPr="00D61852" w:rsidRDefault="00DD0834" w:rsidP="003B6997">
            <w:pPr>
              <w:pStyle w:val="BStabletext"/>
              <w:jc w:val="right"/>
            </w:pPr>
            <w:r w:rsidRPr="00D61852">
              <w:rPr>
                <w:rFonts w:cs="Calibri"/>
                <w:color w:val="000000"/>
              </w:rPr>
              <w:t>35,335</w:t>
            </w:r>
          </w:p>
        </w:tc>
      </w:tr>
      <w:tr w:rsidR="00DD0834" w:rsidRPr="006D5D15" w14:paraId="13F65E9B" w14:textId="77777777" w:rsidTr="003B6997">
        <w:trPr>
          <w:tblHeader/>
          <w:jc w:val="center"/>
        </w:trPr>
        <w:tc>
          <w:tcPr>
            <w:tcW w:w="2778" w:type="dxa"/>
            <w:tcBorders>
              <w:bottom w:val="single" w:sz="4" w:space="0" w:color="auto"/>
            </w:tcBorders>
            <w:shd w:val="clear" w:color="auto" w:fill="auto"/>
            <w:noWrap/>
          </w:tcPr>
          <w:p w14:paraId="782F8F15" w14:textId="77777777" w:rsidR="00DD0834" w:rsidRPr="00E21387" w:rsidRDefault="00DD0834" w:rsidP="003B6997">
            <w:pPr>
              <w:pStyle w:val="BStabletextunbold"/>
            </w:pPr>
            <w:r w:rsidRPr="006675BD">
              <w:t>Other liabilities</w:t>
            </w:r>
          </w:p>
        </w:tc>
        <w:tc>
          <w:tcPr>
            <w:tcW w:w="1077" w:type="dxa"/>
            <w:tcBorders>
              <w:bottom w:val="single" w:sz="4" w:space="0" w:color="auto"/>
            </w:tcBorders>
            <w:shd w:val="clear" w:color="auto" w:fill="auto"/>
          </w:tcPr>
          <w:p w14:paraId="53911E4D" w14:textId="77777777" w:rsidR="00DD0834" w:rsidRPr="00D61852" w:rsidRDefault="00DD0834" w:rsidP="003B6997">
            <w:pPr>
              <w:pStyle w:val="BStabletext"/>
              <w:jc w:val="right"/>
            </w:pPr>
            <w:r w:rsidRPr="00D61852">
              <w:t>51,317</w:t>
            </w:r>
          </w:p>
        </w:tc>
        <w:tc>
          <w:tcPr>
            <w:tcW w:w="1077" w:type="dxa"/>
            <w:tcBorders>
              <w:bottom w:val="single" w:sz="4" w:space="0" w:color="auto"/>
            </w:tcBorders>
            <w:shd w:val="clear" w:color="auto" w:fill="auto"/>
            <w:noWrap/>
          </w:tcPr>
          <w:p w14:paraId="01444B9D" w14:textId="77777777" w:rsidR="00DD0834" w:rsidRPr="00D61852" w:rsidRDefault="00DD0834" w:rsidP="003B6997">
            <w:pPr>
              <w:pStyle w:val="BStabletext"/>
              <w:jc w:val="right"/>
            </w:pPr>
            <w:r w:rsidRPr="00D61852">
              <w:t>41,651</w:t>
            </w:r>
          </w:p>
        </w:tc>
        <w:tc>
          <w:tcPr>
            <w:tcW w:w="1077" w:type="dxa"/>
            <w:tcBorders>
              <w:bottom w:val="single" w:sz="4" w:space="0" w:color="auto"/>
            </w:tcBorders>
            <w:shd w:val="clear" w:color="auto" w:fill="auto"/>
            <w:noWrap/>
            <w:vAlign w:val="bottom"/>
          </w:tcPr>
          <w:p w14:paraId="34157F22" w14:textId="77777777" w:rsidR="00DD0834" w:rsidRPr="00D61852" w:rsidRDefault="00DD0834" w:rsidP="003B6997">
            <w:pPr>
              <w:pStyle w:val="BStabletext"/>
              <w:jc w:val="right"/>
            </w:pPr>
            <w:r w:rsidRPr="00D61852">
              <w:rPr>
                <w:rFonts w:cs="Calibri"/>
                <w:color w:val="000000"/>
              </w:rPr>
              <w:t>32,163</w:t>
            </w:r>
          </w:p>
        </w:tc>
        <w:tc>
          <w:tcPr>
            <w:tcW w:w="1077" w:type="dxa"/>
            <w:tcBorders>
              <w:bottom w:val="single" w:sz="4" w:space="0" w:color="auto"/>
            </w:tcBorders>
            <w:shd w:val="clear" w:color="auto" w:fill="auto"/>
            <w:noWrap/>
            <w:vAlign w:val="bottom"/>
          </w:tcPr>
          <w:p w14:paraId="37BAFE90" w14:textId="77777777" w:rsidR="00DD0834" w:rsidRPr="00D61852" w:rsidRDefault="00DD0834" w:rsidP="003B6997">
            <w:pPr>
              <w:pStyle w:val="BStabletext"/>
              <w:jc w:val="right"/>
            </w:pPr>
            <w:r w:rsidRPr="00D61852">
              <w:rPr>
                <w:rFonts w:cs="Calibri"/>
                <w:color w:val="000000"/>
              </w:rPr>
              <w:t>30,224</w:t>
            </w:r>
          </w:p>
        </w:tc>
        <w:tc>
          <w:tcPr>
            <w:tcW w:w="1077" w:type="dxa"/>
            <w:tcBorders>
              <w:bottom w:val="single" w:sz="4" w:space="0" w:color="auto"/>
            </w:tcBorders>
            <w:shd w:val="clear" w:color="auto" w:fill="auto"/>
            <w:noWrap/>
            <w:vAlign w:val="bottom"/>
          </w:tcPr>
          <w:p w14:paraId="1BC4BD08" w14:textId="77777777" w:rsidR="00DD0834" w:rsidRPr="00D61852" w:rsidRDefault="00DD0834" w:rsidP="003B6997">
            <w:pPr>
              <w:pStyle w:val="BStabletext"/>
              <w:jc w:val="right"/>
            </w:pPr>
            <w:r w:rsidRPr="00D61852">
              <w:rPr>
                <w:rFonts w:cs="Calibri"/>
                <w:color w:val="000000"/>
              </w:rPr>
              <w:t>28,351</w:t>
            </w:r>
          </w:p>
        </w:tc>
        <w:tc>
          <w:tcPr>
            <w:tcW w:w="1077" w:type="dxa"/>
            <w:tcBorders>
              <w:bottom w:val="single" w:sz="4" w:space="0" w:color="auto"/>
            </w:tcBorders>
            <w:shd w:val="clear" w:color="auto" w:fill="auto"/>
            <w:noWrap/>
            <w:vAlign w:val="bottom"/>
          </w:tcPr>
          <w:p w14:paraId="6594AE7A" w14:textId="77777777" w:rsidR="00DD0834" w:rsidRPr="00D61852" w:rsidRDefault="00DD0834" w:rsidP="003B6997">
            <w:pPr>
              <w:pStyle w:val="BStabletext"/>
              <w:jc w:val="right"/>
            </w:pPr>
            <w:r w:rsidRPr="00D61852">
              <w:rPr>
                <w:rFonts w:cs="Calibri"/>
                <w:color w:val="000000"/>
              </w:rPr>
              <w:t>26,499</w:t>
            </w:r>
          </w:p>
        </w:tc>
      </w:tr>
      <w:tr w:rsidR="00DD0834" w:rsidRPr="0098008D" w14:paraId="63D332C0" w14:textId="77777777" w:rsidTr="003B6997">
        <w:trPr>
          <w:tblHeader/>
          <w:jc w:val="center"/>
        </w:trPr>
        <w:tc>
          <w:tcPr>
            <w:tcW w:w="2778" w:type="dxa"/>
            <w:tcBorders>
              <w:top w:val="single" w:sz="4" w:space="0" w:color="auto"/>
              <w:bottom w:val="single" w:sz="4" w:space="0" w:color="auto"/>
            </w:tcBorders>
            <w:shd w:val="clear" w:color="auto" w:fill="auto"/>
            <w:noWrap/>
          </w:tcPr>
          <w:p w14:paraId="6D982371" w14:textId="77777777" w:rsidR="00DD0834" w:rsidRPr="00550D36" w:rsidRDefault="00DD0834" w:rsidP="003B6997">
            <w:pPr>
              <w:pStyle w:val="BStabletextbold"/>
              <w:rPr>
                <w:color w:val="472D8C"/>
              </w:rPr>
            </w:pPr>
            <w:r w:rsidRPr="00550D36">
              <w:rPr>
                <w:color w:val="472D8C"/>
              </w:rPr>
              <w:t>Total liabilities</w:t>
            </w:r>
          </w:p>
        </w:tc>
        <w:tc>
          <w:tcPr>
            <w:tcW w:w="1077" w:type="dxa"/>
            <w:tcBorders>
              <w:top w:val="single" w:sz="4" w:space="0" w:color="auto"/>
              <w:bottom w:val="single" w:sz="4" w:space="0" w:color="auto"/>
            </w:tcBorders>
            <w:shd w:val="clear" w:color="auto" w:fill="auto"/>
          </w:tcPr>
          <w:p w14:paraId="00949CAB" w14:textId="77777777" w:rsidR="00DD0834" w:rsidRPr="00D61852" w:rsidRDefault="00DD0834" w:rsidP="003B6997">
            <w:pPr>
              <w:pStyle w:val="BStabletextbold"/>
              <w:jc w:val="right"/>
              <w:rPr>
                <w:color w:val="472D8C"/>
              </w:rPr>
            </w:pPr>
            <w:r w:rsidRPr="00D61852">
              <w:rPr>
                <w:color w:val="472D8C"/>
              </w:rPr>
              <w:t>20,243,584</w:t>
            </w:r>
          </w:p>
        </w:tc>
        <w:tc>
          <w:tcPr>
            <w:tcW w:w="1077" w:type="dxa"/>
            <w:tcBorders>
              <w:top w:val="single" w:sz="4" w:space="0" w:color="auto"/>
              <w:bottom w:val="single" w:sz="4" w:space="0" w:color="auto"/>
            </w:tcBorders>
            <w:shd w:val="clear" w:color="auto" w:fill="auto"/>
            <w:noWrap/>
          </w:tcPr>
          <w:p w14:paraId="604AEDEA" w14:textId="77777777" w:rsidR="00DD0834" w:rsidRPr="00D61852" w:rsidRDefault="00DD0834" w:rsidP="003B6997">
            <w:pPr>
              <w:pStyle w:val="BStabletextbold"/>
              <w:jc w:val="right"/>
              <w:rPr>
                <w:color w:val="472D8C"/>
              </w:rPr>
            </w:pPr>
            <w:r w:rsidRPr="00D61852">
              <w:rPr>
                <w:color w:val="472D8C"/>
              </w:rPr>
              <w:t>25,324,128</w:t>
            </w:r>
          </w:p>
        </w:tc>
        <w:tc>
          <w:tcPr>
            <w:tcW w:w="1077" w:type="dxa"/>
            <w:tcBorders>
              <w:top w:val="single" w:sz="4" w:space="0" w:color="auto"/>
              <w:bottom w:val="single" w:sz="4" w:space="0" w:color="auto"/>
            </w:tcBorders>
            <w:shd w:val="clear" w:color="auto" w:fill="auto"/>
            <w:noWrap/>
            <w:vAlign w:val="bottom"/>
          </w:tcPr>
          <w:p w14:paraId="359600C7" w14:textId="77777777" w:rsidR="00DD0834" w:rsidRPr="00D61852" w:rsidRDefault="00DD0834" w:rsidP="003B6997">
            <w:pPr>
              <w:pStyle w:val="BStabletextbold"/>
              <w:jc w:val="right"/>
              <w:rPr>
                <w:color w:val="472D8C"/>
              </w:rPr>
            </w:pPr>
            <w:r w:rsidRPr="00D61852">
              <w:rPr>
                <w:color w:val="472D8C"/>
              </w:rPr>
              <w:t>23,983,258</w:t>
            </w:r>
          </w:p>
        </w:tc>
        <w:tc>
          <w:tcPr>
            <w:tcW w:w="1077" w:type="dxa"/>
            <w:tcBorders>
              <w:top w:val="single" w:sz="4" w:space="0" w:color="auto"/>
              <w:bottom w:val="single" w:sz="4" w:space="0" w:color="auto"/>
            </w:tcBorders>
            <w:shd w:val="clear" w:color="auto" w:fill="auto"/>
            <w:noWrap/>
            <w:vAlign w:val="bottom"/>
          </w:tcPr>
          <w:p w14:paraId="56A89E45" w14:textId="77777777" w:rsidR="00DD0834" w:rsidRPr="00D61852" w:rsidRDefault="00DD0834" w:rsidP="003B6997">
            <w:pPr>
              <w:pStyle w:val="BStabletextbold"/>
              <w:jc w:val="right"/>
              <w:rPr>
                <w:color w:val="472D8C"/>
              </w:rPr>
            </w:pPr>
            <w:r w:rsidRPr="00D61852">
              <w:rPr>
                <w:color w:val="472D8C"/>
              </w:rPr>
              <w:t>24,974,282</w:t>
            </w:r>
          </w:p>
        </w:tc>
        <w:tc>
          <w:tcPr>
            <w:tcW w:w="1077" w:type="dxa"/>
            <w:tcBorders>
              <w:top w:val="single" w:sz="4" w:space="0" w:color="auto"/>
              <w:bottom w:val="single" w:sz="4" w:space="0" w:color="auto"/>
            </w:tcBorders>
            <w:shd w:val="clear" w:color="auto" w:fill="auto"/>
            <w:noWrap/>
            <w:vAlign w:val="bottom"/>
          </w:tcPr>
          <w:p w14:paraId="1DCC9DF3" w14:textId="77777777" w:rsidR="00DD0834" w:rsidRPr="00D61852" w:rsidRDefault="00DD0834" w:rsidP="003B6997">
            <w:pPr>
              <w:pStyle w:val="BStabletextbold"/>
              <w:jc w:val="right"/>
              <w:rPr>
                <w:color w:val="472D8C"/>
              </w:rPr>
            </w:pPr>
            <w:r w:rsidRPr="00D61852">
              <w:rPr>
                <w:color w:val="472D8C"/>
              </w:rPr>
              <w:t>27,337,863</w:t>
            </w:r>
          </w:p>
        </w:tc>
        <w:tc>
          <w:tcPr>
            <w:tcW w:w="1077" w:type="dxa"/>
            <w:tcBorders>
              <w:top w:val="single" w:sz="4" w:space="0" w:color="auto"/>
              <w:bottom w:val="single" w:sz="4" w:space="0" w:color="auto"/>
            </w:tcBorders>
            <w:shd w:val="clear" w:color="auto" w:fill="auto"/>
            <w:noWrap/>
            <w:vAlign w:val="bottom"/>
          </w:tcPr>
          <w:p w14:paraId="4DD447CC" w14:textId="77777777" w:rsidR="00DD0834" w:rsidRPr="00D61852" w:rsidRDefault="00DD0834" w:rsidP="003B6997">
            <w:pPr>
              <w:pStyle w:val="BStabletextbold"/>
              <w:jc w:val="right"/>
              <w:rPr>
                <w:color w:val="472D8C"/>
              </w:rPr>
            </w:pPr>
            <w:r w:rsidRPr="00D61852">
              <w:rPr>
                <w:color w:val="472D8C"/>
              </w:rPr>
              <w:t>28,592,611</w:t>
            </w:r>
          </w:p>
        </w:tc>
      </w:tr>
      <w:tr w:rsidR="00DD0834" w:rsidRPr="0098008D" w14:paraId="1F661693" w14:textId="77777777" w:rsidTr="003B6997">
        <w:trPr>
          <w:tblHeader/>
          <w:jc w:val="center"/>
        </w:trPr>
        <w:tc>
          <w:tcPr>
            <w:tcW w:w="2778" w:type="dxa"/>
            <w:tcBorders>
              <w:top w:val="single" w:sz="4" w:space="0" w:color="auto"/>
              <w:bottom w:val="single" w:sz="4" w:space="0" w:color="auto"/>
            </w:tcBorders>
            <w:shd w:val="clear" w:color="auto" w:fill="auto"/>
            <w:noWrap/>
          </w:tcPr>
          <w:p w14:paraId="384EE131" w14:textId="77777777" w:rsidR="00DD0834" w:rsidRPr="00550D36" w:rsidRDefault="00DD0834" w:rsidP="003B6997">
            <w:pPr>
              <w:pStyle w:val="BStabletextbold"/>
              <w:rPr>
                <w:color w:val="472D8C"/>
              </w:rPr>
            </w:pPr>
            <w:r w:rsidRPr="00550D36">
              <w:rPr>
                <w:color w:val="472D8C"/>
              </w:rPr>
              <w:t>Net assets</w:t>
            </w:r>
          </w:p>
        </w:tc>
        <w:tc>
          <w:tcPr>
            <w:tcW w:w="1077" w:type="dxa"/>
            <w:tcBorders>
              <w:top w:val="single" w:sz="4" w:space="0" w:color="auto"/>
              <w:bottom w:val="single" w:sz="4" w:space="0" w:color="auto"/>
            </w:tcBorders>
            <w:shd w:val="clear" w:color="auto" w:fill="auto"/>
          </w:tcPr>
          <w:p w14:paraId="4521EECA" w14:textId="77777777" w:rsidR="00DD0834" w:rsidRPr="00D61852" w:rsidRDefault="00DD0834" w:rsidP="003B6997">
            <w:pPr>
              <w:pStyle w:val="BStabletextbold"/>
              <w:jc w:val="right"/>
              <w:rPr>
                <w:color w:val="472D8C"/>
              </w:rPr>
            </w:pPr>
            <w:r w:rsidRPr="00D61852">
              <w:rPr>
                <w:color w:val="472D8C"/>
              </w:rPr>
              <w:t>17,166,041</w:t>
            </w:r>
          </w:p>
        </w:tc>
        <w:tc>
          <w:tcPr>
            <w:tcW w:w="1077" w:type="dxa"/>
            <w:tcBorders>
              <w:top w:val="single" w:sz="4" w:space="0" w:color="auto"/>
              <w:bottom w:val="single" w:sz="4" w:space="0" w:color="auto"/>
            </w:tcBorders>
            <w:shd w:val="clear" w:color="auto" w:fill="auto"/>
            <w:noWrap/>
          </w:tcPr>
          <w:p w14:paraId="41D29AFE" w14:textId="77777777" w:rsidR="00DD0834" w:rsidRPr="00D61852" w:rsidRDefault="00DD0834" w:rsidP="003B6997">
            <w:pPr>
              <w:pStyle w:val="BStabletextbold"/>
              <w:jc w:val="right"/>
              <w:rPr>
                <w:color w:val="472D8C"/>
              </w:rPr>
            </w:pPr>
            <w:r w:rsidRPr="00D61852">
              <w:rPr>
                <w:color w:val="472D8C"/>
              </w:rPr>
              <w:t>14,141,229</w:t>
            </w:r>
          </w:p>
        </w:tc>
        <w:tc>
          <w:tcPr>
            <w:tcW w:w="1077" w:type="dxa"/>
            <w:tcBorders>
              <w:top w:val="single" w:sz="4" w:space="0" w:color="auto"/>
              <w:bottom w:val="single" w:sz="4" w:space="0" w:color="auto"/>
            </w:tcBorders>
            <w:shd w:val="clear" w:color="auto" w:fill="auto"/>
            <w:noWrap/>
            <w:vAlign w:val="bottom"/>
          </w:tcPr>
          <w:p w14:paraId="4790D36C" w14:textId="77777777" w:rsidR="00DD0834" w:rsidRPr="00D61852" w:rsidRDefault="00DD0834" w:rsidP="003B6997">
            <w:pPr>
              <w:pStyle w:val="BStabletextbold"/>
              <w:jc w:val="right"/>
              <w:rPr>
                <w:color w:val="472D8C"/>
              </w:rPr>
            </w:pPr>
            <w:r w:rsidRPr="00D61852">
              <w:rPr>
                <w:color w:val="472D8C"/>
              </w:rPr>
              <w:t>16,448,395</w:t>
            </w:r>
          </w:p>
        </w:tc>
        <w:tc>
          <w:tcPr>
            <w:tcW w:w="1077" w:type="dxa"/>
            <w:tcBorders>
              <w:top w:val="single" w:sz="4" w:space="0" w:color="auto"/>
              <w:bottom w:val="single" w:sz="4" w:space="0" w:color="auto"/>
            </w:tcBorders>
            <w:shd w:val="clear" w:color="auto" w:fill="auto"/>
            <w:noWrap/>
            <w:vAlign w:val="bottom"/>
          </w:tcPr>
          <w:p w14:paraId="1A0BA536" w14:textId="77777777" w:rsidR="00DD0834" w:rsidRPr="00D61852" w:rsidRDefault="00DD0834" w:rsidP="003B6997">
            <w:pPr>
              <w:pStyle w:val="BStabletextbold"/>
              <w:jc w:val="right"/>
              <w:rPr>
                <w:color w:val="472D8C"/>
              </w:rPr>
            </w:pPr>
            <w:r w:rsidRPr="00D61852">
              <w:rPr>
                <w:color w:val="472D8C"/>
              </w:rPr>
              <w:t>15,787,119</w:t>
            </w:r>
          </w:p>
        </w:tc>
        <w:tc>
          <w:tcPr>
            <w:tcW w:w="1077" w:type="dxa"/>
            <w:tcBorders>
              <w:top w:val="single" w:sz="4" w:space="0" w:color="auto"/>
              <w:bottom w:val="single" w:sz="4" w:space="0" w:color="auto"/>
            </w:tcBorders>
            <w:shd w:val="clear" w:color="auto" w:fill="auto"/>
            <w:noWrap/>
            <w:vAlign w:val="bottom"/>
          </w:tcPr>
          <w:p w14:paraId="4BCDCD53" w14:textId="77777777" w:rsidR="00DD0834" w:rsidRPr="00D61852" w:rsidRDefault="00DD0834" w:rsidP="003B6997">
            <w:pPr>
              <w:pStyle w:val="BStabletextbold"/>
              <w:jc w:val="right"/>
              <w:rPr>
                <w:color w:val="472D8C"/>
              </w:rPr>
            </w:pPr>
            <w:r w:rsidRPr="00D61852">
              <w:rPr>
                <w:color w:val="472D8C"/>
              </w:rPr>
              <w:t>15,393,101</w:t>
            </w:r>
          </w:p>
        </w:tc>
        <w:tc>
          <w:tcPr>
            <w:tcW w:w="1077" w:type="dxa"/>
            <w:tcBorders>
              <w:top w:val="single" w:sz="4" w:space="0" w:color="auto"/>
              <w:bottom w:val="single" w:sz="4" w:space="0" w:color="auto"/>
            </w:tcBorders>
            <w:shd w:val="clear" w:color="auto" w:fill="auto"/>
            <w:noWrap/>
            <w:vAlign w:val="bottom"/>
          </w:tcPr>
          <w:p w14:paraId="314AD8A6" w14:textId="77777777" w:rsidR="00DD0834" w:rsidRPr="00D61852" w:rsidRDefault="00DD0834" w:rsidP="003B6997">
            <w:pPr>
              <w:pStyle w:val="BStabletextbold"/>
              <w:jc w:val="right"/>
              <w:rPr>
                <w:color w:val="472D8C"/>
              </w:rPr>
            </w:pPr>
            <w:r w:rsidRPr="00D61852">
              <w:rPr>
                <w:color w:val="472D8C"/>
              </w:rPr>
              <w:t>14,851,237</w:t>
            </w:r>
          </w:p>
        </w:tc>
      </w:tr>
      <w:tr w:rsidR="00DD0834" w:rsidRPr="006D5D15" w14:paraId="4BF23018" w14:textId="77777777" w:rsidTr="003B6997">
        <w:trPr>
          <w:tblHeader/>
          <w:jc w:val="center"/>
        </w:trPr>
        <w:tc>
          <w:tcPr>
            <w:tcW w:w="2778" w:type="dxa"/>
            <w:tcBorders>
              <w:top w:val="single" w:sz="4" w:space="0" w:color="auto"/>
            </w:tcBorders>
            <w:shd w:val="clear" w:color="auto" w:fill="auto"/>
            <w:noWrap/>
            <w:vAlign w:val="bottom"/>
          </w:tcPr>
          <w:p w14:paraId="2A7CB6B5" w14:textId="77777777" w:rsidR="00DD0834" w:rsidRPr="001913A8" w:rsidRDefault="00DD0834" w:rsidP="003B6997">
            <w:pPr>
              <w:pStyle w:val="BStabletextunbold"/>
              <w:rPr>
                <w:color w:val="472D8C"/>
              </w:rPr>
            </w:pPr>
            <w:r w:rsidRPr="006675BD">
              <w:t>Accumulated funds</w:t>
            </w:r>
          </w:p>
        </w:tc>
        <w:tc>
          <w:tcPr>
            <w:tcW w:w="1077" w:type="dxa"/>
            <w:tcBorders>
              <w:top w:val="single" w:sz="4" w:space="0" w:color="auto"/>
            </w:tcBorders>
            <w:shd w:val="clear" w:color="auto" w:fill="auto"/>
          </w:tcPr>
          <w:p w14:paraId="0D7A052A" w14:textId="77777777" w:rsidR="00DD0834" w:rsidRPr="00D61852" w:rsidRDefault="00DD0834" w:rsidP="003B6997">
            <w:pPr>
              <w:pStyle w:val="BStabletext"/>
              <w:jc w:val="right"/>
            </w:pPr>
            <w:r w:rsidRPr="00D61852">
              <w:t>6,040,775</w:t>
            </w:r>
          </w:p>
        </w:tc>
        <w:tc>
          <w:tcPr>
            <w:tcW w:w="1077" w:type="dxa"/>
            <w:tcBorders>
              <w:top w:val="single" w:sz="4" w:space="0" w:color="auto"/>
            </w:tcBorders>
            <w:shd w:val="clear" w:color="auto" w:fill="auto"/>
            <w:noWrap/>
          </w:tcPr>
          <w:p w14:paraId="1D24D3B5" w14:textId="77777777" w:rsidR="00DD0834" w:rsidRPr="00D61852" w:rsidRDefault="00DD0834" w:rsidP="003B6997">
            <w:pPr>
              <w:pStyle w:val="BStabletext"/>
              <w:jc w:val="right"/>
            </w:pPr>
            <w:r w:rsidRPr="00D61852">
              <w:t>1,710,015</w:t>
            </w:r>
          </w:p>
        </w:tc>
        <w:tc>
          <w:tcPr>
            <w:tcW w:w="1077" w:type="dxa"/>
            <w:tcBorders>
              <w:top w:val="single" w:sz="4" w:space="0" w:color="auto"/>
            </w:tcBorders>
            <w:shd w:val="clear" w:color="auto" w:fill="auto"/>
            <w:noWrap/>
            <w:vAlign w:val="bottom"/>
          </w:tcPr>
          <w:p w14:paraId="28DA8A1E" w14:textId="77777777" w:rsidR="00DD0834" w:rsidRPr="00D61852" w:rsidRDefault="00DD0834" w:rsidP="003B6997">
            <w:pPr>
              <w:pStyle w:val="BStabletext"/>
              <w:jc w:val="right"/>
            </w:pPr>
            <w:r w:rsidRPr="00D61852">
              <w:t>4,067,324</w:t>
            </w:r>
          </w:p>
        </w:tc>
        <w:tc>
          <w:tcPr>
            <w:tcW w:w="1077" w:type="dxa"/>
            <w:tcBorders>
              <w:top w:val="single" w:sz="4" w:space="0" w:color="auto"/>
            </w:tcBorders>
            <w:shd w:val="clear" w:color="auto" w:fill="auto"/>
            <w:noWrap/>
            <w:vAlign w:val="bottom"/>
          </w:tcPr>
          <w:p w14:paraId="62F15FB0" w14:textId="77777777" w:rsidR="00DD0834" w:rsidRPr="00D61852" w:rsidRDefault="00DD0834" w:rsidP="003B6997">
            <w:pPr>
              <w:pStyle w:val="BStabletext"/>
              <w:jc w:val="right"/>
            </w:pPr>
            <w:r w:rsidRPr="00D61852">
              <w:t>3,491,203</w:t>
            </w:r>
          </w:p>
        </w:tc>
        <w:tc>
          <w:tcPr>
            <w:tcW w:w="1077" w:type="dxa"/>
            <w:tcBorders>
              <w:top w:val="single" w:sz="4" w:space="0" w:color="auto"/>
            </w:tcBorders>
            <w:shd w:val="clear" w:color="auto" w:fill="auto"/>
            <w:noWrap/>
            <w:vAlign w:val="bottom"/>
          </w:tcPr>
          <w:p w14:paraId="60F0C504" w14:textId="77777777" w:rsidR="00DD0834" w:rsidRPr="00D61852" w:rsidRDefault="00DD0834" w:rsidP="003B6997">
            <w:pPr>
              <w:pStyle w:val="BStabletext"/>
              <w:jc w:val="right"/>
            </w:pPr>
            <w:r w:rsidRPr="00D61852">
              <w:t>2,938,730</w:t>
            </w:r>
          </w:p>
        </w:tc>
        <w:tc>
          <w:tcPr>
            <w:tcW w:w="1077" w:type="dxa"/>
            <w:tcBorders>
              <w:top w:val="single" w:sz="4" w:space="0" w:color="auto"/>
            </w:tcBorders>
            <w:shd w:val="clear" w:color="auto" w:fill="auto"/>
            <w:noWrap/>
            <w:vAlign w:val="bottom"/>
          </w:tcPr>
          <w:p w14:paraId="0FC321BE" w14:textId="77777777" w:rsidR="00DD0834" w:rsidRPr="00D61852" w:rsidRDefault="00DD0834" w:rsidP="003B6997">
            <w:pPr>
              <w:pStyle w:val="BStabletext"/>
              <w:jc w:val="right"/>
            </w:pPr>
            <w:r w:rsidRPr="00D61852">
              <w:t>2,386,965</w:t>
            </w:r>
          </w:p>
        </w:tc>
      </w:tr>
      <w:tr w:rsidR="00DD0834" w:rsidRPr="006D5D15" w14:paraId="51C9DC22" w14:textId="77777777" w:rsidTr="003B6997">
        <w:trPr>
          <w:tblHeader/>
          <w:jc w:val="center"/>
        </w:trPr>
        <w:tc>
          <w:tcPr>
            <w:tcW w:w="2778" w:type="dxa"/>
            <w:shd w:val="clear" w:color="auto" w:fill="auto"/>
            <w:noWrap/>
          </w:tcPr>
          <w:p w14:paraId="252BD9CB" w14:textId="77777777" w:rsidR="00DD0834" w:rsidRPr="00E21387" w:rsidRDefault="00DD0834" w:rsidP="003B6997">
            <w:pPr>
              <w:pStyle w:val="BStabletextunbold"/>
            </w:pPr>
            <w:r w:rsidRPr="006675BD">
              <w:t>Asset revaluation surplus</w:t>
            </w:r>
          </w:p>
        </w:tc>
        <w:tc>
          <w:tcPr>
            <w:tcW w:w="1077" w:type="dxa"/>
            <w:shd w:val="clear" w:color="auto" w:fill="auto"/>
          </w:tcPr>
          <w:p w14:paraId="1E4F08C1" w14:textId="77777777" w:rsidR="00DD0834" w:rsidRPr="00D61852" w:rsidRDefault="00DD0834" w:rsidP="003B6997">
            <w:pPr>
              <w:pStyle w:val="BStabletext"/>
              <w:jc w:val="right"/>
            </w:pPr>
            <w:r w:rsidRPr="00D61852">
              <w:t>11,124,036</w:t>
            </w:r>
          </w:p>
        </w:tc>
        <w:tc>
          <w:tcPr>
            <w:tcW w:w="1077" w:type="dxa"/>
            <w:shd w:val="clear" w:color="auto" w:fill="auto"/>
            <w:noWrap/>
          </w:tcPr>
          <w:p w14:paraId="590F9CF1" w14:textId="77777777" w:rsidR="00DD0834" w:rsidRPr="00D61852" w:rsidRDefault="00DD0834" w:rsidP="003B6997">
            <w:pPr>
              <w:pStyle w:val="BStabletext"/>
              <w:jc w:val="right"/>
            </w:pPr>
            <w:r w:rsidRPr="00D61852">
              <w:t>12,429,985</w:t>
            </w:r>
          </w:p>
        </w:tc>
        <w:tc>
          <w:tcPr>
            <w:tcW w:w="1077" w:type="dxa"/>
            <w:shd w:val="clear" w:color="auto" w:fill="auto"/>
            <w:noWrap/>
            <w:vAlign w:val="bottom"/>
          </w:tcPr>
          <w:p w14:paraId="4704B8AB" w14:textId="77777777" w:rsidR="00DD0834" w:rsidRPr="00D61852" w:rsidRDefault="00DD0834" w:rsidP="003B6997">
            <w:pPr>
              <w:pStyle w:val="BStabletext"/>
              <w:jc w:val="right"/>
            </w:pPr>
            <w:r w:rsidRPr="00D61852">
              <w:t>12,379,841</w:t>
            </w:r>
          </w:p>
        </w:tc>
        <w:tc>
          <w:tcPr>
            <w:tcW w:w="1077" w:type="dxa"/>
            <w:shd w:val="clear" w:color="auto" w:fill="auto"/>
            <w:noWrap/>
            <w:vAlign w:val="bottom"/>
          </w:tcPr>
          <w:p w14:paraId="1B2D6046" w14:textId="77777777" w:rsidR="00DD0834" w:rsidRPr="00D61852" w:rsidRDefault="00DD0834" w:rsidP="003B6997">
            <w:pPr>
              <w:pStyle w:val="BStabletext"/>
              <w:jc w:val="right"/>
            </w:pPr>
            <w:r w:rsidRPr="00D61852">
              <w:t>12,294,686</w:t>
            </w:r>
          </w:p>
        </w:tc>
        <w:tc>
          <w:tcPr>
            <w:tcW w:w="1077" w:type="dxa"/>
            <w:shd w:val="clear" w:color="auto" w:fill="auto"/>
            <w:noWrap/>
            <w:vAlign w:val="bottom"/>
          </w:tcPr>
          <w:p w14:paraId="36D32357" w14:textId="77777777" w:rsidR="00DD0834" w:rsidRPr="00D61852" w:rsidRDefault="00DD0834" w:rsidP="003B6997">
            <w:pPr>
              <w:pStyle w:val="BStabletext"/>
              <w:jc w:val="right"/>
            </w:pPr>
            <w:r w:rsidRPr="00D61852">
              <w:t>12,453,141</w:t>
            </w:r>
          </w:p>
        </w:tc>
        <w:tc>
          <w:tcPr>
            <w:tcW w:w="1077" w:type="dxa"/>
            <w:shd w:val="clear" w:color="auto" w:fill="auto"/>
            <w:noWrap/>
            <w:vAlign w:val="bottom"/>
          </w:tcPr>
          <w:p w14:paraId="5CFF8623" w14:textId="77777777" w:rsidR="00DD0834" w:rsidRPr="00D61852" w:rsidRDefault="00DD0834" w:rsidP="003B6997">
            <w:pPr>
              <w:pStyle w:val="BStabletext"/>
              <w:jc w:val="right"/>
            </w:pPr>
            <w:r w:rsidRPr="00D61852">
              <w:t>12,463,042</w:t>
            </w:r>
          </w:p>
        </w:tc>
      </w:tr>
      <w:tr w:rsidR="00DD0834" w:rsidRPr="006D5D15" w14:paraId="1BE5CD4A" w14:textId="77777777" w:rsidTr="003B6997">
        <w:trPr>
          <w:tblHeader/>
          <w:jc w:val="center"/>
        </w:trPr>
        <w:tc>
          <w:tcPr>
            <w:tcW w:w="2778" w:type="dxa"/>
            <w:tcBorders>
              <w:bottom w:val="single" w:sz="4" w:space="0" w:color="auto"/>
            </w:tcBorders>
            <w:shd w:val="clear" w:color="auto" w:fill="auto"/>
            <w:noWrap/>
          </w:tcPr>
          <w:p w14:paraId="480EE203" w14:textId="77777777" w:rsidR="00DD0834" w:rsidRPr="00E21387" w:rsidRDefault="00DD0834" w:rsidP="003B6997">
            <w:pPr>
              <w:pStyle w:val="BStabletextunbold"/>
            </w:pPr>
            <w:r w:rsidRPr="006675BD">
              <w:t xml:space="preserve">Other reserves </w:t>
            </w:r>
          </w:p>
        </w:tc>
        <w:tc>
          <w:tcPr>
            <w:tcW w:w="1077" w:type="dxa"/>
            <w:tcBorders>
              <w:bottom w:val="single" w:sz="4" w:space="0" w:color="auto"/>
            </w:tcBorders>
            <w:shd w:val="clear" w:color="auto" w:fill="auto"/>
          </w:tcPr>
          <w:p w14:paraId="7E0168E0" w14:textId="77777777" w:rsidR="00DD0834" w:rsidRPr="00D61852" w:rsidRDefault="00DD0834" w:rsidP="003B6997">
            <w:pPr>
              <w:pStyle w:val="BStabletext"/>
              <w:jc w:val="right"/>
            </w:pPr>
            <w:r w:rsidRPr="00D61852">
              <w:t>1,230</w:t>
            </w:r>
          </w:p>
        </w:tc>
        <w:tc>
          <w:tcPr>
            <w:tcW w:w="1077" w:type="dxa"/>
            <w:tcBorders>
              <w:bottom w:val="single" w:sz="4" w:space="0" w:color="auto"/>
            </w:tcBorders>
            <w:shd w:val="clear" w:color="auto" w:fill="auto"/>
            <w:noWrap/>
          </w:tcPr>
          <w:p w14:paraId="172146C6" w14:textId="77777777" w:rsidR="00DD0834" w:rsidRPr="00D61852" w:rsidRDefault="00DD0834" w:rsidP="003B6997">
            <w:pPr>
              <w:pStyle w:val="BStabletext"/>
              <w:jc w:val="right"/>
            </w:pPr>
            <w:r w:rsidRPr="00D61852">
              <w:t>1,230</w:t>
            </w:r>
          </w:p>
        </w:tc>
        <w:tc>
          <w:tcPr>
            <w:tcW w:w="1077" w:type="dxa"/>
            <w:tcBorders>
              <w:bottom w:val="single" w:sz="4" w:space="0" w:color="auto"/>
            </w:tcBorders>
            <w:shd w:val="clear" w:color="auto" w:fill="auto"/>
            <w:noWrap/>
            <w:vAlign w:val="bottom"/>
          </w:tcPr>
          <w:p w14:paraId="72A4D4E5" w14:textId="77777777" w:rsidR="00DD0834" w:rsidRPr="00D61852" w:rsidRDefault="00DD0834" w:rsidP="003B6997">
            <w:pPr>
              <w:pStyle w:val="BStabletext"/>
              <w:jc w:val="right"/>
            </w:pPr>
            <w:r w:rsidRPr="00D61852">
              <w:t>1,230</w:t>
            </w:r>
          </w:p>
        </w:tc>
        <w:tc>
          <w:tcPr>
            <w:tcW w:w="1077" w:type="dxa"/>
            <w:tcBorders>
              <w:bottom w:val="single" w:sz="4" w:space="0" w:color="auto"/>
            </w:tcBorders>
            <w:shd w:val="clear" w:color="auto" w:fill="auto"/>
            <w:noWrap/>
            <w:vAlign w:val="bottom"/>
          </w:tcPr>
          <w:p w14:paraId="38885385" w14:textId="77777777" w:rsidR="00DD0834" w:rsidRPr="00D61852" w:rsidRDefault="00DD0834" w:rsidP="003B6997">
            <w:pPr>
              <w:pStyle w:val="BStabletext"/>
              <w:jc w:val="right"/>
            </w:pPr>
            <w:r w:rsidRPr="00D61852">
              <w:t>1,230</w:t>
            </w:r>
          </w:p>
        </w:tc>
        <w:tc>
          <w:tcPr>
            <w:tcW w:w="1077" w:type="dxa"/>
            <w:tcBorders>
              <w:bottom w:val="single" w:sz="4" w:space="0" w:color="auto"/>
            </w:tcBorders>
            <w:shd w:val="clear" w:color="auto" w:fill="auto"/>
            <w:noWrap/>
            <w:vAlign w:val="bottom"/>
          </w:tcPr>
          <w:p w14:paraId="60F8F8BF" w14:textId="77777777" w:rsidR="00DD0834" w:rsidRPr="00D61852" w:rsidRDefault="00DD0834" w:rsidP="003B6997">
            <w:pPr>
              <w:pStyle w:val="BStabletext"/>
              <w:jc w:val="right"/>
            </w:pPr>
            <w:r w:rsidRPr="00D61852">
              <w:t>1,230</w:t>
            </w:r>
          </w:p>
        </w:tc>
        <w:tc>
          <w:tcPr>
            <w:tcW w:w="1077" w:type="dxa"/>
            <w:tcBorders>
              <w:bottom w:val="single" w:sz="4" w:space="0" w:color="auto"/>
            </w:tcBorders>
            <w:shd w:val="clear" w:color="auto" w:fill="auto"/>
            <w:noWrap/>
            <w:vAlign w:val="bottom"/>
          </w:tcPr>
          <w:p w14:paraId="4A6B92A6" w14:textId="77777777" w:rsidR="00DD0834" w:rsidRPr="00D61852" w:rsidRDefault="00DD0834" w:rsidP="003B6997">
            <w:pPr>
              <w:pStyle w:val="BStabletext"/>
              <w:jc w:val="right"/>
            </w:pPr>
            <w:r w:rsidRPr="00D61852">
              <w:t>1,230</w:t>
            </w:r>
          </w:p>
        </w:tc>
      </w:tr>
      <w:tr w:rsidR="00DD0834" w:rsidRPr="0098008D" w14:paraId="2C6E89C5" w14:textId="77777777" w:rsidTr="003B6997">
        <w:trPr>
          <w:tblHeader/>
          <w:jc w:val="center"/>
        </w:trPr>
        <w:tc>
          <w:tcPr>
            <w:tcW w:w="2778" w:type="dxa"/>
            <w:tcBorders>
              <w:top w:val="single" w:sz="4" w:space="0" w:color="auto"/>
              <w:bottom w:val="single" w:sz="4" w:space="0" w:color="auto"/>
            </w:tcBorders>
            <w:shd w:val="clear" w:color="auto" w:fill="auto"/>
            <w:noWrap/>
          </w:tcPr>
          <w:p w14:paraId="5A014156" w14:textId="77777777" w:rsidR="00DD0834" w:rsidRPr="00550D36" w:rsidRDefault="00DD0834" w:rsidP="003B6997">
            <w:pPr>
              <w:pStyle w:val="BStabletextbold"/>
              <w:rPr>
                <w:color w:val="472D8C"/>
              </w:rPr>
            </w:pPr>
            <w:r w:rsidRPr="00550D36">
              <w:rPr>
                <w:color w:val="472D8C"/>
              </w:rPr>
              <w:t>Net worth</w:t>
            </w:r>
          </w:p>
        </w:tc>
        <w:tc>
          <w:tcPr>
            <w:tcW w:w="1077" w:type="dxa"/>
            <w:tcBorders>
              <w:top w:val="single" w:sz="4" w:space="0" w:color="auto"/>
              <w:bottom w:val="single" w:sz="4" w:space="0" w:color="auto"/>
            </w:tcBorders>
            <w:shd w:val="clear" w:color="auto" w:fill="auto"/>
          </w:tcPr>
          <w:p w14:paraId="7D345595" w14:textId="77777777" w:rsidR="00DD0834" w:rsidRPr="00D61852" w:rsidRDefault="00DD0834" w:rsidP="003B6997">
            <w:pPr>
              <w:pStyle w:val="BStabletextbold"/>
              <w:jc w:val="right"/>
              <w:rPr>
                <w:color w:val="472D8C"/>
              </w:rPr>
            </w:pPr>
            <w:r w:rsidRPr="00D61852">
              <w:rPr>
                <w:color w:val="472D8C"/>
              </w:rPr>
              <w:t>17,166,041</w:t>
            </w:r>
          </w:p>
        </w:tc>
        <w:tc>
          <w:tcPr>
            <w:tcW w:w="1077" w:type="dxa"/>
            <w:tcBorders>
              <w:top w:val="single" w:sz="4" w:space="0" w:color="auto"/>
              <w:bottom w:val="single" w:sz="4" w:space="0" w:color="auto"/>
            </w:tcBorders>
            <w:shd w:val="clear" w:color="auto" w:fill="auto"/>
            <w:noWrap/>
          </w:tcPr>
          <w:p w14:paraId="5BC4310F" w14:textId="77777777" w:rsidR="00DD0834" w:rsidRPr="00D61852" w:rsidRDefault="00DD0834" w:rsidP="003B6997">
            <w:pPr>
              <w:pStyle w:val="BStabletextbold"/>
              <w:jc w:val="right"/>
              <w:rPr>
                <w:color w:val="472D8C"/>
              </w:rPr>
            </w:pPr>
            <w:r w:rsidRPr="00D61852">
              <w:rPr>
                <w:color w:val="472D8C"/>
              </w:rPr>
              <w:t>14,141,229</w:t>
            </w:r>
          </w:p>
        </w:tc>
        <w:tc>
          <w:tcPr>
            <w:tcW w:w="1077" w:type="dxa"/>
            <w:tcBorders>
              <w:top w:val="single" w:sz="4" w:space="0" w:color="auto"/>
              <w:bottom w:val="single" w:sz="4" w:space="0" w:color="auto"/>
            </w:tcBorders>
            <w:shd w:val="clear" w:color="auto" w:fill="auto"/>
            <w:noWrap/>
          </w:tcPr>
          <w:p w14:paraId="109AF713" w14:textId="77777777" w:rsidR="00DD0834" w:rsidRPr="00D61852" w:rsidRDefault="00DD0834" w:rsidP="003B6997">
            <w:pPr>
              <w:pStyle w:val="BStabletextbold"/>
              <w:jc w:val="right"/>
              <w:rPr>
                <w:color w:val="472D8C"/>
              </w:rPr>
            </w:pPr>
            <w:r w:rsidRPr="00D61852">
              <w:rPr>
                <w:color w:val="472D8C"/>
              </w:rPr>
              <w:t>16,448,395</w:t>
            </w:r>
          </w:p>
        </w:tc>
        <w:tc>
          <w:tcPr>
            <w:tcW w:w="1077" w:type="dxa"/>
            <w:tcBorders>
              <w:top w:val="single" w:sz="4" w:space="0" w:color="auto"/>
              <w:bottom w:val="single" w:sz="4" w:space="0" w:color="auto"/>
            </w:tcBorders>
            <w:shd w:val="clear" w:color="auto" w:fill="auto"/>
            <w:noWrap/>
          </w:tcPr>
          <w:p w14:paraId="24055996" w14:textId="77777777" w:rsidR="00DD0834" w:rsidRPr="00D61852" w:rsidRDefault="00DD0834" w:rsidP="003B6997">
            <w:pPr>
              <w:pStyle w:val="BStabletextbold"/>
              <w:jc w:val="right"/>
              <w:rPr>
                <w:color w:val="472D8C"/>
              </w:rPr>
            </w:pPr>
            <w:r w:rsidRPr="00D61852">
              <w:rPr>
                <w:color w:val="472D8C"/>
              </w:rPr>
              <w:t>15,787,119</w:t>
            </w:r>
          </w:p>
        </w:tc>
        <w:tc>
          <w:tcPr>
            <w:tcW w:w="1077" w:type="dxa"/>
            <w:tcBorders>
              <w:top w:val="single" w:sz="4" w:space="0" w:color="auto"/>
              <w:bottom w:val="single" w:sz="4" w:space="0" w:color="auto"/>
            </w:tcBorders>
            <w:shd w:val="clear" w:color="auto" w:fill="auto"/>
            <w:noWrap/>
          </w:tcPr>
          <w:p w14:paraId="7C4AA67B" w14:textId="77777777" w:rsidR="00DD0834" w:rsidRPr="00D61852" w:rsidRDefault="00DD0834" w:rsidP="003B6997">
            <w:pPr>
              <w:pStyle w:val="BStabletextbold"/>
              <w:jc w:val="right"/>
              <w:rPr>
                <w:color w:val="472D8C"/>
              </w:rPr>
            </w:pPr>
            <w:r w:rsidRPr="00D61852">
              <w:rPr>
                <w:color w:val="472D8C"/>
              </w:rPr>
              <w:t>15,393,101</w:t>
            </w:r>
          </w:p>
        </w:tc>
        <w:tc>
          <w:tcPr>
            <w:tcW w:w="1077" w:type="dxa"/>
            <w:tcBorders>
              <w:top w:val="single" w:sz="4" w:space="0" w:color="auto"/>
              <w:bottom w:val="single" w:sz="4" w:space="0" w:color="auto"/>
            </w:tcBorders>
            <w:shd w:val="clear" w:color="auto" w:fill="auto"/>
            <w:noWrap/>
          </w:tcPr>
          <w:p w14:paraId="56E1B877" w14:textId="77777777" w:rsidR="00DD0834" w:rsidRPr="00D61852" w:rsidRDefault="00DD0834" w:rsidP="003B6997">
            <w:pPr>
              <w:pStyle w:val="BStabletextbold"/>
              <w:jc w:val="right"/>
              <w:rPr>
                <w:color w:val="472D8C"/>
              </w:rPr>
            </w:pPr>
            <w:r w:rsidRPr="00D61852">
              <w:rPr>
                <w:color w:val="472D8C"/>
              </w:rPr>
              <w:t>14,851,237</w:t>
            </w:r>
          </w:p>
        </w:tc>
      </w:tr>
      <w:tr w:rsidR="00DD0834" w:rsidRPr="006D5D15" w14:paraId="31D73778" w14:textId="77777777" w:rsidTr="003B6997">
        <w:trPr>
          <w:tblHeader/>
          <w:jc w:val="center"/>
        </w:trPr>
        <w:tc>
          <w:tcPr>
            <w:tcW w:w="2778" w:type="dxa"/>
            <w:tcBorders>
              <w:top w:val="single" w:sz="4" w:space="0" w:color="auto"/>
              <w:bottom w:val="single" w:sz="4" w:space="0" w:color="auto"/>
            </w:tcBorders>
            <w:shd w:val="clear" w:color="auto" w:fill="auto"/>
            <w:noWrap/>
          </w:tcPr>
          <w:p w14:paraId="27A80A8F" w14:textId="77777777" w:rsidR="00DD0834" w:rsidRPr="00E21387" w:rsidRDefault="00DD0834" w:rsidP="003B6997">
            <w:pPr>
              <w:pStyle w:val="BStabletextunbold"/>
            </w:pPr>
          </w:p>
        </w:tc>
        <w:tc>
          <w:tcPr>
            <w:tcW w:w="1077" w:type="dxa"/>
            <w:tcBorders>
              <w:top w:val="single" w:sz="4" w:space="0" w:color="auto"/>
              <w:bottom w:val="single" w:sz="4" w:space="0" w:color="auto"/>
            </w:tcBorders>
            <w:shd w:val="clear" w:color="auto" w:fill="auto"/>
          </w:tcPr>
          <w:p w14:paraId="74A9C811" w14:textId="77777777" w:rsidR="00DD0834" w:rsidRPr="00D61852" w:rsidRDefault="00DD0834" w:rsidP="003B6997">
            <w:pPr>
              <w:pStyle w:val="Btablefigureunbold"/>
              <w:rPr>
                <w:szCs w:val="20"/>
              </w:rPr>
            </w:pPr>
          </w:p>
        </w:tc>
        <w:tc>
          <w:tcPr>
            <w:tcW w:w="1077" w:type="dxa"/>
            <w:tcBorders>
              <w:top w:val="single" w:sz="4" w:space="0" w:color="auto"/>
              <w:bottom w:val="single" w:sz="4" w:space="0" w:color="auto"/>
            </w:tcBorders>
            <w:shd w:val="clear" w:color="auto" w:fill="auto"/>
            <w:noWrap/>
          </w:tcPr>
          <w:p w14:paraId="306D3641" w14:textId="77777777" w:rsidR="00DD0834" w:rsidRPr="00D61852" w:rsidRDefault="00DD0834" w:rsidP="003B6997">
            <w:pPr>
              <w:pStyle w:val="Btablefigureunbold"/>
              <w:rPr>
                <w:szCs w:val="20"/>
              </w:rPr>
            </w:pPr>
          </w:p>
        </w:tc>
        <w:tc>
          <w:tcPr>
            <w:tcW w:w="1077" w:type="dxa"/>
            <w:tcBorders>
              <w:top w:val="single" w:sz="4" w:space="0" w:color="auto"/>
              <w:bottom w:val="single" w:sz="4" w:space="0" w:color="auto"/>
            </w:tcBorders>
            <w:shd w:val="clear" w:color="auto" w:fill="auto"/>
            <w:noWrap/>
          </w:tcPr>
          <w:p w14:paraId="68C71BAD" w14:textId="77777777" w:rsidR="00DD0834" w:rsidRPr="00D61852" w:rsidRDefault="00DD0834" w:rsidP="003B6997">
            <w:pPr>
              <w:pStyle w:val="Btablefigureunbold"/>
              <w:rPr>
                <w:szCs w:val="20"/>
              </w:rPr>
            </w:pPr>
          </w:p>
        </w:tc>
        <w:tc>
          <w:tcPr>
            <w:tcW w:w="1077" w:type="dxa"/>
            <w:tcBorders>
              <w:top w:val="single" w:sz="4" w:space="0" w:color="auto"/>
              <w:bottom w:val="single" w:sz="4" w:space="0" w:color="auto"/>
            </w:tcBorders>
            <w:shd w:val="clear" w:color="auto" w:fill="auto"/>
            <w:noWrap/>
          </w:tcPr>
          <w:p w14:paraId="397DA14D" w14:textId="77777777" w:rsidR="00DD0834" w:rsidRPr="00D61852" w:rsidRDefault="00DD0834" w:rsidP="003B6997">
            <w:pPr>
              <w:pStyle w:val="Btablefigureunbold"/>
              <w:rPr>
                <w:szCs w:val="20"/>
              </w:rPr>
            </w:pPr>
          </w:p>
        </w:tc>
        <w:tc>
          <w:tcPr>
            <w:tcW w:w="1077" w:type="dxa"/>
            <w:tcBorders>
              <w:top w:val="single" w:sz="4" w:space="0" w:color="auto"/>
              <w:bottom w:val="single" w:sz="4" w:space="0" w:color="auto"/>
            </w:tcBorders>
            <w:shd w:val="clear" w:color="auto" w:fill="auto"/>
            <w:noWrap/>
          </w:tcPr>
          <w:p w14:paraId="23A1DE91" w14:textId="77777777" w:rsidR="00DD0834" w:rsidRPr="00D61852" w:rsidRDefault="00DD0834" w:rsidP="003B6997">
            <w:pPr>
              <w:pStyle w:val="Btablefigureunbold"/>
              <w:rPr>
                <w:szCs w:val="20"/>
              </w:rPr>
            </w:pPr>
          </w:p>
        </w:tc>
        <w:tc>
          <w:tcPr>
            <w:tcW w:w="1077" w:type="dxa"/>
            <w:tcBorders>
              <w:top w:val="single" w:sz="4" w:space="0" w:color="auto"/>
              <w:bottom w:val="single" w:sz="4" w:space="0" w:color="auto"/>
            </w:tcBorders>
            <w:shd w:val="clear" w:color="auto" w:fill="auto"/>
            <w:noWrap/>
          </w:tcPr>
          <w:p w14:paraId="13E4211E" w14:textId="77777777" w:rsidR="00DD0834" w:rsidRPr="00D61852" w:rsidRDefault="00DD0834" w:rsidP="003B6997">
            <w:pPr>
              <w:pStyle w:val="Btablefigureunbold"/>
              <w:rPr>
                <w:szCs w:val="20"/>
              </w:rPr>
            </w:pPr>
          </w:p>
        </w:tc>
      </w:tr>
      <w:tr w:rsidR="00DD0834" w:rsidRPr="0098008D" w14:paraId="35E981F7" w14:textId="77777777" w:rsidTr="003B6997">
        <w:trPr>
          <w:trHeight w:val="160"/>
          <w:tblHeader/>
          <w:jc w:val="center"/>
        </w:trPr>
        <w:tc>
          <w:tcPr>
            <w:tcW w:w="2778" w:type="dxa"/>
            <w:tcBorders>
              <w:top w:val="single" w:sz="4" w:space="0" w:color="auto"/>
            </w:tcBorders>
            <w:shd w:val="clear" w:color="auto" w:fill="auto"/>
            <w:noWrap/>
          </w:tcPr>
          <w:p w14:paraId="2877B995" w14:textId="77777777" w:rsidR="00DD0834" w:rsidRPr="00550D36" w:rsidRDefault="00DD0834" w:rsidP="003B6997">
            <w:pPr>
              <w:pStyle w:val="BStabletextbold"/>
              <w:rPr>
                <w:color w:val="472D8C"/>
              </w:rPr>
            </w:pPr>
            <w:r w:rsidRPr="00550D36">
              <w:rPr>
                <w:color w:val="472D8C"/>
              </w:rPr>
              <w:t>Net financial worth</w:t>
            </w:r>
          </w:p>
        </w:tc>
        <w:tc>
          <w:tcPr>
            <w:tcW w:w="1077" w:type="dxa"/>
            <w:tcBorders>
              <w:top w:val="single" w:sz="4" w:space="0" w:color="auto"/>
            </w:tcBorders>
            <w:shd w:val="clear" w:color="auto" w:fill="auto"/>
          </w:tcPr>
          <w:p w14:paraId="14174B72" w14:textId="77777777" w:rsidR="00DD0834" w:rsidRPr="00D61852" w:rsidRDefault="00DD0834" w:rsidP="003B6997">
            <w:pPr>
              <w:pStyle w:val="BStabletextbold"/>
              <w:jc w:val="right"/>
              <w:rPr>
                <w:color w:val="472D8C"/>
              </w:rPr>
            </w:pPr>
            <w:r w:rsidRPr="00D61852">
              <w:rPr>
                <w:color w:val="472D8C"/>
              </w:rPr>
              <w:t>-10,789,514</w:t>
            </w:r>
          </w:p>
        </w:tc>
        <w:tc>
          <w:tcPr>
            <w:tcW w:w="1077" w:type="dxa"/>
            <w:tcBorders>
              <w:top w:val="single" w:sz="4" w:space="0" w:color="auto"/>
            </w:tcBorders>
            <w:shd w:val="clear" w:color="auto" w:fill="auto"/>
            <w:noWrap/>
          </w:tcPr>
          <w:p w14:paraId="5CB5FE5F" w14:textId="77777777" w:rsidR="00DD0834" w:rsidRPr="00D61852" w:rsidRDefault="00DD0834" w:rsidP="003B6997">
            <w:pPr>
              <w:pStyle w:val="BStabletextbold"/>
              <w:jc w:val="right"/>
              <w:rPr>
                <w:color w:val="472D8C"/>
              </w:rPr>
            </w:pPr>
            <w:r w:rsidRPr="00D61852">
              <w:rPr>
                <w:color w:val="472D8C"/>
              </w:rPr>
              <w:t>-14,828,073</w:t>
            </w:r>
          </w:p>
        </w:tc>
        <w:tc>
          <w:tcPr>
            <w:tcW w:w="1077" w:type="dxa"/>
            <w:tcBorders>
              <w:top w:val="single" w:sz="4" w:space="0" w:color="auto"/>
            </w:tcBorders>
            <w:shd w:val="clear" w:color="auto" w:fill="auto"/>
            <w:noWrap/>
          </w:tcPr>
          <w:p w14:paraId="4CEC77ED" w14:textId="77777777" w:rsidR="00DD0834" w:rsidRPr="00D61852" w:rsidRDefault="00DD0834" w:rsidP="003B6997">
            <w:pPr>
              <w:pStyle w:val="BStabletextbold"/>
              <w:jc w:val="right"/>
              <w:rPr>
                <w:color w:val="472D8C"/>
              </w:rPr>
            </w:pPr>
            <w:r w:rsidRPr="00D61852">
              <w:rPr>
                <w:color w:val="472D8C"/>
              </w:rPr>
              <w:t>-13,420,844</w:t>
            </w:r>
          </w:p>
        </w:tc>
        <w:tc>
          <w:tcPr>
            <w:tcW w:w="1077" w:type="dxa"/>
            <w:tcBorders>
              <w:top w:val="single" w:sz="4" w:space="0" w:color="auto"/>
            </w:tcBorders>
            <w:shd w:val="clear" w:color="auto" w:fill="auto"/>
            <w:noWrap/>
          </w:tcPr>
          <w:p w14:paraId="26C18AC7" w14:textId="77777777" w:rsidR="00DD0834" w:rsidRPr="00D61852" w:rsidRDefault="00DD0834" w:rsidP="003B6997">
            <w:pPr>
              <w:pStyle w:val="BStabletextbold"/>
              <w:jc w:val="right"/>
              <w:rPr>
                <w:color w:val="472D8C"/>
              </w:rPr>
            </w:pPr>
            <w:r w:rsidRPr="00D61852">
              <w:rPr>
                <w:color w:val="472D8C"/>
              </w:rPr>
              <w:t>-14,359,995</w:t>
            </w:r>
          </w:p>
        </w:tc>
        <w:tc>
          <w:tcPr>
            <w:tcW w:w="1077" w:type="dxa"/>
            <w:tcBorders>
              <w:top w:val="single" w:sz="4" w:space="0" w:color="auto"/>
            </w:tcBorders>
            <w:shd w:val="clear" w:color="auto" w:fill="auto"/>
            <w:noWrap/>
          </w:tcPr>
          <w:p w14:paraId="69F5B94D" w14:textId="77777777" w:rsidR="00DD0834" w:rsidRPr="00D61852" w:rsidRDefault="00DD0834" w:rsidP="003B6997">
            <w:pPr>
              <w:pStyle w:val="BStabletextbold"/>
              <w:jc w:val="right"/>
              <w:rPr>
                <w:color w:val="472D8C"/>
              </w:rPr>
            </w:pPr>
            <w:r w:rsidRPr="00D61852">
              <w:rPr>
                <w:color w:val="472D8C"/>
              </w:rPr>
              <w:t>-15,595,493</w:t>
            </w:r>
          </w:p>
        </w:tc>
        <w:tc>
          <w:tcPr>
            <w:tcW w:w="1077" w:type="dxa"/>
            <w:tcBorders>
              <w:top w:val="single" w:sz="4" w:space="0" w:color="auto"/>
            </w:tcBorders>
            <w:shd w:val="clear" w:color="auto" w:fill="auto"/>
            <w:noWrap/>
          </w:tcPr>
          <w:p w14:paraId="12D2A3FB" w14:textId="77777777" w:rsidR="00DD0834" w:rsidRPr="00D61852" w:rsidRDefault="00DD0834" w:rsidP="003B6997">
            <w:pPr>
              <w:pStyle w:val="BStabletextbold"/>
              <w:jc w:val="right"/>
              <w:rPr>
                <w:color w:val="472D8C"/>
              </w:rPr>
            </w:pPr>
            <w:r w:rsidRPr="00D61852">
              <w:rPr>
                <w:color w:val="472D8C"/>
              </w:rPr>
              <w:t>-16,817,290</w:t>
            </w:r>
          </w:p>
        </w:tc>
      </w:tr>
      <w:tr w:rsidR="00DD0834" w:rsidRPr="0098008D" w14:paraId="458C7513" w14:textId="77777777" w:rsidTr="003B6997">
        <w:trPr>
          <w:tblHeader/>
          <w:jc w:val="center"/>
        </w:trPr>
        <w:tc>
          <w:tcPr>
            <w:tcW w:w="2778" w:type="dxa"/>
            <w:shd w:val="clear" w:color="auto" w:fill="auto"/>
            <w:noWrap/>
          </w:tcPr>
          <w:p w14:paraId="5A2BB9E5" w14:textId="77777777" w:rsidR="00DD0834" w:rsidRPr="00550D36" w:rsidRDefault="00DD0834" w:rsidP="003B6997">
            <w:pPr>
              <w:pStyle w:val="BStabletextbold"/>
              <w:rPr>
                <w:color w:val="472D8C"/>
              </w:rPr>
            </w:pPr>
            <w:r w:rsidRPr="00550D36">
              <w:rPr>
                <w:color w:val="472D8C"/>
              </w:rPr>
              <w:t>Net financial liabilities</w:t>
            </w:r>
          </w:p>
        </w:tc>
        <w:tc>
          <w:tcPr>
            <w:tcW w:w="1077" w:type="dxa"/>
            <w:shd w:val="clear" w:color="auto" w:fill="auto"/>
          </w:tcPr>
          <w:p w14:paraId="5A8765E0" w14:textId="77777777" w:rsidR="00DD0834" w:rsidRPr="00D61852" w:rsidRDefault="00DD0834" w:rsidP="003B6997">
            <w:pPr>
              <w:pStyle w:val="BStabletextbold"/>
              <w:jc w:val="right"/>
              <w:rPr>
                <w:color w:val="472D8C"/>
              </w:rPr>
            </w:pPr>
            <w:r w:rsidRPr="00D61852">
              <w:rPr>
                <w:color w:val="472D8C"/>
              </w:rPr>
              <w:t>11,836,965</w:t>
            </w:r>
          </w:p>
        </w:tc>
        <w:tc>
          <w:tcPr>
            <w:tcW w:w="1077" w:type="dxa"/>
            <w:shd w:val="clear" w:color="auto" w:fill="auto"/>
            <w:noWrap/>
          </w:tcPr>
          <w:p w14:paraId="175C1A7E" w14:textId="77777777" w:rsidR="00DD0834" w:rsidRPr="00D61852" w:rsidRDefault="00DD0834" w:rsidP="003B6997">
            <w:pPr>
              <w:pStyle w:val="BStabletextbold"/>
              <w:jc w:val="right"/>
              <w:rPr>
                <w:color w:val="472D8C"/>
              </w:rPr>
            </w:pPr>
            <w:r w:rsidRPr="00D61852">
              <w:rPr>
                <w:color w:val="472D8C"/>
              </w:rPr>
              <w:t>15,797,587</w:t>
            </w:r>
          </w:p>
        </w:tc>
        <w:tc>
          <w:tcPr>
            <w:tcW w:w="1077" w:type="dxa"/>
            <w:shd w:val="clear" w:color="auto" w:fill="auto"/>
            <w:noWrap/>
          </w:tcPr>
          <w:p w14:paraId="43711EA0" w14:textId="77777777" w:rsidR="00DD0834" w:rsidRPr="00D61852" w:rsidRDefault="00DD0834" w:rsidP="003B6997">
            <w:pPr>
              <w:pStyle w:val="BStabletextbold"/>
              <w:jc w:val="right"/>
              <w:rPr>
                <w:color w:val="472D8C"/>
              </w:rPr>
            </w:pPr>
            <w:r w:rsidRPr="00D61852">
              <w:rPr>
                <w:color w:val="472D8C"/>
              </w:rPr>
              <w:t>14,414,451</w:t>
            </w:r>
          </w:p>
        </w:tc>
        <w:tc>
          <w:tcPr>
            <w:tcW w:w="1077" w:type="dxa"/>
            <w:shd w:val="clear" w:color="auto" w:fill="auto"/>
            <w:noWrap/>
          </w:tcPr>
          <w:p w14:paraId="65B0CB92" w14:textId="77777777" w:rsidR="00DD0834" w:rsidRPr="00D61852" w:rsidRDefault="00DD0834" w:rsidP="003B6997">
            <w:pPr>
              <w:pStyle w:val="BStabletextbold"/>
              <w:jc w:val="right"/>
              <w:rPr>
                <w:color w:val="472D8C"/>
              </w:rPr>
            </w:pPr>
            <w:r w:rsidRPr="00D61852">
              <w:rPr>
                <w:color w:val="472D8C"/>
              </w:rPr>
              <w:t>15,370,823</w:t>
            </w:r>
          </w:p>
        </w:tc>
        <w:tc>
          <w:tcPr>
            <w:tcW w:w="1077" w:type="dxa"/>
            <w:shd w:val="clear" w:color="auto" w:fill="auto"/>
            <w:noWrap/>
          </w:tcPr>
          <w:p w14:paraId="4A7E8C03" w14:textId="77777777" w:rsidR="00DD0834" w:rsidRPr="00D61852" w:rsidRDefault="00DD0834" w:rsidP="003B6997">
            <w:pPr>
              <w:pStyle w:val="BStabletextbold"/>
              <w:jc w:val="right"/>
              <w:rPr>
                <w:color w:val="472D8C"/>
              </w:rPr>
            </w:pPr>
            <w:r w:rsidRPr="00D61852">
              <w:rPr>
                <w:color w:val="472D8C"/>
              </w:rPr>
              <w:t>16,615,959</w:t>
            </w:r>
          </w:p>
        </w:tc>
        <w:tc>
          <w:tcPr>
            <w:tcW w:w="1077" w:type="dxa"/>
            <w:shd w:val="clear" w:color="auto" w:fill="auto"/>
            <w:noWrap/>
          </w:tcPr>
          <w:p w14:paraId="73CE1F1C" w14:textId="77777777" w:rsidR="00DD0834" w:rsidRPr="00D61852" w:rsidRDefault="00DD0834" w:rsidP="003B6997">
            <w:pPr>
              <w:pStyle w:val="BStabletextbold"/>
              <w:jc w:val="right"/>
              <w:rPr>
                <w:color w:val="472D8C"/>
              </w:rPr>
            </w:pPr>
            <w:r w:rsidRPr="00D61852">
              <w:rPr>
                <w:color w:val="472D8C"/>
              </w:rPr>
              <w:t>17,840,835</w:t>
            </w:r>
          </w:p>
        </w:tc>
      </w:tr>
      <w:tr w:rsidR="00DD0834" w:rsidRPr="0098008D" w14:paraId="066B6B5A" w14:textId="77777777" w:rsidTr="003B6997">
        <w:trPr>
          <w:tblHeader/>
          <w:jc w:val="center"/>
        </w:trPr>
        <w:tc>
          <w:tcPr>
            <w:tcW w:w="2778" w:type="dxa"/>
            <w:tcBorders>
              <w:bottom w:val="single" w:sz="4" w:space="0" w:color="auto"/>
            </w:tcBorders>
            <w:shd w:val="clear" w:color="auto" w:fill="auto"/>
            <w:noWrap/>
          </w:tcPr>
          <w:p w14:paraId="38743624" w14:textId="77777777" w:rsidR="00DD0834" w:rsidRPr="00550D36" w:rsidRDefault="00DD0834" w:rsidP="003B6997">
            <w:pPr>
              <w:pStyle w:val="BStabletextbold"/>
              <w:rPr>
                <w:color w:val="472D8C"/>
              </w:rPr>
            </w:pPr>
            <w:r w:rsidRPr="00550D36">
              <w:rPr>
                <w:color w:val="472D8C"/>
              </w:rPr>
              <w:t xml:space="preserve">Net debt (excluding superannuation related investments) </w:t>
            </w:r>
          </w:p>
        </w:tc>
        <w:tc>
          <w:tcPr>
            <w:tcW w:w="1077" w:type="dxa"/>
            <w:tcBorders>
              <w:bottom w:val="single" w:sz="4" w:space="0" w:color="auto"/>
            </w:tcBorders>
            <w:shd w:val="clear" w:color="auto" w:fill="auto"/>
          </w:tcPr>
          <w:p w14:paraId="5D4DCD8E" w14:textId="77777777" w:rsidR="00DD0834" w:rsidRPr="00D61852" w:rsidRDefault="00DD0834" w:rsidP="003B6997">
            <w:pPr>
              <w:pStyle w:val="BStabletextbold"/>
              <w:jc w:val="right"/>
              <w:rPr>
                <w:color w:val="472D8C"/>
              </w:rPr>
            </w:pPr>
            <w:r w:rsidRPr="00D61852">
              <w:rPr>
                <w:color w:val="472D8C"/>
              </w:rPr>
              <w:t>6,696,141</w:t>
            </w:r>
          </w:p>
        </w:tc>
        <w:tc>
          <w:tcPr>
            <w:tcW w:w="1077" w:type="dxa"/>
            <w:tcBorders>
              <w:bottom w:val="single" w:sz="4" w:space="0" w:color="auto"/>
            </w:tcBorders>
            <w:shd w:val="clear" w:color="auto" w:fill="auto"/>
            <w:noWrap/>
          </w:tcPr>
          <w:p w14:paraId="0CD3AF8F" w14:textId="77777777" w:rsidR="00DD0834" w:rsidRPr="00D61852" w:rsidRDefault="00DD0834" w:rsidP="003B6997">
            <w:pPr>
              <w:pStyle w:val="BStabletextbold"/>
              <w:jc w:val="right"/>
              <w:rPr>
                <w:color w:val="472D8C"/>
              </w:rPr>
            </w:pPr>
            <w:r w:rsidRPr="00D61852">
              <w:rPr>
                <w:color w:val="472D8C"/>
              </w:rPr>
              <w:t>6,175,141</w:t>
            </w:r>
          </w:p>
        </w:tc>
        <w:tc>
          <w:tcPr>
            <w:tcW w:w="1077" w:type="dxa"/>
            <w:tcBorders>
              <w:bottom w:val="single" w:sz="4" w:space="0" w:color="auto"/>
            </w:tcBorders>
            <w:shd w:val="clear" w:color="auto" w:fill="auto"/>
            <w:noWrap/>
          </w:tcPr>
          <w:p w14:paraId="3002B4CD" w14:textId="77777777" w:rsidR="00DD0834" w:rsidRPr="00D61852" w:rsidRDefault="00DD0834" w:rsidP="003B6997">
            <w:pPr>
              <w:pStyle w:val="BStabletextbold"/>
              <w:jc w:val="right"/>
              <w:rPr>
                <w:color w:val="472D8C"/>
              </w:rPr>
            </w:pPr>
            <w:r w:rsidRPr="00D61852">
              <w:rPr>
                <w:color w:val="472D8C"/>
              </w:rPr>
              <w:t>7,752,671</w:t>
            </w:r>
          </w:p>
        </w:tc>
        <w:tc>
          <w:tcPr>
            <w:tcW w:w="1077" w:type="dxa"/>
            <w:tcBorders>
              <w:bottom w:val="single" w:sz="4" w:space="0" w:color="auto"/>
            </w:tcBorders>
            <w:shd w:val="clear" w:color="auto" w:fill="auto"/>
            <w:noWrap/>
          </w:tcPr>
          <w:p w14:paraId="72DEEA9F" w14:textId="77777777" w:rsidR="00DD0834" w:rsidRPr="00D61852" w:rsidRDefault="00DD0834" w:rsidP="003B6997">
            <w:pPr>
              <w:pStyle w:val="BStabletextbold"/>
              <w:jc w:val="right"/>
              <w:rPr>
                <w:color w:val="472D8C"/>
              </w:rPr>
            </w:pPr>
            <w:r w:rsidRPr="00D61852">
              <w:rPr>
                <w:color w:val="472D8C"/>
              </w:rPr>
              <w:t>8,894,567</w:t>
            </w:r>
          </w:p>
        </w:tc>
        <w:tc>
          <w:tcPr>
            <w:tcW w:w="1077" w:type="dxa"/>
            <w:tcBorders>
              <w:bottom w:val="single" w:sz="4" w:space="0" w:color="auto"/>
            </w:tcBorders>
            <w:shd w:val="clear" w:color="auto" w:fill="auto"/>
            <w:noWrap/>
          </w:tcPr>
          <w:p w14:paraId="6CDBC0E8" w14:textId="77777777" w:rsidR="00DD0834" w:rsidRPr="00D61852" w:rsidRDefault="00DD0834" w:rsidP="003B6997">
            <w:pPr>
              <w:pStyle w:val="BStabletextbold"/>
              <w:jc w:val="right"/>
              <w:rPr>
                <w:color w:val="472D8C"/>
              </w:rPr>
            </w:pPr>
            <w:r w:rsidRPr="00D61852">
              <w:rPr>
                <w:color w:val="472D8C"/>
              </w:rPr>
              <w:t>10,261,759</w:t>
            </w:r>
          </w:p>
        </w:tc>
        <w:tc>
          <w:tcPr>
            <w:tcW w:w="1077" w:type="dxa"/>
            <w:tcBorders>
              <w:bottom w:val="single" w:sz="4" w:space="0" w:color="auto"/>
            </w:tcBorders>
            <w:shd w:val="clear" w:color="auto" w:fill="auto"/>
            <w:noWrap/>
          </w:tcPr>
          <w:p w14:paraId="45847AE5" w14:textId="77777777" w:rsidR="00DD0834" w:rsidRPr="00D61852" w:rsidRDefault="00DD0834" w:rsidP="003B6997">
            <w:pPr>
              <w:pStyle w:val="BStabletextbold"/>
              <w:jc w:val="right"/>
              <w:rPr>
                <w:color w:val="472D8C"/>
              </w:rPr>
            </w:pPr>
            <w:r w:rsidRPr="00D61852">
              <w:rPr>
                <w:color w:val="472D8C"/>
              </w:rPr>
              <w:t>11,694,394</w:t>
            </w:r>
          </w:p>
        </w:tc>
      </w:tr>
    </w:tbl>
    <w:p w14:paraId="62020C19" w14:textId="77777777" w:rsidR="00DD0834" w:rsidRPr="00333958" w:rsidRDefault="00DD0834" w:rsidP="003B6997">
      <w:pPr>
        <w:pStyle w:val="BNoteBold"/>
        <w:rPr>
          <w:b w:val="0"/>
          <w:bCs/>
        </w:rPr>
      </w:pPr>
      <w:r w:rsidRPr="007C345B">
        <w:t>Notes:</w:t>
      </w:r>
      <w:r>
        <w:t xml:space="preserve"> </w:t>
      </w:r>
      <w:r w:rsidRPr="00333958">
        <w:rPr>
          <w:b w:val="0"/>
          <w:bCs/>
        </w:rPr>
        <w:t>Numbers may not add due to rounding.</w:t>
      </w:r>
    </w:p>
    <w:p w14:paraId="039701F6" w14:textId="77777777" w:rsidR="00DD0834" w:rsidRPr="00FF2A14" w:rsidRDefault="00DD0834" w:rsidP="00DD0834">
      <w:pPr>
        <w:pStyle w:val="BNotelist"/>
        <w:numPr>
          <w:ilvl w:val="0"/>
          <w:numId w:val="14"/>
        </w:numPr>
      </w:pPr>
      <w:r w:rsidRPr="00FF2A14">
        <w:br w:type="page"/>
      </w:r>
    </w:p>
    <w:p w14:paraId="5332FCE7" w14:textId="3B0443D5" w:rsidR="00DD0834" w:rsidRDefault="00DD0834" w:rsidP="003B6997">
      <w:pPr>
        <w:pStyle w:val="Caption"/>
      </w:pPr>
      <w:r>
        <w:lastRenderedPageBreak/>
        <w:t>Table E.</w:t>
      </w:r>
      <w:fldSimple w:instr=" SEQ Table \* ARABIC \s 2 ">
        <w:r w:rsidR="001478F3">
          <w:rPr>
            <w:noProof/>
          </w:rPr>
          <w:t>3</w:t>
        </w:r>
      </w:fldSimple>
      <w:r>
        <w:t>: Australian Capital Territory Consolidated Total Territory – Statement of changes in equity</w:t>
      </w:r>
    </w:p>
    <w:tbl>
      <w:tblPr>
        <w:tblW w:w="8989" w:type="dxa"/>
        <w:jc w:val="center"/>
        <w:tblLayout w:type="fixed"/>
        <w:tblCellMar>
          <w:left w:w="45" w:type="dxa"/>
          <w:right w:w="45" w:type="dxa"/>
        </w:tblCellMar>
        <w:tblLook w:val="0000" w:firstRow="0" w:lastRow="0" w:firstColumn="0" w:lastColumn="0" w:noHBand="0" w:noVBand="0"/>
      </w:tblPr>
      <w:tblGrid>
        <w:gridCol w:w="2869"/>
        <w:gridCol w:w="1020"/>
        <w:gridCol w:w="1020"/>
        <w:gridCol w:w="1020"/>
        <w:gridCol w:w="1020"/>
        <w:gridCol w:w="1020"/>
        <w:gridCol w:w="1020"/>
      </w:tblGrid>
      <w:tr w:rsidR="00DD0834" w:rsidRPr="006D5D15" w14:paraId="4A3F545A" w14:textId="77777777" w:rsidTr="003B6997">
        <w:trPr>
          <w:cantSplit/>
          <w:tblHeader/>
          <w:jc w:val="center"/>
        </w:trPr>
        <w:tc>
          <w:tcPr>
            <w:tcW w:w="2869" w:type="dxa"/>
            <w:tcBorders>
              <w:top w:val="single" w:sz="4" w:space="0" w:color="auto"/>
              <w:left w:val="nil"/>
              <w:bottom w:val="single" w:sz="4" w:space="0" w:color="auto"/>
              <w:right w:val="nil"/>
            </w:tcBorders>
            <w:shd w:val="clear" w:color="auto" w:fill="472D8C"/>
            <w:noWrap/>
          </w:tcPr>
          <w:p w14:paraId="661D0F25" w14:textId="77777777" w:rsidR="00DD0834" w:rsidRPr="00F25F0C" w:rsidRDefault="00DD0834" w:rsidP="003B6997">
            <w:pPr>
              <w:pStyle w:val="EmptyCell0"/>
              <w:rPr>
                <w:rFonts w:eastAsia="SimSun"/>
              </w:rPr>
            </w:pPr>
          </w:p>
        </w:tc>
        <w:tc>
          <w:tcPr>
            <w:tcW w:w="1020" w:type="dxa"/>
            <w:tcBorders>
              <w:top w:val="single" w:sz="4" w:space="0" w:color="auto"/>
              <w:left w:val="nil"/>
              <w:bottom w:val="single" w:sz="4" w:space="0" w:color="auto"/>
              <w:right w:val="nil"/>
            </w:tcBorders>
            <w:shd w:val="clear" w:color="auto" w:fill="472D8C"/>
          </w:tcPr>
          <w:p w14:paraId="03DAE77F" w14:textId="77777777" w:rsidR="00DD0834" w:rsidRPr="006D5D15" w:rsidRDefault="00DD0834" w:rsidP="003B6997">
            <w:pPr>
              <w:pStyle w:val="BStableheading"/>
              <w:framePr w:wrap="auto" w:vAnchor="margin" w:yAlign="inline"/>
              <w:rPr>
                <w:rFonts w:eastAsia="SimSun"/>
                <w:color w:val="FFFFFF" w:themeColor="background1"/>
                <w:lang w:val="en-AU"/>
              </w:rPr>
            </w:pPr>
            <w:r>
              <w:rPr>
                <w:rFonts w:eastAsia="SimSun"/>
                <w:color w:val="FFFFFF" w:themeColor="background1"/>
                <w:lang w:val="en-AU"/>
              </w:rPr>
              <w:t>2020-21</w:t>
            </w:r>
          </w:p>
          <w:p w14:paraId="7FEF9992" w14:textId="77777777" w:rsidR="00DD0834" w:rsidRPr="006D5D15" w:rsidRDefault="00DD0834" w:rsidP="003B6997">
            <w:pPr>
              <w:pStyle w:val="BStableheading"/>
              <w:framePr w:wrap="auto" w:vAnchor="margin" w:yAlign="inline"/>
              <w:rPr>
                <w:rFonts w:eastAsia="SimSun"/>
                <w:color w:val="FFFFFF" w:themeColor="background1"/>
                <w:lang w:val="en-AU"/>
              </w:rPr>
            </w:pPr>
            <w:r w:rsidRPr="006D5D15">
              <w:rPr>
                <w:rFonts w:eastAsia="SimSun"/>
                <w:color w:val="FFFFFF" w:themeColor="background1"/>
                <w:lang w:val="en-AU"/>
              </w:rPr>
              <w:t>Budget</w:t>
            </w:r>
          </w:p>
          <w:p w14:paraId="25E37D36" w14:textId="77777777" w:rsidR="00DD0834" w:rsidRDefault="00DD0834" w:rsidP="003B6997">
            <w:pPr>
              <w:pStyle w:val="BStableheading"/>
              <w:framePr w:wrap="around"/>
              <w:rPr>
                <w:rFonts w:eastAsia="SimSun"/>
                <w:color w:val="FFFFFF" w:themeColor="background1"/>
                <w:lang w:val="en-AU"/>
              </w:rPr>
            </w:pPr>
          </w:p>
          <w:p w14:paraId="23474E2C"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018EA164"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w:t>
            </w:r>
            <w:r>
              <w:rPr>
                <w:rFonts w:eastAsia="SimSun"/>
                <w:color w:val="FFFFFF" w:themeColor="background1"/>
                <w:lang w:val="en-AU"/>
              </w:rPr>
              <w:t>20</w:t>
            </w:r>
            <w:r w:rsidRPr="006D5D15">
              <w:rPr>
                <w:rFonts w:eastAsia="SimSun"/>
                <w:color w:val="FFFFFF" w:themeColor="background1"/>
                <w:lang w:val="en-AU"/>
              </w:rPr>
              <w:t>-2</w:t>
            </w:r>
            <w:r>
              <w:rPr>
                <w:rFonts w:eastAsia="SimSun"/>
                <w:color w:val="FFFFFF" w:themeColor="background1"/>
                <w:lang w:val="en-AU"/>
              </w:rPr>
              <w:t>1</w:t>
            </w:r>
          </w:p>
          <w:p w14:paraId="57D21DAB" w14:textId="77777777" w:rsidR="00DD0834" w:rsidRPr="006D5D15" w:rsidRDefault="00DD0834" w:rsidP="003B6997">
            <w:pPr>
              <w:pStyle w:val="BStableheading"/>
              <w:framePr w:wrap="around"/>
              <w:rPr>
                <w:rFonts w:eastAsia="SimSun"/>
                <w:color w:val="FFFFFF" w:themeColor="background1"/>
                <w:lang w:val="en-AU"/>
              </w:rPr>
            </w:pPr>
            <w:r>
              <w:rPr>
                <w:rFonts w:eastAsia="SimSun"/>
                <w:color w:val="FFFFFF" w:themeColor="background1"/>
                <w:lang w:val="en-AU"/>
              </w:rPr>
              <w:t>Interim</w:t>
            </w:r>
            <w:r w:rsidRPr="006D5D15">
              <w:rPr>
                <w:rFonts w:eastAsia="SimSun"/>
                <w:color w:val="FFFFFF" w:themeColor="background1"/>
                <w:lang w:val="en-AU"/>
              </w:rPr>
              <w:t xml:space="preserve"> outcome</w:t>
            </w:r>
          </w:p>
          <w:p w14:paraId="32C906A2"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65104E2A"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1</w:t>
            </w:r>
            <w:r w:rsidRPr="006D5D15">
              <w:rPr>
                <w:rFonts w:eastAsia="SimSun"/>
                <w:color w:val="FFFFFF" w:themeColor="background1"/>
                <w:lang w:val="en-AU"/>
              </w:rPr>
              <w:t>-2</w:t>
            </w:r>
            <w:r>
              <w:rPr>
                <w:rFonts w:eastAsia="SimSun"/>
                <w:color w:val="FFFFFF" w:themeColor="background1"/>
                <w:lang w:val="en-AU"/>
              </w:rPr>
              <w:t>2</w:t>
            </w:r>
          </w:p>
          <w:p w14:paraId="3D938EE1"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Budget</w:t>
            </w:r>
          </w:p>
          <w:p w14:paraId="60DD1D9C" w14:textId="77777777" w:rsidR="00DD0834" w:rsidRPr="006D5D15" w:rsidRDefault="00DD0834" w:rsidP="003B6997">
            <w:pPr>
              <w:pStyle w:val="BStableheading"/>
              <w:framePr w:wrap="around"/>
              <w:rPr>
                <w:rFonts w:eastAsia="SimSun"/>
                <w:color w:val="FFFFFF" w:themeColor="background1"/>
                <w:lang w:val="en-AU"/>
              </w:rPr>
            </w:pPr>
          </w:p>
          <w:p w14:paraId="1DC5DBA4"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4A87E09E"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2</w:t>
            </w:r>
            <w:r w:rsidRPr="006D5D15">
              <w:rPr>
                <w:rFonts w:eastAsia="SimSun"/>
                <w:color w:val="FFFFFF" w:themeColor="background1"/>
                <w:lang w:val="en-AU"/>
              </w:rPr>
              <w:t>-2</w:t>
            </w:r>
            <w:r>
              <w:rPr>
                <w:rFonts w:eastAsia="SimSun"/>
                <w:color w:val="FFFFFF" w:themeColor="background1"/>
                <w:lang w:val="en-AU"/>
              </w:rPr>
              <w:t>3</w:t>
            </w:r>
          </w:p>
          <w:p w14:paraId="59C0F686"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5ABE4673" w14:textId="77777777" w:rsidR="00DD0834" w:rsidRPr="006D5D15" w:rsidRDefault="00DD0834" w:rsidP="003B6997">
            <w:pPr>
              <w:pStyle w:val="BStableheading"/>
              <w:framePr w:wrap="around"/>
              <w:rPr>
                <w:rFonts w:eastAsia="SimSun"/>
                <w:color w:val="FFFFFF" w:themeColor="background1"/>
                <w:lang w:val="en-AU"/>
              </w:rPr>
            </w:pPr>
          </w:p>
          <w:p w14:paraId="50A18677"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5FB05127"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3</w:t>
            </w:r>
            <w:r w:rsidRPr="006D5D15">
              <w:rPr>
                <w:rFonts w:eastAsia="SimSun"/>
                <w:color w:val="FFFFFF" w:themeColor="background1"/>
                <w:lang w:val="en-AU"/>
              </w:rPr>
              <w:t>-2</w:t>
            </w:r>
            <w:r>
              <w:rPr>
                <w:rFonts w:eastAsia="SimSun"/>
                <w:color w:val="FFFFFF" w:themeColor="background1"/>
                <w:lang w:val="en-AU"/>
              </w:rPr>
              <w:t>4</w:t>
            </w:r>
          </w:p>
          <w:p w14:paraId="0A2641C7"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78B62563" w14:textId="77777777" w:rsidR="00DD0834" w:rsidRPr="006D5D15" w:rsidRDefault="00DD0834" w:rsidP="003B6997">
            <w:pPr>
              <w:pStyle w:val="BStableheading"/>
              <w:framePr w:wrap="around"/>
              <w:rPr>
                <w:rFonts w:eastAsia="SimSun"/>
                <w:color w:val="FFFFFF" w:themeColor="background1"/>
                <w:lang w:val="en-AU"/>
              </w:rPr>
            </w:pPr>
          </w:p>
          <w:p w14:paraId="7EC54CB5"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c>
          <w:tcPr>
            <w:tcW w:w="1020" w:type="dxa"/>
            <w:tcBorders>
              <w:top w:val="single" w:sz="4" w:space="0" w:color="auto"/>
              <w:left w:val="nil"/>
              <w:bottom w:val="single" w:sz="4" w:space="0" w:color="auto"/>
              <w:right w:val="nil"/>
            </w:tcBorders>
            <w:shd w:val="clear" w:color="auto" w:fill="472D8C"/>
            <w:noWrap/>
          </w:tcPr>
          <w:p w14:paraId="721CC4CC"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202</w:t>
            </w:r>
            <w:r>
              <w:rPr>
                <w:rFonts w:eastAsia="SimSun"/>
                <w:color w:val="FFFFFF" w:themeColor="background1"/>
                <w:lang w:val="en-AU"/>
              </w:rPr>
              <w:t>4</w:t>
            </w:r>
            <w:r w:rsidRPr="006D5D15">
              <w:rPr>
                <w:rFonts w:eastAsia="SimSun"/>
                <w:color w:val="FFFFFF" w:themeColor="background1"/>
                <w:lang w:val="en-AU"/>
              </w:rPr>
              <w:t>-2</w:t>
            </w:r>
            <w:r>
              <w:rPr>
                <w:rFonts w:eastAsia="SimSun"/>
                <w:color w:val="FFFFFF" w:themeColor="background1"/>
                <w:lang w:val="en-AU"/>
              </w:rPr>
              <w:t>5</w:t>
            </w:r>
          </w:p>
          <w:p w14:paraId="54B6A87D"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Estimate</w:t>
            </w:r>
          </w:p>
          <w:p w14:paraId="7E6AB047" w14:textId="77777777" w:rsidR="00DD0834" w:rsidRPr="006D5D15" w:rsidRDefault="00DD0834" w:rsidP="003B6997">
            <w:pPr>
              <w:pStyle w:val="BStableheading"/>
              <w:framePr w:wrap="around"/>
              <w:rPr>
                <w:rFonts w:eastAsia="SimSun"/>
                <w:color w:val="FFFFFF" w:themeColor="background1"/>
                <w:lang w:val="en-AU"/>
              </w:rPr>
            </w:pPr>
          </w:p>
          <w:p w14:paraId="5DF99112" w14:textId="77777777" w:rsidR="00DD0834" w:rsidRPr="006D5D15" w:rsidRDefault="00DD0834" w:rsidP="003B6997">
            <w:pPr>
              <w:pStyle w:val="BStableheading"/>
              <w:framePr w:wrap="around"/>
              <w:rPr>
                <w:rFonts w:eastAsia="SimSun"/>
                <w:color w:val="FFFFFF" w:themeColor="background1"/>
                <w:lang w:val="en-AU"/>
              </w:rPr>
            </w:pPr>
            <w:r w:rsidRPr="006D5D15">
              <w:rPr>
                <w:rFonts w:eastAsia="SimSun"/>
                <w:color w:val="FFFFFF" w:themeColor="background1"/>
                <w:lang w:val="en-AU"/>
              </w:rPr>
              <w:t>$’000</w:t>
            </w:r>
          </w:p>
        </w:tc>
      </w:tr>
      <w:tr w:rsidR="00DD0834" w:rsidRPr="006D5D15" w14:paraId="23408698" w14:textId="77777777" w:rsidTr="003B6997">
        <w:trPr>
          <w:cantSplit/>
          <w:tblHeader/>
          <w:jc w:val="center"/>
        </w:trPr>
        <w:tc>
          <w:tcPr>
            <w:tcW w:w="2869" w:type="dxa"/>
            <w:shd w:val="clear" w:color="auto" w:fill="auto"/>
            <w:noWrap/>
          </w:tcPr>
          <w:p w14:paraId="7A93E159" w14:textId="77777777" w:rsidR="00DD0834" w:rsidRPr="00F25F0C" w:rsidRDefault="00DD0834" w:rsidP="003B6997">
            <w:pPr>
              <w:pStyle w:val="BStabletextbold"/>
              <w:rPr>
                <w:rFonts w:eastAsia="SimSun"/>
              </w:rPr>
            </w:pPr>
            <w:r w:rsidRPr="000868D1">
              <w:t>Opening equity</w:t>
            </w:r>
          </w:p>
        </w:tc>
        <w:tc>
          <w:tcPr>
            <w:tcW w:w="1020" w:type="dxa"/>
            <w:shd w:val="clear" w:color="auto" w:fill="auto"/>
          </w:tcPr>
          <w:p w14:paraId="16391FAD" w14:textId="77777777" w:rsidR="00DD0834" w:rsidRDefault="00DD0834" w:rsidP="003B6997">
            <w:pPr>
              <w:pStyle w:val="Btablefigureunbold"/>
              <w:rPr>
                <w:rFonts w:eastAsia="SimSun"/>
                <w:color w:val="FFFFFF" w:themeColor="background1"/>
              </w:rPr>
            </w:pPr>
            <w:r w:rsidRPr="00FA07D8">
              <w:rPr>
                <w:highlight w:val="yellow"/>
              </w:rPr>
              <w:t xml:space="preserve"> </w:t>
            </w:r>
          </w:p>
        </w:tc>
        <w:tc>
          <w:tcPr>
            <w:tcW w:w="1020" w:type="dxa"/>
            <w:shd w:val="clear" w:color="auto" w:fill="auto"/>
            <w:noWrap/>
          </w:tcPr>
          <w:p w14:paraId="2880EB91"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20" w:type="dxa"/>
            <w:shd w:val="clear" w:color="auto" w:fill="auto"/>
            <w:noWrap/>
          </w:tcPr>
          <w:p w14:paraId="74D9EA98"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20" w:type="dxa"/>
            <w:shd w:val="clear" w:color="auto" w:fill="auto"/>
            <w:noWrap/>
          </w:tcPr>
          <w:p w14:paraId="6709D003"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20" w:type="dxa"/>
            <w:shd w:val="clear" w:color="auto" w:fill="auto"/>
            <w:noWrap/>
          </w:tcPr>
          <w:p w14:paraId="7E7DFA99"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c>
          <w:tcPr>
            <w:tcW w:w="1020" w:type="dxa"/>
            <w:shd w:val="clear" w:color="auto" w:fill="auto"/>
            <w:noWrap/>
          </w:tcPr>
          <w:p w14:paraId="4203B4EC" w14:textId="77777777" w:rsidR="00DD0834" w:rsidRPr="006D5D15" w:rsidRDefault="00DD0834" w:rsidP="003B6997">
            <w:pPr>
              <w:pStyle w:val="Btablefigureunbold"/>
              <w:rPr>
                <w:rFonts w:eastAsia="SimSun"/>
                <w:color w:val="FFFFFF" w:themeColor="background1"/>
              </w:rPr>
            </w:pPr>
            <w:r w:rsidRPr="00FA07D8">
              <w:rPr>
                <w:highlight w:val="yellow"/>
              </w:rPr>
              <w:t xml:space="preserve"> </w:t>
            </w:r>
          </w:p>
        </w:tc>
      </w:tr>
      <w:tr w:rsidR="00DD0834" w:rsidRPr="006D5D15" w14:paraId="61478BD2" w14:textId="77777777" w:rsidTr="003B6997">
        <w:trPr>
          <w:cantSplit/>
          <w:tblHeader/>
          <w:jc w:val="center"/>
        </w:trPr>
        <w:tc>
          <w:tcPr>
            <w:tcW w:w="2869" w:type="dxa"/>
            <w:shd w:val="clear" w:color="auto" w:fill="auto"/>
            <w:noWrap/>
          </w:tcPr>
          <w:p w14:paraId="7D784C48" w14:textId="77777777" w:rsidR="00DD0834" w:rsidRPr="00F25F0C" w:rsidRDefault="00DD0834" w:rsidP="003B6997">
            <w:pPr>
              <w:pStyle w:val="BStabletext"/>
              <w:rPr>
                <w:rFonts w:eastAsia="SimSun"/>
              </w:rPr>
            </w:pPr>
            <w:r w:rsidRPr="000868D1">
              <w:t>Opening accumulated funds</w:t>
            </w:r>
          </w:p>
        </w:tc>
        <w:tc>
          <w:tcPr>
            <w:tcW w:w="1020" w:type="dxa"/>
            <w:shd w:val="clear" w:color="auto" w:fill="auto"/>
          </w:tcPr>
          <w:p w14:paraId="0B1368E9" w14:textId="77777777" w:rsidR="00DD0834" w:rsidRPr="00D31EE8" w:rsidRDefault="00DD0834" w:rsidP="003B6997">
            <w:pPr>
              <w:pStyle w:val="BStablefiguresitalics"/>
              <w:jc w:val="right"/>
              <w:rPr>
                <w:rFonts w:eastAsia="SimSun"/>
                <w:sz w:val="20"/>
                <w:szCs w:val="20"/>
              </w:rPr>
            </w:pPr>
            <w:r w:rsidRPr="00D31EE8">
              <w:rPr>
                <w:sz w:val="20"/>
                <w:szCs w:val="20"/>
              </w:rPr>
              <w:t>2,423,873</w:t>
            </w:r>
          </w:p>
        </w:tc>
        <w:tc>
          <w:tcPr>
            <w:tcW w:w="1020" w:type="dxa"/>
            <w:shd w:val="clear" w:color="auto" w:fill="auto"/>
            <w:noWrap/>
          </w:tcPr>
          <w:p w14:paraId="02AC64C7" w14:textId="77777777" w:rsidR="00DD0834" w:rsidRPr="00D31EE8" w:rsidRDefault="00DD0834" w:rsidP="003B6997">
            <w:pPr>
              <w:pStyle w:val="BStablefiguresitalics"/>
              <w:jc w:val="right"/>
              <w:rPr>
                <w:rFonts w:eastAsia="SimSun"/>
                <w:sz w:val="20"/>
                <w:szCs w:val="20"/>
              </w:rPr>
            </w:pPr>
            <w:r w:rsidRPr="00D31EE8">
              <w:rPr>
                <w:sz w:val="20"/>
                <w:szCs w:val="20"/>
              </w:rPr>
              <w:t>2,423,873</w:t>
            </w:r>
          </w:p>
        </w:tc>
        <w:tc>
          <w:tcPr>
            <w:tcW w:w="1020" w:type="dxa"/>
            <w:shd w:val="clear" w:color="auto" w:fill="auto"/>
            <w:noWrap/>
            <w:vAlign w:val="bottom"/>
          </w:tcPr>
          <w:p w14:paraId="2AA2C743" w14:textId="77777777" w:rsidR="00DD0834" w:rsidRPr="00D31EE8" w:rsidRDefault="00DD0834" w:rsidP="003B6997">
            <w:pPr>
              <w:pStyle w:val="BStablefiguresitalics"/>
              <w:jc w:val="right"/>
              <w:rPr>
                <w:rFonts w:eastAsia="SimSun"/>
                <w:sz w:val="20"/>
                <w:szCs w:val="20"/>
              </w:rPr>
            </w:pPr>
            <w:r w:rsidRPr="00D31EE8">
              <w:rPr>
                <w:sz w:val="20"/>
                <w:szCs w:val="20"/>
              </w:rPr>
              <w:t>1,710,015</w:t>
            </w:r>
          </w:p>
        </w:tc>
        <w:tc>
          <w:tcPr>
            <w:tcW w:w="1020" w:type="dxa"/>
            <w:shd w:val="clear" w:color="auto" w:fill="auto"/>
            <w:noWrap/>
            <w:vAlign w:val="bottom"/>
          </w:tcPr>
          <w:p w14:paraId="41C32C2F" w14:textId="77777777" w:rsidR="00DD0834" w:rsidRPr="00D31EE8" w:rsidRDefault="00DD0834" w:rsidP="003B6997">
            <w:pPr>
              <w:pStyle w:val="BStablefiguresitalics"/>
              <w:jc w:val="right"/>
              <w:rPr>
                <w:rFonts w:eastAsia="SimSun"/>
                <w:sz w:val="20"/>
                <w:szCs w:val="20"/>
              </w:rPr>
            </w:pPr>
            <w:r w:rsidRPr="00D31EE8">
              <w:rPr>
                <w:sz w:val="20"/>
                <w:szCs w:val="20"/>
              </w:rPr>
              <w:t>4,067,324</w:t>
            </w:r>
          </w:p>
        </w:tc>
        <w:tc>
          <w:tcPr>
            <w:tcW w:w="1020" w:type="dxa"/>
            <w:shd w:val="clear" w:color="auto" w:fill="auto"/>
            <w:noWrap/>
            <w:vAlign w:val="bottom"/>
          </w:tcPr>
          <w:p w14:paraId="7782E58E" w14:textId="77777777" w:rsidR="00DD0834" w:rsidRPr="00D31EE8" w:rsidRDefault="00DD0834" w:rsidP="003B6997">
            <w:pPr>
              <w:pStyle w:val="BStablefiguresitalics"/>
              <w:jc w:val="right"/>
              <w:rPr>
                <w:rFonts w:eastAsia="SimSun"/>
                <w:sz w:val="20"/>
                <w:szCs w:val="20"/>
              </w:rPr>
            </w:pPr>
            <w:r w:rsidRPr="00D31EE8">
              <w:rPr>
                <w:sz w:val="20"/>
                <w:szCs w:val="20"/>
              </w:rPr>
              <w:t>3,491,203</w:t>
            </w:r>
          </w:p>
        </w:tc>
        <w:tc>
          <w:tcPr>
            <w:tcW w:w="1020" w:type="dxa"/>
            <w:shd w:val="clear" w:color="auto" w:fill="auto"/>
            <w:noWrap/>
            <w:vAlign w:val="bottom"/>
          </w:tcPr>
          <w:p w14:paraId="73AD7AA9" w14:textId="77777777" w:rsidR="00DD0834" w:rsidRPr="00D31EE8" w:rsidRDefault="00DD0834" w:rsidP="003B6997">
            <w:pPr>
              <w:pStyle w:val="BStablefiguresitalics"/>
              <w:jc w:val="right"/>
              <w:rPr>
                <w:rFonts w:eastAsia="SimSun"/>
                <w:sz w:val="20"/>
                <w:szCs w:val="20"/>
              </w:rPr>
            </w:pPr>
            <w:r w:rsidRPr="00D31EE8">
              <w:rPr>
                <w:sz w:val="20"/>
                <w:szCs w:val="20"/>
              </w:rPr>
              <w:t>2,938,730</w:t>
            </w:r>
          </w:p>
        </w:tc>
      </w:tr>
      <w:tr w:rsidR="00DD0834" w:rsidRPr="006D5D15" w14:paraId="3DDFBB7D" w14:textId="77777777" w:rsidTr="003B6997">
        <w:trPr>
          <w:cantSplit/>
          <w:tblHeader/>
          <w:jc w:val="center"/>
        </w:trPr>
        <w:tc>
          <w:tcPr>
            <w:tcW w:w="2869" w:type="dxa"/>
            <w:shd w:val="clear" w:color="auto" w:fill="auto"/>
            <w:noWrap/>
          </w:tcPr>
          <w:p w14:paraId="10CBDCD2" w14:textId="77777777" w:rsidR="00DD0834" w:rsidRPr="00F25F0C" w:rsidRDefault="00DD0834" w:rsidP="003B6997">
            <w:pPr>
              <w:pStyle w:val="BStabletext"/>
              <w:rPr>
                <w:rFonts w:eastAsia="SimSun"/>
              </w:rPr>
            </w:pPr>
            <w:r w:rsidRPr="000868D1">
              <w:t>Opening asset revaluation surplus</w:t>
            </w:r>
          </w:p>
        </w:tc>
        <w:tc>
          <w:tcPr>
            <w:tcW w:w="1020" w:type="dxa"/>
            <w:shd w:val="clear" w:color="auto" w:fill="auto"/>
          </w:tcPr>
          <w:p w14:paraId="77E31C7B" w14:textId="77777777" w:rsidR="00DD0834" w:rsidRPr="00D31EE8" w:rsidRDefault="00DD0834" w:rsidP="003B6997">
            <w:pPr>
              <w:pStyle w:val="BStablefiguresitalics"/>
              <w:jc w:val="right"/>
              <w:rPr>
                <w:rFonts w:eastAsia="SimSun"/>
                <w:sz w:val="20"/>
                <w:szCs w:val="20"/>
              </w:rPr>
            </w:pPr>
            <w:r w:rsidRPr="00D31EE8">
              <w:rPr>
                <w:sz w:val="20"/>
                <w:szCs w:val="20"/>
              </w:rPr>
              <w:t>11,152,068</w:t>
            </w:r>
          </w:p>
        </w:tc>
        <w:tc>
          <w:tcPr>
            <w:tcW w:w="1020" w:type="dxa"/>
            <w:shd w:val="clear" w:color="auto" w:fill="auto"/>
            <w:noWrap/>
          </w:tcPr>
          <w:p w14:paraId="5EC8A3BA" w14:textId="77777777" w:rsidR="00DD0834" w:rsidRPr="00D31EE8" w:rsidRDefault="00DD0834" w:rsidP="003B6997">
            <w:pPr>
              <w:pStyle w:val="BStablefiguresitalics"/>
              <w:jc w:val="right"/>
              <w:rPr>
                <w:rFonts w:eastAsia="SimSun"/>
                <w:sz w:val="20"/>
                <w:szCs w:val="20"/>
              </w:rPr>
            </w:pPr>
            <w:r w:rsidRPr="00D31EE8">
              <w:rPr>
                <w:sz w:val="20"/>
                <w:szCs w:val="20"/>
              </w:rPr>
              <w:t>11,152,068</w:t>
            </w:r>
          </w:p>
        </w:tc>
        <w:tc>
          <w:tcPr>
            <w:tcW w:w="1020" w:type="dxa"/>
            <w:shd w:val="clear" w:color="auto" w:fill="auto"/>
            <w:noWrap/>
            <w:vAlign w:val="bottom"/>
          </w:tcPr>
          <w:p w14:paraId="523DF8F3" w14:textId="77777777" w:rsidR="00DD0834" w:rsidRPr="00D31EE8" w:rsidRDefault="00DD0834" w:rsidP="003B6997">
            <w:pPr>
              <w:pStyle w:val="BStablefiguresitalics"/>
              <w:jc w:val="right"/>
              <w:rPr>
                <w:rFonts w:eastAsia="SimSun"/>
                <w:sz w:val="20"/>
                <w:szCs w:val="20"/>
              </w:rPr>
            </w:pPr>
            <w:r w:rsidRPr="00D31EE8">
              <w:rPr>
                <w:sz w:val="20"/>
                <w:szCs w:val="20"/>
              </w:rPr>
              <w:t>12,429,985</w:t>
            </w:r>
          </w:p>
        </w:tc>
        <w:tc>
          <w:tcPr>
            <w:tcW w:w="1020" w:type="dxa"/>
            <w:shd w:val="clear" w:color="auto" w:fill="auto"/>
            <w:noWrap/>
            <w:vAlign w:val="bottom"/>
          </w:tcPr>
          <w:p w14:paraId="2E846F13" w14:textId="77777777" w:rsidR="00DD0834" w:rsidRPr="00D31EE8" w:rsidRDefault="00DD0834" w:rsidP="003B6997">
            <w:pPr>
              <w:pStyle w:val="BStablefiguresitalics"/>
              <w:jc w:val="right"/>
              <w:rPr>
                <w:rFonts w:eastAsia="SimSun"/>
                <w:sz w:val="20"/>
                <w:szCs w:val="20"/>
              </w:rPr>
            </w:pPr>
            <w:r w:rsidRPr="00D31EE8">
              <w:rPr>
                <w:sz w:val="20"/>
                <w:szCs w:val="20"/>
              </w:rPr>
              <w:t>12,379,841</w:t>
            </w:r>
          </w:p>
        </w:tc>
        <w:tc>
          <w:tcPr>
            <w:tcW w:w="1020" w:type="dxa"/>
            <w:shd w:val="clear" w:color="auto" w:fill="auto"/>
            <w:noWrap/>
            <w:vAlign w:val="bottom"/>
          </w:tcPr>
          <w:p w14:paraId="29A5FBDA" w14:textId="77777777" w:rsidR="00DD0834" w:rsidRPr="00D31EE8" w:rsidRDefault="00DD0834" w:rsidP="003B6997">
            <w:pPr>
              <w:pStyle w:val="BStablefiguresitalics"/>
              <w:jc w:val="right"/>
              <w:rPr>
                <w:rFonts w:eastAsia="SimSun"/>
                <w:sz w:val="20"/>
                <w:szCs w:val="20"/>
              </w:rPr>
            </w:pPr>
            <w:r w:rsidRPr="00D31EE8">
              <w:rPr>
                <w:sz w:val="20"/>
                <w:szCs w:val="20"/>
              </w:rPr>
              <w:t>12,294,686</w:t>
            </w:r>
          </w:p>
        </w:tc>
        <w:tc>
          <w:tcPr>
            <w:tcW w:w="1020" w:type="dxa"/>
            <w:shd w:val="clear" w:color="auto" w:fill="auto"/>
            <w:noWrap/>
            <w:vAlign w:val="bottom"/>
          </w:tcPr>
          <w:p w14:paraId="5FBBACC4" w14:textId="77777777" w:rsidR="00DD0834" w:rsidRPr="00D31EE8" w:rsidRDefault="00DD0834" w:rsidP="003B6997">
            <w:pPr>
              <w:pStyle w:val="BStablefiguresitalics"/>
              <w:jc w:val="right"/>
              <w:rPr>
                <w:rFonts w:eastAsia="SimSun"/>
                <w:sz w:val="20"/>
                <w:szCs w:val="20"/>
              </w:rPr>
            </w:pPr>
            <w:r w:rsidRPr="00D31EE8">
              <w:rPr>
                <w:sz w:val="20"/>
                <w:szCs w:val="20"/>
              </w:rPr>
              <w:t>12,453,141</w:t>
            </w:r>
          </w:p>
        </w:tc>
      </w:tr>
      <w:tr w:rsidR="00DD0834" w:rsidRPr="006D5D15" w14:paraId="0D851AF5" w14:textId="77777777" w:rsidTr="003B6997">
        <w:trPr>
          <w:cantSplit/>
          <w:tblHeader/>
          <w:jc w:val="center"/>
        </w:trPr>
        <w:tc>
          <w:tcPr>
            <w:tcW w:w="2869" w:type="dxa"/>
            <w:shd w:val="clear" w:color="auto" w:fill="auto"/>
            <w:noWrap/>
          </w:tcPr>
          <w:p w14:paraId="4B286D8C" w14:textId="77777777" w:rsidR="00DD0834" w:rsidRPr="00F25F0C" w:rsidRDefault="00DD0834" w:rsidP="003B6997">
            <w:pPr>
              <w:pStyle w:val="BStabletext"/>
              <w:rPr>
                <w:rFonts w:eastAsia="SimSun"/>
              </w:rPr>
            </w:pPr>
            <w:r w:rsidRPr="000868D1">
              <w:t>Opening other reserves</w:t>
            </w:r>
          </w:p>
        </w:tc>
        <w:tc>
          <w:tcPr>
            <w:tcW w:w="1020" w:type="dxa"/>
            <w:shd w:val="clear" w:color="auto" w:fill="auto"/>
          </w:tcPr>
          <w:p w14:paraId="68FF641B"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shd w:val="clear" w:color="auto" w:fill="auto"/>
            <w:noWrap/>
          </w:tcPr>
          <w:p w14:paraId="28B04E41"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shd w:val="clear" w:color="auto" w:fill="auto"/>
            <w:noWrap/>
            <w:vAlign w:val="bottom"/>
          </w:tcPr>
          <w:p w14:paraId="0EB6E36A"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shd w:val="clear" w:color="auto" w:fill="auto"/>
            <w:noWrap/>
            <w:vAlign w:val="bottom"/>
          </w:tcPr>
          <w:p w14:paraId="193F1E25"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shd w:val="clear" w:color="auto" w:fill="auto"/>
            <w:noWrap/>
            <w:vAlign w:val="bottom"/>
          </w:tcPr>
          <w:p w14:paraId="2574339B"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shd w:val="clear" w:color="auto" w:fill="auto"/>
            <w:noWrap/>
            <w:vAlign w:val="bottom"/>
          </w:tcPr>
          <w:p w14:paraId="75EC83B1" w14:textId="77777777" w:rsidR="00DD0834" w:rsidRPr="00D31EE8" w:rsidRDefault="00DD0834" w:rsidP="003B6997">
            <w:pPr>
              <w:pStyle w:val="BStablefiguresitalics"/>
              <w:jc w:val="right"/>
              <w:rPr>
                <w:rFonts w:eastAsia="SimSun"/>
                <w:sz w:val="20"/>
                <w:szCs w:val="20"/>
              </w:rPr>
            </w:pPr>
            <w:r w:rsidRPr="00D31EE8">
              <w:rPr>
                <w:sz w:val="20"/>
                <w:szCs w:val="20"/>
              </w:rPr>
              <w:t>1,230</w:t>
            </w:r>
          </w:p>
        </w:tc>
      </w:tr>
      <w:tr w:rsidR="00DD0834" w:rsidRPr="006D5D15" w14:paraId="35D1F2C2" w14:textId="77777777" w:rsidTr="003B6997">
        <w:trPr>
          <w:cantSplit/>
          <w:tblHeader/>
          <w:jc w:val="center"/>
        </w:trPr>
        <w:tc>
          <w:tcPr>
            <w:tcW w:w="2869" w:type="dxa"/>
            <w:shd w:val="clear" w:color="auto" w:fill="auto"/>
            <w:noWrap/>
          </w:tcPr>
          <w:p w14:paraId="4667F402" w14:textId="77777777" w:rsidR="00DD0834" w:rsidRPr="00F25F0C" w:rsidRDefault="00DD0834" w:rsidP="003B6997">
            <w:pPr>
              <w:pStyle w:val="BStabletextbold"/>
              <w:rPr>
                <w:rFonts w:eastAsia="SimSun"/>
              </w:rPr>
            </w:pPr>
            <w:r w:rsidRPr="000868D1">
              <w:t>Opening balance</w:t>
            </w:r>
          </w:p>
        </w:tc>
        <w:tc>
          <w:tcPr>
            <w:tcW w:w="1020" w:type="dxa"/>
            <w:shd w:val="clear" w:color="auto" w:fill="auto"/>
          </w:tcPr>
          <w:p w14:paraId="1D08C3C0" w14:textId="77777777" w:rsidR="00DD0834" w:rsidRPr="00D31EE8" w:rsidRDefault="00DD0834" w:rsidP="003B6997">
            <w:pPr>
              <w:pStyle w:val="BStablefiguresitalics"/>
              <w:jc w:val="right"/>
              <w:rPr>
                <w:rFonts w:eastAsia="SimSun"/>
                <w:b/>
                <w:bCs/>
                <w:sz w:val="20"/>
                <w:szCs w:val="20"/>
              </w:rPr>
            </w:pPr>
            <w:r w:rsidRPr="00D31EE8">
              <w:rPr>
                <w:b/>
                <w:bCs/>
                <w:sz w:val="20"/>
                <w:szCs w:val="20"/>
              </w:rPr>
              <w:t>13,577,170</w:t>
            </w:r>
          </w:p>
        </w:tc>
        <w:tc>
          <w:tcPr>
            <w:tcW w:w="1020" w:type="dxa"/>
            <w:shd w:val="clear" w:color="auto" w:fill="auto"/>
            <w:noWrap/>
          </w:tcPr>
          <w:p w14:paraId="744A5A1D" w14:textId="77777777" w:rsidR="00DD0834" w:rsidRPr="00D31EE8" w:rsidRDefault="00DD0834" w:rsidP="003B6997">
            <w:pPr>
              <w:pStyle w:val="BStablefiguresitalics"/>
              <w:jc w:val="right"/>
              <w:rPr>
                <w:rFonts w:eastAsia="SimSun"/>
                <w:b/>
                <w:bCs/>
                <w:sz w:val="20"/>
                <w:szCs w:val="20"/>
              </w:rPr>
            </w:pPr>
            <w:r w:rsidRPr="00D31EE8">
              <w:rPr>
                <w:b/>
                <w:bCs/>
                <w:sz w:val="20"/>
                <w:szCs w:val="20"/>
              </w:rPr>
              <w:t>13,577,170</w:t>
            </w:r>
          </w:p>
        </w:tc>
        <w:tc>
          <w:tcPr>
            <w:tcW w:w="1020" w:type="dxa"/>
            <w:shd w:val="clear" w:color="auto" w:fill="auto"/>
            <w:noWrap/>
            <w:vAlign w:val="bottom"/>
          </w:tcPr>
          <w:p w14:paraId="637001AB" w14:textId="77777777" w:rsidR="00DD0834" w:rsidRPr="00D31EE8" w:rsidRDefault="00DD0834" w:rsidP="003B6997">
            <w:pPr>
              <w:pStyle w:val="BStablefiguresitalics"/>
              <w:jc w:val="right"/>
              <w:rPr>
                <w:rFonts w:eastAsia="SimSun"/>
                <w:b/>
                <w:bCs/>
                <w:sz w:val="20"/>
                <w:szCs w:val="20"/>
              </w:rPr>
            </w:pPr>
            <w:r w:rsidRPr="00D31EE8">
              <w:rPr>
                <w:b/>
                <w:bCs/>
                <w:sz w:val="20"/>
                <w:szCs w:val="20"/>
              </w:rPr>
              <w:t>14,141,229</w:t>
            </w:r>
          </w:p>
        </w:tc>
        <w:tc>
          <w:tcPr>
            <w:tcW w:w="1020" w:type="dxa"/>
            <w:shd w:val="clear" w:color="auto" w:fill="auto"/>
            <w:noWrap/>
            <w:vAlign w:val="bottom"/>
          </w:tcPr>
          <w:p w14:paraId="5AFCF621" w14:textId="77777777" w:rsidR="00DD0834" w:rsidRPr="00D31EE8" w:rsidRDefault="00DD0834" w:rsidP="003B6997">
            <w:pPr>
              <w:pStyle w:val="BStablefiguresitalics"/>
              <w:jc w:val="right"/>
              <w:rPr>
                <w:rFonts w:eastAsia="SimSun"/>
                <w:b/>
                <w:bCs/>
                <w:sz w:val="20"/>
                <w:szCs w:val="20"/>
              </w:rPr>
            </w:pPr>
            <w:r w:rsidRPr="00D31EE8">
              <w:rPr>
                <w:b/>
                <w:bCs/>
                <w:sz w:val="20"/>
                <w:szCs w:val="20"/>
              </w:rPr>
              <w:t>16,448,395</w:t>
            </w:r>
          </w:p>
        </w:tc>
        <w:tc>
          <w:tcPr>
            <w:tcW w:w="1020" w:type="dxa"/>
            <w:shd w:val="clear" w:color="auto" w:fill="auto"/>
            <w:noWrap/>
            <w:vAlign w:val="bottom"/>
          </w:tcPr>
          <w:p w14:paraId="357B373E" w14:textId="77777777" w:rsidR="00DD0834" w:rsidRPr="00D31EE8" w:rsidRDefault="00DD0834" w:rsidP="003B6997">
            <w:pPr>
              <w:pStyle w:val="BStablefiguresitalics"/>
              <w:jc w:val="right"/>
              <w:rPr>
                <w:rFonts w:eastAsia="SimSun"/>
                <w:b/>
                <w:bCs/>
                <w:sz w:val="20"/>
                <w:szCs w:val="20"/>
              </w:rPr>
            </w:pPr>
            <w:r w:rsidRPr="00D31EE8">
              <w:rPr>
                <w:b/>
                <w:bCs/>
                <w:sz w:val="20"/>
                <w:szCs w:val="20"/>
              </w:rPr>
              <w:t>15,787,119</w:t>
            </w:r>
          </w:p>
        </w:tc>
        <w:tc>
          <w:tcPr>
            <w:tcW w:w="1020" w:type="dxa"/>
            <w:shd w:val="clear" w:color="auto" w:fill="auto"/>
            <w:noWrap/>
            <w:vAlign w:val="bottom"/>
          </w:tcPr>
          <w:p w14:paraId="5303048A" w14:textId="77777777" w:rsidR="00DD0834" w:rsidRPr="00D31EE8" w:rsidRDefault="00DD0834" w:rsidP="003B6997">
            <w:pPr>
              <w:pStyle w:val="BStablefiguresitalics"/>
              <w:jc w:val="right"/>
              <w:rPr>
                <w:rFonts w:eastAsia="SimSun"/>
                <w:b/>
                <w:bCs/>
                <w:sz w:val="20"/>
                <w:szCs w:val="20"/>
              </w:rPr>
            </w:pPr>
            <w:r w:rsidRPr="00D31EE8">
              <w:rPr>
                <w:b/>
                <w:bCs/>
                <w:sz w:val="20"/>
                <w:szCs w:val="20"/>
              </w:rPr>
              <w:t>15,393,101</w:t>
            </w:r>
          </w:p>
        </w:tc>
      </w:tr>
      <w:tr w:rsidR="00DD0834" w:rsidRPr="006D5D15" w14:paraId="0643C243" w14:textId="77777777" w:rsidTr="003B6997">
        <w:trPr>
          <w:cantSplit/>
          <w:tblHeader/>
          <w:jc w:val="center"/>
        </w:trPr>
        <w:tc>
          <w:tcPr>
            <w:tcW w:w="2869" w:type="dxa"/>
            <w:shd w:val="clear" w:color="auto" w:fill="auto"/>
            <w:noWrap/>
            <w:vAlign w:val="bottom"/>
          </w:tcPr>
          <w:p w14:paraId="525AC109" w14:textId="77777777" w:rsidR="00DD0834" w:rsidRPr="00F25F0C" w:rsidRDefault="00DD0834" w:rsidP="003B6997">
            <w:pPr>
              <w:pStyle w:val="BStabletextbold"/>
              <w:rPr>
                <w:rFonts w:eastAsia="SimSun"/>
              </w:rPr>
            </w:pPr>
            <w:r w:rsidRPr="000868D1">
              <w:t>Comprehensive income</w:t>
            </w:r>
          </w:p>
        </w:tc>
        <w:tc>
          <w:tcPr>
            <w:tcW w:w="1020" w:type="dxa"/>
            <w:shd w:val="clear" w:color="auto" w:fill="auto"/>
          </w:tcPr>
          <w:p w14:paraId="7EAC57D3"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34B22686"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317CB9AC"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18EBD0E8"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29BA0A75"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612FEA7E" w14:textId="77777777" w:rsidR="00DD0834" w:rsidRPr="00D31EE8" w:rsidRDefault="00DD0834" w:rsidP="003B6997">
            <w:pPr>
              <w:pStyle w:val="Btablefigureunbold"/>
              <w:rPr>
                <w:rFonts w:eastAsia="SimSun"/>
                <w:color w:val="FFFFFF" w:themeColor="background1"/>
                <w:szCs w:val="20"/>
              </w:rPr>
            </w:pPr>
          </w:p>
        </w:tc>
      </w:tr>
      <w:tr w:rsidR="00DD0834" w:rsidRPr="006D5D15" w14:paraId="18A094C9" w14:textId="77777777" w:rsidTr="003B6997">
        <w:trPr>
          <w:cantSplit/>
          <w:tblHeader/>
          <w:jc w:val="center"/>
        </w:trPr>
        <w:tc>
          <w:tcPr>
            <w:tcW w:w="2869" w:type="dxa"/>
            <w:shd w:val="clear" w:color="auto" w:fill="auto"/>
            <w:noWrap/>
          </w:tcPr>
          <w:p w14:paraId="708039B0" w14:textId="77777777" w:rsidR="00DD0834" w:rsidRPr="00633401" w:rsidRDefault="00DD0834" w:rsidP="003B6997">
            <w:pPr>
              <w:pStyle w:val="BStabletext"/>
              <w:rPr>
                <w:rFonts w:eastAsia="SimSun"/>
                <w:i/>
                <w:iCs/>
              </w:rPr>
            </w:pPr>
            <w:r w:rsidRPr="00633401">
              <w:rPr>
                <w:i/>
                <w:iCs/>
              </w:rPr>
              <w:t>Included in accumulated funds:</w:t>
            </w:r>
          </w:p>
        </w:tc>
        <w:tc>
          <w:tcPr>
            <w:tcW w:w="1020" w:type="dxa"/>
            <w:shd w:val="clear" w:color="auto" w:fill="auto"/>
          </w:tcPr>
          <w:p w14:paraId="0231FB5E"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52850450"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54034FA0"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1E128073"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46D66EA7"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2B5FE352" w14:textId="77777777" w:rsidR="00DD0834" w:rsidRPr="00D31EE8" w:rsidRDefault="00DD0834" w:rsidP="003B6997">
            <w:pPr>
              <w:pStyle w:val="Btablefigureunbold"/>
              <w:rPr>
                <w:rFonts w:eastAsia="SimSun"/>
                <w:color w:val="FFFFFF" w:themeColor="background1"/>
                <w:szCs w:val="20"/>
              </w:rPr>
            </w:pPr>
          </w:p>
        </w:tc>
      </w:tr>
      <w:tr w:rsidR="00DD0834" w:rsidRPr="006D5D15" w14:paraId="422ED773" w14:textId="77777777" w:rsidTr="003B6997">
        <w:trPr>
          <w:cantSplit/>
          <w:tblHeader/>
          <w:jc w:val="center"/>
        </w:trPr>
        <w:tc>
          <w:tcPr>
            <w:tcW w:w="2869" w:type="dxa"/>
            <w:shd w:val="clear" w:color="auto" w:fill="auto"/>
            <w:noWrap/>
          </w:tcPr>
          <w:p w14:paraId="6378AE3F" w14:textId="77777777" w:rsidR="00DD0834" w:rsidRPr="00F25F0C" w:rsidRDefault="00DD0834" w:rsidP="003B6997">
            <w:pPr>
              <w:pStyle w:val="BStabletext"/>
              <w:rPr>
                <w:rFonts w:eastAsia="SimSun"/>
              </w:rPr>
            </w:pPr>
            <w:r w:rsidRPr="000868D1">
              <w:t>Operating result for the period</w:t>
            </w:r>
          </w:p>
        </w:tc>
        <w:tc>
          <w:tcPr>
            <w:tcW w:w="1020" w:type="dxa"/>
            <w:shd w:val="clear" w:color="auto" w:fill="auto"/>
          </w:tcPr>
          <w:p w14:paraId="27C18ED0" w14:textId="77777777" w:rsidR="00DD0834" w:rsidRPr="00D31EE8" w:rsidRDefault="00DD0834" w:rsidP="003B6997">
            <w:pPr>
              <w:pStyle w:val="BStabletext"/>
              <w:jc w:val="right"/>
              <w:rPr>
                <w:rFonts w:eastAsia="SimSun"/>
              </w:rPr>
            </w:pPr>
            <w:r w:rsidRPr="00D31EE8">
              <w:t>-409,569</w:t>
            </w:r>
          </w:p>
        </w:tc>
        <w:tc>
          <w:tcPr>
            <w:tcW w:w="1020" w:type="dxa"/>
            <w:shd w:val="clear" w:color="auto" w:fill="auto"/>
            <w:noWrap/>
          </w:tcPr>
          <w:p w14:paraId="479098EE" w14:textId="77777777" w:rsidR="00DD0834" w:rsidRPr="00D31EE8" w:rsidRDefault="00DD0834" w:rsidP="003B6997">
            <w:pPr>
              <w:pStyle w:val="BStabletext"/>
              <w:jc w:val="right"/>
              <w:rPr>
                <w:rFonts w:eastAsia="SimSun"/>
              </w:rPr>
            </w:pPr>
            <w:r w:rsidRPr="00D31EE8">
              <w:t>133,818</w:t>
            </w:r>
          </w:p>
        </w:tc>
        <w:tc>
          <w:tcPr>
            <w:tcW w:w="1020" w:type="dxa"/>
            <w:shd w:val="clear" w:color="auto" w:fill="auto"/>
            <w:noWrap/>
          </w:tcPr>
          <w:p w14:paraId="1147B45C" w14:textId="77777777" w:rsidR="00DD0834" w:rsidRPr="00D31EE8" w:rsidRDefault="00DD0834" w:rsidP="003B6997">
            <w:pPr>
              <w:pStyle w:val="BStabletext"/>
              <w:jc w:val="right"/>
              <w:rPr>
                <w:rFonts w:eastAsia="SimSun"/>
              </w:rPr>
            </w:pPr>
            <w:r w:rsidRPr="00D31EE8">
              <w:t>-1,060,284</w:t>
            </w:r>
          </w:p>
        </w:tc>
        <w:tc>
          <w:tcPr>
            <w:tcW w:w="1020" w:type="dxa"/>
            <w:shd w:val="clear" w:color="auto" w:fill="auto"/>
            <w:noWrap/>
          </w:tcPr>
          <w:p w14:paraId="06DEF55B" w14:textId="77777777" w:rsidR="00DD0834" w:rsidRPr="00D31EE8" w:rsidRDefault="00DD0834" w:rsidP="003B6997">
            <w:pPr>
              <w:pStyle w:val="BStabletext"/>
              <w:jc w:val="right"/>
              <w:rPr>
                <w:rFonts w:eastAsia="SimSun"/>
              </w:rPr>
            </w:pPr>
            <w:r w:rsidRPr="00D31EE8">
              <w:t>-607,542</w:t>
            </w:r>
          </w:p>
        </w:tc>
        <w:tc>
          <w:tcPr>
            <w:tcW w:w="1020" w:type="dxa"/>
            <w:shd w:val="clear" w:color="auto" w:fill="auto"/>
            <w:noWrap/>
          </w:tcPr>
          <w:p w14:paraId="327765EC" w14:textId="77777777" w:rsidR="00DD0834" w:rsidRPr="00D31EE8" w:rsidRDefault="00DD0834" w:rsidP="003B6997">
            <w:pPr>
              <w:pStyle w:val="BStabletext"/>
              <w:jc w:val="right"/>
              <w:rPr>
                <w:rFonts w:eastAsia="SimSun"/>
              </w:rPr>
            </w:pPr>
            <w:r w:rsidRPr="00D31EE8">
              <w:t>-573,883</w:t>
            </w:r>
          </w:p>
        </w:tc>
        <w:tc>
          <w:tcPr>
            <w:tcW w:w="1020" w:type="dxa"/>
            <w:shd w:val="clear" w:color="auto" w:fill="auto"/>
            <w:noWrap/>
          </w:tcPr>
          <w:p w14:paraId="298DDB9D" w14:textId="77777777" w:rsidR="00DD0834" w:rsidRPr="00D31EE8" w:rsidRDefault="00DD0834" w:rsidP="003B6997">
            <w:pPr>
              <w:pStyle w:val="BStabletext"/>
              <w:jc w:val="right"/>
              <w:rPr>
                <w:rFonts w:eastAsia="SimSun"/>
              </w:rPr>
            </w:pPr>
            <w:r w:rsidRPr="00D31EE8">
              <w:t>-573,249</w:t>
            </w:r>
          </w:p>
        </w:tc>
      </w:tr>
      <w:tr w:rsidR="00DD0834" w:rsidRPr="006D5D15" w14:paraId="2687FE36" w14:textId="77777777" w:rsidTr="003B6997">
        <w:trPr>
          <w:cantSplit/>
          <w:tblHeader/>
          <w:jc w:val="center"/>
        </w:trPr>
        <w:tc>
          <w:tcPr>
            <w:tcW w:w="2869" w:type="dxa"/>
            <w:shd w:val="clear" w:color="auto" w:fill="auto"/>
            <w:noWrap/>
          </w:tcPr>
          <w:p w14:paraId="1A0C2036" w14:textId="77777777" w:rsidR="00DD0834" w:rsidRPr="00F25F0C" w:rsidRDefault="00DD0834" w:rsidP="003B6997">
            <w:pPr>
              <w:pStyle w:val="BStabletext"/>
              <w:rPr>
                <w:rFonts w:eastAsia="SimSun"/>
              </w:rPr>
            </w:pPr>
            <w:r w:rsidRPr="000868D1">
              <w:t>Superannuation actuarial gain/(loss)</w:t>
            </w:r>
          </w:p>
        </w:tc>
        <w:tc>
          <w:tcPr>
            <w:tcW w:w="1020" w:type="dxa"/>
            <w:shd w:val="clear" w:color="auto" w:fill="auto"/>
          </w:tcPr>
          <w:p w14:paraId="5E3C6B64" w14:textId="77777777" w:rsidR="00DD0834" w:rsidRPr="00D31EE8" w:rsidRDefault="00DD0834" w:rsidP="003B6997">
            <w:pPr>
              <w:pStyle w:val="BStabletext"/>
              <w:jc w:val="right"/>
              <w:rPr>
                <w:rFonts w:eastAsia="SimSun"/>
              </w:rPr>
            </w:pPr>
            <w:r w:rsidRPr="00D31EE8">
              <w:t>3,942,926</w:t>
            </w:r>
          </w:p>
        </w:tc>
        <w:tc>
          <w:tcPr>
            <w:tcW w:w="1020" w:type="dxa"/>
            <w:shd w:val="clear" w:color="auto" w:fill="auto"/>
            <w:noWrap/>
          </w:tcPr>
          <w:p w14:paraId="4EF0C8DF" w14:textId="77777777" w:rsidR="00DD0834" w:rsidRPr="00D31EE8" w:rsidRDefault="00DD0834" w:rsidP="003B6997">
            <w:pPr>
              <w:pStyle w:val="BStabletext"/>
              <w:jc w:val="right"/>
              <w:rPr>
                <w:rFonts w:eastAsia="SimSun"/>
              </w:rPr>
            </w:pPr>
            <w:r w:rsidRPr="00D31EE8">
              <w:t>-994,929</w:t>
            </w:r>
          </w:p>
        </w:tc>
        <w:tc>
          <w:tcPr>
            <w:tcW w:w="1020" w:type="dxa"/>
            <w:shd w:val="clear" w:color="auto" w:fill="auto"/>
            <w:noWrap/>
          </w:tcPr>
          <w:p w14:paraId="06570249" w14:textId="77777777" w:rsidR="00DD0834" w:rsidRPr="00D31EE8" w:rsidRDefault="00DD0834" w:rsidP="003B6997">
            <w:pPr>
              <w:pStyle w:val="BStabletext"/>
              <w:jc w:val="right"/>
              <w:rPr>
                <w:rFonts w:eastAsia="SimSun"/>
              </w:rPr>
            </w:pPr>
            <w:r w:rsidRPr="00D31EE8">
              <w:t>3,412,160</w:t>
            </w:r>
          </w:p>
        </w:tc>
        <w:tc>
          <w:tcPr>
            <w:tcW w:w="1020" w:type="dxa"/>
            <w:shd w:val="clear" w:color="auto" w:fill="auto"/>
            <w:noWrap/>
          </w:tcPr>
          <w:p w14:paraId="52FF53E1" w14:textId="77777777" w:rsidR="00DD0834" w:rsidRPr="00D31EE8" w:rsidRDefault="00DD0834" w:rsidP="003B6997">
            <w:pPr>
              <w:pStyle w:val="BStabletext"/>
              <w:jc w:val="right"/>
              <w:rPr>
                <w:rFonts w:eastAsia="SimSun"/>
              </w:rPr>
            </w:pPr>
            <w:r w:rsidRPr="00D31EE8">
              <w:t>0</w:t>
            </w:r>
          </w:p>
        </w:tc>
        <w:tc>
          <w:tcPr>
            <w:tcW w:w="1020" w:type="dxa"/>
            <w:shd w:val="clear" w:color="auto" w:fill="auto"/>
            <w:noWrap/>
          </w:tcPr>
          <w:p w14:paraId="2841C2C5" w14:textId="77777777" w:rsidR="00DD0834" w:rsidRPr="00D31EE8" w:rsidRDefault="00DD0834" w:rsidP="003B6997">
            <w:pPr>
              <w:pStyle w:val="BStabletext"/>
              <w:jc w:val="right"/>
              <w:rPr>
                <w:rFonts w:eastAsia="SimSun"/>
              </w:rPr>
            </w:pPr>
            <w:r w:rsidRPr="00D31EE8">
              <w:t>0</w:t>
            </w:r>
          </w:p>
        </w:tc>
        <w:tc>
          <w:tcPr>
            <w:tcW w:w="1020" w:type="dxa"/>
            <w:shd w:val="clear" w:color="auto" w:fill="auto"/>
            <w:noWrap/>
          </w:tcPr>
          <w:p w14:paraId="7DD9C5D8" w14:textId="77777777" w:rsidR="00DD0834" w:rsidRPr="00D31EE8" w:rsidRDefault="00DD0834" w:rsidP="003B6997">
            <w:pPr>
              <w:pStyle w:val="BStabletext"/>
              <w:jc w:val="right"/>
              <w:rPr>
                <w:rFonts w:eastAsia="SimSun"/>
              </w:rPr>
            </w:pPr>
            <w:r w:rsidRPr="00D31EE8">
              <w:t>0</w:t>
            </w:r>
          </w:p>
        </w:tc>
      </w:tr>
      <w:tr w:rsidR="00DD0834" w:rsidRPr="006D5D15" w14:paraId="4403714C" w14:textId="77777777" w:rsidTr="003B6997">
        <w:trPr>
          <w:cantSplit/>
          <w:tblHeader/>
          <w:jc w:val="center"/>
        </w:trPr>
        <w:tc>
          <w:tcPr>
            <w:tcW w:w="2869" w:type="dxa"/>
            <w:shd w:val="clear" w:color="auto" w:fill="auto"/>
            <w:noWrap/>
          </w:tcPr>
          <w:p w14:paraId="4A301224" w14:textId="77777777" w:rsidR="00DD0834" w:rsidRPr="00F25F0C" w:rsidRDefault="00DD0834" w:rsidP="003B6997">
            <w:pPr>
              <w:pStyle w:val="BStabletext"/>
              <w:rPr>
                <w:rFonts w:eastAsia="SimSun"/>
              </w:rPr>
            </w:pPr>
            <w:r w:rsidRPr="000868D1">
              <w:t>Other movements</w:t>
            </w:r>
          </w:p>
        </w:tc>
        <w:tc>
          <w:tcPr>
            <w:tcW w:w="1020" w:type="dxa"/>
            <w:shd w:val="clear" w:color="auto" w:fill="auto"/>
          </w:tcPr>
          <w:p w14:paraId="3134D595" w14:textId="77777777" w:rsidR="00DD0834" w:rsidRPr="00D31EE8" w:rsidRDefault="00DD0834" w:rsidP="003B6997">
            <w:pPr>
              <w:pStyle w:val="BStabletext"/>
              <w:jc w:val="right"/>
              <w:rPr>
                <w:rFonts w:eastAsia="SimSun"/>
              </w:rPr>
            </w:pPr>
            <w:r w:rsidRPr="00D31EE8">
              <w:t>61,402</w:t>
            </w:r>
          </w:p>
        </w:tc>
        <w:tc>
          <w:tcPr>
            <w:tcW w:w="1020" w:type="dxa"/>
            <w:shd w:val="clear" w:color="auto" w:fill="auto"/>
            <w:noWrap/>
          </w:tcPr>
          <w:p w14:paraId="52F27B30" w14:textId="77777777" w:rsidR="00DD0834" w:rsidRPr="00D31EE8" w:rsidRDefault="00DD0834" w:rsidP="003B6997">
            <w:pPr>
              <w:pStyle w:val="BStabletext"/>
              <w:jc w:val="right"/>
              <w:rPr>
                <w:rFonts w:eastAsia="SimSun"/>
              </w:rPr>
            </w:pPr>
            <w:r w:rsidRPr="00D31EE8">
              <w:t>21,355</w:t>
            </w:r>
          </w:p>
        </w:tc>
        <w:tc>
          <w:tcPr>
            <w:tcW w:w="1020" w:type="dxa"/>
            <w:shd w:val="clear" w:color="auto" w:fill="auto"/>
            <w:noWrap/>
          </w:tcPr>
          <w:p w14:paraId="3B6CB3E9" w14:textId="77777777" w:rsidR="00DD0834" w:rsidRPr="00D31EE8" w:rsidRDefault="00DD0834" w:rsidP="003B6997">
            <w:pPr>
              <w:pStyle w:val="BStabletext"/>
              <w:jc w:val="right"/>
              <w:rPr>
                <w:rFonts w:eastAsia="SimSun"/>
              </w:rPr>
            </w:pPr>
            <w:r w:rsidRPr="00D31EE8">
              <w:t>-19,687</w:t>
            </w:r>
          </w:p>
        </w:tc>
        <w:tc>
          <w:tcPr>
            <w:tcW w:w="1020" w:type="dxa"/>
            <w:shd w:val="clear" w:color="auto" w:fill="auto"/>
            <w:noWrap/>
          </w:tcPr>
          <w:p w14:paraId="543EB275" w14:textId="77777777" w:rsidR="00DD0834" w:rsidRPr="00D31EE8" w:rsidRDefault="00DD0834" w:rsidP="003B6997">
            <w:pPr>
              <w:pStyle w:val="BStabletext"/>
              <w:jc w:val="right"/>
              <w:rPr>
                <w:rFonts w:eastAsia="SimSun"/>
              </w:rPr>
            </w:pPr>
            <w:r w:rsidRPr="00D31EE8">
              <w:t>9,421</w:t>
            </w:r>
          </w:p>
        </w:tc>
        <w:tc>
          <w:tcPr>
            <w:tcW w:w="1020" w:type="dxa"/>
            <w:shd w:val="clear" w:color="auto" w:fill="auto"/>
            <w:noWrap/>
          </w:tcPr>
          <w:p w14:paraId="045110EB" w14:textId="77777777" w:rsidR="00DD0834" w:rsidRPr="00D31EE8" w:rsidRDefault="00DD0834" w:rsidP="003B6997">
            <w:pPr>
              <w:pStyle w:val="BStabletext"/>
              <w:jc w:val="right"/>
              <w:rPr>
                <w:rFonts w:eastAsia="SimSun"/>
              </w:rPr>
            </w:pPr>
            <w:r w:rsidRPr="00D31EE8">
              <w:t>-590</w:t>
            </w:r>
          </w:p>
        </w:tc>
        <w:tc>
          <w:tcPr>
            <w:tcW w:w="1020" w:type="dxa"/>
            <w:shd w:val="clear" w:color="auto" w:fill="auto"/>
            <w:noWrap/>
          </w:tcPr>
          <w:p w14:paraId="3502B5C1" w14:textId="77777777" w:rsidR="00DD0834" w:rsidRPr="00D31EE8" w:rsidRDefault="00DD0834" w:rsidP="003B6997">
            <w:pPr>
              <w:pStyle w:val="BStabletext"/>
              <w:jc w:val="right"/>
              <w:rPr>
                <w:rFonts w:eastAsia="SimSun"/>
              </w:rPr>
            </w:pPr>
            <w:r w:rsidRPr="00D31EE8">
              <w:t>-516</w:t>
            </w:r>
          </w:p>
        </w:tc>
      </w:tr>
      <w:tr w:rsidR="00DD0834" w:rsidRPr="00633401" w14:paraId="2415184F" w14:textId="77777777" w:rsidTr="003B6997">
        <w:trPr>
          <w:cantSplit/>
          <w:tblHeader/>
          <w:jc w:val="center"/>
        </w:trPr>
        <w:tc>
          <w:tcPr>
            <w:tcW w:w="2869" w:type="dxa"/>
            <w:shd w:val="clear" w:color="auto" w:fill="auto"/>
            <w:noWrap/>
          </w:tcPr>
          <w:p w14:paraId="531E55B0" w14:textId="77777777" w:rsidR="00DD0834" w:rsidRPr="00633401" w:rsidRDefault="00DD0834" w:rsidP="003B6997">
            <w:pPr>
              <w:pStyle w:val="BStabletext"/>
              <w:rPr>
                <w:rFonts w:eastAsia="SimSun"/>
                <w:i/>
                <w:iCs/>
              </w:rPr>
            </w:pPr>
            <w:r w:rsidRPr="00633401">
              <w:rPr>
                <w:i/>
                <w:iCs/>
              </w:rPr>
              <w:t>Included in asset revaluation surplus:</w:t>
            </w:r>
          </w:p>
        </w:tc>
        <w:tc>
          <w:tcPr>
            <w:tcW w:w="1020" w:type="dxa"/>
            <w:shd w:val="clear" w:color="auto" w:fill="auto"/>
          </w:tcPr>
          <w:p w14:paraId="4DCA1C0D" w14:textId="77777777" w:rsidR="00DD0834" w:rsidRPr="00D31EE8" w:rsidRDefault="00DD0834" w:rsidP="003B6997">
            <w:pPr>
              <w:pStyle w:val="BStabletext"/>
              <w:jc w:val="right"/>
              <w:rPr>
                <w:rFonts w:eastAsia="SimSun"/>
                <w:i/>
                <w:iCs/>
              </w:rPr>
            </w:pPr>
          </w:p>
        </w:tc>
        <w:tc>
          <w:tcPr>
            <w:tcW w:w="1020" w:type="dxa"/>
            <w:shd w:val="clear" w:color="auto" w:fill="auto"/>
            <w:noWrap/>
          </w:tcPr>
          <w:p w14:paraId="5DA2F3C4" w14:textId="77777777" w:rsidR="00DD0834" w:rsidRPr="00D31EE8" w:rsidRDefault="00DD0834" w:rsidP="003B6997">
            <w:pPr>
              <w:pStyle w:val="BStabletext"/>
              <w:jc w:val="right"/>
              <w:rPr>
                <w:rFonts w:eastAsia="SimSun"/>
                <w:i/>
                <w:iCs/>
              </w:rPr>
            </w:pPr>
          </w:p>
        </w:tc>
        <w:tc>
          <w:tcPr>
            <w:tcW w:w="1020" w:type="dxa"/>
            <w:shd w:val="clear" w:color="auto" w:fill="auto"/>
            <w:noWrap/>
          </w:tcPr>
          <w:p w14:paraId="4F6E8643" w14:textId="77777777" w:rsidR="00DD0834" w:rsidRPr="00D31EE8" w:rsidRDefault="00DD0834" w:rsidP="003B6997">
            <w:pPr>
              <w:pStyle w:val="BStabletext"/>
              <w:jc w:val="right"/>
              <w:rPr>
                <w:rFonts w:eastAsia="SimSun"/>
                <w:i/>
                <w:iCs/>
              </w:rPr>
            </w:pPr>
          </w:p>
        </w:tc>
        <w:tc>
          <w:tcPr>
            <w:tcW w:w="1020" w:type="dxa"/>
            <w:shd w:val="clear" w:color="auto" w:fill="auto"/>
            <w:noWrap/>
          </w:tcPr>
          <w:p w14:paraId="5E218CEF" w14:textId="77777777" w:rsidR="00DD0834" w:rsidRPr="00D31EE8" w:rsidRDefault="00DD0834" w:rsidP="003B6997">
            <w:pPr>
              <w:pStyle w:val="BStabletext"/>
              <w:jc w:val="right"/>
              <w:rPr>
                <w:rFonts w:eastAsia="SimSun"/>
                <w:i/>
                <w:iCs/>
              </w:rPr>
            </w:pPr>
          </w:p>
        </w:tc>
        <w:tc>
          <w:tcPr>
            <w:tcW w:w="1020" w:type="dxa"/>
            <w:shd w:val="clear" w:color="auto" w:fill="auto"/>
            <w:noWrap/>
          </w:tcPr>
          <w:p w14:paraId="4828896F" w14:textId="77777777" w:rsidR="00DD0834" w:rsidRPr="00D31EE8" w:rsidRDefault="00DD0834" w:rsidP="003B6997">
            <w:pPr>
              <w:pStyle w:val="BStabletext"/>
              <w:jc w:val="right"/>
              <w:rPr>
                <w:rFonts w:eastAsia="SimSun"/>
                <w:i/>
                <w:iCs/>
              </w:rPr>
            </w:pPr>
          </w:p>
        </w:tc>
        <w:tc>
          <w:tcPr>
            <w:tcW w:w="1020" w:type="dxa"/>
            <w:shd w:val="clear" w:color="auto" w:fill="auto"/>
            <w:noWrap/>
          </w:tcPr>
          <w:p w14:paraId="562D54A5" w14:textId="77777777" w:rsidR="00DD0834" w:rsidRPr="00D31EE8" w:rsidRDefault="00DD0834" w:rsidP="003B6997">
            <w:pPr>
              <w:pStyle w:val="BStabletext"/>
              <w:jc w:val="right"/>
              <w:rPr>
                <w:rFonts w:eastAsia="SimSun"/>
                <w:i/>
                <w:iCs/>
              </w:rPr>
            </w:pPr>
          </w:p>
        </w:tc>
      </w:tr>
      <w:tr w:rsidR="00DD0834" w:rsidRPr="006D5D15" w14:paraId="1271C1DE" w14:textId="77777777" w:rsidTr="003B6997">
        <w:trPr>
          <w:cantSplit/>
          <w:tblHeader/>
          <w:jc w:val="center"/>
        </w:trPr>
        <w:tc>
          <w:tcPr>
            <w:tcW w:w="2869" w:type="dxa"/>
            <w:shd w:val="clear" w:color="auto" w:fill="auto"/>
            <w:noWrap/>
          </w:tcPr>
          <w:p w14:paraId="5852446C" w14:textId="77777777" w:rsidR="00DD0834" w:rsidRPr="00F25F0C" w:rsidRDefault="00DD0834" w:rsidP="003B6997">
            <w:pPr>
              <w:pStyle w:val="BStabletext"/>
              <w:rPr>
                <w:rFonts w:eastAsia="SimSun"/>
              </w:rPr>
            </w:pPr>
            <w:r w:rsidRPr="000868D1">
              <w:t>Increase/(decrease) in asset revaluation reserve surpluses due to revaluations</w:t>
            </w:r>
          </w:p>
        </w:tc>
        <w:tc>
          <w:tcPr>
            <w:tcW w:w="1020" w:type="dxa"/>
            <w:shd w:val="clear" w:color="auto" w:fill="auto"/>
          </w:tcPr>
          <w:p w14:paraId="6717C623" w14:textId="77777777" w:rsidR="00DD0834" w:rsidRPr="00D31EE8" w:rsidRDefault="00DD0834" w:rsidP="003B6997">
            <w:pPr>
              <w:pStyle w:val="BStabletext"/>
              <w:jc w:val="right"/>
              <w:rPr>
                <w:rFonts w:eastAsia="SimSun"/>
              </w:rPr>
            </w:pPr>
            <w:r w:rsidRPr="00D31EE8">
              <w:t>-5,889</w:t>
            </w:r>
          </w:p>
        </w:tc>
        <w:tc>
          <w:tcPr>
            <w:tcW w:w="1020" w:type="dxa"/>
            <w:shd w:val="clear" w:color="auto" w:fill="auto"/>
            <w:noWrap/>
          </w:tcPr>
          <w:p w14:paraId="161923EE" w14:textId="77777777" w:rsidR="00DD0834" w:rsidRPr="00D31EE8" w:rsidRDefault="00DD0834" w:rsidP="003B6997">
            <w:pPr>
              <w:pStyle w:val="BStabletext"/>
              <w:jc w:val="right"/>
              <w:rPr>
                <w:rFonts w:eastAsia="SimSun"/>
              </w:rPr>
            </w:pPr>
            <w:r w:rsidRPr="00D31EE8">
              <w:t>1,403,815</w:t>
            </w:r>
          </w:p>
        </w:tc>
        <w:tc>
          <w:tcPr>
            <w:tcW w:w="1020" w:type="dxa"/>
            <w:shd w:val="clear" w:color="auto" w:fill="auto"/>
            <w:noWrap/>
          </w:tcPr>
          <w:p w14:paraId="5D841490" w14:textId="77777777" w:rsidR="00DD0834" w:rsidRPr="00D31EE8" w:rsidRDefault="00DD0834" w:rsidP="003B6997">
            <w:pPr>
              <w:pStyle w:val="BStabletext"/>
              <w:jc w:val="right"/>
              <w:rPr>
                <w:rFonts w:eastAsia="SimSun"/>
              </w:rPr>
            </w:pPr>
            <w:r w:rsidRPr="00D31EE8">
              <w:t>-25,024</w:t>
            </w:r>
          </w:p>
        </w:tc>
        <w:tc>
          <w:tcPr>
            <w:tcW w:w="1020" w:type="dxa"/>
            <w:shd w:val="clear" w:color="auto" w:fill="auto"/>
            <w:noWrap/>
          </w:tcPr>
          <w:p w14:paraId="2F15AD82" w14:textId="77777777" w:rsidR="00DD0834" w:rsidRPr="00D31EE8" w:rsidRDefault="00DD0834" w:rsidP="003B6997">
            <w:pPr>
              <w:pStyle w:val="BStabletext"/>
              <w:jc w:val="right"/>
              <w:rPr>
                <w:rFonts w:eastAsia="SimSun"/>
              </w:rPr>
            </w:pPr>
            <w:r w:rsidRPr="00D31EE8">
              <w:t>-63,155</w:t>
            </w:r>
          </w:p>
        </w:tc>
        <w:tc>
          <w:tcPr>
            <w:tcW w:w="1020" w:type="dxa"/>
            <w:shd w:val="clear" w:color="auto" w:fill="auto"/>
            <w:noWrap/>
          </w:tcPr>
          <w:p w14:paraId="6DAE1BDB" w14:textId="77777777" w:rsidR="00DD0834" w:rsidRPr="00D31EE8" w:rsidRDefault="00DD0834" w:rsidP="003B6997">
            <w:pPr>
              <w:pStyle w:val="BStabletext"/>
              <w:jc w:val="right"/>
              <w:rPr>
                <w:rFonts w:eastAsia="SimSun"/>
              </w:rPr>
            </w:pPr>
            <w:r w:rsidRPr="00D31EE8">
              <w:t>180,455</w:t>
            </w:r>
          </w:p>
        </w:tc>
        <w:tc>
          <w:tcPr>
            <w:tcW w:w="1020" w:type="dxa"/>
            <w:shd w:val="clear" w:color="auto" w:fill="auto"/>
            <w:noWrap/>
          </w:tcPr>
          <w:p w14:paraId="4B6F9346" w14:textId="77777777" w:rsidR="00DD0834" w:rsidRPr="00D31EE8" w:rsidRDefault="00DD0834" w:rsidP="003B6997">
            <w:pPr>
              <w:pStyle w:val="BStabletext"/>
              <w:jc w:val="right"/>
              <w:rPr>
                <w:rFonts w:eastAsia="SimSun"/>
              </w:rPr>
            </w:pPr>
            <w:r w:rsidRPr="00D31EE8">
              <w:t>31,901</w:t>
            </w:r>
          </w:p>
        </w:tc>
      </w:tr>
      <w:tr w:rsidR="00DD0834" w:rsidRPr="006D5D15" w14:paraId="1285BC1E" w14:textId="77777777" w:rsidTr="003B6997">
        <w:trPr>
          <w:cantSplit/>
          <w:tblHeader/>
          <w:jc w:val="center"/>
        </w:trPr>
        <w:tc>
          <w:tcPr>
            <w:tcW w:w="2869" w:type="dxa"/>
            <w:shd w:val="clear" w:color="auto" w:fill="auto"/>
            <w:noWrap/>
          </w:tcPr>
          <w:p w14:paraId="31272888" w14:textId="77777777" w:rsidR="00DD0834" w:rsidRPr="00F25F0C" w:rsidRDefault="00DD0834" w:rsidP="003B6997">
            <w:pPr>
              <w:pStyle w:val="BStabletextbold"/>
              <w:rPr>
                <w:rFonts w:eastAsia="SimSun"/>
              </w:rPr>
            </w:pPr>
            <w:r w:rsidRPr="000868D1">
              <w:t>Total comprehensive income/(</w:t>
            </w:r>
            <w:r>
              <w:t>deficit</w:t>
            </w:r>
            <w:r w:rsidRPr="000868D1">
              <w:t>)</w:t>
            </w:r>
          </w:p>
        </w:tc>
        <w:tc>
          <w:tcPr>
            <w:tcW w:w="1020" w:type="dxa"/>
            <w:shd w:val="clear" w:color="auto" w:fill="auto"/>
          </w:tcPr>
          <w:p w14:paraId="464ABCCD" w14:textId="77777777" w:rsidR="00DD0834" w:rsidRPr="00D31EE8" w:rsidRDefault="00DD0834" w:rsidP="003B6997">
            <w:pPr>
              <w:pStyle w:val="BStableheading"/>
              <w:framePr w:wrap="around"/>
              <w:rPr>
                <w:rFonts w:eastAsia="SimSun"/>
              </w:rPr>
            </w:pPr>
            <w:r w:rsidRPr="00D31EE8">
              <w:t>3,588,871</w:t>
            </w:r>
          </w:p>
        </w:tc>
        <w:tc>
          <w:tcPr>
            <w:tcW w:w="1020" w:type="dxa"/>
            <w:shd w:val="clear" w:color="auto" w:fill="auto"/>
            <w:noWrap/>
          </w:tcPr>
          <w:p w14:paraId="3C39E4AE" w14:textId="77777777" w:rsidR="00DD0834" w:rsidRPr="00D31EE8" w:rsidRDefault="00DD0834" w:rsidP="003B6997">
            <w:pPr>
              <w:pStyle w:val="BStableheading"/>
              <w:framePr w:wrap="around"/>
              <w:rPr>
                <w:rFonts w:eastAsia="SimSun"/>
              </w:rPr>
            </w:pPr>
            <w:r w:rsidRPr="00D31EE8">
              <w:t>564,059</w:t>
            </w:r>
          </w:p>
        </w:tc>
        <w:tc>
          <w:tcPr>
            <w:tcW w:w="1020" w:type="dxa"/>
            <w:shd w:val="clear" w:color="auto" w:fill="auto"/>
            <w:noWrap/>
          </w:tcPr>
          <w:p w14:paraId="1406C9BF" w14:textId="77777777" w:rsidR="00DD0834" w:rsidRPr="00D31EE8" w:rsidRDefault="00DD0834" w:rsidP="003B6997">
            <w:pPr>
              <w:pStyle w:val="BStableheading"/>
              <w:framePr w:wrap="around"/>
              <w:rPr>
                <w:rFonts w:eastAsia="SimSun"/>
              </w:rPr>
            </w:pPr>
            <w:r w:rsidRPr="00D31EE8">
              <w:t>2,307,166</w:t>
            </w:r>
          </w:p>
        </w:tc>
        <w:tc>
          <w:tcPr>
            <w:tcW w:w="1020" w:type="dxa"/>
            <w:shd w:val="clear" w:color="auto" w:fill="auto"/>
            <w:noWrap/>
          </w:tcPr>
          <w:p w14:paraId="63765264" w14:textId="77777777" w:rsidR="00DD0834" w:rsidRPr="00D31EE8" w:rsidRDefault="00DD0834" w:rsidP="003B6997">
            <w:pPr>
              <w:pStyle w:val="BStableheading"/>
              <w:framePr w:wrap="around"/>
              <w:rPr>
                <w:rFonts w:eastAsia="SimSun"/>
              </w:rPr>
            </w:pPr>
            <w:r w:rsidRPr="00D31EE8">
              <w:t>-661,276</w:t>
            </w:r>
          </w:p>
        </w:tc>
        <w:tc>
          <w:tcPr>
            <w:tcW w:w="1020" w:type="dxa"/>
            <w:shd w:val="clear" w:color="auto" w:fill="auto"/>
            <w:noWrap/>
          </w:tcPr>
          <w:p w14:paraId="4D43B466" w14:textId="77777777" w:rsidR="00DD0834" w:rsidRPr="00D31EE8" w:rsidRDefault="00DD0834" w:rsidP="003B6997">
            <w:pPr>
              <w:pStyle w:val="BStableheading"/>
              <w:framePr w:wrap="around"/>
              <w:rPr>
                <w:rFonts w:eastAsia="SimSun"/>
              </w:rPr>
            </w:pPr>
            <w:r w:rsidRPr="00D31EE8">
              <w:t>-394,018</w:t>
            </w:r>
          </w:p>
        </w:tc>
        <w:tc>
          <w:tcPr>
            <w:tcW w:w="1020" w:type="dxa"/>
            <w:shd w:val="clear" w:color="auto" w:fill="auto"/>
            <w:noWrap/>
          </w:tcPr>
          <w:p w14:paraId="396C8060" w14:textId="77777777" w:rsidR="00DD0834" w:rsidRPr="00D31EE8" w:rsidRDefault="00DD0834" w:rsidP="003B6997">
            <w:pPr>
              <w:pStyle w:val="BStableheading"/>
              <w:framePr w:wrap="around"/>
              <w:rPr>
                <w:rFonts w:eastAsia="SimSun"/>
              </w:rPr>
            </w:pPr>
            <w:r w:rsidRPr="00D31EE8">
              <w:t>-541,864</w:t>
            </w:r>
          </w:p>
        </w:tc>
      </w:tr>
      <w:tr w:rsidR="00DD0834" w:rsidRPr="006D5D15" w14:paraId="49A580EA" w14:textId="77777777" w:rsidTr="003B6997">
        <w:trPr>
          <w:cantSplit/>
          <w:tblHeader/>
          <w:jc w:val="center"/>
        </w:trPr>
        <w:tc>
          <w:tcPr>
            <w:tcW w:w="2869" w:type="dxa"/>
            <w:shd w:val="clear" w:color="auto" w:fill="auto"/>
            <w:noWrap/>
            <w:vAlign w:val="bottom"/>
          </w:tcPr>
          <w:p w14:paraId="2F8E8B30" w14:textId="77777777" w:rsidR="00DD0834" w:rsidRPr="00F25F0C" w:rsidRDefault="00DD0834" w:rsidP="003B6997">
            <w:pPr>
              <w:pStyle w:val="BStabletextbold"/>
              <w:rPr>
                <w:rFonts w:eastAsia="SimSun"/>
              </w:rPr>
            </w:pPr>
            <w:r w:rsidRPr="000868D1">
              <w:t>Other</w:t>
            </w:r>
          </w:p>
        </w:tc>
        <w:tc>
          <w:tcPr>
            <w:tcW w:w="1020" w:type="dxa"/>
            <w:shd w:val="clear" w:color="auto" w:fill="auto"/>
          </w:tcPr>
          <w:p w14:paraId="0A7E8470" w14:textId="77777777" w:rsidR="00DD0834" w:rsidRPr="00D31EE8" w:rsidRDefault="00DD0834" w:rsidP="003B6997">
            <w:pPr>
              <w:pStyle w:val="BStableheading"/>
              <w:framePr w:wrap="around"/>
              <w:rPr>
                <w:rFonts w:eastAsia="SimSun"/>
              </w:rPr>
            </w:pPr>
          </w:p>
        </w:tc>
        <w:tc>
          <w:tcPr>
            <w:tcW w:w="1020" w:type="dxa"/>
            <w:shd w:val="clear" w:color="auto" w:fill="auto"/>
            <w:noWrap/>
          </w:tcPr>
          <w:p w14:paraId="32AB618E" w14:textId="77777777" w:rsidR="00DD0834" w:rsidRPr="00D31EE8" w:rsidRDefault="00DD0834" w:rsidP="003B6997">
            <w:pPr>
              <w:pStyle w:val="BStableheading"/>
              <w:framePr w:wrap="around"/>
              <w:rPr>
                <w:rFonts w:eastAsia="SimSun"/>
              </w:rPr>
            </w:pPr>
          </w:p>
        </w:tc>
        <w:tc>
          <w:tcPr>
            <w:tcW w:w="1020" w:type="dxa"/>
            <w:shd w:val="clear" w:color="auto" w:fill="auto"/>
            <w:noWrap/>
          </w:tcPr>
          <w:p w14:paraId="73CA4625" w14:textId="77777777" w:rsidR="00DD0834" w:rsidRPr="00D31EE8" w:rsidRDefault="00DD0834" w:rsidP="003B6997">
            <w:pPr>
              <w:pStyle w:val="BStableheading"/>
              <w:framePr w:wrap="around"/>
              <w:rPr>
                <w:rFonts w:eastAsia="SimSun"/>
              </w:rPr>
            </w:pPr>
          </w:p>
        </w:tc>
        <w:tc>
          <w:tcPr>
            <w:tcW w:w="1020" w:type="dxa"/>
            <w:shd w:val="clear" w:color="auto" w:fill="auto"/>
            <w:noWrap/>
          </w:tcPr>
          <w:p w14:paraId="31F1F72C" w14:textId="77777777" w:rsidR="00DD0834" w:rsidRPr="00D31EE8" w:rsidRDefault="00DD0834" w:rsidP="003B6997">
            <w:pPr>
              <w:pStyle w:val="BStableheading"/>
              <w:framePr w:wrap="around"/>
              <w:rPr>
                <w:rFonts w:eastAsia="SimSun"/>
              </w:rPr>
            </w:pPr>
          </w:p>
        </w:tc>
        <w:tc>
          <w:tcPr>
            <w:tcW w:w="1020" w:type="dxa"/>
            <w:shd w:val="clear" w:color="auto" w:fill="auto"/>
            <w:noWrap/>
          </w:tcPr>
          <w:p w14:paraId="2AA42508" w14:textId="77777777" w:rsidR="00DD0834" w:rsidRPr="00D31EE8" w:rsidRDefault="00DD0834" w:rsidP="003B6997">
            <w:pPr>
              <w:pStyle w:val="BStableheading"/>
              <w:framePr w:wrap="around"/>
              <w:rPr>
                <w:rFonts w:eastAsia="SimSun"/>
              </w:rPr>
            </w:pPr>
          </w:p>
        </w:tc>
        <w:tc>
          <w:tcPr>
            <w:tcW w:w="1020" w:type="dxa"/>
            <w:shd w:val="clear" w:color="auto" w:fill="auto"/>
            <w:noWrap/>
          </w:tcPr>
          <w:p w14:paraId="762D79C5" w14:textId="77777777" w:rsidR="00DD0834" w:rsidRPr="00D31EE8" w:rsidRDefault="00DD0834" w:rsidP="003B6997">
            <w:pPr>
              <w:pStyle w:val="BStableheading"/>
              <w:framePr w:wrap="around"/>
              <w:rPr>
                <w:rFonts w:eastAsia="SimSun"/>
              </w:rPr>
            </w:pPr>
          </w:p>
        </w:tc>
      </w:tr>
      <w:tr w:rsidR="00DD0834" w:rsidRPr="006D5D15" w14:paraId="079A1B13" w14:textId="77777777" w:rsidTr="003B6997">
        <w:trPr>
          <w:cantSplit/>
          <w:tblHeader/>
          <w:jc w:val="center"/>
        </w:trPr>
        <w:tc>
          <w:tcPr>
            <w:tcW w:w="2869" w:type="dxa"/>
            <w:shd w:val="clear" w:color="auto" w:fill="auto"/>
            <w:noWrap/>
          </w:tcPr>
          <w:p w14:paraId="6D4F5EB5" w14:textId="77777777" w:rsidR="00DD0834" w:rsidRPr="00F25F0C" w:rsidRDefault="00DD0834" w:rsidP="003B6997">
            <w:pPr>
              <w:pStyle w:val="BStabletext"/>
              <w:rPr>
                <w:rFonts w:eastAsia="SimSun"/>
              </w:rPr>
            </w:pPr>
            <w:r w:rsidRPr="000868D1">
              <w:t>Transfer to/(from) accumulated funds</w:t>
            </w:r>
          </w:p>
        </w:tc>
        <w:tc>
          <w:tcPr>
            <w:tcW w:w="1020" w:type="dxa"/>
            <w:shd w:val="clear" w:color="auto" w:fill="auto"/>
          </w:tcPr>
          <w:p w14:paraId="18F12D75" w14:textId="77777777" w:rsidR="00DD0834" w:rsidRPr="00D31EE8" w:rsidRDefault="00DD0834" w:rsidP="003B6997">
            <w:pPr>
              <w:pStyle w:val="BStabletext"/>
              <w:jc w:val="right"/>
              <w:rPr>
                <w:rFonts w:eastAsia="SimSun"/>
              </w:rPr>
            </w:pPr>
            <w:r w:rsidRPr="00D31EE8">
              <w:t>22,143</w:t>
            </w:r>
          </w:p>
        </w:tc>
        <w:tc>
          <w:tcPr>
            <w:tcW w:w="1020" w:type="dxa"/>
            <w:shd w:val="clear" w:color="auto" w:fill="auto"/>
            <w:noWrap/>
          </w:tcPr>
          <w:p w14:paraId="7769A3F6" w14:textId="77777777" w:rsidR="00DD0834" w:rsidRPr="00D31EE8" w:rsidRDefault="00DD0834" w:rsidP="003B6997">
            <w:pPr>
              <w:pStyle w:val="BStabletext"/>
              <w:jc w:val="right"/>
              <w:rPr>
                <w:rFonts w:eastAsia="SimSun"/>
              </w:rPr>
            </w:pPr>
            <w:r w:rsidRPr="00D31EE8">
              <w:t>125,898</w:t>
            </w:r>
          </w:p>
        </w:tc>
        <w:tc>
          <w:tcPr>
            <w:tcW w:w="1020" w:type="dxa"/>
            <w:shd w:val="clear" w:color="auto" w:fill="auto"/>
            <w:noWrap/>
          </w:tcPr>
          <w:p w14:paraId="2AC418FE" w14:textId="77777777" w:rsidR="00DD0834" w:rsidRPr="00D31EE8" w:rsidRDefault="00DD0834" w:rsidP="003B6997">
            <w:pPr>
              <w:pStyle w:val="BStabletext"/>
              <w:jc w:val="right"/>
              <w:rPr>
                <w:rFonts w:eastAsia="SimSun"/>
              </w:rPr>
            </w:pPr>
            <w:r w:rsidRPr="00D31EE8">
              <w:t>25,120</w:t>
            </w:r>
          </w:p>
        </w:tc>
        <w:tc>
          <w:tcPr>
            <w:tcW w:w="1020" w:type="dxa"/>
            <w:shd w:val="clear" w:color="auto" w:fill="auto"/>
            <w:noWrap/>
          </w:tcPr>
          <w:p w14:paraId="3FFF8F3B" w14:textId="77777777" w:rsidR="00DD0834" w:rsidRPr="00D31EE8" w:rsidRDefault="00DD0834" w:rsidP="003B6997">
            <w:pPr>
              <w:pStyle w:val="BStabletext"/>
              <w:jc w:val="right"/>
              <w:rPr>
                <w:rFonts w:eastAsia="SimSun"/>
              </w:rPr>
            </w:pPr>
            <w:r w:rsidRPr="00D31EE8">
              <w:t>22,000</w:t>
            </w:r>
          </w:p>
        </w:tc>
        <w:tc>
          <w:tcPr>
            <w:tcW w:w="1020" w:type="dxa"/>
            <w:shd w:val="clear" w:color="auto" w:fill="auto"/>
            <w:noWrap/>
          </w:tcPr>
          <w:p w14:paraId="4A26A4CC" w14:textId="77777777" w:rsidR="00DD0834" w:rsidRPr="00D31EE8" w:rsidRDefault="00DD0834" w:rsidP="003B6997">
            <w:pPr>
              <w:pStyle w:val="BStabletext"/>
              <w:jc w:val="right"/>
              <w:rPr>
                <w:rFonts w:eastAsia="SimSun"/>
              </w:rPr>
            </w:pPr>
            <w:r w:rsidRPr="00D31EE8">
              <w:t>22,000</w:t>
            </w:r>
          </w:p>
        </w:tc>
        <w:tc>
          <w:tcPr>
            <w:tcW w:w="1020" w:type="dxa"/>
            <w:shd w:val="clear" w:color="auto" w:fill="auto"/>
            <w:noWrap/>
          </w:tcPr>
          <w:p w14:paraId="478D0232" w14:textId="77777777" w:rsidR="00DD0834" w:rsidRPr="00D31EE8" w:rsidRDefault="00DD0834" w:rsidP="003B6997">
            <w:pPr>
              <w:pStyle w:val="BStabletext"/>
              <w:jc w:val="right"/>
              <w:rPr>
                <w:rFonts w:eastAsia="SimSun"/>
              </w:rPr>
            </w:pPr>
            <w:r w:rsidRPr="00D31EE8">
              <w:t>22,000</w:t>
            </w:r>
          </w:p>
        </w:tc>
      </w:tr>
      <w:tr w:rsidR="00DD0834" w:rsidRPr="006D5D15" w14:paraId="1A628CAB" w14:textId="77777777" w:rsidTr="003B6997">
        <w:trPr>
          <w:cantSplit/>
          <w:tblHeader/>
          <w:jc w:val="center"/>
        </w:trPr>
        <w:tc>
          <w:tcPr>
            <w:tcW w:w="2869" w:type="dxa"/>
            <w:shd w:val="clear" w:color="auto" w:fill="auto"/>
            <w:noWrap/>
          </w:tcPr>
          <w:p w14:paraId="3E0D5263" w14:textId="77777777" w:rsidR="00DD0834" w:rsidRPr="00F25F0C" w:rsidRDefault="00DD0834" w:rsidP="003B6997">
            <w:pPr>
              <w:pStyle w:val="BStabletext"/>
              <w:rPr>
                <w:rFonts w:eastAsia="SimSun"/>
              </w:rPr>
            </w:pPr>
            <w:r w:rsidRPr="000868D1">
              <w:t>Transfer to/(from) asset revaluation surplus</w:t>
            </w:r>
          </w:p>
        </w:tc>
        <w:tc>
          <w:tcPr>
            <w:tcW w:w="1020" w:type="dxa"/>
            <w:shd w:val="clear" w:color="auto" w:fill="auto"/>
          </w:tcPr>
          <w:p w14:paraId="201E796E" w14:textId="77777777" w:rsidR="00DD0834" w:rsidRPr="00D31EE8" w:rsidRDefault="00DD0834" w:rsidP="003B6997">
            <w:pPr>
              <w:pStyle w:val="BStabletext"/>
              <w:jc w:val="right"/>
            </w:pPr>
            <w:r w:rsidRPr="00D31EE8">
              <w:t>-22,143</w:t>
            </w:r>
          </w:p>
        </w:tc>
        <w:tc>
          <w:tcPr>
            <w:tcW w:w="1020" w:type="dxa"/>
            <w:shd w:val="clear" w:color="auto" w:fill="auto"/>
            <w:noWrap/>
          </w:tcPr>
          <w:p w14:paraId="4C254627" w14:textId="77777777" w:rsidR="00DD0834" w:rsidRPr="00D31EE8" w:rsidRDefault="00DD0834" w:rsidP="003B6997">
            <w:pPr>
              <w:pStyle w:val="BStabletext"/>
              <w:jc w:val="right"/>
            </w:pPr>
            <w:r w:rsidRPr="00D31EE8">
              <w:t>-125,898</w:t>
            </w:r>
          </w:p>
        </w:tc>
        <w:tc>
          <w:tcPr>
            <w:tcW w:w="1020" w:type="dxa"/>
            <w:shd w:val="clear" w:color="auto" w:fill="auto"/>
            <w:noWrap/>
          </w:tcPr>
          <w:p w14:paraId="4D01342A" w14:textId="77777777" w:rsidR="00DD0834" w:rsidRPr="00D31EE8" w:rsidRDefault="00DD0834" w:rsidP="003B6997">
            <w:pPr>
              <w:pStyle w:val="BStabletext"/>
              <w:jc w:val="right"/>
            </w:pPr>
            <w:r w:rsidRPr="00D31EE8">
              <w:t>-25,120</w:t>
            </w:r>
          </w:p>
        </w:tc>
        <w:tc>
          <w:tcPr>
            <w:tcW w:w="1020" w:type="dxa"/>
            <w:shd w:val="clear" w:color="auto" w:fill="auto"/>
            <w:noWrap/>
          </w:tcPr>
          <w:p w14:paraId="423AFB9C" w14:textId="77777777" w:rsidR="00DD0834" w:rsidRPr="00D31EE8" w:rsidRDefault="00DD0834" w:rsidP="003B6997">
            <w:pPr>
              <w:pStyle w:val="BStabletext"/>
              <w:jc w:val="right"/>
            </w:pPr>
            <w:r w:rsidRPr="00D31EE8">
              <w:t>-22,000</w:t>
            </w:r>
          </w:p>
        </w:tc>
        <w:tc>
          <w:tcPr>
            <w:tcW w:w="1020" w:type="dxa"/>
            <w:shd w:val="clear" w:color="auto" w:fill="auto"/>
            <w:noWrap/>
          </w:tcPr>
          <w:p w14:paraId="6BD36D08" w14:textId="77777777" w:rsidR="00DD0834" w:rsidRPr="00D31EE8" w:rsidRDefault="00DD0834" w:rsidP="003B6997">
            <w:pPr>
              <w:pStyle w:val="BStabletext"/>
              <w:jc w:val="right"/>
            </w:pPr>
            <w:r w:rsidRPr="00D31EE8">
              <w:t>-22,000</w:t>
            </w:r>
          </w:p>
        </w:tc>
        <w:tc>
          <w:tcPr>
            <w:tcW w:w="1020" w:type="dxa"/>
            <w:shd w:val="clear" w:color="auto" w:fill="auto"/>
            <w:noWrap/>
          </w:tcPr>
          <w:p w14:paraId="290AB22F" w14:textId="77777777" w:rsidR="00DD0834" w:rsidRPr="00D31EE8" w:rsidRDefault="00DD0834" w:rsidP="003B6997">
            <w:pPr>
              <w:pStyle w:val="BStabletext"/>
              <w:jc w:val="right"/>
            </w:pPr>
            <w:r w:rsidRPr="00D31EE8">
              <w:t>-22,000</w:t>
            </w:r>
          </w:p>
        </w:tc>
      </w:tr>
      <w:tr w:rsidR="00DD0834" w:rsidRPr="006D5D15" w14:paraId="591327A7" w14:textId="77777777" w:rsidTr="003B6997">
        <w:trPr>
          <w:cantSplit/>
          <w:tblHeader/>
          <w:jc w:val="center"/>
        </w:trPr>
        <w:tc>
          <w:tcPr>
            <w:tcW w:w="2869" w:type="dxa"/>
            <w:shd w:val="clear" w:color="auto" w:fill="auto"/>
            <w:noWrap/>
          </w:tcPr>
          <w:p w14:paraId="51BB3C8F" w14:textId="77777777" w:rsidR="00DD0834" w:rsidRPr="00F25F0C" w:rsidRDefault="00DD0834" w:rsidP="003B6997">
            <w:pPr>
              <w:pStyle w:val="BStabletextbold"/>
              <w:rPr>
                <w:rFonts w:eastAsia="SimSun"/>
              </w:rPr>
            </w:pPr>
            <w:r w:rsidRPr="000868D1">
              <w:t>Total other</w:t>
            </w:r>
          </w:p>
        </w:tc>
        <w:tc>
          <w:tcPr>
            <w:tcW w:w="1020" w:type="dxa"/>
            <w:shd w:val="clear" w:color="auto" w:fill="auto"/>
          </w:tcPr>
          <w:p w14:paraId="170F1BE2" w14:textId="77777777" w:rsidR="00DD0834" w:rsidRPr="00D31EE8" w:rsidRDefault="00DD0834" w:rsidP="003B6997">
            <w:pPr>
              <w:pStyle w:val="BStableheading"/>
              <w:framePr w:wrap="around"/>
              <w:rPr>
                <w:rFonts w:eastAsia="SimSun"/>
              </w:rPr>
            </w:pPr>
            <w:r w:rsidRPr="00D31EE8">
              <w:t>0</w:t>
            </w:r>
          </w:p>
        </w:tc>
        <w:tc>
          <w:tcPr>
            <w:tcW w:w="1020" w:type="dxa"/>
            <w:shd w:val="clear" w:color="auto" w:fill="auto"/>
            <w:noWrap/>
          </w:tcPr>
          <w:p w14:paraId="39AD7017" w14:textId="77777777" w:rsidR="00DD0834" w:rsidRPr="00D31EE8" w:rsidRDefault="00DD0834" w:rsidP="003B6997">
            <w:pPr>
              <w:pStyle w:val="BStableheading"/>
              <w:framePr w:wrap="around"/>
              <w:rPr>
                <w:rFonts w:eastAsia="SimSun"/>
              </w:rPr>
            </w:pPr>
            <w:r w:rsidRPr="00D31EE8">
              <w:t>0</w:t>
            </w:r>
          </w:p>
        </w:tc>
        <w:tc>
          <w:tcPr>
            <w:tcW w:w="1020" w:type="dxa"/>
            <w:shd w:val="clear" w:color="auto" w:fill="auto"/>
            <w:noWrap/>
          </w:tcPr>
          <w:p w14:paraId="4DB1E4AB" w14:textId="77777777" w:rsidR="00DD0834" w:rsidRPr="00D31EE8" w:rsidRDefault="00DD0834" w:rsidP="003B6997">
            <w:pPr>
              <w:pStyle w:val="BStableheading"/>
              <w:framePr w:wrap="around"/>
              <w:rPr>
                <w:rFonts w:eastAsia="SimSun"/>
              </w:rPr>
            </w:pPr>
            <w:r w:rsidRPr="00D31EE8">
              <w:rPr>
                <w:rFonts w:eastAsia="SimSun"/>
              </w:rPr>
              <w:t>0</w:t>
            </w:r>
          </w:p>
        </w:tc>
        <w:tc>
          <w:tcPr>
            <w:tcW w:w="1020" w:type="dxa"/>
            <w:shd w:val="clear" w:color="auto" w:fill="auto"/>
            <w:noWrap/>
          </w:tcPr>
          <w:p w14:paraId="3C9E4472" w14:textId="77777777" w:rsidR="00DD0834" w:rsidRPr="00D31EE8" w:rsidRDefault="00DD0834" w:rsidP="003B6997">
            <w:pPr>
              <w:pStyle w:val="BStableheading"/>
              <w:framePr w:wrap="around"/>
              <w:rPr>
                <w:rFonts w:eastAsia="SimSun"/>
              </w:rPr>
            </w:pPr>
            <w:r w:rsidRPr="00D31EE8">
              <w:rPr>
                <w:rFonts w:eastAsia="SimSun"/>
              </w:rPr>
              <w:t>0</w:t>
            </w:r>
          </w:p>
        </w:tc>
        <w:tc>
          <w:tcPr>
            <w:tcW w:w="1020" w:type="dxa"/>
            <w:shd w:val="clear" w:color="auto" w:fill="auto"/>
            <w:noWrap/>
          </w:tcPr>
          <w:p w14:paraId="1EB49877" w14:textId="77777777" w:rsidR="00DD0834" w:rsidRPr="00D31EE8" w:rsidRDefault="00DD0834" w:rsidP="003B6997">
            <w:pPr>
              <w:pStyle w:val="BStableheading"/>
              <w:framePr w:wrap="around"/>
              <w:rPr>
                <w:rFonts w:eastAsia="SimSun"/>
              </w:rPr>
            </w:pPr>
            <w:r w:rsidRPr="00D31EE8">
              <w:rPr>
                <w:rFonts w:eastAsia="SimSun"/>
              </w:rPr>
              <w:t>0</w:t>
            </w:r>
          </w:p>
        </w:tc>
        <w:tc>
          <w:tcPr>
            <w:tcW w:w="1020" w:type="dxa"/>
            <w:shd w:val="clear" w:color="auto" w:fill="auto"/>
            <w:noWrap/>
          </w:tcPr>
          <w:p w14:paraId="1149D8E9" w14:textId="77777777" w:rsidR="00DD0834" w:rsidRPr="00D31EE8" w:rsidRDefault="00DD0834" w:rsidP="003B6997">
            <w:pPr>
              <w:pStyle w:val="BStableheading"/>
              <w:framePr w:wrap="around"/>
              <w:rPr>
                <w:rFonts w:eastAsia="SimSun"/>
              </w:rPr>
            </w:pPr>
            <w:r w:rsidRPr="00D31EE8">
              <w:rPr>
                <w:rFonts w:eastAsia="SimSun"/>
              </w:rPr>
              <w:t>0</w:t>
            </w:r>
          </w:p>
        </w:tc>
      </w:tr>
      <w:tr w:rsidR="00DD0834" w:rsidRPr="006D5D15" w14:paraId="4469C27C" w14:textId="77777777" w:rsidTr="003B6997">
        <w:trPr>
          <w:cantSplit/>
          <w:tblHeader/>
          <w:jc w:val="center"/>
        </w:trPr>
        <w:tc>
          <w:tcPr>
            <w:tcW w:w="2869" w:type="dxa"/>
            <w:shd w:val="clear" w:color="auto" w:fill="auto"/>
            <w:noWrap/>
            <w:vAlign w:val="bottom"/>
          </w:tcPr>
          <w:p w14:paraId="4EE516AC" w14:textId="77777777" w:rsidR="00DD0834" w:rsidRPr="00F25F0C" w:rsidRDefault="00DD0834" w:rsidP="003B6997">
            <w:pPr>
              <w:pStyle w:val="BStabletextbold"/>
              <w:rPr>
                <w:rFonts w:eastAsia="SimSun"/>
              </w:rPr>
            </w:pPr>
            <w:r w:rsidRPr="000868D1">
              <w:t>Closing equity</w:t>
            </w:r>
          </w:p>
        </w:tc>
        <w:tc>
          <w:tcPr>
            <w:tcW w:w="1020" w:type="dxa"/>
            <w:shd w:val="clear" w:color="auto" w:fill="auto"/>
          </w:tcPr>
          <w:p w14:paraId="45A398A1"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302331A7"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5134B35A"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6DD15BCF"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13BC056B" w14:textId="77777777" w:rsidR="00DD0834" w:rsidRPr="00D31EE8" w:rsidRDefault="00DD0834" w:rsidP="003B6997">
            <w:pPr>
              <w:pStyle w:val="Btablefigureunbold"/>
              <w:rPr>
                <w:rFonts w:eastAsia="SimSun"/>
                <w:color w:val="FFFFFF" w:themeColor="background1"/>
                <w:szCs w:val="20"/>
              </w:rPr>
            </w:pPr>
          </w:p>
        </w:tc>
        <w:tc>
          <w:tcPr>
            <w:tcW w:w="1020" w:type="dxa"/>
            <w:shd w:val="clear" w:color="auto" w:fill="auto"/>
            <w:noWrap/>
          </w:tcPr>
          <w:p w14:paraId="2F289F08" w14:textId="77777777" w:rsidR="00DD0834" w:rsidRPr="00D31EE8" w:rsidRDefault="00DD0834" w:rsidP="003B6997">
            <w:pPr>
              <w:pStyle w:val="Btablefigureunbold"/>
              <w:rPr>
                <w:rFonts w:eastAsia="SimSun"/>
                <w:color w:val="FFFFFF" w:themeColor="background1"/>
                <w:szCs w:val="20"/>
              </w:rPr>
            </w:pPr>
          </w:p>
        </w:tc>
      </w:tr>
      <w:tr w:rsidR="00DD0834" w:rsidRPr="006D5D15" w14:paraId="3E0BB155" w14:textId="77777777" w:rsidTr="003B6997">
        <w:trPr>
          <w:cantSplit/>
          <w:tblHeader/>
          <w:jc w:val="center"/>
        </w:trPr>
        <w:tc>
          <w:tcPr>
            <w:tcW w:w="2869" w:type="dxa"/>
            <w:shd w:val="clear" w:color="auto" w:fill="auto"/>
            <w:noWrap/>
          </w:tcPr>
          <w:p w14:paraId="2856DAF3" w14:textId="77777777" w:rsidR="00DD0834" w:rsidRPr="00F25F0C" w:rsidRDefault="00DD0834" w:rsidP="003B6997">
            <w:pPr>
              <w:pStyle w:val="BStabletext"/>
              <w:rPr>
                <w:rFonts w:eastAsia="SimSun"/>
              </w:rPr>
            </w:pPr>
            <w:r w:rsidRPr="000868D1">
              <w:t>Closing accumulated funds</w:t>
            </w:r>
          </w:p>
        </w:tc>
        <w:tc>
          <w:tcPr>
            <w:tcW w:w="1020" w:type="dxa"/>
            <w:shd w:val="clear" w:color="auto" w:fill="auto"/>
          </w:tcPr>
          <w:p w14:paraId="271A7631" w14:textId="77777777" w:rsidR="00DD0834" w:rsidRPr="00D31EE8" w:rsidRDefault="00DD0834" w:rsidP="003B6997">
            <w:pPr>
              <w:pStyle w:val="BStablefiguresitalics"/>
              <w:jc w:val="right"/>
              <w:rPr>
                <w:rFonts w:eastAsia="SimSun"/>
                <w:sz w:val="20"/>
                <w:szCs w:val="20"/>
              </w:rPr>
            </w:pPr>
            <w:r w:rsidRPr="00D31EE8">
              <w:rPr>
                <w:sz w:val="20"/>
                <w:szCs w:val="20"/>
              </w:rPr>
              <w:t>6,040,775</w:t>
            </w:r>
          </w:p>
        </w:tc>
        <w:tc>
          <w:tcPr>
            <w:tcW w:w="1020" w:type="dxa"/>
            <w:shd w:val="clear" w:color="auto" w:fill="auto"/>
            <w:noWrap/>
          </w:tcPr>
          <w:p w14:paraId="3D350E71" w14:textId="77777777" w:rsidR="00DD0834" w:rsidRPr="00D31EE8" w:rsidRDefault="00DD0834" w:rsidP="003B6997">
            <w:pPr>
              <w:pStyle w:val="BStablefiguresitalics"/>
              <w:jc w:val="right"/>
              <w:rPr>
                <w:rFonts w:eastAsia="SimSun"/>
                <w:sz w:val="20"/>
                <w:szCs w:val="20"/>
              </w:rPr>
            </w:pPr>
            <w:r w:rsidRPr="00D31EE8">
              <w:rPr>
                <w:sz w:val="20"/>
                <w:szCs w:val="20"/>
              </w:rPr>
              <w:t>1,710,015</w:t>
            </w:r>
          </w:p>
        </w:tc>
        <w:tc>
          <w:tcPr>
            <w:tcW w:w="1020" w:type="dxa"/>
            <w:shd w:val="clear" w:color="auto" w:fill="auto"/>
            <w:noWrap/>
            <w:vAlign w:val="bottom"/>
          </w:tcPr>
          <w:p w14:paraId="3777DA52" w14:textId="77777777" w:rsidR="00DD0834" w:rsidRPr="00D31EE8" w:rsidRDefault="00DD0834" w:rsidP="003B6997">
            <w:pPr>
              <w:pStyle w:val="BStablefiguresitalics"/>
              <w:jc w:val="right"/>
              <w:rPr>
                <w:rFonts w:eastAsia="SimSun"/>
                <w:sz w:val="20"/>
                <w:szCs w:val="20"/>
              </w:rPr>
            </w:pPr>
            <w:r w:rsidRPr="00D31EE8">
              <w:rPr>
                <w:sz w:val="20"/>
                <w:szCs w:val="20"/>
              </w:rPr>
              <w:t>4,067,324</w:t>
            </w:r>
          </w:p>
        </w:tc>
        <w:tc>
          <w:tcPr>
            <w:tcW w:w="1020" w:type="dxa"/>
            <w:shd w:val="clear" w:color="auto" w:fill="auto"/>
            <w:noWrap/>
            <w:vAlign w:val="bottom"/>
          </w:tcPr>
          <w:p w14:paraId="0BFF4A64" w14:textId="77777777" w:rsidR="00DD0834" w:rsidRPr="00D31EE8" w:rsidRDefault="00DD0834" w:rsidP="003B6997">
            <w:pPr>
              <w:pStyle w:val="BStablefiguresitalics"/>
              <w:jc w:val="right"/>
              <w:rPr>
                <w:rFonts w:eastAsia="SimSun"/>
                <w:sz w:val="20"/>
                <w:szCs w:val="20"/>
              </w:rPr>
            </w:pPr>
            <w:r w:rsidRPr="00D31EE8">
              <w:rPr>
                <w:sz w:val="20"/>
                <w:szCs w:val="20"/>
              </w:rPr>
              <w:t>3,491,203</w:t>
            </w:r>
          </w:p>
        </w:tc>
        <w:tc>
          <w:tcPr>
            <w:tcW w:w="1020" w:type="dxa"/>
            <w:shd w:val="clear" w:color="auto" w:fill="auto"/>
            <w:noWrap/>
            <w:vAlign w:val="bottom"/>
          </w:tcPr>
          <w:p w14:paraId="5BD5A68F" w14:textId="77777777" w:rsidR="00DD0834" w:rsidRPr="00D31EE8" w:rsidRDefault="00DD0834" w:rsidP="003B6997">
            <w:pPr>
              <w:pStyle w:val="BStablefiguresitalics"/>
              <w:jc w:val="right"/>
              <w:rPr>
                <w:rFonts w:eastAsia="SimSun"/>
                <w:sz w:val="20"/>
                <w:szCs w:val="20"/>
              </w:rPr>
            </w:pPr>
            <w:r w:rsidRPr="00D31EE8">
              <w:rPr>
                <w:sz w:val="20"/>
                <w:szCs w:val="20"/>
              </w:rPr>
              <w:t>2,938,730</w:t>
            </w:r>
          </w:p>
        </w:tc>
        <w:tc>
          <w:tcPr>
            <w:tcW w:w="1020" w:type="dxa"/>
            <w:shd w:val="clear" w:color="auto" w:fill="auto"/>
            <w:noWrap/>
            <w:vAlign w:val="bottom"/>
          </w:tcPr>
          <w:p w14:paraId="2E6399B0" w14:textId="77777777" w:rsidR="00DD0834" w:rsidRPr="00D31EE8" w:rsidRDefault="00DD0834" w:rsidP="003B6997">
            <w:pPr>
              <w:pStyle w:val="BStablefiguresitalics"/>
              <w:jc w:val="right"/>
              <w:rPr>
                <w:rFonts w:eastAsia="SimSun"/>
                <w:sz w:val="20"/>
                <w:szCs w:val="20"/>
              </w:rPr>
            </w:pPr>
            <w:r w:rsidRPr="00D31EE8">
              <w:rPr>
                <w:sz w:val="20"/>
                <w:szCs w:val="20"/>
              </w:rPr>
              <w:t>2,386,965</w:t>
            </w:r>
          </w:p>
        </w:tc>
      </w:tr>
      <w:tr w:rsidR="00DD0834" w:rsidRPr="006D5D15" w14:paraId="061A9170" w14:textId="77777777" w:rsidTr="003B6997">
        <w:trPr>
          <w:cantSplit/>
          <w:tblHeader/>
          <w:jc w:val="center"/>
        </w:trPr>
        <w:tc>
          <w:tcPr>
            <w:tcW w:w="2869" w:type="dxa"/>
            <w:shd w:val="clear" w:color="auto" w:fill="auto"/>
            <w:noWrap/>
          </w:tcPr>
          <w:p w14:paraId="619ECCCA" w14:textId="77777777" w:rsidR="00DD0834" w:rsidRPr="00F25F0C" w:rsidRDefault="00DD0834" w:rsidP="003B6997">
            <w:pPr>
              <w:pStyle w:val="BStabletext"/>
              <w:rPr>
                <w:rFonts w:eastAsia="SimSun"/>
              </w:rPr>
            </w:pPr>
            <w:r w:rsidRPr="000868D1">
              <w:t>Closing asset revaluation surplus</w:t>
            </w:r>
          </w:p>
        </w:tc>
        <w:tc>
          <w:tcPr>
            <w:tcW w:w="1020" w:type="dxa"/>
            <w:shd w:val="clear" w:color="auto" w:fill="auto"/>
          </w:tcPr>
          <w:p w14:paraId="24234317" w14:textId="77777777" w:rsidR="00DD0834" w:rsidRPr="00D31EE8" w:rsidRDefault="00DD0834" w:rsidP="003B6997">
            <w:pPr>
              <w:pStyle w:val="BStablefiguresitalics"/>
              <w:jc w:val="right"/>
              <w:rPr>
                <w:sz w:val="20"/>
                <w:szCs w:val="20"/>
              </w:rPr>
            </w:pPr>
            <w:r w:rsidRPr="00D31EE8">
              <w:rPr>
                <w:sz w:val="20"/>
                <w:szCs w:val="20"/>
              </w:rPr>
              <w:t>11,124,036</w:t>
            </w:r>
          </w:p>
        </w:tc>
        <w:tc>
          <w:tcPr>
            <w:tcW w:w="1020" w:type="dxa"/>
            <w:shd w:val="clear" w:color="auto" w:fill="auto"/>
            <w:noWrap/>
          </w:tcPr>
          <w:p w14:paraId="77D19DCC" w14:textId="77777777" w:rsidR="00DD0834" w:rsidRPr="00D31EE8" w:rsidRDefault="00DD0834" w:rsidP="003B6997">
            <w:pPr>
              <w:pStyle w:val="BStablefiguresitalics"/>
              <w:jc w:val="right"/>
              <w:rPr>
                <w:sz w:val="20"/>
                <w:szCs w:val="20"/>
              </w:rPr>
            </w:pPr>
            <w:r w:rsidRPr="00D31EE8">
              <w:rPr>
                <w:sz w:val="20"/>
                <w:szCs w:val="20"/>
              </w:rPr>
              <w:t>12,429,985</w:t>
            </w:r>
          </w:p>
        </w:tc>
        <w:tc>
          <w:tcPr>
            <w:tcW w:w="1020" w:type="dxa"/>
            <w:shd w:val="clear" w:color="auto" w:fill="auto"/>
            <w:noWrap/>
            <w:vAlign w:val="bottom"/>
          </w:tcPr>
          <w:p w14:paraId="3F9F9026" w14:textId="77777777" w:rsidR="00DD0834" w:rsidRPr="00D31EE8" w:rsidRDefault="00DD0834" w:rsidP="003B6997">
            <w:pPr>
              <w:pStyle w:val="BStablefiguresitalics"/>
              <w:jc w:val="right"/>
              <w:rPr>
                <w:sz w:val="20"/>
                <w:szCs w:val="20"/>
              </w:rPr>
            </w:pPr>
            <w:r w:rsidRPr="00D31EE8">
              <w:rPr>
                <w:sz w:val="20"/>
                <w:szCs w:val="20"/>
              </w:rPr>
              <w:t>12,379,841</w:t>
            </w:r>
          </w:p>
        </w:tc>
        <w:tc>
          <w:tcPr>
            <w:tcW w:w="1020" w:type="dxa"/>
            <w:shd w:val="clear" w:color="auto" w:fill="auto"/>
            <w:noWrap/>
            <w:vAlign w:val="bottom"/>
          </w:tcPr>
          <w:p w14:paraId="6769D127" w14:textId="77777777" w:rsidR="00DD0834" w:rsidRPr="00D31EE8" w:rsidRDefault="00DD0834" w:rsidP="003B6997">
            <w:pPr>
              <w:pStyle w:val="BStablefiguresitalics"/>
              <w:jc w:val="right"/>
              <w:rPr>
                <w:sz w:val="20"/>
                <w:szCs w:val="20"/>
              </w:rPr>
            </w:pPr>
            <w:r w:rsidRPr="00D31EE8">
              <w:rPr>
                <w:sz w:val="20"/>
                <w:szCs w:val="20"/>
              </w:rPr>
              <w:t>12,294,686</w:t>
            </w:r>
          </w:p>
        </w:tc>
        <w:tc>
          <w:tcPr>
            <w:tcW w:w="1020" w:type="dxa"/>
            <w:shd w:val="clear" w:color="auto" w:fill="auto"/>
            <w:noWrap/>
            <w:vAlign w:val="bottom"/>
          </w:tcPr>
          <w:p w14:paraId="6189ACB8" w14:textId="77777777" w:rsidR="00DD0834" w:rsidRPr="00D31EE8" w:rsidRDefault="00DD0834" w:rsidP="003B6997">
            <w:pPr>
              <w:pStyle w:val="BStablefiguresitalics"/>
              <w:jc w:val="right"/>
              <w:rPr>
                <w:sz w:val="20"/>
                <w:szCs w:val="20"/>
              </w:rPr>
            </w:pPr>
            <w:r w:rsidRPr="00D31EE8">
              <w:rPr>
                <w:sz w:val="20"/>
                <w:szCs w:val="20"/>
              </w:rPr>
              <w:t>12,453,141</w:t>
            </w:r>
          </w:p>
        </w:tc>
        <w:tc>
          <w:tcPr>
            <w:tcW w:w="1020" w:type="dxa"/>
            <w:shd w:val="clear" w:color="auto" w:fill="auto"/>
            <w:noWrap/>
            <w:vAlign w:val="bottom"/>
          </w:tcPr>
          <w:p w14:paraId="79B3E9BB" w14:textId="77777777" w:rsidR="00DD0834" w:rsidRPr="00D31EE8" w:rsidRDefault="00DD0834" w:rsidP="003B6997">
            <w:pPr>
              <w:pStyle w:val="BStablefiguresitalics"/>
              <w:jc w:val="right"/>
              <w:rPr>
                <w:sz w:val="20"/>
                <w:szCs w:val="20"/>
              </w:rPr>
            </w:pPr>
            <w:r w:rsidRPr="00D31EE8">
              <w:rPr>
                <w:sz w:val="20"/>
                <w:szCs w:val="20"/>
              </w:rPr>
              <w:t>12,463,042</w:t>
            </w:r>
          </w:p>
        </w:tc>
      </w:tr>
      <w:tr w:rsidR="00DD0834" w:rsidRPr="006D5D15" w14:paraId="6389E026" w14:textId="77777777" w:rsidTr="003B6997">
        <w:trPr>
          <w:cantSplit/>
          <w:tblHeader/>
          <w:jc w:val="center"/>
        </w:trPr>
        <w:tc>
          <w:tcPr>
            <w:tcW w:w="2869" w:type="dxa"/>
            <w:tcBorders>
              <w:bottom w:val="single" w:sz="4" w:space="0" w:color="auto"/>
            </w:tcBorders>
            <w:shd w:val="clear" w:color="auto" w:fill="auto"/>
            <w:noWrap/>
          </w:tcPr>
          <w:p w14:paraId="444A3BBF" w14:textId="77777777" w:rsidR="00DD0834" w:rsidRPr="00F25F0C" w:rsidRDefault="00DD0834" w:rsidP="003B6997">
            <w:pPr>
              <w:pStyle w:val="BStabletext"/>
              <w:rPr>
                <w:rFonts w:eastAsia="SimSun"/>
              </w:rPr>
            </w:pPr>
            <w:r w:rsidRPr="000868D1">
              <w:t>Closing other reserves</w:t>
            </w:r>
          </w:p>
        </w:tc>
        <w:tc>
          <w:tcPr>
            <w:tcW w:w="1020" w:type="dxa"/>
            <w:tcBorders>
              <w:bottom w:val="single" w:sz="4" w:space="0" w:color="auto"/>
            </w:tcBorders>
            <w:shd w:val="clear" w:color="auto" w:fill="auto"/>
          </w:tcPr>
          <w:p w14:paraId="6EE2E1DB"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tcBorders>
              <w:bottom w:val="single" w:sz="4" w:space="0" w:color="auto"/>
            </w:tcBorders>
            <w:shd w:val="clear" w:color="auto" w:fill="auto"/>
            <w:noWrap/>
          </w:tcPr>
          <w:p w14:paraId="10FF75BD"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tcBorders>
              <w:bottom w:val="single" w:sz="4" w:space="0" w:color="auto"/>
            </w:tcBorders>
            <w:shd w:val="clear" w:color="auto" w:fill="auto"/>
            <w:noWrap/>
            <w:vAlign w:val="bottom"/>
          </w:tcPr>
          <w:p w14:paraId="33548BC8"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tcBorders>
              <w:bottom w:val="single" w:sz="4" w:space="0" w:color="auto"/>
            </w:tcBorders>
            <w:shd w:val="clear" w:color="auto" w:fill="auto"/>
            <w:noWrap/>
            <w:vAlign w:val="bottom"/>
          </w:tcPr>
          <w:p w14:paraId="4D83535E"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tcBorders>
              <w:bottom w:val="single" w:sz="4" w:space="0" w:color="auto"/>
            </w:tcBorders>
            <w:shd w:val="clear" w:color="auto" w:fill="auto"/>
            <w:noWrap/>
            <w:vAlign w:val="bottom"/>
          </w:tcPr>
          <w:p w14:paraId="42222393" w14:textId="77777777" w:rsidR="00DD0834" w:rsidRPr="00D31EE8" w:rsidRDefault="00DD0834" w:rsidP="003B6997">
            <w:pPr>
              <w:pStyle w:val="BStablefiguresitalics"/>
              <w:jc w:val="right"/>
              <w:rPr>
                <w:rFonts w:eastAsia="SimSun"/>
                <w:sz w:val="20"/>
                <w:szCs w:val="20"/>
              </w:rPr>
            </w:pPr>
            <w:r w:rsidRPr="00D31EE8">
              <w:rPr>
                <w:sz w:val="20"/>
                <w:szCs w:val="20"/>
              </w:rPr>
              <w:t>1,230</w:t>
            </w:r>
          </w:p>
        </w:tc>
        <w:tc>
          <w:tcPr>
            <w:tcW w:w="1020" w:type="dxa"/>
            <w:tcBorders>
              <w:bottom w:val="single" w:sz="4" w:space="0" w:color="auto"/>
            </w:tcBorders>
            <w:shd w:val="clear" w:color="auto" w:fill="auto"/>
            <w:noWrap/>
            <w:vAlign w:val="bottom"/>
          </w:tcPr>
          <w:p w14:paraId="32BBA3DB" w14:textId="77777777" w:rsidR="00DD0834" w:rsidRPr="00D31EE8" w:rsidRDefault="00DD0834" w:rsidP="003B6997">
            <w:pPr>
              <w:pStyle w:val="BStablefiguresitalics"/>
              <w:jc w:val="right"/>
              <w:rPr>
                <w:rFonts w:eastAsia="SimSun"/>
                <w:sz w:val="20"/>
                <w:szCs w:val="20"/>
              </w:rPr>
            </w:pPr>
            <w:r w:rsidRPr="00D31EE8">
              <w:rPr>
                <w:sz w:val="20"/>
                <w:szCs w:val="20"/>
              </w:rPr>
              <w:t>1,230</w:t>
            </w:r>
          </w:p>
        </w:tc>
      </w:tr>
      <w:tr w:rsidR="00DD0834" w:rsidRPr="00633401" w14:paraId="16A798D8" w14:textId="77777777" w:rsidTr="003B6997">
        <w:trPr>
          <w:cantSplit/>
          <w:tblHeader/>
          <w:jc w:val="center"/>
        </w:trPr>
        <w:tc>
          <w:tcPr>
            <w:tcW w:w="2869" w:type="dxa"/>
            <w:tcBorders>
              <w:top w:val="single" w:sz="4" w:space="0" w:color="auto"/>
              <w:bottom w:val="single" w:sz="4" w:space="0" w:color="auto"/>
            </w:tcBorders>
            <w:shd w:val="clear" w:color="auto" w:fill="auto"/>
            <w:noWrap/>
          </w:tcPr>
          <w:p w14:paraId="3B68F89B" w14:textId="77777777" w:rsidR="00DD0834" w:rsidRPr="00633401" w:rsidRDefault="00DD0834" w:rsidP="003B6997">
            <w:pPr>
              <w:pStyle w:val="BStabletextbold"/>
              <w:rPr>
                <w:color w:val="472D8C"/>
              </w:rPr>
            </w:pPr>
            <w:r w:rsidRPr="00550D36">
              <w:rPr>
                <w:color w:val="472D8C"/>
              </w:rPr>
              <w:t>Closing balance</w:t>
            </w:r>
          </w:p>
        </w:tc>
        <w:tc>
          <w:tcPr>
            <w:tcW w:w="1020" w:type="dxa"/>
            <w:tcBorders>
              <w:top w:val="single" w:sz="4" w:space="0" w:color="auto"/>
              <w:bottom w:val="single" w:sz="4" w:space="0" w:color="auto"/>
            </w:tcBorders>
            <w:shd w:val="clear" w:color="auto" w:fill="auto"/>
          </w:tcPr>
          <w:p w14:paraId="4516343D" w14:textId="77777777" w:rsidR="00DD0834" w:rsidRPr="00D31EE8" w:rsidRDefault="00DD0834" w:rsidP="003B6997">
            <w:pPr>
              <w:pStyle w:val="BStabletextbold"/>
              <w:jc w:val="right"/>
              <w:rPr>
                <w:color w:val="472D8C"/>
              </w:rPr>
            </w:pPr>
            <w:r w:rsidRPr="00D31EE8">
              <w:rPr>
                <w:color w:val="472D8C"/>
              </w:rPr>
              <w:t>17,166,041</w:t>
            </w:r>
          </w:p>
        </w:tc>
        <w:tc>
          <w:tcPr>
            <w:tcW w:w="1020" w:type="dxa"/>
            <w:tcBorders>
              <w:top w:val="single" w:sz="4" w:space="0" w:color="auto"/>
              <w:bottom w:val="single" w:sz="4" w:space="0" w:color="auto"/>
            </w:tcBorders>
            <w:shd w:val="clear" w:color="auto" w:fill="auto"/>
            <w:noWrap/>
          </w:tcPr>
          <w:p w14:paraId="7FDEF181" w14:textId="77777777" w:rsidR="00DD0834" w:rsidRPr="00D31EE8" w:rsidRDefault="00DD0834" w:rsidP="003B6997">
            <w:pPr>
              <w:pStyle w:val="BStabletextbold"/>
              <w:jc w:val="right"/>
              <w:rPr>
                <w:color w:val="472D8C"/>
              </w:rPr>
            </w:pPr>
            <w:r w:rsidRPr="00D31EE8">
              <w:rPr>
                <w:color w:val="472D8C"/>
              </w:rPr>
              <w:t>14,141,229</w:t>
            </w:r>
          </w:p>
        </w:tc>
        <w:tc>
          <w:tcPr>
            <w:tcW w:w="1020" w:type="dxa"/>
            <w:tcBorders>
              <w:top w:val="single" w:sz="4" w:space="0" w:color="auto"/>
              <w:bottom w:val="single" w:sz="4" w:space="0" w:color="auto"/>
            </w:tcBorders>
            <w:shd w:val="clear" w:color="auto" w:fill="auto"/>
            <w:noWrap/>
            <w:vAlign w:val="bottom"/>
          </w:tcPr>
          <w:p w14:paraId="26E3F0E7" w14:textId="77777777" w:rsidR="00DD0834" w:rsidRPr="00D31EE8" w:rsidRDefault="00DD0834" w:rsidP="003B6997">
            <w:pPr>
              <w:pStyle w:val="BStabletextbold"/>
              <w:jc w:val="right"/>
              <w:rPr>
                <w:color w:val="472D8C"/>
              </w:rPr>
            </w:pPr>
            <w:r w:rsidRPr="00D31EE8">
              <w:rPr>
                <w:color w:val="472D8C"/>
              </w:rPr>
              <w:t>16,448,395</w:t>
            </w:r>
          </w:p>
        </w:tc>
        <w:tc>
          <w:tcPr>
            <w:tcW w:w="1020" w:type="dxa"/>
            <w:tcBorders>
              <w:top w:val="single" w:sz="4" w:space="0" w:color="auto"/>
              <w:bottom w:val="single" w:sz="4" w:space="0" w:color="auto"/>
            </w:tcBorders>
            <w:shd w:val="clear" w:color="auto" w:fill="auto"/>
            <w:noWrap/>
            <w:vAlign w:val="bottom"/>
          </w:tcPr>
          <w:p w14:paraId="119D9E52" w14:textId="77777777" w:rsidR="00DD0834" w:rsidRPr="00D31EE8" w:rsidRDefault="00DD0834" w:rsidP="003B6997">
            <w:pPr>
              <w:pStyle w:val="BStabletextbold"/>
              <w:jc w:val="right"/>
              <w:rPr>
                <w:color w:val="472D8C"/>
              </w:rPr>
            </w:pPr>
            <w:r w:rsidRPr="00D31EE8">
              <w:rPr>
                <w:color w:val="472D8C"/>
              </w:rPr>
              <w:t>15,787,119</w:t>
            </w:r>
          </w:p>
        </w:tc>
        <w:tc>
          <w:tcPr>
            <w:tcW w:w="1020" w:type="dxa"/>
            <w:tcBorders>
              <w:top w:val="single" w:sz="4" w:space="0" w:color="auto"/>
              <w:bottom w:val="single" w:sz="4" w:space="0" w:color="auto"/>
            </w:tcBorders>
            <w:shd w:val="clear" w:color="auto" w:fill="auto"/>
            <w:noWrap/>
            <w:vAlign w:val="bottom"/>
          </w:tcPr>
          <w:p w14:paraId="66CF5F71" w14:textId="77777777" w:rsidR="00DD0834" w:rsidRPr="00D31EE8" w:rsidRDefault="00DD0834" w:rsidP="003B6997">
            <w:pPr>
              <w:pStyle w:val="BStabletextbold"/>
              <w:jc w:val="right"/>
              <w:rPr>
                <w:color w:val="472D8C"/>
              </w:rPr>
            </w:pPr>
            <w:r w:rsidRPr="00D31EE8">
              <w:rPr>
                <w:color w:val="472D8C"/>
              </w:rPr>
              <w:t>15,393,101</w:t>
            </w:r>
          </w:p>
        </w:tc>
        <w:tc>
          <w:tcPr>
            <w:tcW w:w="1020" w:type="dxa"/>
            <w:tcBorders>
              <w:top w:val="single" w:sz="4" w:space="0" w:color="auto"/>
              <w:bottom w:val="single" w:sz="4" w:space="0" w:color="auto"/>
            </w:tcBorders>
            <w:shd w:val="clear" w:color="auto" w:fill="auto"/>
            <w:noWrap/>
            <w:vAlign w:val="bottom"/>
          </w:tcPr>
          <w:p w14:paraId="3C8D5FF9" w14:textId="77777777" w:rsidR="00DD0834" w:rsidRPr="00D31EE8" w:rsidRDefault="00DD0834" w:rsidP="003B6997">
            <w:pPr>
              <w:pStyle w:val="BStabletextbold"/>
              <w:jc w:val="right"/>
              <w:rPr>
                <w:color w:val="472D8C"/>
              </w:rPr>
            </w:pPr>
            <w:r w:rsidRPr="00D31EE8">
              <w:rPr>
                <w:color w:val="472D8C"/>
              </w:rPr>
              <w:t>14,851,237</w:t>
            </w:r>
          </w:p>
        </w:tc>
      </w:tr>
    </w:tbl>
    <w:p w14:paraId="369F5197" w14:textId="77777777" w:rsidR="00DD0834" w:rsidRDefault="00DD0834">
      <w:pPr>
        <w:rPr>
          <w:b/>
          <w:iCs/>
          <w:color w:val="472D8C"/>
          <w:szCs w:val="18"/>
        </w:rPr>
      </w:pPr>
      <w:r>
        <w:br w:type="page"/>
      </w:r>
    </w:p>
    <w:p w14:paraId="1909CD66" w14:textId="560921C8" w:rsidR="00DD0834" w:rsidRDefault="00DD0834" w:rsidP="003B6997">
      <w:pPr>
        <w:pStyle w:val="Caption"/>
      </w:pPr>
      <w:r>
        <w:lastRenderedPageBreak/>
        <w:t>Table E.</w:t>
      </w:r>
      <w:fldSimple w:instr=" SEQ Table \* ARABIC \s 2 ">
        <w:r w:rsidR="001478F3">
          <w:rPr>
            <w:noProof/>
          </w:rPr>
          <w:t>4</w:t>
        </w:r>
      </w:fldSimple>
      <w:r>
        <w:t>: Australian Capital Territory Consolidated Total Territory – Statement of cash flows</w:t>
      </w:r>
    </w:p>
    <w:tbl>
      <w:tblPr>
        <w:tblW w:w="8653" w:type="dxa"/>
        <w:jc w:val="center"/>
        <w:tblLayout w:type="fixed"/>
        <w:tblCellMar>
          <w:left w:w="45" w:type="dxa"/>
          <w:right w:w="45" w:type="dxa"/>
        </w:tblCellMar>
        <w:tblLook w:val="0000" w:firstRow="0" w:lastRow="0" w:firstColumn="0" w:lastColumn="0" w:noHBand="0" w:noVBand="0"/>
      </w:tblPr>
      <w:tblGrid>
        <w:gridCol w:w="2869"/>
        <w:gridCol w:w="964"/>
        <w:gridCol w:w="964"/>
        <w:gridCol w:w="964"/>
        <w:gridCol w:w="964"/>
        <w:gridCol w:w="964"/>
        <w:gridCol w:w="964"/>
      </w:tblGrid>
      <w:tr w:rsidR="00DD0834" w:rsidRPr="006D5D15" w14:paraId="32C0374A" w14:textId="77777777" w:rsidTr="003B6997">
        <w:trPr>
          <w:cantSplit/>
          <w:tblHeader/>
          <w:jc w:val="center"/>
        </w:trPr>
        <w:tc>
          <w:tcPr>
            <w:tcW w:w="2869" w:type="dxa"/>
            <w:tcBorders>
              <w:top w:val="single" w:sz="4" w:space="0" w:color="auto"/>
              <w:left w:val="nil"/>
              <w:bottom w:val="single" w:sz="4" w:space="0" w:color="auto"/>
              <w:right w:val="nil"/>
            </w:tcBorders>
            <w:shd w:val="clear" w:color="auto" w:fill="472D8C"/>
            <w:noWrap/>
          </w:tcPr>
          <w:p w14:paraId="281976BB" w14:textId="77777777" w:rsidR="00DD0834" w:rsidRPr="00A1417D" w:rsidRDefault="00DD0834" w:rsidP="003B6997">
            <w:pPr>
              <w:pStyle w:val="BStabletextbold"/>
              <w:rPr>
                <w:color w:val="FFFFFF" w:themeColor="background1"/>
              </w:rPr>
            </w:pPr>
          </w:p>
        </w:tc>
        <w:tc>
          <w:tcPr>
            <w:tcW w:w="964" w:type="dxa"/>
            <w:tcBorders>
              <w:top w:val="single" w:sz="4" w:space="0" w:color="auto"/>
              <w:left w:val="nil"/>
              <w:bottom w:val="single" w:sz="4" w:space="0" w:color="auto"/>
              <w:right w:val="nil"/>
            </w:tcBorders>
            <w:shd w:val="clear" w:color="auto" w:fill="472D8C"/>
          </w:tcPr>
          <w:p w14:paraId="73ECB202" w14:textId="77777777" w:rsidR="00DD0834" w:rsidRPr="003247DA" w:rsidRDefault="00DD0834" w:rsidP="003B6997">
            <w:pPr>
              <w:pStyle w:val="BStableheading"/>
              <w:framePr w:wrap="auto" w:vAnchor="margin" w:yAlign="inline"/>
              <w:rPr>
                <w:rFonts w:eastAsia="SimSun"/>
                <w:color w:val="FFFFFF" w:themeColor="background1"/>
                <w:lang w:val="en-AU"/>
              </w:rPr>
            </w:pPr>
            <w:r w:rsidRPr="003247DA">
              <w:rPr>
                <w:rFonts w:eastAsia="SimSun"/>
                <w:color w:val="FFFFFF" w:themeColor="background1"/>
                <w:lang w:val="en-AU"/>
              </w:rPr>
              <w:t>2020-21</w:t>
            </w:r>
          </w:p>
          <w:p w14:paraId="5A75DAE8" w14:textId="77777777" w:rsidR="00DD0834" w:rsidRPr="003247DA" w:rsidRDefault="00DD0834" w:rsidP="003B6997">
            <w:pPr>
              <w:pStyle w:val="BStableheading"/>
              <w:framePr w:wrap="auto" w:vAnchor="margin" w:yAlign="inline"/>
              <w:rPr>
                <w:rFonts w:eastAsia="SimSun"/>
                <w:color w:val="FFFFFF" w:themeColor="background1"/>
                <w:lang w:val="en-AU"/>
              </w:rPr>
            </w:pPr>
            <w:r w:rsidRPr="003247DA">
              <w:rPr>
                <w:rFonts w:eastAsia="SimSun"/>
                <w:color w:val="FFFFFF" w:themeColor="background1"/>
                <w:lang w:val="en-AU"/>
              </w:rPr>
              <w:t>Budget</w:t>
            </w:r>
          </w:p>
          <w:p w14:paraId="765BCA93" w14:textId="77777777" w:rsidR="00DD0834" w:rsidRPr="003247DA" w:rsidRDefault="00DD0834" w:rsidP="003B6997">
            <w:pPr>
              <w:pStyle w:val="Btablefigureunbold"/>
              <w:rPr>
                <w:rFonts w:eastAsia="SimSun"/>
                <w:b/>
                <w:color w:val="FFFFFF" w:themeColor="background1"/>
              </w:rPr>
            </w:pPr>
          </w:p>
          <w:p w14:paraId="3A775081"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c>
          <w:tcPr>
            <w:tcW w:w="964" w:type="dxa"/>
            <w:tcBorders>
              <w:top w:val="single" w:sz="4" w:space="0" w:color="auto"/>
              <w:left w:val="nil"/>
              <w:bottom w:val="single" w:sz="4" w:space="0" w:color="auto"/>
              <w:right w:val="nil"/>
            </w:tcBorders>
            <w:shd w:val="clear" w:color="auto" w:fill="472D8C"/>
            <w:noWrap/>
          </w:tcPr>
          <w:p w14:paraId="0E583C4F"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2020-21</w:t>
            </w:r>
          </w:p>
          <w:p w14:paraId="6A0E5533"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Interim outcome</w:t>
            </w:r>
          </w:p>
          <w:p w14:paraId="42E76FB3"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c>
          <w:tcPr>
            <w:tcW w:w="964" w:type="dxa"/>
            <w:tcBorders>
              <w:top w:val="single" w:sz="4" w:space="0" w:color="auto"/>
              <w:left w:val="nil"/>
              <w:bottom w:val="single" w:sz="4" w:space="0" w:color="auto"/>
              <w:right w:val="nil"/>
            </w:tcBorders>
            <w:shd w:val="clear" w:color="auto" w:fill="472D8C"/>
            <w:noWrap/>
          </w:tcPr>
          <w:p w14:paraId="43B50EA1"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2021-22</w:t>
            </w:r>
          </w:p>
          <w:p w14:paraId="13FEFFD9"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Budget</w:t>
            </w:r>
          </w:p>
          <w:p w14:paraId="38A9D4A4" w14:textId="77777777" w:rsidR="00DD0834" w:rsidRPr="003247DA" w:rsidRDefault="00DD0834" w:rsidP="003B6997">
            <w:pPr>
              <w:pStyle w:val="BStableheading"/>
              <w:framePr w:wrap="around"/>
              <w:rPr>
                <w:rFonts w:eastAsia="SimSun"/>
                <w:color w:val="FFFFFF" w:themeColor="background1"/>
                <w:lang w:val="en-AU"/>
              </w:rPr>
            </w:pPr>
          </w:p>
          <w:p w14:paraId="664F62E1"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c>
          <w:tcPr>
            <w:tcW w:w="964" w:type="dxa"/>
            <w:tcBorders>
              <w:top w:val="single" w:sz="4" w:space="0" w:color="auto"/>
              <w:left w:val="nil"/>
              <w:bottom w:val="single" w:sz="4" w:space="0" w:color="auto"/>
              <w:right w:val="nil"/>
            </w:tcBorders>
            <w:shd w:val="clear" w:color="auto" w:fill="472D8C"/>
            <w:noWrap/>
          </w:tcPr>
          <w:p w14:paraId="0E9140A3"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2022-23</w:t>
            </w:r>
          </w:p>
          <w:p w14:paraId="75695A18"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Estimate</w:t>
            </w:r>
          </w:p>
          <w:p w14:paraId="65B2435A" w14:textId="77777777" w:rsidR="00DD0834" w:rsidRPr="003247DA" w:rsidRDefault="00DD0834" w:rsidP="003B6997">
            <w:pPr>
              <w:pStyle w:val="BStableheading"/>
              <w:framePr w:wrap="around"/>
              <w:rPr>
                <w:rFonts w:eastAsia="SimSun"/>
                <w:color w:val="FFFFFF" w:themeColor="background1"/>
                <w:lang w:val="en-AU"/>
              </w:rPr>
            </w:pPr>
          </w:p>
          <w:p w14:paraId="02CEBE9F"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c>
          <w:tcPr>
            <w:tcW w:w="964" w:type="dxa"/>
            <w:tcBorders>
              <w:top w:val="single" w:sz="4" w:space="0" w:color="auto"/>
              <w:left w:val="nil"/>
              <w:bottom w:val="single" w:sz="4" w:space="0" w:color="auto"/>
              <w:right w:val="nil"/>
            </w:tcBorders>
            <w:shd w:val="clear" w:color="auto" w:fill="472D8C"/>
            <w:noWrap/>
          </w:tcPr>
          <w:p w14:paraId="507394F4"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2023-24</w:t>
            </w:r>
          </w:p>
          <w:p w14:paraId="7D264183"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Estimate</w:t>
            </w:r>
          </w:p>
          <w:p w14:paraId="3FAC2C83" w14:textId="77777777" w:rsidR="00DD0834" w:rsidRPr="003247DA" w:rsidRDefault="00DD0834" w:rsidP="003B6997">
            <w:pPr>
              <w:pStyle w:val="BStableheading"/>
              <w:framePr w:wrap="around"/>
              <w:rPr>
                <w:rFonts w:eastAsia="SimSun"/>
                <w:color w:val="FFFFFF" w:themeColor="background1"/>
                <w:lang w:val="en-AU"/>
              </w:rPr>
            </w:pPr>
          </w:p>
          <w:p w14:paraId="4B34630C"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c>
          <w:tcPr>
            <w:tcW w:w="964" w:type="dxa"/>
            <w:tcBorders>
              <w:top w:val="single" w:sz="4" w:space="0" w:color="auto"/>
              <w:left w:val="nil"/>
              <w:bottom w:val="single" w:sz="4" w:space="0" w:color="auto"/>
              <w:right w:val="nil"/>
            </w:tcBorders>
            <w:shd w:val="clear" w:color="auto" w:fill="472D8C"/>
            <w:noWrap/>
          </w:tcPr>
          <w:p w14:paraId="33C8ABCF"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2024-25</w:t>
            </w:r>
          </w:p>
          <w:p w14:paraId="347405FB" w14:textId="77777777" w:rsidR="00DD0834" w:rsidRPr="003247DA" w:rsidRDefault="00DD0834" w:rsidP="003B6997">
            <w:pPr>
              <w:pStyle w:val="BStableheading"/>
              <w:framePr w:wrap="around"/>
              <w:rPr>
                <w:rFonts w:eastAsia="SimSun"/>
                <w:color w:val="FFFFFF" w:themeColor="background1"/>
                <w:lang w:val="en-AU"/>
              </w:rPr>
            </w:pPr>
            <w:r w:rsidRPr="003247DA">
              <w:rPr>
                <w:rFonts w:eastAsia="SimSun"/>
                <w:color w:val="FFFFFF" w:themeColor="background1"/>
                <w:lang w:val="en-AU"/>
              </w:rPr>
              <w:t>Estimate</w:t>
            </w:r>
          </w:p>
          <w:p w14:paraId="62164998" w14:textId="77777777" w:rsidR="00DD0834" w:rsidRPr="003247DA" w:rsidRDefault="00DD0834" w:rsidP="003B6997">
            <w:pPr>
              <w:pStyle w:val="BStableheading"/>
              <w:framePr w:wrap="around"/>
              <w:rPr>
                <w:rFonts w:eastAsia="SimSun"/>
                <w:color w:val="FFFFFF" w:themeColor="background1"/>
                <w:lang w:val="en-AU"/>
              </w:rPr>
            </w:pPr>
          </w:p>
          <w:p w14:paraId="0C123D24" w14:textId="77777777" w:rsidR="00DD0834" w:rsidRPr="003247DA" w:rsidRDefault="00DD0834" w:rsidP="003B6997">
            <w:pPr>
              <w:pStyle w:val="Btablefigureunbold"/>
              <w:rPr>
                <w:b/>
                <w:color w:val="FFFFFF" w:themeColor="background1"/>
                <w:highlight w:val="yellow"/>
              </w:rPr>
            </w:pPr>
            <w:r w:rsidRPr="003247DA">
              <w:rPr>
                <w:rFonts w:eastAsia="SimSun"/>
                <w:b/>
                <w:color w:val="FFFFFF" w:themeColor="background1"/>
              </w:rPr>
              <w:t>$’000</w:t>
            </w:r>
          </w:p>
        </w:tc>
      </w:tr>
      <w:tr w:rsidR="00DD0834" w:rsidRPr="006D5D15" w14:paraId="098374D6" w14:textId="77777777" w:rsidTr="003B6997">
        <w:trPr>
          <w:cantSplit/>
          <w:jc w:val="center"/>
        </w:trPr>
        <w:tc>
          <w:tcPr>
            <w:tcW w:w="2869" w:type="dxa"/>
            <w:shd w:val="clear" w:color="auto" w:fill="auto"/>
            <w:noWrap/>
          </w:tcPr>
          <w:p w14:paraId="1315E7FA" w14:textId="77777777" w:rsidR="00DD0834" w:rsidRPr="00F25F0C" w:rsidRDefault="00DD0834" w:rsidP="003B6997">
            <w:pPr>
              <w:pStyle w:val="BStabletextbold"/>
              <w:rPr>
                <w:rFonts w:eastAsia="SimSun"/>
              </w:rPr>
            </w:pPr>
            <w:r w:rsidRPr="00E56520">
              <w:t>Cash flows from operating activities</w:t>
            </w:r>
          </w:p>
        </w:tc>
        <w:tc>
          <w:tcPr>
            <w:tcW w:w="964" w:type="dxa"/>
            <w:shd w:val="clear" w:color="auto" w:fill="auto"/>
          </w:tcPr>
          <w:p w14:paraId="4A713058" w14:textId="77777777" w:rsidR="00DD0834"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73588797"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2656B414"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67471F6E"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2E8DB9B2"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0E19A960"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r>
      <w:tr w:rsidR="00DD0834" w:rsidRPr="006D5D15" w14:paraId="18F82C0D" w14:textId="77777777" w:rsidTr="003B6997">
        <w:trPr>
          <w:cantSplit/>
          <w:jc w:val="center"/>
        </w:trPr>
        <w:tc>
          <w:tcPr>
            <w:tcW w:w="2869" w:type="dxa"/>
            <w:shd w:val="clear" w:color="auto" w:fill="auto"/>
            <w:noWrap/>
          </w:tcPr>
          <w:p w14:paraId="1325E89F" w14:textId="77777777" w:rsidR="00DD0834" w:rsidRPr="000E0C83" w:rsidRDefault="00DD0834" w:rsidP="003B6997">
            <w:pPr>
              <w:pStyle w:val="BStabletextunbold"/>
              <w:rPr>
                <w:rFonts w:eastAsia="SimSun"/>
                <w:b/>
                <w:bCs w:val="0"/>
              </w:rPr>
            </w:pPr>
            <w:r w:rsidRPr="000E0C83">
              <w:rPr>
                <w:b/>
                <w:bCs w:val="0"/>
              </w:rPr>
              <w:t>Receipts</w:t>
            </w:r>
          </w:p>
        </w:tc>
        <w:tc>
          <w:tcPr>
            <w:tcW w:w="964" w:type="dxa"/>
            <w:shd w:val="clear" w:color="auto" w:fill="auto"/>
          </w:tcPr>
          <w:p w14:paraId="3059DC0D" w14:textId="77777777" w:rsidR="00DD0834"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025BB2B9"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12E40813"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51168277"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6797FD99"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c>
          <w:tcPr>
            <w:tcW w:w="964" w:type="dxa"/>
            <w:shd w:val="clear" w:color="auto" w:fill="auto"/>
            <w:noWrap/>
          </w:tcPr>
          <w:p w14:paraId="4CE8C5C6" w14:textId="77777777" w:rsidR="00DD0834" w:rsidRPr="006D5D15" w:rsidRDefault="00DD0834" w:rsidP="003B6997">
            <w:pPr>
              <w:pStyle w:val="Btablefigureunbold"/>
              <w:rPr>
                <w:rFonts w:eastAsia="SimSun"/>
                <w:color w:val="FFFFFF" w:themeColor="background1"/>
              </w:rPr>
            </w:pPr>
            <w:r w:rsidRPr="00FA07D8">
              <w:rPr>
                <w:rFonts w:cs="Calibri"/>
                <w:color w:val="FFFFFF"/>
                <w:sz w:val="12"/>
                <w:highlight w:val="yellow"/>
              </w:rPr>
              <w:t xml:space="preserve"> </w:t>
            </w:r>
          </w:p>
        </w:tc>
      </w:tr>
      <w:tr w:rsidR="00DD0834" w:rsidRPr="006D5D15" w14:paraId="41D61CC6" w14:textId="77777777" w:rsidTr="003B6997">
        <w:trPr>
          <w:cantSplit/>
          <w:jc w:val="center"/>
        </w:trPr>
        <w:tc>
          <w:tcPr>
            <w:tcW w:w="2869" w:type="dxa"/>
            <w:shd w:val="clear" w:color="auto" w:fill="auto"/>
            <w:noWrap/>
          </w:tcPr>
          <w:p w14:paraId="03BEB084" w14:textId="77777777" w:rsidR="00DD0834" w:rsidRPr="00F25F0C" w:rsidRDefault="00DD0834" w:rsidP="003B6997">
            <w:pPr>
              <w:pStyle w:val="BStabletextunbold"/>
              <w:rPr>
                <w:rFonts w:eastAsia="SimSun"/>
              </w:rPr>
            </w:pPr>
            <w:r w:rsidRPr="00E56520">
              <w:t>Taxes received</w:t>
            </w:r>
          </w:p>
        </w:tc>
        <w:tc>
          <w:tcPr>
            <w:tcW w:w="964" w:type="dxa"/>
            <w:shd w:val="clear" w:color="auto" w:fill="auto"/>
          </w:tcPr>
          <w:p w14:paraId="4586577F" w14:textId="77777777" w:rsidR="00DD0834" w:rsidRPr="00D31EE8" w:rsidRDefault="00DD0834" w:rsidP="003B6997">
            <w:pPr>
              <w:pStyle w:val="Btablefigureunbold"/>
            </w:pPr>
            <w:r w:rsidRPr="00D31EE8">
              <w:t>1,773,547</w:t>
            </w:r>
          </w:p>
        </w:tc>
        <w:tc>
          <w:tcPr>
            <w:tcW w:w="964" w:type="dxa"/>
            <w:shd w:val="clear" w:color="auto" w:fill="auto"/>
            <w:noWrap/>
          </w:tcPr>
          <w:p w14:paraId="4DD78F08" w14:textId="77777777" w:rsidR="00DD0834" w:rsidRPr="00D31EE8" w:rsidRDefault="00DD0834" w:rsidP="003B6997">
            <w:pPr>
              <w:pStyle w:val="Btablefigureunbold"/>
            </w:pPr>
            <w:r w:rsidRPr="00D31EE8">
              <w:t>1,824,427</w:t>
            </w:r>
          </w:p>
        </w:tc>
        <w:tc>
          <w:tcPr>
            <w:tcW w:w="964" w:type="dxa"/>
            <w:shd w:val="clear" w:color="auto" w:fill="auto"/>
            <w:noWrap/>
          </w:tcPr>
          <w:p w14:paraId="61971553" w14:textId="77777777" w:rsidR="00DD0834" w:rsidRPr="00D31EE8" w:rsidRDefault="00DD0834" w:rsidP="003B6997">
            <w:pPr>
              <w:pStyle w:val="Btablefigureunbold"/>
            </w:pPr>
            <w:r w:rsidRPr="00D31EE8">
              <w:t>2,148,971</w:t>
            </w:r>
          </w:p>
        </w:tc>
        <w:tc>
          <w:tcPr>
            <w:tcW w:w="964" w:type="dxa"/>
            <w:shd w:val="clear" w:color="auto" w:fill="auto"/>
            <w:noWrap/>
          </w:tcPr>
          <w:p w14:paraId="7C19EECF" w14:textId="77777777" w:rsidR="00DD0834" w:rsidRPr="00D31EE8" w:rsidRDefault="00DD0834" w:rsidP="003B6997">
            <w:pPr>
              <w:pStyle w:val="Btablefigureunbold"/>
            </w:pPr>
            <w:r w:rsidRPr="00D31EE8">
              <w:t>2,166,972</w:t>
            </w:r>
          </w:p>
        </w:tc>
        <w:tc>
          <w:tcPr>
            <w:tcW w:w="964" w:type="dxa"/>
            <w:shd w:val="clear" w:color="auto" w:fill="auto"/>
            <w:noWrap/>
          </w:tcPr>
          <w:p w14:paraId="09EB7D5A" w14:textId="77777777" w:rsidR="00DD0834" w:rsidRPr="00D31EE8" w:rsidRDefault="00DD0834" w:rsidP="003B6997">
            <w:pPr>
              <w:pStyle w:val="Btablefigureunbold"/>
            </w:pPr>
            <w:r w:rsidRPr="00D31EE8">
              <w:t>2,291,051</w:t>
            </w:r>
          </w:p>
        </w:tc>
        <w:tc>
          <w:tcPr>
            <w:tcW w:w="964" w:type="dxa"/>
            <w:shd w:val="clear" w:color="auto" w:fill="auto"/>
            <w:noWrap/>
          </w:tcPr>
          <w:p w14:paraId="2A34ACCE" w14:textId="77777777" w:rsidR="00DD0834" w:rsidRPr="00D31EE8" w:rsidRDefault="00DD0834" w:rsidP="003B6997">
            <w:pPr>
              <w:pStyle w:val="Btablefigureunbold"/>
            </w:pPr>
            <w:r w:rsidRPr="00D31EE8">
              <w:t>2,406,334</w:t>
            </w:r>
          </w:p>
        </w:tc>
      </w:tr>
      <w:tr w:rsidR="00DD0834" w:rsidRPr="006D5D15" w14:paraId="00375B3E" w14:textId="77777777" w:rsidTr="003B6997">
        <w:trPr>
          <w:cantSplit/>
          <w:jc w:val="center"/>
        </w:trPr>
        <w:tc>
          <w:tcPr>
            <w:tcW w:w="2869" w:type="dxa"/>
            <w:shd w:val="clear" w:color="auto" w:fill="auto"/>
            <w:noWrap/>
          </w:tcPr>
          <w:p w14:paraId="4E1AABC6" w14:textId="77777777" w:rsidR="00DD0834" w:rsidRPr="00F25F0C" w:rsidRDefault="00DD0834" w:rsidP="003B6997">
            <w:pPr>
              <w:pStyle w:val="BStabletextunbold"/>
              <w:rPr>
                <w:rFonts w:eastAsia="SimSun"/>
              </w:rPr>
            </w:pPr>
            <w:r>
              <w:t>S</w:t>
            </w:r>
            <w:r w:rsidRPr="00E56520">
              <w:t>ales of goods and services</w:t>
            </w:r>
            <w:r>
              <w:t xml:space="preserve"> from contracts with customers</w:t>
            </w:r>
          </w:p>
        </w:tc>
        <w:tc>
          <w:tcPr>
            <w:tcW w:w="964" w:type="dxa"/>
            <w:shd w:val="clear" w:color="auto" w:fill="auto"/>
          </w:tcPr>
          <w:p w14:paraId="703CAE95" w14:textId="77777777" w:rsidR="00DD0834" w:rsidRPr="00D31EE8" w:rsidRDefault="00DD0834" w:rsidP="003B6997">
            <w:pPr>
              <w:pStyle w:val="Btablefigureunbold"/>
            </w:pPr>
            <w:r w:rsidRPr="00D31EE8">
              <w:t>1,632,407</w:t>
            </w:r>
          </w:p>
        </w:tc>
        <w:tc>
          <w:tcPr>
            <w:tcW w:w="964" w:type="dxa"/>
            <w:shd w:val="clear" w:color="auto" w:fill="auto"/>
            <w:noWrap/>
          </w:tcPr>
          <w:p w14:paraId="63027A4B" w14:textId="77777777" w:rsidR="00DD0834" w:rsidRPr="00D31EE8" w:rsidRDefault="00DD0834" w:rsidP="003B6997">
            <w:pPr>
              <w:pStyle w:val="Btablefigureunbold"/>
            </w:pPr>
            <w:r w:rsidRPr="00D31EE8">
              <w:t>1,793,888</w:t>
            </w:r>
          </w:p>
        </w:tc>
        <w:tc>
          <w:tcPr>
            <w:tcW w:w="964" w:type="dxa"/>
            <w:shd w:val="clear" w:color="auto" w:fill="auto"/>
            <w:noWrap/>
          </w:tcPr>
          <w:p w14:paraId="711A8C4C" w14:textId="77777777" w:rsidR="00DD0834" w:rsidRPr="00D31EE8" w:rsidRDefault="00DD0834" w:rsidP="003B6997">
            <w:pPr>
              <w:pStyle w:val="Btablefigureunbold"/>
            </w:pPr>
            <w:r w:rsidRPr="00D31EE8">
              <w:t>1,351,214</w:t>
            </w:r>
          </w:p>
        </w:tc>
        <w:tc>
          <w:tcPr>
            <w:tcW w:w="964" w:type="dxa"/>
            <w:shd w:val="clear" w:color="auto" w:fill="auto"/>
            <w:noWrap/>
          </w:tcPr>
          <w:p w14:paraId="228545E2" w14:textId="77777777" w:rsidR="00DD0834" w:rsidRPr="00D31EE8" w:rsidRDefault="00DD0834" w:rsidP="003B6997">
            <w:pPr>
              <w:pStyle w:val="Btablefigureunbold"/>
            </w:pPr>
            <w:r w:rsidRPr="00D31EE8">
              <w:t>1,482,323</w:t>
            </w:r>
          </w:p>
        </w:tc>
        <w:tc>
          <w:tcPr>
            <w:tcW w:w="964" w:type="dxa"/>
            <w:shd w:val="clear" w:color="auto" w:fill="auto"/>
            <w:noWrap/>
          </w:tcPr>
          <w:p w14:paraId="6DD6B5C2" w14:textId="77777777" w:rsidR="00DD0834" w:rsidRPr="00D31EE8" w:rsidRDefault="00DD0834" w:rsidP="003B6997">
            <w:pPr>
              <w:pStyle w:val="Btablefigureunbold"/>
            </w:pPr>
            <w:r w:rsidRPr="00D31EE8">
              <w:t>1,435,003</w:t>
            </w:r>
          </w:p>
        </w:tc>
        <w:tc>
          <w:tcPr>
            <w:tcW w:w="964" w:type="dxa"/>
            <w:shd w:val="clear" w:color="auto" w:fill="auto"/>
            <w:noWrap/>
          </w:tcPr>
          <w:p w14:paraId="6107B854" w14:textId="77777777" w:rsidR="00DD0834" w:rsidRPr="00D31EE8" w:rsidRDefault="00DD0834" w:rsidP="003B6997">
            <w:pPr>
              <w:pStyle w:val="Btablefigureunbold"/>
            </w:pPr>
            <w:r w:rsidRPr="00D31EE8">
              <w:t>1,466,394</w:t>
            </w:r>
          </w:p>
        </w:tc>
      </w:tr>
      <w:tr w:rsidR="00DD0834" w:rsidRPr="006D5D15" w14:paraId="2AA6509E" w14:textId="77777777" w:rsidTr="003B6997">
        <w:trPr>
          <w:cantSplit/>
          <w:jc w:val="center"/>
        </w:trPr>
        <w:tc>
          <w:tcPr>
            <w:tcW w:w="2869" w:type="dxa"/>
            <w:shd w:val="clear" w:color="auto" w:fill="auto"/>
            <w:noWrap/>
          </w:tcPr>
          <w:p w14:paraId="66B3FC23" w14:textId="77777777" w:rsidR="00DD0834" w:rsidRPr="00F25F0C" w:rsidRDefault="00DD0834" w:rsidP="003B6997">
            <w:pPr>
              <w:pStyle w:val="BStabletextunbold"/>
              <w:rPr>
                <w:rFonts w:eastAsia="SimSun"/>
              </w:rPr>
            </w:pPr>
            <w:r w:rsidRPr="00E56520">
              <w:t>Grants</w:t>
            </w:r>
            <w:r>
              <w:t xml:space="preserve"> and contributions</w:t>
            </w:r>
          </w:p>
        </w:tc>
        <w:tc>
          <w:tcPr>
            <w:tcW w:w="964" w:type="dxa"/>
            <w:shd w:val="clear" w:color="auto" w:fill="auto"/>
          </w:tcPr>
          <w:p w14:paraId="21DCC7C6" w14:textId="77777777" w:rsidR="00DD0834" w:rsidRPr="00D31EE8" w:rsidRDefault="00DD0834" w:rsidP="003B6997">
            <w:pPr>
              <w:pStyle w:val="Btablefigureunbold"/>
            </w:pPr>
            <w:r w:rsidRPr="00D31EE8">
              <w:t>2,381,235</w:t>
            </w:r>
          </w:p>
        </w:tc>
        <w:tc>
          <w:tcPr>
            <w:tcW w:w="964" w:type="dxa"/>
            <w:shd w:val="clear" w:color="auto" w:fill="auto"/>
            <w:noWrap/>
          </w:tcPr>
          <w:p w14:paraId="2DE8BEDD" w14:textId="77777777" w:rsidR="00DD0834" w:rsidRPr="00D31EE8" w:rsidRDefault="00DD0834" w:rsidP="003B6997">
            <w:pPr>
              <w:pStyle w:val="Btablefigureunbold"/>
            </w:pPr>
            <w:r w:rsidRPr="00D31EE8">
              <w:t>2,414,628</w:t>
            </w:r>
          </w:p>
        </w:tc>
        <w:tc>
          <w:tcPr>
            <w:tcW w:w="964" w:type="dxa"/>
            <w:shd w:val="clear" w:color="auto" w:fill="auto"/>
            <w:noWrap/>
          </w:tcPr>
          <w:p w14:paraId="54EEE625" w14:textId="77777777" w:rsidR="00DD0834" w:rsidRPr="00D31EE8" w:rsidRDefault="00DD0834" w:rsidP="003B6997">
            <w:pPr>
              <w:pStyle w:val="Btablefigureunbold"/>
            </w:pPr>
            <w:r w:rsidRPr="00D31EE8">
              <w:t>2,774,203</w:t>
            </w:r>
          </w:p>
        </w:tc>
        <w:tc>
          <w:tcPr>
            <w:tcW w:w="964" w:type="dxa"/>
            <w:shd w:val="clear" w:color="auto" w:fill="auto"/>
            <w:noWrap/>
          </w:tcPr>
          <w:p w14:paraId="6C000CAE" w14:textId="77777777" w:rsidR="00DD0834" w:rsidRPr="00D31EE8" w:rsidRDefault="00DD0834" w:rsidP="003B6997">
            <w:pPr>
              <w:pStyle w:val="Btablefigureunbold"/>
            </w:pPr>
            <w:r w:rsidRPr="00D31EE8">
              <w:t>2,744,843</w:t>
            </w:r>
          </w:p>
        </w:tc>
        <w:tc>
          <w:tcPr>
            <w:tcW w:w="964" w:type="dxa"/>
            <w:shd w:val="clear" w:color="auto" w:fill="auto"/>
            <w:noWrap/>
          </w:tcPr>
          <w:p w14:paraId="58F356FC" w14:textId="77777777" w:rsidR="00DD0834" w:rsidRPr="00D31EE8" w:rsidRDefault="00DD0834" w:rsidP="003B6997">
            <w:pPr>
              <w:pStyle w:val="Btablefigureunbold"/>
            </w:pPr>
            <w:r w:rsidRPr="00D31EE8">
              <w:t>2,873,463</w:t>
            </w:r>
          </w:p>
        </w:tc>
        <w:tc>
          <w:tcPr>
            <w:tcW w:w="964" w:type="dxa"/>
            <w:shd w:val="clear" w:color="auto" w:fill="auto"/>
            <w:noWrap/>
          </w:tcPr>
          <w:p w14:paraId="0A5CF16B" w14:textId="77777777" w:rsidR="00DD0834" w:rsidRPr="00D31EE8" w:rsidRDefault="00DD0834" w:rsidP="003B6997">
            <w:pPr>
              <w:pStyle w:val="Btablefigureunbold"/>
            </w:pPr>
            <w:r w:rsidRPr="00D31EE8">
              <w:t>2,867,790</w:t>
            </w:r>
          </w:p>
        </w:tc>
      </w:tr>
      <w:tr w:rsidR="00DD0834" w:rsidRPr="006D5D15" w14:paraId="10A60FCA" w14:textId="77777777" w:rsidTr="003B6997">
        <w:trPr>
          <w:cantSplit/>
          <w:jc w:val="center"/>
        </w:trPr>
        <w:tc>
          <w:tcPr>
            <w:tcW w:w="2869" w:type="dxa"/>
            <w:shd w:val="clear" w:color="auto" w:fill="auto"/>
            <w:noWrap/>
          </w:tcPr>
          <w:p w14:paraId="496F8076" w14:textId="77777777" w:rsidR="00DD0834" w:rsidRPr="00B02825" w:rsidRDefault="00DD0834" w:rsidP="003B6997">
            <w:pPr>
              <w:pStyle w:val="BStabletextunbold"/>
              <w:rPr>
                <w:rFonts w:eastAsia="SimSun"/>
              </w:rPr>
            </w:pPr>
            <w:r w:rsidRPr="00B02825">
              <w:t>Investment receipts</w:t>
            </w:r>
          </w:p>
        </w:tc>
        <w:tc>
          <w:tcPr>
            <w:tcW w:w="964" w:type="dxa"/>
            <w:shd w:val="clear" w:color="auto" w:fill="auto"/>
          </w:tcPr>
          <w:p w14:paraId="559FF825" w14:textId="77777777" w:rsidR="00DD0834" w:rsidRPr="00D31EE8" w:rsidRDefault="00DD0834" w:rsidP="003B6997">
            <w:pPr>
              <w:pStyle w:val="Btablefigureunbold"/>
            </w:pPr>
            <w:r w:rsidRPr="00D31EE8">
              <w:t>167,529</w:t>
            </w:r>
          </w:p>
        </w:tc>
        <w:tc>
          <w:tcPr>
            <w:tcW w:w="964" w:type="dxa"/>
            <w:shd w:val="clear" w:color="auto" w:fill="auto"/>
            <w:noWrap/>
          </w:tcPr>
          <w:p w14:paraId="74FF9601" w14:textId="77777777" w:rsidR="00DD0834" w:rsidRPr="00D31EE8" w:rsidRDefault="00DD0834" w:rsidP="003B6997">
            <w:pPr>
              <w:pStyle w:val="Btablefigureunbold"/>
            </w:pPr>
            <w:r w:rsidRPr="00D31EE8">
              <w:t>214,951</w:t>
            </w:r>
          </w:p>
        </w:tc>
        <w:tc>
          <w:tcPr>
            <w:tcW w:w="964" w:type="dxa"/>
            <w:shd w:val="clear" w:color="auto" w:fill="auto"/>
            <w:noWrap/>
          </w:tcPr>
          <w:p w14:paraId="0C2A9A27" w14:textId="77777777" w:rsidR="00DD0834" w:rsidRPr="00D31EE8" w:rsidRDefault="00DD0834" w:rsidP="003B6997">
            <w:pPr>
              <w:pStyle w:val="Btablefigureunbold"/>
            </w:pPr>
            <w:r w:rsidRPr="00D31EE8">
              <w:t>182,380</w:t>
            </w:r>
          </w:p>
        </w:tc>
        <w:tc>
          <w:tcPr>
            <w:tcW w:w="964" w:type="dxa"/>
            <w:shd w:val="clear" w:color="auto" w:fill="auto"/>
            <w:noWrap/>
          </w:tcPr>
          <w:p w14:paraId="59689253" w14:textId="77777777" w:rsidR="00DD0834" w:rsidRPr="00D31EE8" w:rsidRDefault="00DD0834" w:rsidP="003B6997">
            <w:pPr>
              <w:pStyle w:val="Btablefigureunbold"/>
            </w:pPr>
            <w:r w:rsidRPr="00D31EE8">
              <w:t>199,620</w:t>
            </w:r>
          </w:p>
        </w:tc>
        <w:tc>
          <w:tcPr>
            <w:tcW w:w="964" w:type="dxa"/>
            <w:shd w:val="clear" w:color="auto" w:fill="auto"/>
            <w:noWrap/>
          </w:tcPr>
          <w:p w14:paraId="1BC250EC" w14:textId="77777777" w:rsidR="00DD0834" w:rsidRPr="00D31EE8" w:rsidRDefault="00DD0834" w:rsidP="003B6997">
            <w:pPr>
              <w:pStyle w:val="Btablefigureunbold"/>
            </w:pPr>
            <w:r w:rsidRPr="00D31EE8">
              <w:t>205,934</w:t>
            </w:r>
          </w:p>
        </w:tc>
        <w:tc>
          <w:tcPr>
            <w:tcW w:w="964" w:type="dxa"/>
            <w:shd w:val="clear" w:color="auto" w:fill="auto"/>
            <w:noWrap/>
          </w:tcPr>
          <w:p w14:paraId="08A72E40" w14:textId="77777777" w:rsidR="00DD0834" w:rsidRPr="00D31EE8" w:rsidRDefault="00DD0834" w:rsidP="003B6997">
            <w:pPr>
              <w:pStyle w:val="Btablefigureunbold"/>
            </w:pPr>
            <w:r w:rsidRPr="00D31EE8">
              <w:t>217,438</w:t>
            </w:r>
          </w:p>
        </w:tc>
      </w:tr>
      <w:tr w:rsidR="00DD0834" w:rsidRPr="006D5D15" w14:paraId="5EA896C3" w14:textId="77777777" w:rsidTr="003B6997">
        <w:trPr>
          <w:cantSplit/>
          <w:jc w:val="center"/>
        </w:trPr>
        <w:tc>
          <w:tcPr>
            <w:tcW w:w="2869" w:type="dxa"/>
            <w:shd w:val="clear" w:color="auto" w:fill="auto"/>
            <w:noWrap/>
          </w:tcPr>
          <w:p w14:paraId="4DB8773F" w14:textId="77777777" w:rsidR="00DD0834" w:rsidRPr="00F25F0C" w:rsidRDefault="00DD0834" w:rsidP="003B6997">
            <w:pPr>
              <w:pStyle w:val="BStabletextunbold"/>
              <w:rPr>
                <w:rFonts w:eastAsia="SimSun"/>
              </w:rPr>
            </w:pPr>
            <w:r w:rsidRPr="00E56520">
              <w:t>Other receipts</w:t>
            </w:r>
          </w:p>
        </w:tc>
        <w:tc>
          <w:tcPr>
            <w:tcW w:w="964" w:type="dxa"/>
            <w:shd w:val="clear" w:color="auto" w:fill="auto"/>
          </w:tcPr>
          <w:p w14:paraId="38C394F0" w14:textId="77777777" w:rsidR="00DD0834" w:rsidRPr="00D31EE8" w:rsidRDefault="00DD0834" w:rsidP="003B6997">
            <w:pPr>
              <w:pStyle w:val="Btablefigureunbold"/>
            </w:pPr>
            <w:r w:rsidRPr="00D31EE8">
              <w:t>432,496</w:t>
            </w:r>
          </w:p>
        </w:tc>
        <w:tc>
          <w:tcPr>
            <w:tcW w:w="964" w:type="dxa"/>
            <w:shd w:val="clear" w:color="auto" w:fill="auto"/>
            <w:noWrap/>
          </w:tcPr>
          <w:p w14:paraId="423587FD" w14:textId="77777777" w:rsidR="00DD0834" w:rsidRPr="00D31EE8" w:rsidRDefault="00DD0834" w:rsidP="003B6997">
            <w:pPr>
              <w:pStyle w:val="Btablefigureunbold"/>
            </w:pPr>
            <w:r w:rsidRPr="00D31EE8">
              <w:t>602,639</w:t>
            </w:r>
          </w:p>
        </w:tc>
        <w:tc>
          <w:tcPr>
            <w:tcW w:w="964" w:type="dxa"/>
            <w:shd w:val="clear" w:color="auto" w:fill="auto"/>
            <w:noWrap/>
          </w:tcPr>
          <w:p w14:paraId="1AAED5B8" w14:textId="77777777" w:rsidR="00DD0834" w:rsidRPr="00D31EE8" w:rsidRDefault="00DD0834" w:rsidP="003B6997">
            <w:pPr>
              <w:pStyle w:val="Btablefigureunbold"/>
            </w:pPr>
            <w:r w:rsidRPr="00D31EE8">
              <w:t>518,517</w:t>
            </w:r>
          </w:p>
        </w:tc>
        <w:tc>
          <w:tcPr>
            <w:tcW w:w="964" w:type="dxa"/>
            <w:shd w:val="clear" w:color="auto" w:fill="auto"/>
            <w:noWrap/>
          </w:tcPr>
          <w:p w14:paraId="4049C165" w14:textId="77777777" w:rsidR="00DD0834" w:rsidRPr="00D31EE8" w:rsidRDefault="00DD0834" w:rsidP="003B6997">
            <w:pPr>
              <w:pStyle w:val="Btablefigureunbold"/>
            </w:pPr>
            <w:r w:rsidRPr="00D31EE8">
              <w:t>463,278</w:t>
            </w:r>
          </w:p>
        </w:tc>
        <w:tc>
          <w:tcPr>
            <w:tcW w:w="964" w:type="dxa"/>
            <w:shd w:val="clear" w:color="auto" w:fill="auto"/>
            <w:noWrap/>
          </w:tcPr>
          <w:p w14:paraId="688D1974" w14:textId="77777777" w:rsidR="00DD0834" w:rsidRPr="00D31EE8" w:rsidRDefault="00DD0834" w:rsidP="003B6997">
            <w:pPr>
              <w:pStyle w:val="Btablefigureunbold"/>
            </w:pPr>
            <w:r w:rsidRPr="00D31EE8">
              <w:t>460,634</w:t>
            </w:r>
          </w:p>
        </w:tc>
        <w:tc>
          <w:tcPr>
            <w:tcW w:w="964" w:type="dxa"/>
            <w:shd w:val="clear" w:color="auto" w:fill="auto"/>
            <w:noWrap/>
          </w:tcPr>
          <w:p w14:paraId="08166836" w14:textId="77777777" w:rsidR="00DD0834" w:rsidRPr="00D31EE8" w:rsidRDefault="00DD0834" w:rsidP="003B6997">
            <w:pPr>
              <w:pStyle w:val="Btablefigureunbold"/>
            </w:pPr>
            <w:r w:rsidRPr="00D31EE8">
              <w:t>508,912</w:t>
            </w:r>
          </w:p>
        </w:tc>
      </w:tr>
      <w:tr w:rsidR="00DD0834" w:rsidRPr="000E0C83" w14:paraId="6DEC59FA" w14:textId="77777777" w:rsidTr="003B6997">
        <w:trPr>
          <w:cantSplit/>
          <w:jc w:val="center"/>
        </w:trPr>
        <w:tc>
          <w:tcPr>
            <w:tcW w:w="2869" w:type="dxa"/>
            <w:shd w:val="clear" w:color="auto" w:fill="auto"/>
            <w:noWrap/>
          </w:tcPr>
          <w:p w14:paraId="04ACAB0F" w14:textId="77777777" w:rsidR="00DD0834" w:rsidRPr="000E0C83" w:rsidRDefault="00DD0834" w:rsidP="003B6997">
            <w:pPr>
              <w:pStyle w:val="BStabletextbold"/>
              <w:rPr>
                <w:rFonts w:eastAsia="SimSun"/>
                <w:iCs/>
              </w:rPr>
            </w:pPr>
            <w:r w:rsidRPr="000E0C83">
              <w:rPr>
                <w:iCs/>
              </w:rPr>
              <w:t>Total</w:t>
            </w:r>
            <w:r w:rsidRPr="000E0C83">
              <w:rPr>
                <w:iCs/>
                <w:lang w:val="en-US"/>
              </w:rPr>
              <w:t xml:space="preserve"> receipts</w:t>
            </w:r>
            <w:r w:rsidRPr="000E0C83">
              <w:rPr>
                <w:iCs/>
              </w:rPr>
              <w:t xml:space="preserve"> from operating activities</w:t>
            </w:r>
          </w:p>
        </w:tc>
        <w:tc>
          <w:tcPr>
            <w:tcW w:w="964" w:type="dxa"/>
            <w:shd w:val="clear" w:color="auto" w:fill="auto"/>
          </w:tcPr>
          <w:p w14:paraId="6F2B075C" w14:textId="77777777" w:rsidR="00DD0834" w:rsidRPr="000E0C83" w:rsidRDefault="00DD0834" w:rsidP="003B6997">
            <w:pPr>
              <w:pStyle w:val="BTablefigureBold"/>
              <w:rPr>
                <w:bCs/>
                <w:iCs/>
                <w:szCs w:val="20"/>
              </w:rPr>
            </w:pPr>
            <w:r w:rsidRPr="000E0C83">
              <w:rPr>
                <w:bCs/>
                <w:iCs/>
                <w:szCs w:val="20"/>
              </w:rPr>
              <w:t>6,387,214</w:t>
            </w:r>
          </w:p>
        </w:tc>
        <w:tc>
          <w:tcPr>
            <w:tcW w:w="964" w:type="dxa"/>
            <w:shd w:val="clear" w:color="auto" w:fill="auto"/>
            <w:noWrap/>
          </w:tcPr>
          <w:p w14:paraId="60C63501" w14:textId="77777777" w:rsidR="00DD0834" w:rsidRPr="000E0C83" w:rsidRDefault="00DD0834" w:rsidP="003B6997">
            <w:pPr>
              <w:pStyle w:val="BTablefigureBold"/>
              <w:rPr>
                <w:bCs/>
                <w:iCs/>
                <w:szCs w:val="20"/>
              </w:rPr>
            </w:pPr>
            <w:r w:rsidRPr="000E0C83">
              <w:rPr>
                <w:bCs/>
                <w:iCs/>
                <w:szCs w:val="20"/>
              </w:rPr>
              <w:t>6,850,533</w:t>
            </w:r>
          </w:p>
        </w:tc>
        <w:tc>
          <w:tcPr>
            <w:tcW w:w="964" w:type="dxa"/>
            <w:shd w:val="clear" w:color="auto" w:fill="auto"/>
            <w:noWrap/>
          </w:tcPr>
          <w:p w14:paraId="2EEC4673" w14:textId="77777777" w:rsidR="00DD0834" w:rsidRPr="000E0C83" w:rsidRDefault="00DD0834" w:rsidP="003B6997">
            <w:pPr>
              <w:pStyle w:val="BTablefigureBold"/>
              <w:rPr>
                <w:bCs/>
                <w:iCs/>
                <w:szCs w:val="20"/>
              </w:rPr>
            </w:pPr>
            <w:r w:rsidRPr="000E0C83">
              <w:rPr>
                <w:rFonts w:cs="Calibri"/>
                <w:bCs/>
                <w:iCs/>
                <w:szCs w:val="20"/>
              </w:rPr>
              <w:t>6,975,285</w:t>
            </w:r>
          </w:p>
        </w:tc>
        <w:tc>
          <w:tcPr>
            <w:tcW w:w="964" w:type="dxa"/>
            <w:shd w:val="clear" w:color="auto" w:fill="auto"/>
            <w:noWrap/>
          </w:tcPr>
          <w:p w14:paraId="39577083" w14:textId="77777777" w:rsidR="00DD0834" w:rsidRPr="000E0C83" w:rsidRDefault="00DD0834" w:rsidP="003B6997">
            <w:pPr>
              <w:pStyle w:val="BTablefigureBold"/>
              <w:rPr>
                <w:bCs/>
                <w:iCs/>
                <w:szCs w:val="20"/>
              </w:rPr>
            </w:pPr>
            <w:r w:rsidRPr="000E0C83">
              <w:rPr>
                <w:rFonts w:cs="Calibri"/>
                <w:bCs/>
                <w:iCs/>
                <w:szCs w:val="20"/>
              </w:rPr>
              <w:t>7,057,036</w:t>
            </w:r>
          </w:p>
        </w:tc>
        <w:tc>
          <w:tcPr>
            <w:tcW w:w="964" w:type="dxa"/>
            <w:shd w:val="clear" w:color="auto" w:fill="auto"/>
            <w:noWrap/>
          </w:tcPr>
          <w:p w14:paraId="6A84170C" w14:textId="77777777" w:rsidR="00DD0834" w:rsidRPr="000E0C83" w:rsidRDefault="00DD0834" w:rsidP="003B6997">
            <w:pPr>
              <w:pStyle w:val="BTablefigureBold"/>
              <w:rPr>
                <w:bCs/>
                <w:iCs/>
                <w:szCs w:val="20"/>
              </w:rPr>
            </w:pPr>
            <w:r w:rsidRPr="000E0C83">
              <w:rPr>
                <w:rFonts w:cs="Calibri"/>
                <w:bCs/>
                <w:iCs/>
                <w:szCs w:val="20"/>
              </w:rPr>
              <w:t>7,266,085</w:t>
            </w:r>
          </w:p>
        </w:tc>
        <w:tc>
          <w:tcPr>
            <w:tcW w:w="964" w:type="dxa"/>
            <w:shd w:val="clear" w:color="auto" w:fill="auto"/>
            <w:noWrap/>
          </w:tcPr>
          <w:p w14:paraId="68750FCF" w14:textId="77777777" w:rsidR="00DD0834" w:rsidRPr="000E0C83" w:rsidRDefault="00DD0834" w:rsidP="003B6997">
            <w:pPr>
              <w:pStyle w:val="BTablefigureBold"/>
              <w:rPr>
                <w:bCs/>
                <w:iCs/>
                <w:szCs w:val="20"/>
              </w:rPr>
            </w:pPr>
            <w:r w:rsidRPr="000E0C83">
              <w:rPr>
                <w:rFonts w:cs="Calibri"/>
                <w:bCs/>
                <w:iCs/>
                <w:szCs w:val="20"/>
              </w:rPr>
              <w:t>7,466,868</w:t>
            </w:r>
          </w:p>
        </w:tc>
      </w:tr>
      <w:tr w:rsidR="00DD0834" w:rsidRPr="006D5D15" w14:paraId="46D6D33B" w14:textId="77777777" w:rsidTr="003B6997">
        <w:trPr>
          <w:cantSplit/>
          <w:jc w:val="center"/>
        </w:trPr>
        <w:tc>
          <w:tcPr>
            <w:tcW w:w="2869" w:type="dxa"/>
            <w:shd w:val="clear" w:color="auto" w:fill="auto"/>
            <w:noWrap/>
            <w:vAlign w:val="bottom"/>
          </w:tcPr>
          <w:p w14:paraId="1F44CD99" w14:textId="77777777" w:rsidR="00DD0834" w:rsidRPr="000E0C83" w:rsidRDefault="00DD0834" w:rsidP="003B6997">
            <w:pPr>
              <w:pStyle w:val="BStabletextunbold"/>
              <w:rPr>
                <w:rFonts w:eastAsia="SimSun"/>
                <w:iCs/>
              </w:rPr>
            </w:pPr>
            <w:r w:rsidRPr="000E0C83">
              <w:rPr>
                <w:b/>
                <w:iCs/>
                <w:lang w:val="en-US"/>
              </w:rPr>
              <w:t>P</w:t>
            </w:r>
            <w:r w:rsidRPr="000E0C83">
              <w:rPr>
                <w:b/>
                <w:iCs/>
                <w:lang w:val="x-none"/>
              </w:rPr>
              <w:t xml:space="preserve">ayments </w:t>
            </w:r>
          </w:p>
        </w:tc>
        <w:tc>
          <w:tcPr>
            <w:tcW w:w="964" w:type="dxa"/>
            <w:shd w:val="clear" w:color="auto" w:fill="auto"/>
          </w:tcPr>
          <w:p w14:paraId="2D903123" w14:textId="77777777" w:rsidR="00DD0834" w:rsidRDefault="00DD0834" w:rsidP="003B6997">
            <w:pPr>
              <w:pStyle w:val="Btablefigureunbold"/>
              <w:rPr>
                <w:rFonts w:eastAsia="SimSun"/>
                <w:color w:val="FFFFFF" w:themeColor="background1"/>
              </w:rPr>
            </w:pPr>
          </w:p>
        </w:tc>
        <w:tc>
          <w:tcPr>
            <w:tcW w:w="964" w:type="dxa"/>
            <w:shd w:val="clear" w:color="auto" w:fill="auto"/>
            <w:noWrap/>
          </w:tcPr>
          <w:p w14:paraId="0FB9DB4B"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681E7BF9"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7486F458"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7858BB97"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7F219826" w14:textId="77777777" w:rsidR="00DD0834" w:rsidRPr="006D5D15" w:rsidRDefault="00DD0834" w:rsidP="003B6997">
            <w:pPr>
              <w:pStyle w:val="Btablefigureunbold"/>
              <w:rPr>
                <w:rFonts w:eastAsia="SimSun"/>
                <w:color w:val="FFFFFF" w:themeColor="background1"/>
              </w:rPr>
            </w:pPr>
          </w:p>
        </w:tc>
      </w:tr>
      <w:tr w:rsidR="00DD0834" w:rsidRPr="006D5D15" w14:paraId="46166A24" w14:textId="77777777" w:rsidTr="003B6997">
        <w:trPr>
          <w:cantSplit/>
          <w:jc w:val="center"/>
        </w:trPr>
        <w:tc>
          <w:tcPr>
            <w:tcW w:w="2869" w:type="dxa"/>
            <w:shd w:val="clear" w:color="auto" w:fill="auto"/>
            <w:noWrap/>
          </w:tcPr>
          <w:p w14:paraId="3A7247CA" w14:textId="77777777" w:rsidR="00DD0834" w:rsidRPr="00F25F0C" w:rsidRDefault="00DD0834" w:rsidP="003B6997">
            <w:pPr>
              <w:pStyle w:val="BStabletextunbold"/>
              <w:rPr>
                <w:rFonts w:eastAsia="SimSun"/>
              </w:rPr>
            </w:pPr>
            <w:r w:rsidRPr="00E56520">
              <w:t>Payments for employees</w:t>
            </w:r>
          </w:p>
        </w:tc>
        <w:tc>
          <w:tcPr>
            <w:tcW w:w="964" w:type="dxa"/>
            <w:shd w:val="clear" w:color="auto" w:fill="auto"/>
          </w:tcPr>
          <w:p w14:paraId="4D38E38E" w14:textId="77777777" w:rsidR="00DD0834" w:rsidRPr="000E0C83" w:rsidRDefault="00DD0834" w:rsidP="003B6997">
            <w:pPr>
              <w:pStyle w:val="Btablefigureunbold"/>
            </w:pPr>
            <w:r w:rsidRPr="000E0C83">
              <w:t>-3,066,485</w:t>
            </w:r>
          </w:p>
        </w:tc>
        <w:tc>
          <w:tcPr>
            <w:tcW w:w="964" w:type="dxa"/>
            <w:shd w:val="clear" w:color="auto" w:fill="auto"/>
            <w:noWrap/>
          </w:tcPr>
          <w:p w14:paraId="1A7E89E4" w14:textId="77777777" w:rsidR="00DD0834" w:rsidRPr="000E0C83" w:rsidRDefault="00DD0834" w:rsidP="003B6997">
            <w:pPr>
              <w:pStyle w:val="Btablefigureunbold"/>
            </w:pPr>
            <w:r w:rsidRPr="000E0C83">
              <w:t>-3,175,358</w:t>
            </w:r>
          </w:p>
        </w:tc>
        <w:tc>
          <w:tcPr>
            <w:tcW w:w="964" w:type="dxa"/>
            <w:shd w:val="clear" w:color="auto" w:fill="auto"/>
            <w:noWrap/>
          </w:tcPr>
          <w:p w14:paraId="037CB85D" w14:textId="77777777" w:rsidR="00DD0834" w:rsidRPr="000E0C83" w:rsidRDefault="00DD0834" w:rsidP="003B6997">
            <w:pPr>
              <w:pStyle w:val="Btablefigureunbold"/>
            </w:pPr>
            <w:r w:rsidRPr="000E0C83">
              <w:t>-3,273,234</w:t>
            </w:r>
          </w:p>
        </w:tc>
        <w:tc>
          <w:tcPr>
            <w:tcW w:w="964" w:type="dxa"/>
            <w:shd w:val="clear" w:color="auto" w:fill="auto"/>
            <w:noWrap/>
          </w:tcPr>
          <w:p w14:paraId="62B974AA" w14:textId="77777777" w:rsidR="00DD0834" w:rsidRPr="000E0C83" w:rsidRDefault="00DD0834" w:rsidP="003B6997">
            <w:pPr>
              <w:pStyle w:val="Btablefigureunbold"/>
            </w:pPr>
            <w:r w:rsidRPr="000E0C83">
              <w:t>-3,271,826</w:t>
            </w:r>
          </w:p>
        </w:tc>
        <w:tc>
          <w:tcPr>
            <w:tcW w:w="964" w:type="dxa"/>
            <w:shd w:val="clear" w:color="auto" w:fill="auto"/>
            <w:noWrap/>
          </w:tcPr>
          <w:p w14:paraId="7FBD9664" w14:textId="77777777" w:rsidR="00DD0834" w:rsidRPr="000E0C83" w:rsidRDefault="00DD0834" w:rsidP="003B6997">
            <w:pPr>
              <w:pStyle w:val="Btablefigureunbold"/>
            </w:pPr>
            <w:r w:rsidRPr="000E0C83">
              <w:t>-3,368,355</w:t>
            </w:r>
          </w:p>
        </w:tc>
        <w:tc>
          <w:tcPr>
            <w:tcW w:w="964" w:type="dxa"/>
            <w:shd w:val="clear" w:color="auto" w:fill="auto"/>
            <w:noWrap/>
          </w:tcPr>
          <w:p w14:paraId="273F651A" w14:textId="77777777" w:rsidR="00DD0834" w:rsidRPr="000E0C83" w:rsidRDefault="00DD0834" w:rsidP="003B6997">
            <w:pPr>
              <w:pStyle w:val="Btablefigureunbold"/>
            </w:pPr>
            <w:r w:rsidRPr="000E0C83">
              <w:t>-3,470,535</w:t>
            </w:r>
          </w:p>
        </w:tc>
      </w:tr>
      <w:tr w:rsidR="00DD0834" w:rsidRPr="006D5D15" w14:paraId="03845EEB" w14:textId="77777777" w:rsidTr="003B6997">
        <w:trPr>
          <w:cantSplit/>
          <w:jc w:val="center"/>
        </w:trPr>
        <w:tc>
          <w:tcPr>
            <w:tcW w:w="2869" w:type="dxa"/>
            <w:shd w:val="clear" w:color="auto" w:fill="auto"/>
            <w:noWrap/>
          </w:tcPr>
          <w:p w14:paraId="64F2BCCB" w14:textId="77777777" w:rsidR="00DD0834" w:rsidRPr="00F25F0C" w:rsidRDefault="00DD0834" w:rsidP="003B6997">
            <w:pPr>
              <w:pStyle w:val="BStabletextunbold"/>
              <w:rPr>
                <w:rFonts w:eastAsia="SimSun"/>
              </w:rPr>
            </w:pPr>
            <w:r w:rsidRPr="00E56520">
              <w:t>Payments for goods and services</w:t>
            </w:r>
          </w:p>
        </w:tc>
        <w:tc>
          <w:tcPr>
            <w:tcW w:w="964" w:type="dxa"/>
            <w:shd w:val="clear" w:color="auto" w:fill="auto"/>
          </w:tcPr>
          <w:p w14:paraId="4F41B028" w14:textId="77777777" w:rsidR="00DD0834" w:rsidRPr="000E0C83" w:rsidRDefault="00DD0834" w:rsidP="003B6997">
            <w:pPr>
              <w:pStyle w:val="Btablefigureunbold"/>
            </w:pPr>
            <w:r w:rsidRPr="000E0C83">
              <w:t>-1,618,771</w:t>
            </w:r>
          </w:p>
        </w:tc>
        <w:tc>
          <w:tcPr>
            <w:tcW w:w="964" w:type="dxa"/>
            <w:shd w:val="clear" w:color="auto" w:fill="auto"/>
            <w:noWrap/>
          </w:tcPr>
          <w:p w14:paraId="260FC467" w14:textId="77777777" w:rsidR="00DD0834" w:rsidRPr="000E0C83" w:rsidRDefault="00DD0834" w:rsidP="003B6997">
            <w:pPr>
              <w:pStyle w:val="Btablefigureunbold"/>
            </w:pPr>
            <w:r w:rsidRPr="000E0C83">
              <w:t>-1,286,015</w:t>
            </w:r>
          </w:p>
        </w:tc>
        <w:tc>
          <w:tcPr>
            <w:tcW w:w="964" w:type="dxa"/>
            <w:shd w:val="clear" w:color="auto" w:fill="auto"/>
            <w:noWrap/>
          </w:tcPr>
          <w:p w14:paraId="45EE5D0A" w14:textId="77777777" w:rsidR="00DD0834" w:rsidRPr="000E0C83" w:rsidRDefault="00DD0834" w:rsidP="003B6997">
            <w:pPr>
              <w:pStyle w:val="Btablefigureunbold"/>
            </w:pPr>
            <w:r w:rsidRPr="000E0C83">
              <w:t>-1,805,673</w:t>
            </w:r>
          </w:p>
        </w:tc>
        <w:tc>
          <w:tcPr>
            <w:tcW w:w="964" w:type="dxa"/>
            <w:shd w:val="clear" w:color="auto" w:fill="auto"/>
            <w:noWrap/>
          </w:tcPr>
          <w:p w14:paraId="64741642" w14:textId="77777777" w:rsidR="00DD0834" w:rsidRPr="000E0C83" w:rsidRDefault="00DD0834" w:rsidP="003B6997">
            <w:pPr>
              <w:pStyle w:val="Btablefigureunbold"/>
            </w:pPr>
            <w:r w:rsidRPr="000E0C83">
              <w:t>-1,772,809</w:t>
            </w:r>
          </w:p>
        </w:tc>
        <w:tc>
          <w:tcPr>
            <w:tcW w:w="964" w:type="dxa"/>
            <w:shd w:val="clear" w:color="auto" w:fill="auto"/>
            <w:noWrap/>
          </w:tcPr>
          <w:p w14:paraId="5486C2B5" w14:textId="77777777" w:rsidR="00DD0834" w:rsidRPr="000E0C83" w:rsidRDefault="00DD0834" w:rsidP="003B6997">
            <w:pPr>
              <w:pStyle w:val="Btablefigureunbold"/>
            </w:pPr>
            <w:r w:rsidRPr="000E0C83">
              <w:t>-1,814,613</w:t>
            </w:r>
          </w:p>
        </w:tc>
        <w:tc>
          <w:tcPr>
            <w:tcW w:w="964" w:type="dxa"/>
            <w:shd w:val="clear" w:color="auto" w:fill="auto"/>
            <w:noWrap/>
          </w:tcPr>
          <w:p w14:paraId="50E886B3" w14:textId="77777777" w:rsidR="00DD0834" w:rsidRPr="000E0C83" w:rsidRDefault="00DD0834" w:rsidP="003B6997">
            <w:pPr>
              <w:pStyle w:val="Btablefigureunbold"/>
            </w:pPr>
            <w:r w:rsidRPr="000E0C83">
              <w:t>-1,863,896</w:t>
            </w:r>
          </w:p>
        </w:tc>
      </w:tr>
      <w:tr w:rsidR="00DD0834" w:rsidRPr="006D5D15" w14:paraId="6DB9B31F" w14:textId="77777777" w:rsidTr="003B6997">
        <w:trPr>
          <w:cantSplit/>
          <w:jc w:val="center"/>
        </w:trPr>
        <w:tc>
          <w:tcPr>
            <w:tcW w:w="2869" w:type="dxa"/>
            <w:shd w:val="clear" w:color="auto" w:fill="auto"/>
            <w:noWrap/>
          </w:tcPr>
          <w:p w14:paraId="083A0157" w14:textId="77777777" w:rsidR="00DD0834" w:rsidRPr="00F25F0C" w:rsidRDefault="00DD0834" w:rsidP="003B6997">
            <w:pPr>
              <w:pStyle w:val="BStabletextunbold"/>
              <w:rPr>
                <w:rFonts w:eastAsia="SimSun"/>
              </w:rPr>
            </w:pPr>
            <w:r w:rsidRPr="00E56520">
              <w:t>Grants/subsidies paid</w:t>
            </w:r>
          </w:p>
        </w:tc>
        <w:tc>
          <w:tcPr>
            <w:tcW w:w="964" w:type="dxa"/>
            <w:shd w:val="clear" w:color="auto" w:fill="auto"/>
          </w:tcPr>
          <w:p w14:paraId="34522146" w14:textId="77777777" w:rsidR="00DD0834" w:rsidRPr="000E0C83" w:rsidRDefault="00DD0834" w:rsidP="003B6997">
            <w:pPr>
              <w:pStyle w:val="Btablefigureunbold"/>
            </w:pPr>
            <w:r w:rsidRPr="000E0C83">
              <w:t>-1,169,214</w:t>
            </w:r>
          </w:p>
        </w:tc>
        <w:tc>
          <w:tcPr>
            <w:tcW w:w="964" w:type="dxa"/>
            <w:shd w:val="clear" w:color="auto" w:fill="auto"/>
            <w:noWrap/>
          </w:tcPr>
          <w:p w14:paraId="4DD35CE3" w14:textId="77777777" w:rsidR="00DD0834" w:rsidRPr="000E0C83" w:rsidRDefault="00DD0834" w:rsidP="003B6997">
            <w:pPr>
              <w:pStyle w:val="Btablefigureunbold"/>
            </w:pPr>
            <w:r w:rsidRPr="000E0C83">
              <w:t>-1,099,642</w:t>
            </w:r>
          </w:p>
        </w:tc>
        <w:tc>
          <w:tcPr>
            <w:tcW w:w="964" w:type="dxa"/>
            <w:shd w:val="clear" w:color="auto" w:fill="auto"/>
            <w:noWrap/>
          </w:tcPr>
          <w:p w14:paraId="409F3DDE" w14:textId="77777777" w:rsidR="00DD0834" w:rsidRPr="000E0C83" w:rsidRDefault="00DD0834" w:rsidP="003B6997">
            <w:pPr>
              <w:pStyle w:val="Btablefigureunbold"/>
            </w:pPr>
            <w:r w:rsidRPr="000E0C83">
              <w:t>-1,496,423</w:t>
            </w:r>
          </w:p>
        </w:tc>
        <w:tc>
          <w:tcPr>
            <w:tcW w:w="964" w:type="dxa"/>
            <w:shd w:val="clear" w:color="auto" w:fill="auto"/>
            <w:noWrap/>
          </w:tcPr>
          <w:p w14:paraId="3815397A" w14:textId="77777777" w:rsidR="00DD0834" w:rsidRPr="000E0C83" w:rsidRDefault="00DD0834" w:rsidP="003B6997">
            <w:pPr>
              <w:pStyle w:val="Btablefigureunbold"/>
            </w:pPr>
            <w:r w:rsidRPr="000E0C83">
              <w:t>-1,142,491</w:t>
            </w:r>
          </w:p>
        </w:tc>
        <w:tc>
          <w:tcPr>
            <w:tcW w:w="964" w:type="dxa"/>
            <w:shd w:val="clear" w:color="auto" w:fill="auto"/>
            <w:noWrap/>
          </w:tcPr>
          <w:p w14:paraId="214AD045" w14:textId="77777777" w:rsidR="00DD0834" w:rsidRPr="000E0C83" w:rsidRDefault="00DD0834" w:rsidP="003B6997">
            <w:pPr>
              <w:pStyle w:val="Btablefigureunbold"/>
            </w:pPr>
            <w:r w:rsidRPr="000E0C83">
              <w:t>-1,128,743</w:t>
            </w:r>
          </w:p>
        </w:tc>
        <w:tc>
          <w:tcPr>
            <w:tcW w:w="964" w:type="dxa"/>
            <w:shd w:val="clear" w:color="auto" w:fill="auto"/>
            <w:noWrap/>
          </w:tcPr>
          <w:p w14:paraId="4E249D77" w14:textId="77777777" w:rsidR="00DD0834" w:rsidRPr="000E0C83" w:rsidRDefault="00DD0834" w:rsidP="003B6997">
            <w:pPr>
              <w:pStyle w:val="Btablefigureunbold"/>
            </w:pPr>
            <w:r w:rsidRPr="000E0C83">
              <w:t>-1,158,766</w:t>
            </w:r>
          </w:p>
        </w:tc>
      </w:tr>
      <w:tr w:rsidR="00DD0834" w:rsidRPr="006D5D15" w14:paraId="07757917" w14:textId="77777777" w:rsidTr="003B6997">
        <w:trPr>
          <w:cantSplit/>
          <w:jc w:val="center"/>
        </w:trPr>
        <w:tc>
          <w:tcPr>
            <w:tcW w:w="2869" w:type="dxa"/>
            <w:shd w:val="clear" w:color="auto" w:fill="auto"/>
            <w:noWrap/>
          </w:tcPr>
          <w:p w14:paraId="0819A4C0" w14:textId="77777777" w:rsidR="00DD0834" w:rsidRPr="00F25F0C" w:rsidRDefault="00DD0834" w:rsidP="003B6997">
            <w:pPr>
              <w:pStyle w:val="BStabletextunbold"/>
              <w:rPr>
                <w:rFonts w:eastAsia="SimSun"/>
              </w:rPr>
            </w:pPr>
            <w:r w:rsidRPr="00E56520">
              <w:t>Interest paid</w:t>
            </w:r>
          </w:p>
        </w:tc>
        <w:tc>
          <w:tcPr>
            <w:tcW w:w="964" w:type="dxa"/>
            <w:shd w:val="clear" w:color="auto" w:fill="auto"/>
          </w:tcPr>
          <w:p w14:paraId="5AD21039" w14:textId="77777777" w:rsidR="00DD0834" w:rsidRPr="000E0C83" w:rsidRDefault="00DD0834" w:rsidP="003B6997">
            <w:pPr>
              <w:pStyle w:val="Btablefigureunbold"/>
            </w:pPr>
            <w:r w:rsidRPr="000E0C83">
              <w:t>-216,651</w:t>
            </w:r>
          </w:p>
        </w:tc>
        <w:tc>
          <w:tcPr>
            <w:tcW w:w="964" w:type="dxa"/>
            <w:shd w:val="clear" w:color="auto" w:fill="auto"/>
            <w:noWrap/>
          </w:tcPr>
          <w:p w14:paraId="47C53692" w14:textId="77777777" w:rsidR="00DD0834" w:rsidRPr="000E0C83" w:rsidRDefault="00DD0834" w:rsidP="003B6997">
            <w:pPr>
              <w:pStyle w:val="Btablefigureunbold"/>
            </w:pPr>
            <w:r w:rsidRPr="000E0C83">
              <w:t>-208,149</w:t>
            </w:r>
          </w:p>
        </w:tc>
        <w:tc>
          <w:tcPr>
            <w:tcW w:w="964" w:type="dxa"/>
            <w:shd w:val="clear" w:color="auto" w:fill="auto"/>
            <w:noWrap/>
          </w:tcPr>
          <w:p w14:paraId="73CB4D09" w14:textId="77777777" w:rsidR="00DD0834" w:rsidRPr="000E0C83" w:rsidRDefault="00DD0834" w:rsidP="003B6997">
            <w:pPr>
              <w:pStyle w:val="Btablefigureunbold"/>
            </w:pPr>
            <w:r w:rsidRPr="000E0C83">
              <w:t>-248,831</w:t>
            </w:r>
          </w:p>
        </w:tc>
        <w:tc>
          <w:tcPr>
            <w:tcW w:w="964" w:type="dxa"/>
            <w:shd w:val="clear" w:color="auto" w:fill="auto"/>
            <w:noWrap/>
          </w:tcPr>
          <w:p w14:paraId="595755D8" w14:textId="77777777" w:rsidR="00DD0834" w:rsidRPr="000E0C83" w:rsidRDefault="00DD0834" w:rsidP="003B6997">
            <w:pPr>
              <w:pStyle w:val="Btablefigureunbold"/>
            </w:pPr>
            <w:r w:rsidRPr="000E0C83">
              <w:t>-265,343</w:t>
            </w:r>
          </w:p>
        </w:tc>
        <w:tc>
          <w:tcPr>
            <w:tcW w:w="964" w:type="dxa"/>
            <w:shd w:val="clear" w:color="auto" w:fill="auto"/>
            <w:noWrap/>
          </w:tcPr>
          <w:p w14:paraId="068517D0" w14:textId="77777777" w:rsidR="00DD0834" w:rsidRPr="000E0C83" w:rsidRDefault="00DD0834" w:rsidP="003B6997">
            <w:pPr>
              <w:pStyle w:val="Btablefigureunbold"/>
            </w:pPr>
            <w:r w:rsidRPr="000E0C83">
              <w:t>-297,320</w:t>
            </w:r>
          </w:p>
        </w:tc>
        <w:tc>
          <w:tcPr>
            <w:tcW w:w="964" w:type="dxa"/>
            <w:shd w:val="clear" w:color="auto" w:fill="auto"/>
            <w:noWrap/>
          </w:tcPr>
          <w:p w14:paraId="3AEF3FF5" w14:textId="77777777" w:rsidR="00DD0834" w:rsidRPr="000E0C83" w:rsidRDefault="00DD0834" w:rsidP="003B6997">
            <w:pPr>
              <w:pStyle w:val="Btablefigureunbold"/>
            </w:pPr>
            <w:r w:rsidRPr="000E0C83">
              <w:t>-324,487</w:t>
            </w:r>
          </w:p>
        </w:tc>
      </w:tr>
      <w:tr w:rsidR="00DD0834" w:rsidRPr="006D5D15" w14:paraId="5025B51E" w14:textId="77777777" w:rsidTr="003B6997">
        <w:trPr>
          <w:cantSplit/>
          <w:jc w:val="center"/>
        </w:trPr>
        <w:tc>
          <w:tcPr>
            <w:tcW w:w="2869" w:type="dxa"/>
            <w:shd w:val="clear" w:color="auto" w:fill="auto"/>
            <w:noWrap/>
          </w:tcPr>
          <w:p w14:paraId="40B32E17" w14:textId="77777777" w:rsidR="00DD0834" w:rsidRPr="00F25F0C" w:rsidRDefault="00DD0834" w:rsidP="003B6997">
            <w:pPr>
              <w:pStyle w:val="BStabletextunbold"/>
              <w:rPr>
                <w:rFonts w:eastAsia="SimSun"/>
              </w:rPr>
            </w:pPr>
            <w:r w:rsidRPr="00E56520">
              <w:t>Other payments</w:t>
            </w:r>
          </w:p>
        </w:tc>
        <w:tc>
          <w:tcPr>
            <w:tcW w:w="964" w:type="dxa"/>
            <w:shd w:val="clear" w:color="auto" w:fill="auto"/>
          </w:tcPr>
          <w:p w14:paraId="34FBEDD1" w14:textId="77777777" w:rsidR="00DD0834" w:rsidRPr="000E0C83" w:rsidRDefault="00DD0834" w:rsidP="003B6997">
            <w:pPr>
              <w:pStyle w:val="Btablefigureunbold"/>
            </w:pPr>
            <w:r w:rsidRPr="000E0C83">
              <w:t>-548,458</w:t>
            </w:r>
          </w:p>
        </w:tc>
        <w:tc>
          <w:tcPr>
            <w:tcW w:w="964" w:type="dxa"/>
            <w:shd w:val="clear" w:color="auto" w:fill="auto"/>
            <w:noWrap/>
          </w:tcPr>
          <w:p w14:paraId="3FDF2D03" w14:textId="77777777" w:rsidR="00DD0834" w:rsidRPr="000E0C83" w:rsidRDefault="00DD0834" w:rsidP="003B6997">
            <w:pPr>
              <w:pStyle w:val="Btablefigureunbold"/>
            </w:pPr>
            <w:r w:rsidRPr="000E0C83">
              <w:t>-671,781</w:t>
            </w:r>
          </w:p>
        </w:tc>
        <w:tc>
          <w:tcPr>
            <w:tcW w:w="964" w:type="dxa"/>
            <w:shd w:val="clear" w:color="auto" w:fill="auto"/>
            <w:noWrap/>
          </w:tcPr>
          <w:p w14:paraId="6FCEADDE" w14:textId="77777777" w:rsidR="00DD0834" w:rsidRPr="000E0C83" w:rsidRDefault="00DD0834" w:rsidP="003B6997">
            <w:pPr>
              <w:pStyle w:val="Btablefigureunbold"/>
            </w:pPr>
            <w:r w:rsidRPr="000E0C83">
              <w:t>-617,178</w:t>
            </w:r>
          </w:p>
        </w:tc>
        <w:tc>
          <w:tcPr>
            <w:tcW w:w="964" w:type="dxa"/>
            <w:shd w:val="clear" w:color="auto" w:fill="auto"/>
            <w:noWrap/>
          </w:tcPr>
          <w:p w14:paraId="66F11F6C" w14:textId="77777777" w:rsidR="00DD0834" w:rsidRPr="000E0C83" w:rsidRDefault="00DD0834" w:rsidP="003B6997">
            <w:pPr>
              <w:pStyle w:val="Btablefigureunbold"/>
            </w:pPr>
            <w:r w:rsidRPr="000E0C83">
              <w:t>-671,863</w:t>
            </w:r>
          </w:p>
        </w:tc>
        <w:tc>
          <w:tcPr>
            <w:tcW w:w="964" w:type="dxa"/>
            <w:shd w:val="clear" w:color="auto" w:fill="auto"/>
            <w:noWrap/>
          </w:tcPr>
          <w:p w14:paraId="4B4F6327" w14:textId="77777777" w:rsidR="00DD0834" w:rsidRPr="000E0C83" w:rsidRDefault="00DD0834" w:rsidP="003B6997">
            <w:pPr>
              <w:pStyle w:val="Btablefigureunbold"/>
            </w:pPr>
            <w:r w:rsidRPr="000E0C83">
              <w:t>-651,919</w:t>
            </w:r>
          </w:p>
        </w:tc>
        <w:tc>
          <w:tcPr>
            <w:tcW w:w="964" w:type="dxa"/>
            <w:shd w:val="clear" w:color="auto" w:fill="auto"/>
            <w:noWrap/>
          </w:tcPr>
          <w:p w14:paraId="3F9B9EBE" w14:textId="77777777" w:rsidR="00DD0834" w:rsidRPr="000E0C83" w:rsidRDefault="00DD0834" w:rsidP="003B6997">
            <w:pPr>
              <w:pStyle w:val="Btablefigureunbold"/>
            </w:pPr>
            <w:r w:rsidRPr="000E0C83">
              <w:t>-639,556</w:t>
            </w:r>
          </w:p>
        </w:tc>
      </w:tr>
      <w:tr w:rsidR="00DD0834" w:rsidRPr="00601709" w14:paraId="72BAEDB9" w14:textId="77777777" w:rsidTr="003B6997">
        <w:trPr>
          <w:cantSplit/>
          <w:jc w:val="center"/>
        </w:trPr>
        <w:tc>
          <w:tcPr>
            <w:tcW w:w="2869" w:type="dxa"/>
            <w:shd w:val="clear" w:color="auto" w:fill="auto"/>
            <w:noWrap/>
          </w:tcPr>
          <w:p w14:paraId="51A20E6C" w14:textId="77777777" w:rsidR="00DD0834" w:rsidRPr="00422A91" w:rsidRDefault="00DD0834" w:rsidP="003B6997">
            <w:pPr>
              <w:pStyle w:val="BStabletextbold"/>
            </w:pPr>
            <w:r w:rsidRPr="00E56520">
              <w:t xml:space="preserve">Total </w:t>
            </w:r>
            <w:r>
              <w:t>payments</w:t>
            </w:r>
            <w:r w:rsidRPr="00E56520">
              <w:t xml:space="preserve"> from operating activities</w:t>
            </w:r>
          </w:p>
        </w:tc>
        <w:tc>
          <w:tcPr>
            <w:tcW w:w="964" w:type="dxa"/>
            <w:shd w:val="clear" w:color="auto" w:fill="auto"/>
          </w:tcPr>
          <w:p w14:paraId="51102CDC" w14:textId="77777777" w:rsidR="00DD0834" w:rsidRPr="000E0C83" w:rsidRDefault="00DD0834" w:rsidP="003B6997">
            <w:pPr>
              <w:pStyle w:val="BTablefigureBold"/>
            </w:pPr>
            <w:r w:rsidRPr="000E0C83">
              <w:t>-6,619,579</w:t>
            </w:r>
          </w:p>
        </w:tc>
        <w:tc>
          <w:tcPr>
            <w:tcW w:w="964" w:type="dxa"/>
            <w:shd w:val="clear" w:color="auto" w:fill="auto"/>
            <w:noWrap/>
          </w:tcPr>
          <w:p w14:paraId="7495D5C6" w14:textId="77777777" w:rsidR="00DD0834" w:rsidRPr="000E0C83" w:rsidRDefault="00DD0834" w:rsidP="003B6997">
            <w:pPr>
              <w:pStyle w:val="BTablefigureBold"/>
            </w:pPr>
            <w:r w:rsidRPr="000E0C83">
              <w:t>-6,440,946</w:t>
            </w:r>
          </w:p>
        </w:tc>
        <w:tc>
          <w:tcPr>
            <w:tcW w:w="964" w:type="dxa"/>
            <w:shd w:val="clear" w:color="auto" w:fill="auto"/>
            <w:noWrap/>
          </w:tcPr>
          <w:p w14:paraId="333715AD" w14:textId="77777777" w:rsidR="00DD0834" w:rsidRPr="000E0C83" w:rsidRDefault="00DD0834" w:rsidP="003B6997">
            <w:pPr>
              <w:pStyle w:val="BTablefigureBold"/>
            </w:pPr>
            <w:r w:rsidRPr="000E0C83">
              <w:t>-7,441,339</w:t>
            </w:r>
          </w:p>
        </w:tc>
        <w:tc>
          <w:tcPr>
            <w:tcW w:w="964" w:type="dxa"/>
            <w:shd w:val="clear" w:color="auto" w:fill="auto"/>
            <w:noWrap/>
          </w:tcPr>
          <w:p w14:paraId="6347545A" w14:textId="77777777" w:rsidR="00DD0834" w:rsidRPr="000E0C83" w:rsidRDefault="00DD0834" w:rsidP="003B6997">
            <w:pPr>
              <w:pStyle w:val="BTablefigureBold"/>
            </w:pPr>
            <w:r w:rsidRPr="000E0C83">
              <w:t>-7,124,332</w:t>
            </w:r>
          </w:p>
        </w:tc>
        <w:tc>
          <w:tcPr>
            <w:tcW w:w="964" w:type="dxa"/>
            <w:shd w:val="clear" w:color="auto" w:fill="auto"/>
            <w:noWrap/>
          </w:tcPr>
          <w:p w14:paraId="427BFDFA" w14:textId="77777777" w:rsidR="00DD0834" w:rsidRPr="000E0C83" w:rsidRDefault="00DD0834" w:rsidP="003B6997">
            <w:pPr>
              <w:pStyle w:val="BTablefigureBold"/>
            </w:pPr>
            <w:r w:rsidRPr="000E0C83">
              <w:t>-7,260,950</w:t>
            </w:r>
          </w:p>
        </w:tc>
        <w:tc>
          <w:tcPr>
            <w:tcW w:w="964" w:type="dxa"/>
            <w:shd w:val="clear" w:color="auto" w:fill="auto"/>
            <w:noWrap/>
          </w:tcPr>
          <w:p w14:paraId="29CB2E46" w14:textId="77777777" w:rsidR="00DD0834" w:rsidRPr="000E0C83" w:rsidRDefault="00DD0834" w:rsidP="003B6997">
            <w:pPr>
              <w:pStyle w:val="BTablefigureBold"/>
            </w:pPr>
            <w:r w:rsidRPr="000E0C83">
              <w:t>-7,457,240</w:t>
            </w:r>
          </w:p>
        </w:tc>
      </w:tr>
      <w:tr w:rsidR="00DD0834" w:rsidRPr="000E0C83" w14:paraId="4E7E3C08" w14:textId="77777777" w:rsidTr="003B6997">
        <w:trPr>
          <w:cantSplit/>
          <w:jc w:val="center"/>
        </w:trPr>
        <w:tc>
          <w:tcPr>
            <w:tcW w:w="2869" w:type="dxa"/>
            <w:shd w:val="clear" w:color="auto" w:fill="auto"/>
            <w:noWrap/>
          </w:tcPr>
          <w:p w14:paraId="083EB830" w14:textId="77777777" w:rsidR="00DD0834" w:rsidRPr="000E0C83" w:rsidRDefault="00DD0834" w:rsidP="003B6997">
            <w:pPr>
              <w:pStyle w:val="BStabletextbold"/>
              <w:rPr>
                <w:color w:val="472D8C"/>
              </w:rPr>
            </w:pPr>
            <w:r w:rsidRPr="000E0C83">
              <w:rPr>
                <w:color w:val="472D8C"/>
              </w:rPr>
              <w:t>Net cash flows from operating activities</w:t>
            </w:r>
          </w:p>
        </w:tc>
        <w:tc>
          <w:tcPr>
            <w:tcW w:w="964" w:type="dxa"/>
            <w:shd w:val="clear" w:color="auto" w:fill="auto"/>
          </w:tcPr>
          <w:p w14:paraId="692CC527" w14:textId="77777777" w:rsidR="00DD0834" w:rsidRPr="000E0C83" w:rsidRDefault="00DD0834" w:rsidP="003B6997">
            <w:pPr>
              <w:pStyle w:val="BStabletextbold"/>
              <w:jc w:val="right"/>
              <w:rPr>
                <w:color w:val="472D8C"/>
              </w:rPr>
            </w:pPr>
            <w:r w:rsidRPr="000E0C83">
              <w:rPr>
                <w:color w:val="472D8C"/>
              </w:rPr>
              <w:t>-232,365</w:t>
            </w:r>
          </w:p>
        </w:tc>
        <w:tc>
          <w:tcPr>
            <w:tcW w:w="964" w:type="dxa"/>
            <w:shd w:val="clear" w:color="auto" w:fill="auto"/>
            <w:noWrap/>
          </w:tcPr>
          <w:p w14:paraId="75946073" w14:textId="77777777" w:rsidR="00DD0834" w:rsidRPr="000E0C83" w:rsidRDefault="00DD0834" w:rsidP="003B6997">
            <w:pPr>
              <w:pStyle w:val="BStabletextbold"/>
              <w:jc w:val="right"/>
              <w:rPr>
                <w:color w:val="472D8C"/>
              </w:rPr>
            </w:pPr>
            <w:r w:rsidRPr="000E0C83">
              <w:rPr>
                <w:color w:val="472D8C"/>
              </w:rPr>
              <w:t>409,587</w:t>
            </w:r>
          </w:p>
        </w:tc>
        <w:tc>
          <w:tcPr>
            <w:tcW w:w="964" w:type="dxa"/>
            <w:shd w:val="clear" w:color="auto" w:fill="auto"/>
            <w:noWrap/>
          </w:tcPr>
          <w:p w14:paraId="58452292" w14:textId="77777777" w:rsidR="00DD0834" w:rsidRPr="000E0C83" w:rsidRDefault="00DD0834" w:rsidP="003B6997">
            <w:pPr>
              <w:pStyle w:val="BStabletextbold"/>
              <w:jc w:val="right"/>
              <w:rPr>
                <w:color w:val="472D8C"/>
              </w:rPr>
            </w:pPr>
            <w:r w:rsidRPr="000E0C83">
              <w:rPr>
                <w:color w:val="472D8C"/>
              </w:rPr>
              <w:t>-466,055</w:t>
            </w:r>
          </w:p>
        </w:tc>
        <w:tc>
          <w:tcPr>
            <w:tcW w:w="964" w:type="dxa"/>
            <w:shd w:val="clear" w:color="auto" w:fill="auto"/>
            <w:noWrap/>
          </w:tcPr>
          <w:p w14:paraId="6F4C328C" w14:textId="77777777" w:rsidR="00DD0834" w:rsidRPr="000E0C83" w:rsidRDefault="00DD0834" w:rsidP="003B6997">
            <w:pPr>
              <w:pStyle w:val="BStabletextbold"/>
              <w:jc w:val="right"/>
              <w:rPr>
                <w:color w:val="472D8C"/>
              </w:rPr>
            </w:pPr>
            <w:r w:rsidRPr="000E0C83">
              <w:rPr>
                <w:color w:val="472D8C"/>
              </w:rPr>
              <w:t>-67,296</w:t>
            </w:r>
          </w:p>
        </w:tc>
        <w:tc>
          <w:tcPr>
            <w:tcW w:w="964" w:type="dxa"/>
            <w:shd w:val="clear" w:color="auto" w:fill="auto"/>
            <w:noWrap/>
          </w:tcPr>
          <w:p w14:paraId="593C1A32" w14:textId="77777777" w:rsidR="00DD0834" w:rsidRPr="000E0C83" w:rsidRDefault="00DD0834" w:rsidP="003B6997">
            <w:pPr>
              <w:pStyle w:val="BStabletextbold"/>
              <w:jc w:val="right"/>
              <w:rPr>
                <w:color w:val="472D8C"/>
              </w:rPr>
            </w:pPr>
            <w:r w:rsidRPr="000E0C83">
              <w:rPr>
                <w:color w:val="472D8C"/>
              </w:rPr>
              <w:t>5,135</w:t>
            </w:r>
          </w:p>
        </w:tc>
        <w:tc>
          <w:tcPr>
            <w:tcW w:w="964" w:type="dxa"/>
            <w:shd w:val="clear" w:color="auto" w:fill="auto"/>
            <w:noWrap/>
          </w:tcPr>
          <w:p w14:paraId="71C5DB62" w14:textId="77777777" w:rsidR="00DD0834" w:rsidRPr="000E0C83" w:rsidRDefault="00DD0834" w:rsidP="003B6997">
            <w:pPr>
              <w:pStyle w:val="BStabletextbold"/>
              <w:jc w:val="right"/>
              <w:rPr>
                <w:color w:val="472D8C"/>
              </w:rPr>
            </w:pPr>
            <w:r w:rsidRPr="000E0C83">
              <w:rPr>
                <w:color w:val="472D8C"/>
              </w:rPr>
              <w:t>9,628</w:t>
            </w:r>
          </w:p>
        </w:tc>
      </w:tr>
      <w:tr w:rsidR="00DD0834" w:rsidRPr="006D5D15" w14:paraId="28BE3762" w14:textId="77777777" w:rsidTr="003B6997">
        <w:trPr>
          <w:cantSplit/>
          <w:jc w:val="center"/>
        </w:trPr>
        <w:tc>
          <w:tcPr>
            <w:tcW w:w="2869" w:type="dxa"/>
            <w:shd w:val="clear" w:color="auto" w:fill="auto"/>
            <w:noWrap/>
            <w:vAlign w:val="bottom"/>
          </w:tcPr>
          <w:p w14:paraId="5BD1DB71" w14:textId="77777777" w:rsidR="00DD0834" w:rsidRPr="00422A91" w:rsidRDefault="00DD0834" w:rsidP="003B6997">
            <w:pPr>
              <w:pStyle w:val="BStabletextbold"/>
            </w:pPr>
            <w:r w:rsidRPr="00E56520">
              <w:t>Cash flows from investing activities</w:t>
            </w:r>
          </w:p>
        </w:tc>
        <w:tc>
          <w:tcPr>
            <w:tcW w:w="964" w:type="dxa"/>
            <w:shd w:val="clear" w:color="auto" w:fill="auto"/>
          </w:tcPr>
          <w:p w14:paraId="1CDC6468" w14:textId="77777777" w:rsidR="00DD0834" w:rsidRDefault="00DD0834" w:rsidP="003B6997">
            <w:pPr>
              <w:pStyle w:val="Btablefigureunbold"/>
              <w:rPr>
                <w:rFonts w:eastAsia="SimSun"/>
                <w:color w:val="FFFFFF" w:themeColor="background1"/>
              </w:rPr>
            </w:pPr>
          </w:p>
        </w:tc>
        <w:tc>
          <w:tcPr>
            <w:tcW w:w="964" w:type="dxa"/>
            <w:shd w:val="clear" w:color="auto" w:fill="auto"/>
            <w:noWrap/>
          </w:tcPr>
          <w:p w14:paraId="4E04A1E7"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22C3F6A2"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52D964EA"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79014A75"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1926875" w14:textId="77777777" w:rsidR="00DD0834" w:rsidRPr="006D5D15" w:rsidRDefault="00DD0834" w:rsidP="003B6997">
            <w:pPr>
              <w:pStyle w:val="Btablefigureunbold"/>
              <w:rPr>
                <w:rFonts w:eastAsia="SimSun"/>
                <w:color w:val="FFFFFF" w:themeColor="background1"/>
              </w:rPr>
            </w:pPr>
          </w:p>
        </w:tc>
      </w:tr>
      <w:tr w:rsidR="00DD0834" w:rsidRPr="006D5D15" w14:paraId="01A7D589" w14:textId="77777777" w:rsidTr="003B6997">
        <w:trPr>
          <w:cantSplit/>
          <w:jc w:val="center"/>
        </w:trPr>
        <w:tc>
          <w:tcPr>
            <w:tcW w:w="2869" w:type="dxa"/>
            <w:shd w:val="clear" w:color="auto" w:fill="auto"/>
            <w:noWrap/>
          </w:tcPr>
          <w:p w14:paraId="245F6D24" w14:textId="77777777" w:rsidR="00DD0834" w:rsidRPr="00422A91" w:rsidRDefault="00DD0834" w:rsidP="003B6997">
            <w:pPr>
              <w:pStyle w:val="BStabletextbold"/>
            </w:pPr>
            <w:r w:rsidRPr="00E56520">
              <w:t>Cash flows from investments in non-financial assets</w:t>
            </w:r>
          </w:p>
        </w:tc>
        <w:tc>
          <w:tcPr>
            <w:tcW w:w="964" w:type="dxa"/>
            <w:shd w:val="clear" w:color="auto" w:fill="auto"/>
          </w:tcPr>
          <w:p w14:paraId="7BEABCF1" w14:textId="77777777" w:rsidR="00DD0834" w:rsidRDefault="00DD0834" w:rsidP="003B6997">
            <w:pPr>
              <w:pStyle w:val="Btablefigureunbold"/>
              <w:rPr>
                <w:rFonts w:eastAsia="SimSun"/>
                <w:color w:val="FFFFFF" w:themeColor="background1"/>
              </w:rPr>
            </w:pPr>
          </w:p>
        </w:tc>
        <w:tc>
          <w:tcPr>
            <w:tcW w:w="964" w:type="dxa"/>
            <w:shd w:val="clear" w:color="auto" w:fill="auto"/>
            <w:noWrap/>
          </w:tcPr>
          <w:p w14:paraId="775F5299"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1EF0AAE6"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11D90203"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D2EF95E"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1E21618B" w14:textId="77777777" w:rsidR="00DD0834" w:rsidRPr="006D5D15" w:rsidRDefault="00DD0834" w:rsidP="003B6997">
            <w:pPr>
              <w:pStyle w:val="Btablefigureunbold"/>
              <w:rPr>
                <w:rFonts w:eastAsia="SimSun"/>
                <w:color w:val="FFFFFF" w:themeColor="background1"/>
              </w:rPr>
            </w:pPr>
          </w:p>
        </w:tc>
      </w:tr>
      <w:tr w:rsidR="00DD0834" w:rsidRPr="006D5D15" w14:paraId="582E1461" w14:textId="77777777" w:rsidTr="003B6997">
        <w:trPr>
          <w:cantSplit/>
          <w:jc w:val="center"/>
        </w:trPr>
        <w:tc>
          <w:tcPr>
            <w:tcW w:w="2869" w:type="dxa"/>
            <w:shd w:val="clear" w:color="auto" w:fill="auto"/>
            <w:noWrap/>
          </w:tcPr>
          <w:p w14:paraId="1EB7998D" w14:textId="77777777" w:rsidR="00DD0834" w:rsidRPr="00F25F0C" w:rsidRDefault="00DD0834" w:rsidP="003B6997">
            <w:pPr>
              <w:pStyle w:val="BStabletextunbold"/>
              <w:rPr>
                <w:rFonts w:eastAsia="SimSun"/>
              </w:rPr>
            </w:pPr>
            <w:r w:rsidRPr="00E56520">
              <w:t>Sales of non-financial assets</w:t>
            </w:r>
          </w:p>
        </w:tc>
        <w:tc>
          <w:tcPr>
            <w:tcW w:w="964" w:type="dxa"/>
            <w:shd w:val="clear" w:color="auto" w:fill="auto"/>
          </w:tcPr>
          <w:p w14:paraId="048A7338" w14:textId="77777777" w:rsidR="00DD0834" w:rsidRPr="000E0C83" w:rsidRDefault="00DD0834" w:rsidP="003B6997">
            <w:pPr>
              <w:pStyle w:val="Btablefigureunbold"/>
            </w:pPr>
            <w:r w:rsidRPr="000E0C83">
              <w:t>173,853</w:t>
            </w:r>
          </w:p>
        </w:tc>
        <w:tc>
          <w:tcPr>
            <w:tcW w:w="964" w:type="dxa"/>
            <w:shd w:val="clear" w:color="auto" w:fill="auto"/>
            <w:noWrap/>
          </w:tcPr>
          <w:p w14:paraId="4E72E4C7" w14:textId="77777777" w:rsidR="00DD0834" w:rsidRPr="000E0C83" w:rsidRDefault="00DD0834" w:rsidP="003B6997">
            <w:pPr>
              <w:pStyle w:val="Btablefigureunbold"/>
            </w:pPr>
            <w:r w:rsidRPr="000E0C83">
              <w:t>192,108</w:t>
            </w:r>
          </w:p>
        </w:tc>
        <w:tc>
          <w:tcPr>
            <w:tcW w:w="964" w:type="dxa"/>
            <w:shd w:val="clear" w:color="auto" w:fill="auto"/>
            <w:noWrap/>
          </w:tcPr>
          <w:p w14:paraId="28BF75AE" w14:textId="77777777" w:rsidR="00DD0834" w:rsidRPr="000E0C83" w:rsidRDefault="00DD0834" w:rsidP="003B6997">
            <w:pPr>
              <w:pStyle w:val="Btablefigureunbold"/>
            </w:pPr>
            <w:r w:rsidRPr="000E0C83">
              <w:t>176,957</w:t>
            </w:r>
          </w:p>
        </w:tc>
        <w:tc>
          <w:tcPr>
            <w:tcW w:w="964" w:type="dxa"/>
            <w:shd w:val="clear" w:color="auto" w:fill="auto"/>
            <w:noWrap/>
          </w:tcPr>
          <w:p w14:paraId="54126C07" w14:textId="77777777" w:rsidR="00DD0834" w:rsidRPr="000E0C83" w:rsidRDefault="00DD0834" w:rsidP="003B6997">
            <w:pPr>
              <w:pStyle w:val="Btablefigureunbold"/>
            </w:pPr>
            <w:r w:rsidRPr="000E0C83">
              <w:t>226,843</w:t>
            </w:r>
          </w:p>
        </w:tc>
        <w:tc>
          <w:tcPr>
            <w:tcW w:w="964" w:type="dxa"/>
            <w:shd w:val="clear" w:color="auto" w:fill="auto"/>
            <w:noWrap/>
          </w:tcPr>
          <w:p w14:paraId="61C71DE2" w14:textId="77777777" w:rsidR="00DD0834" w:rsidRPr="000E0C83" w:rsidRDefault="00DD0834" w:rsidP="003B6997">
            <w:pPr>
              <w:pStyle w:val="Btablefigureunbold"/>
            </w:pPr>
            <w:r w:rsidRPr="000E0C83">
              <w:t>188,370</w:t>
            </w:r>
          </w:p>
        </w:tc>
        <w:tc>
          <w:tcPr>
            <w:tcW w:w="964" w:type="dxa"/>
            <w:shd w:val="clear" w:color="auto" w:fill="auto"/>
            <w:noWrap/>
          </w:tcPr>
          <w:p w14:paraId="2ED26309" w14:textId="77777777" w:rsidR="00DD0834" w:rsidRPr="000E0C83" w:rsidRDefault="00DD0834" w:rsidP="003B6997">
            <w:pPr>
              <w:pStyle w:val="Btablefigureunbold"/>
            </w:pPr>
            <w:r w:rsidRPr="000E0C83">
              <w:t>74,022</w:t>
            </w:r>
          </w:p>
        </w:tc>
      </w:tr>
      <w:tr w:rsidR="00DD0834" w:rsidRPr="006D5D15" w14:paraId="0D80D193" w14:textId="77777777" w:rsidTr="003B6997">
        <w:trPr>
          <w:cantSplit/>
          <w:jc w:val="center"/>
        </w:trPr>
        <w:tc>
          <w:tcPr>
            <w:tcW w:w="2869" w:type="dxa"/>
            <w:shd w:val="clear" w:color="auto" w:fill="auto"/>
            <w:noWrap/>
          </w:tcPr>
          <w:p w14:paraId="7AD0AB58" w14:textId="77777777" w:rsidR="00DD0834" w:rsidRPr="00F25F0C" w:rsidRDefault="00DD0834" w:rsidP="003B6997">
            <w:pPr>
              <w:pStyle w:val="BStabletextunbold"/>
              <w:rPr>
                <w:rFonts w:eastAsia="SimSun"/>
              </w:rPr>
            </w:pPr>
            <w:r w:rsidRPr="00E56520">
              <w:t>Payments for non-financial assets</w:t>
            </w:r>
          </w:p>
        </w:tc>
        <w:tc>
          <w:tcPr>
            <w:tcW w:w="964" w:type="dxa"/>
            <w:shd w:val="clear" w:color="auto" w:fill="auto"/>
          </w:tcPr>
          <w:p w14:paraId="324A5491" w14:textId="77777777" w:rsidR="00DD0834" w:rsidRPr="000E0C83" w:rsidRDefault="00DD0834" w:rsidP="003B6997">
            <w:pPr>
              <w:pStyle w:val="Btablefigureunbold"/>
            </w:pPr>
            <w:r w:rsidRPr="000E0C83">
              <w:t>-1,274,120</w:t>
            </w:r>
          </w:p>
        </w:tc>
        <w:tc>
          <w:tcPr>
            <w:tcW w:w="964" w:type="dxa"/>
            <w:shd w:val="clear" w:color="auto" w:fill="auto"/>
            <w:noWrap/>
          </w:tcPr>
          <w:p w14:paraId="689B136B" w14:textId="77777777" w:rsidR="00DD0834" w:rsidRPr="000E0C83" w:rsidRDefault="00DD0834" w:rsidP="003B6997">
            <w:pPr>
              <w:pStyle w:val="Btablefigureunbold"/>
            </w:pPr>
            <w:r w:rsidRPr="000E0C83">
              <w:t>-866,331</w:t>
            </w:r>
          </w:p>
        </w:tc>
        <w:tc>
          <w:tcPr>
            <w:tcW w:w="964" w:type="dxa"/>
            <w:shd w:val="clear" w:color="auto" w:fill="auto"/>
            <w:noWrap/>
          </w:tcPr>
          <w:p w14:paraId="2044DA6C" w14:textId="77777777" w:rsidR="00DD0834" w:rsidRPr="000E0C83" w:rsidRDefault="00DD0834" w:rsidP="003B6997">
            <w:pPr>
              <w:pStyle w:val="Btablefigureunbold"/>
            </w:pPr>
            <w:r w:rsidRPr="000E0C83">
              <w:t>-1,372,111</w:t>
            </w:r>
          </w:p>
        </w:tc>
        <w:tc>
          <w:tcPr>
            <w:tcW w:w="964" w:type="dxa"/>
            <w:shd w:val="clear" w:color="auto" w:fill="auto"/>
            <w:noWrap/>
          </w:tcPr>
          <w:p w14:paraId="0C7C1FF4" w14:textId="77777777" w:rsidR="00DD0834" w:rsidRPr="000E0C83" w:rsidRDefault="00DD0834" w:rsidP="003B6997">
            <w:pPr>
              <w:pStyle w:val="Btablefigureunbold"/>
            </w:pPr>
            <w:r w:rsidRPr="000E0C83">
              <w:t>-1,100,557</w:t>
            </w:r>
          </w:p>
        </w:tc>
        <w:tc>
          <w:tcPr>
            <w:tcW w:w="964" w:type="dxa"/>
            <w:shd w:val="clear" w:color="auto" w:fill="auto"/>
            <w:noWrap/>
          </w:tcPr>
          <w:p w14:paraId="10E28865" w14:textId="77777777" w:rsidR="00DD0834" w:rsidRPr="000E0C83" w:rsidRDefault="00DD0834" w:rsidP="003B6997">
            <w:pPr>
              <w:pStyle w:val="Btablefigureunbold"/>
            </w:pPr>
            <w:r w:rsidRPr="000E0C83">
              <w:t>-1,359,568</w:t>
            </w:r>
          </w:p>
        </w:tc>
        <w:tc>
          <w:tcPr>
            <w:tcW w:w="964" w:type="dxa"/>
            <w:shd w:val="clear" w:color="auto" w:fill="auto"/>
            <w:noWrap/>
          </w:tcPr>
          <w:p w14:paraId="5D97395F" w14:textId="77777777" w:rsidR="00DD0834" w:rsidRPr="000E0C83" w:rsidRDefault="00DD0834" w:rsidP="003B6997">
            <w:pPr>
              <w:pStyle w:val="Btablefigureunbold"/>
            </w:pPr>
            <w:r w:rsidRPr="000E0C83">
              <w:t>-1,303,124</w:t>
            </w:r>
          </w:p>
        </w:tc>
      </w:tr>
      <w:tr w:rsidR="00DD0834" w:rsidRPr="000E0C83" w14:paraId="16071940" w14:textId="77777777" w:rsidTr="003B6997">
        <w:trPr>
          <w:cantSplit/>
          <w:jc w:val="center"/>
        </w:trPr>
        <w:tc>
          <w:tcPr>
            <w:tcW w:w="2869" w:type="dxa"/>
            <w:shd w:val="clear" w:color="auto" w:fill="auto"/>
            <w:noWrap/>
          </w:tcPr>
          <w:p w14:paraId="21F4A2A3" w14:textId="77777777" w:rsidR="00DD0834" w:rsidRPr="000E0C83" w:rsidRDefault="00DD0834" w:rsidP="003B6997">
            <w:pPr>
              <w:pStyle w:val="BStabletextbold"/>
              <w:rPr>
                <w:color w:val="472D8C"/>
              </w:rPr>
            </w:pPr>
            <w:r w:rsidRPr="000E0C83">
              <w:rPr>
                <w:color w:val="472D8C"/>
              </w:rPr>
              <w:t>Net cash flows from investments in non-financial assets</w:t>
            </w:r>
          </w:p>
        </w:tc>
        <w:tc>
          <w:tcPr>
            <w:tcW w:w="964" w:type="dxa"/>
            <w:shd w:val="clear" w:color="auto" w:fill="auto"/>
          </w:tcPr>
          <w:p w14:paraId="410FFD77" w14:textId="77777777" w:rsidR="00DD0834" w:rsidRPr="00601709" w:rsidRDefault="00DD0834" w:rsidP="003B6997">
            <w:pPr>
              <w:pStyle w:val="BStabletextbold"/>
              <w:jc w:val="right"/>
              <w:rPr>
                <w:color w:val="472D8C"/>
              </w:rPr>
            </w:pPr>
            <w:r w:rsidRPr="000E0C83">
              <w:rPr>
                <w:color w:val="472D8C"/>
              </w:rPr>
              <w:t>-1,100,267</w:t>
            </w:r>
          </w:p>
        </w:tc>
        <w:tc>
          <w:tcPr>
            <w:tcW w:w="964" w:type="dxa"/>
            <w:shd w:val="clear" w:color="auto" w:fill="auto"/>
            <w:noWrap/>
          </w:tcPr>
          <w:p w14:paraId="1D7B8531" w14:textId="77777777" w:rsidR="00DD0834" w:rsidRPr="00601709" w:rsidRDefault="00DD0834" w:rsidP="003B6997">
            <w:pPr>
              <w:pStyle w:val="BStabletextbold"/>
              <w:jc w:val="right"/>
              <w:rPr>
                <w:color w:val="472D8C"/>
              </w:rPr>
            </w:pPr>
            <w:r w:rsidRPr="000E0C83">
              <w:rPr>
                <w:color w:val="472D8C"/>
              </w:rPr>
              <w:t>-674,223</w:t>
            </w:r>
          </w:p>
        </w:tc>
        <w:tc>
          <w:tcPr>
            <w:tcW w:w="964" w:type="dxa"/>
            <w:shd w:val="clear" w:color="auto" w:fill="auto"/>
            <w:noWrap/>
          </w:tcPr>
          <w:p w14:paraId="26B15CCE" w14:textId="77777777" w:rsidR="00DD0834" w:rsidRPr="00601709" w:rsidRDefault="00DD0834" w:rsidP="003B6997">
            <w:pPr>
              <w:pStyle w:val="BStabletextbold"/>
              <w:jc w:val="right"/>
              <w:rPr>
                <w:color w:val="472D8C"/>
              </w:rPr>
            </w:pPr>
            <w:r w:rsidRPr="000E0C83">
              <w:rPr>
                <w:color w:val="472D8C"/>
              </w:rPr>
              <w:t>-1,195,154</w:t>
            </w:r>
          </w:p>
        </w:tc>
        <w:tc>
          <w:tcPr>
            <w:tcW w:w="964" w:type="dxa"/>
            <w:shd w:val="clear" w:color="auto" w:fill="auto"/>
            <w:noWrap/>
          </w:tcPr>
          <w:p w14:paraId="7D42008E" w14:textId="77777777" w:rsidR="00DD0834" w:rsidRPr="00601709" w:rsidRDefault="00DD0834" w:rsidP="003B6997">
            <w:pPr>
              <w:pStyle w:val="BStabletextbold"/>
              <w:jc w:val="right"/>
              <w:rPr>
                <w:color w:val="472D8C"/>
              </w:rPr>
            </w:pPr>
            <w:r w:rsidRPr="000E0C83">
              <w:rPr>
                <w:color w:val="472D8C"/>
              </w:rPr>
              <w:t>-873,714</w:t>
            </w:r>
          </w:p>
        </w:tc>
        <w:tc>
          <w:tcPr>
            <w:tcW w:w="964" w:type="dxa"/>
            <w:shd w:val="clear" w:color="auto" w:fill="auto"/>
            <w:noWrap/>
          </w:tcPr>
          <w:p w14:paraId="681C50DA" w14:textId="77777777" w:rsidR="00DD0834" w:rsidRPr="00601709" w:rsidRDefault="00DD0834" w:rsidP="003B6997">
            <w:pPr>
              <w:pStyle w:val="BStabletextbold"/>
              <w:jc w:val="right"/>
              <w:rPr>
                <w:color w:val="472D8C"/>
              </w:rPr>
            </w:pPr>
            <w:r w:rsidRPr="000E0C83">
              <w:rPr>
                <w:color w:val="472D8C"/>
              </w:rPr>
              <w:t>-1,171,198</w:t>
            </w:r>
          </w:p>
        </w:tc>
        <w:tc>
          <w:tcPr>
            <w:tcW w:w="964" w:type="dxa"/>
            <w:shd w:val="clear" w:color="auto" w:fill="auto"/>
            <w:noWrap/>
          </w:tcPr>
          <w:p w14:paraId="2156B269" w14:textId="77777777" w:rsidR="00DD0834" w:rsidRPr="00601709" w:rsidRDefault="00DD0834" w:rsidP="003B6997">
            <w:pPr>
              <w:pStyle w:val="BStabletextbold"/>
              <w:jc w:val="right"/>
              <w:rPr>
                <w:color w:val="472D8C"/>
              </w:rPr>
            </w:pPr>
            <w:r w:rsidRPr="000E0C83">
              <w:rPr>
                <w:color w:val="472D8C"/>
              </w:rPr>
              <w:t>-1,229,102</w:t>
            </w:r>
          </w:p>
        </w:tc>
      </w:tr>
      <w:tr w:rsidR="00DD0834" w:rsidRPr="006D5D15" w14:paraId="7C3763CC" w14:textId="77777777" w:rsidTr="003B6997">
        <w:trPr>
          <w:cantSplit/>
          <w:jc w:val="center"/>
        </w:trPr>
        <w:tc>
          <w:tcPr>
            <w:tcW w:w="2869" w:type="dxa"/>
            <w:shd w:val="clear" w:color="auto" w:fill="auto"/>
            <w:noWrap/>
          </w:tcPr>
          <w:p w14:paraId="29605B15" w14:textId="77777777" w:rsidR="00DD0834" w:rsidRPr="00F25F0C" w:rsidRDefault="00DD0834" w:rsidP="003B6997">
            <w:pPr>
              <w:pStyle w:val="BStabletextbold"/>
              <w:rPr>
                <w:rFonts w:eastAsia="SimSun"/>
              </w:rPr>
            </w:pPr>
            <w:r w:rsidRPr="00E56520">
              <w:t>Cash flows from investments in financial assets for policy purposes</w:t>
            </w:r>
          </w:p>
        </w:tc>
        <w:tc>
          <w:tcPr>
            <w:tcW w:w="964" w:type="dxa"/>
            <w:shd w:val="clear" w:color="auto" w:fill="auto"/>
          </w:tcPr>
          <w:p w14:paraId="7092FC42" w14:textId="77777777" w:rsidR="00DD0834" w:rsidRDefault="00DD0834" w:rsidP="003B6997">
            <w:pPr>
              <w:pStyle w:val="Btablefigureunbold"/>
              <w:rPr>
                <w:rFonts w:eastAsia="SimSun"/>
                <w:color w:val="FFFFFF" w:themeColor="background1"/>
              </w:rPr>
            </w:pPr>
          </w:p>
        </w:tc>
        <w:tc>
          <w:tcPr>
            <w:tcW w:w="964" w:type="dxa"/>
            <w:shd w:val="clear" w:color="auto" w:fill="auto"/>
            <w:noWrap/>
          </w:tcPr>
          <w:p w14:paraId="51E462B1"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1AAFDBD"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57D5028B"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21CF61E5"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2BEB480A" w14:textId="77777777" w:rsidR="00DD0834" w:rsidRPr="006D5D15" w:rsidRDefault="00DD0834" w:rsidP="003B6997">
            <w:pPr>
              <w:pStyle w:val="Btablefigureunbold"/>
              <w:rPr>
                <w:rFonts w:eastAsia="SimSun"/>
                <w:color w:val="FFFFFF" w:themeColor="background1"/>
              </w:rPr>
            </w:pPr>
          </w:p>
        </w:tc>
      </w:tr>
      <w:tr w:rsidR="00DD0834" w:rsidRPr="006D5D15" w14:paraId="1B1E94CD" w14:textId="77777777" w:rsidTr="003B6997">
        <w:trPr>
          <w:cantSplit/>
          <w:jc w:val="center"/>
        </w:trPr>
        <w:tc>
          <w:tcPr>
            <w:tcW w:w="2869" w:type="dxa"/>
            <w:shd w:val="clear" w:color="auto" w:fill="auto"/>
            <w:noWrap/>
          </w:tcPr>
          <w:p w14:paraId="73FC83D7" w14:textId="77777777" w:rsidR="00DD0834" w:rsidRPr="00550D36" w:rsidRDefault="00DD0834" w:rsidP="003B6997">
            <w:pPr>
              <w:pStyle w:val="BStabletextbold"/>
              <w:rPr>
                <w:rFonts w:eastAsia="SimSun"/>
              </w:rPr>
            </w:pPr>
            <w:r w:rsidRPr="00550D36">
              <w:t>Receipts</w:t>
            </w:r>
          </w:p>
        </w:tc>
        <w:tc>
          <w:tcPr>
            <w:tcW w:w="964" w:type="dxa"/>
            <w:shd w:val="clear" w:color="auto" w:fill="auto"/>
          </w:tcPr>
          <w:p w14:paraId="395ABD53" w14:textId="77777777" w:rsidR="00DD0834" w:rsidRDefault="00DD0834" w:rsidP="003B6997">
            <w:pPr>
              <w:pStyle w:val="Btablefigureunbold"/>
              <w:rPr>
                <w:rFonts w:eastAsia="SimSun"/>
                <w:color w:val="FFFFFF" w:themeColor="background1"/>
              </w:rPr>
            </w:pPr>
          </w:p>
        </w:tc>
        <w:tc>
          <w:tcPr>
            <w:tcW w:w="964" w:type="dxa"/>
            <w:shd w:val="clear" w:color="auto" w:fill="auto"/>
            <w:noWrap/>
          </w:tcPr>
          <w:p w14:paraId="691DFA7B"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3E1F3F03"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FC1395F"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2C2BED6" w14:textId="77777777" w:rsidR="00DD0834" w:rsidRPr="006D5D15" w:rsidRDefault="00DD0834" w:rsidP="003B6997">
            <w:pPr>
              <w:pStyle w:val="Btablefigureunbold"/>
              <w:rPr>
                <w:rFonts w:eastAsia="SimSun"/>
                <w:color w:val="FFFFFF" w:themeColor="background1"/>
              </w:rPr>
            </w:pPr>
          </w:p>
        </w:tc>
        <w:tc>
          <w:tcPr>
            <w:tcW w:w="964" w:type="dxa"/>
            <w:shd w:val="clear" w:color="auto" w:fill="auto"/>
            <w:noWrap/>
          </w:tcPr>
          <w:p w14:paraId="442002F7" w14:textId="77777777" w:rsidR="00DD0834" w:rsidRPr="006D5D15" w:rsidRDefault="00DD0834" w:rsidP="003B6997">
            <w:pPr>
              <w:pStyle w:val="Btablefigureunbold"/>
              <w:rPr>
                <w:rFonts w:eastAsia="SimSun"/>
                <w:color w:val="FFFFFF" w:themeColor="background1"/>
              </w:rPr>
            </w:pPr>
          </w:p>
        </w:tc>
      </w:tr>
      <w:tr w:rsidR="00DD0834" w:rsidRPr="006D5D15" w14:paraId="268010CD" w14:textId="77777777" w:rsidTr="003B6997">
        <w:trPr>
          <w:cantSplit/>
          <w:jc w:val="center"/>
        </w:trPr>
        <w:tc>
          <w:tcPr>
            <w:tcW w:w="2869" w:type="dxa"/>
            <w:shd w:val="clear" w:color="auto" w:fill="auto"/>
            <w:noWrap/>
          </w:tcPr>
          <w:p w14:paraId="7F3F327E" w14:textId="77777777" w:rsidR="00DD0834" w:rsidRPr="00550D36" w:rsidRDefault="00DD0834" w:rsidP="003B6997">
            <w:pPr>
              <w:pStyle w:val="BStabletextunbold"/>
              <w:rPr>
                <w:rFonts w:eastAsia="SimSun"/>
              </w:rPr>
            </w:pPr>
            <w:r w:rsidRPr="00550D36">
              <w:t>Repayment of loans</w:t>
            </w:r>
          </w:p>
        </w:tc>
        <w:tc>
          <w:tcPr>
            <w:tcW w:w="964" w:type="dxa"/>
            <w:shd w:val="clear" w:color="auto" w:fill="auto"/>
          </w:tcPr>
          <w:p w14:paraId="36810A8E" w14:textId="77777777" w:rsidR="00DD0834" w:rsidRPr="000E0C83" w:rsidRDefault="00DD0834" w:rsidP="003B6997">
            <w:pPr>
              <w:pStyle w:val="Btablefigureunbold"/>
            </w:pPr>
            <w:r w:rsidRPr="000E0C83">
              <w:t>30,044</w:t>
            </w:r>
          </w:p>
        </w:tc>
        <w:tc>
          <w:tcPr>
            <w:tcW w:w="964" w:type="dxa"/>
            <w:shd w:val="clear" w:color="auto" w:fill="auto"/>
            <w:noWrap/>
          </w:tcPr>
          <w:p w14:paraId="0F7EA9F4" w14:textId="77777777" w:rsidR="00DD0834" w:rsidRPr="000E0C83" w:rsidRDefault="00DD0834" w:rsidP="003B6997">
            <w:pPr>
              <w:pStyle w:val="Btablefigureunbold"/>
            </w:pPr>
            <w:r w:rsidRPr="000E0C83">
              <w:t>29,409</w:t>
            </w:r>
          </w:p>
        </w:tc>
        <w:tc>
          <w:tcPr>
            <w:tcW w:w="964" w:type="dxa"/>
            <w:shd w:val="clear" w:color="auto" w:fill="auto"/>
            <w:noWrap/>
          </w:tcPr>
          <w:p w14:paraId="094AAA3E" w14:textId="77777777" w:rsidR="00DD0834" w:rsidRPr="000E0C83" w:rsidRDefault="00DD0834" w:rsidP="003B6997">
            <w:pPr>
              <w:pStyle w:val="Btablefigureunbold"/>
            </w:pPr>
            <w:r w:rsidRPr="000E0C83">
              <w:t>1,185</w:t>
            </w:r>
          </w:p>
        </w:tc>
        <w:tc>
          <w:tcPr>
            <w:tcW w:w="964" w:type="dxa"/>
            <w:shd w:val="clear" w:color="auto" w:fill="auto"/>
            <w:noWrap/>
          </w:tcPr>
          <w:p w14:paraId="1071D3A2" w14:textId="77777777" w:rsidR="00DD0834" w:rsidRPr="000E0C83" w:rsidRDefault="00DD0834" w:rsidP="003B6997">
            <w:pPr>
              <w:pStyle w:val="Btablefigureunbold"/>
            </w:pPr>
            <w:r w:rsidRPr="000E0C83">
              <w:t>3,235</w:t>
            </w:r>
          </w:p>
        </w:tc>
        <w:tc>
          <w:tcPr>
            <w:tcW w:w="964" w:type="dxa"/>
            <w:shd w:val="clear" w:color="auto" w:fill="auto"/>
            <w:noWrap/>
          </w:tcPr>
          <w:p w14:paraId="79D0AFC9" w14:textId="77777777" w:rsidR="00DD0834" w:rsidRPr="000E0C83" w:rsidRDefault="00DD0834" w:rsidP="003B6997">
            <w:pPr>
              <w:pStyle w:val="Btablefigureunbold"/>
            </w:pPr>
            <w:r w:rsidRPr="000E0C83">
              <w:t>6,136</w:t>
            </w:r>
          </w:p>
        </w:tc>
        <w:tc>
          <w:tcPr>
            <w:tcW w:w="964" w:type="dxa"/>
            <w:shd w:val="clear" w:color="auto" w:fill="auto"/>
            <w:noWrap/>
          </w:tcPr>
          <w:p w14:paraId="55F4AC3A" w14:textId="77777777" w:rsidR="00DD0834" w:rsidRPr="000E0C83" w:rsidRDefault="00DD0834" w:rsidP="003B6997">
            <w:pPr>
              <w:pStyle w:val="Btablefigureunbold"/>
            </w:pPr>
            <w:r w:rsidRPr="000E0C83">
              <w:t>9,036</w:t>
            </w:r>
          </w:p>
        </w:tc>
      </w:tr>
      <w:tr w:rsidR="00DD0834" w:rsidRPr="006D5D15" w14:paraId="5B978279" w14:textId="77777777" w:rsidTr="003B6997">
        <w:trPr>
          <w:cantSplit/>
          <w:jc w:val="center"/>
        </w:trPr>
        <w:tc>
          <w:tcPr>
            <w:tcW w:w="2869" w:type="dxa"/>
            <w:shd w:val="clear" w:color="auto" w:fill="auto"/>
            <w:noWrap/>
          </w:tcPr>
          <w:p w14:paraId="1A11593F" w14:textId="77777777" w:rsidR="00DD0834" w:rsidRPr="00550D36" w:rsidRDefault="00DD0834" w:rsidP="003B6997">
            <w:pPr>
              <w:pStyle w:val="BStabletextunbold"/>
              <w:rPr>
                <w:rFonts w:eastAsia="SimSun"/>
              </w:rPr>
            </w:pPr>
            <w:r w:rsidRPr="00550D36">
              <w:t>Capital receipts from government agencies</w:t>
            </w:r>
          </w:p>
        </w:tc>
        <w:tc>
          <w:tcPr>
            <w:tcW w:w="964" w:type="dxa"/>
            <w:shd w:val="clear" w:color="auto" w:fill="auto"/>
          </w:tcPr>
          <w:p w14:paraId="26999862" w14:textId="77777777" w:rsidR="00DD0834" w:rsidRPr="000E0C83" w:rsidRDefault="00DD0834" w:rsidP="003B6997">
            <w:pPr>
              <w:pStyle w:val="Btablefigureunbold"/>
            </w:pPr>
            <w:r w:rsidRPr="000E0C83">
              <w:t>310,642</w:t>
            </w:r>
          </w:p>
        </w:tc>
        <w:tc>
          <w:tcPr>
            <w:tcW w:w="964" w:type="dxa"/>
            <w:shd w:val="clear" w:color="auto" w:fill="auto"/>
            <w:noWrap/>
          </w:tcPr>
          <w:p w14:paraId="6D77C0EA" w14:textId="77777777" w:rsidR="00DD0834" w:rsidRPr="000E0C83" w:rsidRDefault="00DD0834" w:rsidP="003B6997">
            <w:pPr>
              <w:pStyle w:val="Btablefigureunbold"/>
            </w:pPr>
            <w:r w:rsidRPr="000E0C83">
              <w:t>0</w:t>
            </w:r>
          </w:p>
        </w:tc>
        <w:tc>
          <w:tcPr>
            <w:tcW w:w="964" w:type="dxa"/>
            <w:shd w:val="clear" w:color="auto" w:fill="auto"/>
            <w:noWrap/>
          </w:tcPr>
          <w:p w14:paraId="2630BEA1" w14:textId="77777777" w:rsidR="00DD0834" w:rsidRPr="000E0C83" w:rsidRDefault="00DD0834" w:rsidP="003B6997">
            <w:pPr>
              <w:pStyle w:val="Btablefigureunbold"/>
            </w:pPr>
            <w:r w:rsidRPr="000E0C83">
              <w:t>313,113</w:t>
            </w:r>
          </w:p>
        </w:tc>
        <w:tc>
          <w:tcPr>
            <w:tcW w:w="964" w:type="dxa"/>
            <w:shd w:val="clear" w:color="auto" w:fill="auto"/>
            <w:noWrap/>
          </w:tcPr>
          <w:p w14:paraId="370DF670" w14:textId="77777777" w:rsidR="00DD0834" w:rsidRPr="000E0C83" w:rsidRDefault="00DD0834" w:rsidP="003B6997">
            <w:pPr>
              <w:pStyle w:val="Btablefigureunbold"/>
            </w:pPr>
            <w:r w:rsidRPr="000E0C83">
              <w:t>0</w:t>
            </w:r>
          </w:p>
        </w:tc>
        <w:tc>
          <w:tcPr>
            <w:tcW w:w="964" w:type="dxa"/>
            <w:shd w:val="clear" w:color="auto" w:fill="auto"/>
            <w:noWrap/>
          </w:tcPr>
          <w:p w14:paraId="2DB3F943" w14:textId="77777777" w:rsidR="00DD0834" w:rsidRPr="000E0C83" w:rsidRDefault="00DD0834" w:rsidP="003B6997">
            <w:pPr>
              <w:pStyle w:val="Btablefigureunbold"/>
            </w:pPr>
            <w:r w:rsidRPr="000E0C83">
              <w:t>0</w:t>
            </w:r>
          </w:p>
        </w:tc>
        <w:tc>
          <w:tcPr>
            <w:tcW w:w="964" w:type="dxa"/>
            <w:shd w:val="clear" w:color="auto" w:fill="auto"/>
            <w:noWrap/>
          </w:tcPr>
          <w:p w14:paraId="6C6E3942" w14:textId="77777777" w:rsidR="00DD0834" w:rsidRPr="000E0C83" w:rsidRDefault="00DD0834" w:rsidP="003B6997">
            <w:pPr>
              <w:pStyle w:val="Btablefigureunbold"/>
            </w:pPr>
            <w:r w:rsidRPr="000E0C83">
              <w:t>0</w:t>
            </w:r>
          </w:p>
        </w:tc>
      </w:tr>
      <w:tr w:rsidR="00DD0834" w:rsidRPr="006D5D15" w14:paraId="6EAAED9C" w14:textId="77777777" w:rsidTr="003B6997">
        <w:trPr>
          <w:cantSplit/>
          <w:jc w:val="center"/>
        </w:trPr>
        <w:tc>
          <w:tcPr>
            <w:tcW w:w="2869" w:type="dxa"/>
            <w:shd w:val="clear" w:color="auto" w:fill="auto"/>
            <w:noWrap/>
          </w:tcPr>
          <w:p w14:paraId="5E755291" w14:textId="77777777" w:rsidR="00DD0834" w:rsidRPr="000E0C83" w:rsidRDefault="00DD0834" w:rsidP="003B6997">
            <w:pPr>
              <w:pStyle w:val="BStabletextbold"/>
            </w:pPr>
            <w:r w:rsidRPr="00550D36">
              <w:t>Total receipts from investment in financial assets for policy purposes</w:t>
            </w:r>
          </w:p>
        </w:tc>
        <w:tc>
          <w:tcPr>
            <w:tcW w:w="964" w:type="dxa"/>
            <w:shd w:val="clear" w:color="auto" w:fill="auto"/>
          </w:tcPr>
          <w:p w14:paraId="55ED731E" w14:textId="77777777" w:rsidR="00DD0834" w:rsidRPr="000E0C83" w:rsidRDefault="00DD0834" w:rsidP="003B6997">
            <w:pPr>
              <w:pStyle w:val="BStabletextbold"/>
              <w:jc w:val="right"/>
            </w:pPr>
            <w:r w:rsidRPr="000E0C83">
              <w:t>340,686</w:t>
            </w:r>
          </w:p>
        </w:tc>
        <w:tc>
          <w:tcPr>
            <w:tcW w:w="964" w:type="dxa"/>
            <w:shd w:val="clear" w:color="auto" w:fill="auto"/>
            <w:noWrap/>
          </w:tcPr>
          <w:p w14:paraId="11663C10" w14:textId="77777777" w:rsidR="00DD0834" w:rsidRPr="000E0C83" w:rsidRDefault="00DD0834" w:rsidP="003B6997">
            <w:pPr>
              <w:pStyle w:val="BStabletextbold"/>
              <w:jc w:val="right"/>
            </w:pPr>
            <w:r w:rsidRPr="000E0C83">
              <w:t>29,409</w:t>
            </w:r>
          </w:p>
        </w:tc>
        <w:tc>
          <w:tcPr>
            <w:tcW w:w="964" w:type="dxa"/>
            <w:shd w:val="clear" w:color="auto" w:fill="auto"/>
            <w:noWrap/>
          </w:tcPr>
          <w:p w14:paraId="1A1AF673" w14:textId="77777777" w:rsidR="00DD0834" w:rsidRPr="000E0C83" w:rsidRDefault="00DD0834" w:rsidP="003B6997">
            <w:pPr>
              <w:pStyle w:val="BStabletextbold"/>
              <w:jc w:val="right"/>
            </w:pPr>
            <w:r w:rsidRPr="000E0C83">
              <w:t>314,298</w:t>
            </w:r>
          </w:p>
        </w:tc>
        <w:tc>
          <w:tcPr>
            <w:tcW w:w="964" w:type="dxa"/>
            <w:shd w:val="clear" w:color="auto" w:fill="auto"/>
            <w:noWrap/>
          </w:tcPr>
          <w:p w14:paraId="176D5BF1" w14:textId="77777777" w:rsidR="00DD0834" w:rsidRPr="000E0C83" w:rsidRDefault="00DD0834" w:rsidP="003B6997">
            <w:pPr>
              <w:pStyle w:val="BStabletextbold"/>
              <w:jc w:val="right"/>
            </w:pPr>
            <w:r w:rsidRPr="000E0C83">
              <w:t>3,235</w:t>
            </w:r>
          </w:p>
        </w:tc>
        <w:tc>
          <w:tcPr>
            <w:tcW w:w="964" w:type="dxa"/>
            <w:shd w:val="clear" w:color="auto" w:fill="auto"/>
            <w:noWrap/>
          </w:tcPr>
          <w:p w14:paraId="596CEEF0" w14:textId="77777777" w:rsidR="00DD0834" w:rsidRPr="000E0C83" w:rsidRDefault="00DD0834" w:rsidP="003B6997">
            <w:pPr>
              <w:pStyle w:val="BStabletextbold"/>
              <w:jc w:val="right"/>
            </w:pPr>
            <w:r w:rsidRPr="000E0C83">
              <w:t>6,136</w:t>
            </w:r>
          </w:p>
        </w:tc>
        <w:tc>
          <w:tcPr>
            <w:tcW w:w="964" w:type="dxa"/>
            <w:shd w:val="clear" w:color="auto" w:fill="auto"/>
            <w:noWrap/>
          </w:tcPr>
          <w:p w14:paraId="4317447B" w14:textId="77777777" w:rsidR="00DD0834" w:rsidRPr="000E0C83" w:rsidRDefault="00DD0834" w:rsidP="003B6997">
            <w:pPr>
              <w:pStyle w:val="BStabletextbold"/>
              <w:jc w:val="right"/>
            </w:pPr>
            <w:r w:rsidRPr="000E0C83">
              <w:t>9,036</w:t>
            </w:r>
          </w:p>
        </w:tc>
      </w:tr>
      <w:tr w:rsidR="00DD0834" w:rsidRPr="00601709" w14:paraId="4DAB7D2D" w14:textId="77777777" w:rsidTr="003B6997">
        <w:trPr>
          <w:cantSplit/>
          <w:jc w:val="center"/>
        </w:trPr>
        <w:tc>
          <w:tcPr>
            <w:tcW w:w="2869" w:type="dxa"/>
            <w:shd w:val="clear" w:color="auto" w:fill="auto"/>
            <w:noWrap/>
            <w:vAlign w:val="bottom"/>
          </w:tcPr>
          <w:p w14:paraId="2E6A6C17" w14:textId="77777777" w:rsidR="00DD0834" w:rsidRPr="00550D36" w:rsidRDefault="00DD0834" w:rsidP="003B6997">
            <w:pPr>
              <w:pStyle w:val="BStabletextbold"/>
            </w:pPr>
            <w:r w:rsidRPr="00550D36">
              <w:t>Payments</w:t>
            </w:r>
          </w:p>
        </w:tc>
        <w:tc>
          <w:tcPr>
            <w:tcW w:w="964" w:type="dxa"/>
            <w:shd w:val="clear" w:color="auto" w:fill="auto"/>
          </w:tcPr>
          <w:p w14:paraId="43C16FEB" w14:textId="77777777" w:rsidR="00DD0834" w:rsidRPr="00601709" w:rsidRDefault="00DD0834" w:rsidP="003B6997">
            <w:pPr>
              <w:pStyle w:val="BTablefigureBold"/>
            </w:pPr>
          </w:p>
        </w:tc>
        <w:tc>
          <w:tcPr>
            <w:tcW w:w="964" w:type="dxa"/>
            <w:shd w:val="clear" w:color="auto" w:fill="auto"/>
            <w:noWrap/>
          </w:tcPr>
          <w:p w14:paraId="6EEF61BC" w14:textId="77777777" w:rsidR="00DD0834" w:rsidRPr="00601709" w:rsidRDefault="00DD0834" w:rsidP="003B6997">
            <w:pPr>
              <w:pStyle w:val="BTablefigureBold"/>
            </w:pPr>
          </w:p>
        </w:tc>
        <w:tc>
          <w:tcPr>
            <w:tcW w:w="964" w:type="dxa"/>
            <w:shd w:val="clear" w:color="auto" w:fill="auto"/>
            <w:noWrap/>
          </w:tcPr>
          <w:p w14:paraId="7085618E" w14:textId="77777777" w:rsidR="00DD0834" w:rsidRPr="00601709" w:rsidRDefault="00DD0834" w:rsidP="003B6997">
            <w:pPr>
              <w:pStyle w:val="BTablefigureBold"/>
            </w:pPr>
          </w:p>
        </w:tc>
        <w:tc>
          <w:tcPr>
            <w:tcW w:w="964" w:type="dxa"/>
            <w:shd w:val="clear" w:color="auto" w:fill="auto"/>
            <w:noWrap/>
          </w:tcPr>
          <w:p w14:paraId="47FC72F5" w14:textId="77777777" w:rsidR="00DD0834" w:rsidRPr="00601709" w:rsidRDefault="00DD0834" w:rsidP="003B6997">
            <w:pPr>
              <w:pStyle w:val="BTablefigureBold"/>
            </w:pPr>
          </w:p>
        </w:tc>
        <w:tc>
          <w:tcPr>
            <w:tcW w:w="964" w:type="dxa"/>
            <w:shd w:val="clear" w:color="auto" w:fill="auto"/>
            <w:noWrap/>
          </w:tcPr>
          <w:p w14:paraId="3AD2E9E9" w14:textId="77777777" w:rsidR="00DD0834" w:rsidRPr="00601709" w:rsidRDefault="00DD0834" w:rsidP="003B6997">
            <w:pPr>
              <w:pStyle w:val="BTablefigureBold"/>
            </w:pPr>
          </w:p>
        </w:tc>
        <w:tc>
          <w:tcPr>
            <w:tcW w:w="964" w:type="dxa"/>
            <w:shd w:val="clear" w:color="auto" w:fill="auto"/>
            <w:noWrap/>
          </w:tcPr>
          <w:p w14:paraId="48645F5E" w14:textId="77777777" w:rsidR="00DD0834" w:rsidRPr="00601709" w:rsidRDefault="00DD0834" w:rsidP="003B6997">
            <w:pPr>
              <w:pStyle w:val="BTablefigureBold"/>
            </w:pPr>
          </w:p>
        </w:tc>
      </w:tr>
      <w:tr w:rsidR="00DD0834" w:rsidRPr="006D5D15" w14:paraId="7E32A20A" w14:textId="77777777" w:rsidTr="003B6997">
        <w:trPr>
          <w:cantSplit/>
          <w:jc w:val="center"/>
        </w:trPr>
        <w:tc>
          <w:tcPr>
            <w:tcW w:w="2869" w:type="dxa"/>
            <w:shd w:val="clear" w:color="auto" w:fill="auto"/>
            <w:noWrap/>
          </w:tcPr>
          <w:p w14:paraId="46EE13FE" w14:textId="77777777" w:rsidR="00DD0834" w:rsidRPr="000E0C83" w:rsidRDefault="00DD0834" w:rsidP="003B6997">
            <w:pPr>
              <w:pStyle w:val="BStabletextbold"/>
              <w:rPr>
                <w:b w:val="0"/>
                <w:bCs w:val="0"/>
              </w:rPr>
            </w:pPr>
            <w:r w:rsidRPr="000E0C83">
              <w:rPr>
                <w:b w:val="0"/>
                <w:bCs w:val="0"/>
              </w:rPr>
              <w:t>Issue of loans</w:t>
            </w:r>
          </w:p>
        </w:tc>
        <w:tc>
          <w:tcPr>
            <w:tcW w:w="964" w:type="dxa"/>
            <w:shd w:val="clear" w:color="auto" w:fill="auto"/>
          </w:tcPr>
          <w:p w14:paraId="3681DFA6" w14:textId="77777777" w:rsidR="00DD0834" w:rsidRPr="000E0C83" w:rsidRDefault="00DD0834" w:rsidP="003B6997">
            <w:pPr>
              <w:pStyle w:val="Btablefigureunbold"/>
            </w:pPr>
            <w:r w:rsidRPr="000E0C83">
              <w:t>-11,636</w:t>
            </w:r>
          </w:p>
        </w:tc>
        <w:tc>
          <w:tcPr>
            <w:tcW w:w="964" w:type="dxa"/>
            <w:shd w:val="clear" w:color="auto" w:fill="auto"/>
            <w:noWrap/>
          </w:tcPr>
          <w:p w14:paraId="2F6DBE1E" w14:textId="77777777" w:rsidR="00DD0834" w:rsidRPr="000E0C83" w:rsidRDefault="00DD0834" w:rsidP="003B6997">
            <w:pPr>
              <w:pStyle w:val="Btablefigureunbold"/>
            </w:pPr>
            <w:r w:rsidRPr="000E0C83">
              <w:t>-625</w:t>
            </w:r>
          </w:p>
        </w:tc>
        <w:tc>
          <w:tcPr>
            <w:tcW w:w="964" w:type="dxa"/>
            <w:shd w:val="clear" w:color="auto" w:fill="auto"/>
            <w:noWrap/>
          </w:tcPr>
          <w:p w14:paraId="2023646F" w14:textId="77777777" w:rsidR="00DD0834" w:rsidRPr="000E0C83" w:rsidRDefault="00DD0834" w:rsidP="003B6997">
            <w:pPr>
              <w:pStyle w:val="Btablefigureunbold"/>
            </w:pPr>
            <w:r w:rsidRPr="000E0C83">
              <w:t>-927</w:t>
            </w:r>
          </w:p>
        </w:tc>
        <w:tc>
          <w:tcPr>
            <w:tcW w:w="964" w:type="dxa"/>
            <w:shd w:val="clear" w:color="auto" w:fill="auto"/>
            <w:noWrap/>
          </w:tcPr>
          <w:p w14:paraId="08D0C082" w14:textId="77777777" w:rsidR="00DD0834" w:rsidRPr="000E0C83" w:rsidRDefault="00DD0834" w:rsidP="003B6997">
            <w:pPr>
              <w:pStyle w:val="Btablefigureunbold"/>
            </w:pPr>
            <w:r w:rsidRPr="000E0C83">
              <w:t>-30,529</w:t>
            </w:r>
          </w:p>
        </w:tc>
        <w:tc>
          <w:tcPr>
            <w:tcW w:w="964" w:type="dxa"/>
            <w:shd w:val="clear" w:color="auto" w:fill="auto"/>
            <w:noWrap/>
          </w:tcPr>
          <w:p w14:paraId="4B75E7F5" w14:textId="77777777" w:rsidR="00DD0834" w:rsidRPr="000E0C83" w:rsidRDefault="00DD0834" w:rsidP="003B6997">
            <w:pPr>
              <w:pStyle w:val="Btablefigureunbold"/>
            </w:pPr>
            <w:r w:rsidRPr="000E0C83">
              <w:t>-30,529</w:t>
            </w:r>
          </w:p>
        </w:tc>
        <w:tc>
          <w:tcPr>
            <w:tcW w:w="964" w:type="dxa"/>
            <w:shd w:val="clear" w:color="auto" w:fill="auto"/>
            <w:noWrap/>
          </w:tcPr>
          <w:p w14:paraId="05508CB5" w14:textId="77777777" w:rsidR="00DD0834" w:rsidRPr="000E0C83" w:rsidRDefault="00DD0834" w:rsidP="003B6997">
            <w:pPr>
              <w:pStyle w:val="Btablefigureunbold"/>
            </w:pPr>
            <w:r w:rsidRPr="000E0C83">
              <w:t>-30,529</w:t>
            </w:r>
          </w:p>
        </w:tc>
      </w:tr>
      <w:tr w:rsidR="00DD0834" w:rsidRPr="006D5D15" w14:paraId="1EF98754" w14:textId="77777777" w:rsidTr="003B6997">
        <w:trPr>
          <w:cantSplit/>
          <w:jc w:val="center"/>
        </w:trPr>
        <w:tc>
          <w:tcPr>
            <w:tcW w:w="2869" w:type="dxa"/>
            <w:shd w:val="clear" w:color="auto" w:fill="auto"/>
            <w:noWrap/>
          </w:tcPr>
          <w:p w14:paraId="777F52DD" w14:textId="77777777" w:rsidR="00DD0834" w:rsidRPr="000E0C83" w:rsidRDefault="00DD0834" w:rsidP="003B6997">
            <w:pPr>
              <w:pStyle w:val="BStabletextbold"/>
            </w:pPr>
            <w:r w:rsidRPr="00550D36">
              <w:t>Total payments from investment in financial assets for policy purposes</w:t>
            </w:r>
          </w:p>
        </w:tc>
        <w:tc>
          <w:tcPr>
            <w:tcW w:w="964" w:type="dxa"/>
            <w:shd w:val="clear" w:color="auto" w:fill="auto"/>
          </w:tcPr>
          <w:p w14:paraId="6A9AE497" w14:textId="77777777" w:rsidR="00DD0834" w:rsidRPr="000E0C83" w:rsidRDefault="00DD0834" w:rsidP="003B6997">
            <w:pPr>
              <w:pStyle w:val="BStabletextbold"/>
              <w:jc w:val="right"/>
            </w:pPr>
            <w:r w:rsidRPr="000E0C83">
              <w:t>-11,636</w:t>
            </w:r>
          </w:p>
        </w:tc>
        <w:tc>
          <w:tcPr>
            <w:tcW w:w="964" w:type="dxa"/>
            <w:shd w:val="clear" w:color="auto" w:fill="auto"/>
            <w:noWrap/>
          </w:tcPr>
          <w:p w14:paraId="53405BE2" w14:textId="77777777" w:rsidR="00DD0834" w:rsidRPr="000E0C83" w:rsidRDefault="00DD0834" w:rsidP="003B6997">
            <w:pPr>
              <w:pStyle w:val="BStabletextbold"/>
              <w:jc w:val="right"/>
            </w:pPr>
            <w:r w:rsidRPr="000E0C83">
              <w:t>-625</w:t>
            </w:r>
          </w:p>
        </w:tc>
        <w:tc>
          <w:tcPr>
            <w:tcW w:w="964" w:type="dxa"/>
            <w:shd w:val="clear" w:color="auto" w:fill="auto"/>
            <w:noWrap/>
          </w:tcPr>
          <w:p w14:paraId="6711BD93" w14:textId="77777777" w:rsidR="00DD0834" w:rsidRPr="000E0C83" w:rsidRDefault="00DD0834" w:rsidP="003B6997">
            <w:pPr>
              <w:pStyle w:val="BStabletextbold"/>
              <w:jc w:val="right"/>
            </w:pPr>
            <w:r w:rsidRPr="000E0C83">
              <w:t>-927</w:t>
            </w:r>
          </w:p>
        </w:tc>
        <w:tc>
          <w:tcPr>
            <w:tcW w:w="964" w:type="dxa"/>
            <w:shd w:val="clear" w:color="auto" w:fill="auto"/>
            <w:noWrap/>
          </w:tcPr>
          <w:p w14:paraId="2EA28D64" w14:textId="77777777" w:rsidR="00DD0834" w:rsidRPr="000E0C83" w:rsidRDefault="00DD0834" w:rsidP="003B6997">
            <w:pPr>
              <w:pStyle w:val="BStabletextbold"/>
              <w:jc w:val="right"/>
            </w:pPr>
            <w:r w:rsidRPr="000E0C83">
              <w:t>-30,529</w:t>
            </w:r>
          </w:p>
        </w:tc>
        <w:tc>
          <w:tcPr>
            <w:tcW w:w="964" w:type="dxa"/>
            <w:shd w:val="clear" w:color="auto" w:fill="auto"/>
            <w:noWrap/>
          </w:tcPr>
          <w:p w14:paraId="2D16F8C4" w14:textId="77777777" w:rsidR="00DD0834" w:rsidRPr="000E0C83" w:rsidRDefault="00DD0834" w:rsidP="003B6997">
            <w:pPr>
              <w:pStyle w:val="BStabletextbold"/>
              <w:jc w:val="right"/>
            </w:pPr>
            <w:r w:rsidRPr="000E0C83">
              <w:t>-30,529</w:t>
            </w:r>
          </w:p>
        </w:tc>
        <w:tc>
          <w:tcPr>
            <w:tcW w:w="964" w:type="dxa"/>
            <w:shd w:val="clear" w:color="auto" w:fill="auto"/>
            <w:noWrap/>
          </w:tcPr>
          <w:p w14:paraId="65523CF6" w14:textId="77777777" w:rsidR="00DD0834" w:rsidRPr="000E0C83" w:rsidRDefault="00DD0834" w:rsidP="003B6997">
            <w:pPr>
              <w:pStyle w:val="BStabletextbold"/>
              <w:jc w:val="right"/>
            </w:pPr>
            <w:r w:rsidRPr="000E0C83">
              <w:t>-30,529</w:t>
            </w:r>
          </w:p>
        </w:tc>
      </w:tr>
      <w:tr w:rsidR="00DD0834" w:rsidRPr="000E0C83" w14:paraId="3AB116E1" w14:textId="77777777" w:rsidTr="003B6997">
        <w:trPr>
          <w:cantSplit/>
          <w:jc w:val="center"/>
        </w:trPr>
        <w:tc>
          <w:tcPr>
            <w:tcW w:w="2869" w:type="dxa"/>
            <w:shd w:val="clear" w:color="auto" w:fill="auto"/>
            <w:noWrap/>
          </w:tcPr>
          <w:p w14:paraId="65C972D0" w14:textId="77777777" w:rsidR="00DD0834" w:rsidRPr="000E0C83" w:rsidRDefault="00DD0834" w:rsidP="003B6997">
            <w:pPr>
              <w:pStyle w:val="BStabletextbold"/>
              <w:rPr>
                <w:color w:val="472D8C"/>
              </w:rPr>
            </w:pPr>
            <w:r w:rsidRPr="000E0C83">
              <w:rPr>
                <w:color w:val="472D8C"/>
              </w:rPr>
              <w:t>Net cash flows from investments in financial assets for policy purposes</w:t>
            </w:r>
          </w:p>
        </w:tc>
        <w:tc>
          <w:tcPr>
            <w:tcW w:w="964" w:type="dxa"/>
            <w:shd w:val="clear" w:color="auto" w:fill="auto"/>
          </w:tcPr>
          <w:p w14:paraId="7C467278" w14:textId="77777777" w:rsidR="00DD0834" w:rsidRPr="000E0C83" w:rsidRDefault="00DD0834" w:rsidP="003B6997">
            <w:pPr>
              <w:pStyle w:val="BStabletextbold"/>
              <w:jc w:val="right"/>
              <w:rPr>
                <w:color w:val="472D8C"/>
              </w:rPr>
            </w:pPr>
            <w:r w:rsidRPr="000E0C83">
              <w:rPr>
                <w:color w:val="472D8C"/>
              </w:rPr>
              <w:t>329,050</w:t>
            </w:r>
          </w:p>
        </w:tc>
        <w:tc>
          <w:tcPr>
            <w:tcW w:w="964" w:type="dxa"/>
            <w:shd w:val="clear" w:color="auto" w:fill="auto"/>
            <w:noWrap/>
          </w:tcPr>
          <w:p w14:paraId="35A26ECA" w14:textId="77777777" w:rsidR="00DD0834" w:rsidRPr="000E0C83" w:rsidRDefault="00DD0834" w:rsidP="003B6997">
            <w:pPr>
              <w:pStyle w:val="BStabletextbold"/>
              <w:jc w:val="right"/>
              <w:rPr>
                <w:color w:val="472D8C"/>
              </w:rPr>
            </w:pPr>
            <w:r w:rsidRPr="000E0C83">
              <w:rPr>
                <w:color w:val="472D8C"/>
              </w:rPr>
              <w:t>28,784</w:t>
            </w:r>
          </w:p>
        </w:tc>
        <w:tc>
          <w:tcPr>
            <w:tcW w:w="964" w:type="dxa"/>
            <w:shd w:val="clear" w:color="auto" w:fill="auto"/>
            <w:noWrap/>
          </w:tcPr>
          <w:p w14:paraId="33810557" w14:textId="77777777" w:rsidR="00DD0834" w:rsidRPr="000E0C83" w:rsidRDefault="00DD0834" w:rsidP="003B6997">
            <w:pPr>
              <w:pStyle w:val="BStabletextbold"/>
              <w:jc w:val="right"/>
              <w:rPr>
                <w:color w:val="472D8C"/>
              </w:rPr>
            </w:pPr>
            <w:r w:rsidRPr="000E0C83">
              <w:rPr>
                <w:color w:val="472D8C"/>
              </w:rPr>
              <w:t>313,371</w:t>
            </w:r>
          </w:p>
        </w:tc>
        <w:tc>
          <w:tcPr>
            <w:tcW w:w="964" w:type="dxa"/>
            <w:shd w:val="clear" w:color="auto" w:fill="auto"/>
            <w:noWrap/>
          </w:tcPr>
          <w:p w14:paraId="77B698CB" w14:textId="77777777" w:rsidR="00DD0834" w:rsidRPr="000E0C83" w:rsidRDefault="00DD0834" w:rsidP="003B6997">
            <w:pPr>
              <w:pStyle w:val="BStabletextbold"/>
              <w:jc w:val="right"/>
              <w:rPr>
                <w:color w:val="472D8C"/>
              </w:rPr>
            </w:pPr>
            <w:r w:rsidRPr="000E0C83">
              <w:rPr>
                <w:color w:val="472D8C"/>
              </w:rPr>
              <w:t>-27,294</w:t>
            </w:r>
          </w:p>
        </w:tc>
        <w:tc>
          <w:tcPr>
            <w:tcW w:w="964" w:type="dxa"/>
            <w:shd w:val="clear" w:color="auto" w:fill="auto"/>
            <w:noWrap/>
          </w:tcPr>
          <w:p w14:paraId="33109ACF" w14:textId="77777777" w:rsidR="00DD0834" w:rsidRPr="000E0C83" w:rsidRDefault="00DD0834" w:rsidP="003B6997">
            <w:pPr>
              <w:pStyle w:val="BStabletextbold"/>
              <w:jc w:val="right"/>
              <w:rPr>
                <w:color w:val="472D8C"/>
              </w:rPr>
            </w:pPr>
            <w:r w:rsidRPr="000E0C83">
              <w:rPr>
                <w:color w:val="472D8C"/>
              </w:rPr>
              <w:t>-24,393</w:t>
            </w:r>
          </w:p>
        </w:tc>
        <w:tc>
          <w:tcPr>
            <w:tcW w:w="964" w:type="dxa"/>
            <w:shd w:val="clear" w:color="auto" w:fill="auto"/>
            <w:noWrap/>
          </w:tcPr>
          <w:p w14:paraId="1F0FC2CE" w14:textId="77777777" w:rsidR="00DD0834" w:rsidRPr="000E0C83" w:rsidRDefault="00DD0834" w:rsidP="003B6997">
            <w:pPr>
              <w:pStyle w:val="BStabletextbold"/>
              <w:jc w:val="right"/>
              <w:rPr>
                <w:color w:val="472D8C"/>
              </w:rPr>
            </w:pPr>
            <w:r w:rsidRPr="000E0C83">
              <w:rPr>
                <w:color w:val="472D8C"/>
              </w:rPr>
              <w:t>-21,493</w:t>
            </w:r>
          </w:p>
        </w:tc>
      </w:tr>
      <w:tr w:rsidR="00DD0834" w:rsidRPr="00601709" w14:paraId="1CC1943C" w14:textId="77777777" w:rsidTr="003B6997">
        <w:trPr>
          <w:cantSplit/>
          <w:jc w:val="center"/>
        </w:trPr>
        <w:tc>
          <w:tcPr>
            <w:tcW w:w="2869" w:type="dxa"/>
            <w:shd w:val="clear" w:color="auto" w:fill="auto"/>
            <w:noWrap/>
          </w:tcPr>
          <w:p w14:paraId="36C77880" w14:textId="77777777" w:rsidR="00DD0834" w:rsidRPr="00422A91" w:rsidRDefault="00DD0834" w:rsidP="003B6997">
            <w:pPr>
              <w:pStyle w:val="BStabletextbold"/>
              <w:keepNext/>
              <w:keepLines/>
            </w:pPr>
            <w:r w:rsidRPr="00E56520">
              <w:lastRenderedPageBreak/>
              <w:t>Cash flows from investments in financial assets for liquidity purposes</w:t>
            </w:r>
          </w:p>
        </w:tc>
        <w:tc>
          <w:tcPr>
            <w:tcW w:w="964" w:type="dxa"/>
            <w:shd w:val="clear" w:color="auto" w:fill="auto"/>
          </w:tcPr>
          <w:p w14:paraId="1D669A46" w14:textId="77777777" w:rsidR="00DD0834" w:rsidRPr="00601709" w:rsidRDefault="00DD0834" w:rsidP="003B6997">
            <w:pPr>
              <w:pStyle w:val="BTablefigureBold"/>
              <w:keepNext/>
              <w:keepLines/>
            </w:pPr>
          </w:p>
        </w:tc>
        <w:tc>
          <w:tcPr>
            <w:tcW w:w="964" w:type="dxa"/>
            <w:shd w:val="clear" w:color="auto" w:fill="auto"/>
            <w:noWrap/>
          </w:tcPr>
          <w:p w14:paraId="043925C2" w14:textId="77777777" w:rsidR="00DD0834" w:rsidRPr="00601709" w:rsidRDefault="00DD0834" w:rsidP="003B6997">
            <w:pPr>
              <w:pStyle w:val="BTablefigureBold"/>
              <w:keepNext/>
              <w:keepLines/>
            </w:pPr>
          </w:p>
        </w:tc>
        <w:tc>
          <w:tcPr>
            <w:tcW w:w="964" w:type="dxa"/>
            <w:shd w:val="clear" w:color="auto" w:fill="auto"/>
            <w:noWrap/>
          </w:tcPr>
          <w:p w14:paraId="1F6A2B0B" w14:textId="77777777" w:rsidR="00DD0834" w:rsidRPr="00601709" w:rsidRDefault="00DD0834" w:rsidP="003B6997">
            <w:pPr>
              <w:pStyle w:val="BTablefigureBold"/>
              <w:keepNext/>
              <w:keepLines/>
            </w:pPr>
          </w:p>
        </w:tc>
        <w:tc>
          <w:tcPr>
            <w:tcW w:w="964" w:type="dxa"/>
            <w:shd w:val="clear" w:color="auto" w:fill="auto"/>
            <w:noWrap/>
          </w:tcPr>
          <w:p w14:paraId="4701F4E0" w14:textId="77777777" w:rsidR="00DD0834" w:rsidRPr="00601709" w:rsidRDefault="00DD0834" w:rsidP="003B6997">
            <w:pPr>
              <w:pStyle w:val="BTablefigureBold"/>
              <w:keepNext/>
              <w:keepLines/>
            </w:pPr>
          </w:p>
        </w:tc>
        <w:tc>
          <w:tcPr>
            <w:tcW w:w="964" w:type="dxa"/>
            <w:shd w:val="clear" w:color="auto" w:fill="auto"/>
            <w:noWrap/>
          </w:tcPr>
          <w:p w14:paraId="311C11D6" w14:textId="77777777" w:rsidR="00DD0834" w:rsidRPr="00601709" w:rsidRDefault="00DD0834" w:rsidP="003B6997">
            <w:pPr>
              <w:pStyle w:val="BTablefigureBold"/>
              <w:keepNext/>
              <w:keepLines/>
            </w:pPr>
          </w:p>
        </w:tc>
        <w:tc>
          <w:tcPr>
            <w:tcW w:w="964" w:type="dxa"/>
            <w:shd w:val="clear" w:color="auto" w:fill="auto"/>
            <w:noWrap/>
          </w:tcPr>
          <w:p w14:paraId="1CE51E21" w14:textId="77777777" w:rsidR="00DD0834" w:rsidRPr="00601709" w:rsidRDefault="00DD0834" w:rsidP="003B6997">
            <w:pPr>
              <w:pStyle w:val="BTablefigureBold"/>
              <w:keepNext/>
              <w:keepLines/>
            </w:pPr>
          </w:p>
        </w:tc>
      </w:tr>
      <w:tr w:rsidR="00DD0834" w:rsidRPr="00601709" w14:paraId="5943E89C" w14:textId="77777777" w:rsidTr="003B6997">
        <w:trPr>
          <w:cantSplit/>
          <w:jc w:val="center"/>
        </w:trPr>
        <w:tc>
          <w:tcPr>
            <w:tcW w:w="2869" w:type="dxa"/>
            <w:shd w:val="clear" w:color="auto" w:fill="auto"/>
            <w:noWrap/>
          </w:tcPr>
          <w:p w14:paraId="496076C5" w14:textId="77777777" w:rsidR="00DD0834" w:rsidRPr="00422A91" w:rsidRDefault="00DD0834" w:rsidP="003B6997">
            <w:pPr>
              <w:pStyle w:val="BStabletextunbold"/>
              <w:keepNext/>
              <w:keepLines/>
            </w:pPr>
            <w:r w:rsidRPr="00E56520">
              <w:t>Sales of investments</w:t>
            </w:r>
          </w:p>
        </w:tc>
        <w:tc>
          <w:tcPr>
            <w:tcW w:w="964" w:type="dxa"/>
            <w:shd w:val="clear" w:color="auto" w:fill="auto"/>
          </w:tcPr>
          <w:p w14:paraId="14B94D85" w14:textId="77777777" w:rsidR="00DD0834" w:rsidRPr="00601709" w:rsidRDefault="00DD0834" w:rsidP="003B6997">
            <w:pPr>
              <w:pStyle w:val="BStabletextunbold"/>
              <w:jc w:val="right"/>
            </w:pPr>
            <w:r w:rsidRPr="000E0C83">
              <w:t>76,060</w:t>
            </w:r>
          </w:p>
        </w:tc>
        <w:tc>
          <w:tcPr>
            <w:tcW w:w="964" w:type="dxa"/>
            <w:shd w:val="clear" w:color="auto" w:fill="auto"/>
            <w:noWrap/>
          </w:tcPr>
          <w:p w14:paraId="23DF94A6" w14:textId="77777777" w:rsidR="00DD0834" w:rsidRPr="00601709" w:rsidRDefault="00DD0834" w:rsidP="003B6997">
            <w:pPr>
              <w:pStyle w:val="BStabletextunbold"/>
              <w:jc w:val="right"/>
            </w:pPr>
            <w:r w:rsidRPr="000E0C83">
              <w:t>6,889</w:t>
            </w:r>
          </w:p>
        </w:tc>
        <w:tc>
          <w:tcPr>
            <w:tcW w:w="964" w:type="dxa"/>
            <w:shd w:val="clear" w:color="auto" w:fill="auto"/>
            <w:noWrap/>
          </w:tcPr>
          <w:p w14:paraId="53567A06" w14:textId="77777777" w:rsidR="00DD0834" w:rsidRPr="00601709" w:rsidRDefault="00DD0834" w:rsidP="003B6997">
            <w:pPr>
              <w:pStyle w:val="BStabletextunbold"/>
              <w:jc w:val="right"/>
            </w:pPr>
            <w:r w:rsidRPr="000E0C83">
              <w:t>43,798</w:t>
            </w:r>
          </w:p>
        </w:tc>
        <w:tc>
          <w:tcPr>
            <w:tcW w:w="964" w:type="dxa"/>
            <w:shd w:val="clear" w:color="auto" w:fill="auto"/>
            <w:noWrap/>
          </w:tcPr>
          <w:p w14:paraId="37940A3A" w14:textId="77777777" w:rsidR="00DD0834" w:rsidRPr="00601709" w:rsidRDefault="00DD0834" w:rsidP="003B6997">
            <w:pPr>
              <w:pStyle w:val="BStabletextunbold"/>
              <w:jc w:val="right"/>
            </w:pPr>
            <w:r w:rsidRPr="000E0C83">
              <w:t>56,583</w:t>
            </w:r>
          </w:p>
        </w:tc>
        <w:tc>
          <w:tcPr>
            <w:tcW w:w="964" w:type="dxa"/>
            <w:shd w:val="clear" w:color="auto" w:fill="auto"/>
            <w:noWrap/>
          </w:tcPr>
          <w:p w14:paraId="455928F0" w14:textId="77777777" w:rsidR="00DD0834" w:rsidRPr="00601709" w:rsidRDefault="00DD0834" w:rsidP="003B6997">
            <w:pPr>
              <w:pStyle w:val="BStabletextunbold"/>
              <w:jc w:val="right"/>
            </w:pPr>
            <w:r w:rsidRPr="000E0C83">
              <w:t>76,972</w:t>
            </w:r>
          </w:p>
        </w:tc>
        <w:tc>
          <w:tcPr>
            <w:tcW w:w="964" w:type="dxa"/>
            <w:shd w:val="clear" w:color="auto" w:fill="auto"/>
            <w:noWrap/>
          </w:tcPr>
          <w:p w14:paraId="08845F2D" w14:textId="77777777" w:rsidR="00DD0834" w:rsidRPr="00601709" w:rsidRDefault="00DD0834" w:rsidP="003B6997">
            <w:pPr>
              <w:pStyle w:val="BStabletextunbold"/>
              <w:jc w:val="right"/>
            </w:pPr>
            <w:r w:rsidRPr="000E0C83">
              <w:t>98,319</w:t>
            </w:r>
          </w:p>
        </w:tc>
      </w:tr>
      <w:tr w:rsidR="00DD0834" w:rsidRPr="006D5D15" w14:paraId="7DD4DDF7" w14:textId="77777777" w:rsidTr="003B6997">
        <w:trPr>
          <w:cantSplit/>
          <w:jc w:val="center"/>
        </w:trPr>
        <w:tc>
          <w:tcPr>
            <w:tcW w:w="2869" w:type="dxa"/>
            <w:shd w:val="clear" w:color="auto" w:fill="auto"/>
            <w:noWrap/>
          </w:tcPr>
          <w:p w14:paraId="1D3F8968" w14:textId="77777777" w:rsidR="00DD0834" w:rsidRPr="000E0C83" w:rsidRDefault="00DD0834" w:rsidP="003B6997">
            <w:pPr>
              <w:pStyle w:val="BStabletextunbold"/>
              <w:keepNext/>
              <w:keepLines/>
            </w:pPr>
            <w:r w:rsidRPr="00E56520">
              <w:t xml:space="preserve">Payments for investments  </w:t>
            </w:r>
          </w:p>
        </w:tc>
        <w:tc>
          <w:tcPr>
            <w:tcW w:w="964" w:type="dxa"/>
            <w:shd w:val="clear" w:color="auto" w:fill="auto"/>
          </w:tcPr>
          <w:p w14:paraId="2987215E" w14:textId="77777777" w:rsidR="00DD0834" w:rsidRPr="000E0C83" w:rsidRDefault="00DD0834" w:rsidP="003B6997">
            <w:pPr>
              <w:pStyle w:val="BStabletextunbold"/>
              <w:jc w:val="right"/>
            </w:pPr>
            <w:r w:rsidRPr="000E0C83">
              <w:t>-318,523</w:t>
            </w:r>
          </w:p>
        </w:tc>
        <w:tc>
          <w:tcPr>
            <w:tcW w:w="964" w:type="dxa"/>
            <w:shd w:val="clear" w:color="auto" w:fill="auto"/>
            <w:noWrap/>
          </w:tcPr>
          <w:p w14:paraId="4017CAAC" w14:textId="77777777" w:rsidR="00DD0834" w:rsidRPr="000E0C83" w:rsidRDefault="00DD0834" w:rsidP="003B6997">
            <w:pPr>
              <w:pStyle w:val="BStabletextunbold"/>
              <w:jc w:val="right"/>
            </w:pPr>
            <w:r w:rsidRPr="000E0C83">
              <w:t>-5,063</w:t>
            </w:r>
          </w:p>
        </w:tc>
        <w:tc>
          <w:tcPr>
            <w:tcW w:w="964" w:type="dxa"/>
            <w:shd w:val="clear" w:color="auto" w:fill="auto"/>
            <w:noWrap/>
          </w:tcPr>
          <w:p w14:paraId="6BC6F2D0" w14:textId="77777777" w:rsidR="00DD0834" w:rsidRPr="000E0C83" w:rsidRDefault="00DD0834" w:rsidP="003B6997">
            <w:pPr>
              <w:pStyle w:val="BStabletextunbold"/>
              <w:jc w:val="right"/>
            </w:pPr>
            <w:r w:rsidRPr="000E0C83">
              <w:t>-633,819</w:t>
            </w:r>
          </w:p>
        </w:tc>
        <w:tc>
          <w:tcPr>
            <w:tcW w:w="964" w:type="dxa"/>
            <w:shd w:val="clear" w:color="auto" w:fill="auto"/>
            <w:noWrap/>
          </w:tcPr>
          <w:p w14:paraId="4A5DF698" w14:textId="77777777" w:rsidR="00DD0834" w:rsidRPr="000E0C83" w:rsidRDefault="00DD0834" w:rsidP="003B6997">
            <w:pPr>
              <w:pStyle w:val="BStabletextunbold"/>
              <w:jc w:val="right"/>
            </w:pPr>
            <w:r w:rsidRPr="000E0C83">
              <w:t>-264,934</w:t>
            </w:r>
          </w:p>
        </w:tc>
        <w:tc>
          <w:tcPr>
            <w:tcW w:w="964" w:type="dxa"/>
            <w:shd w:val="clear" w:color="auto" w:fill="auto"/>
            <w:noWrap/>
          </w:tcPr>
          <w:p w14:paraId="11CA07C1" w14:textId="77777777" w:rsidR="00DD0834" w:rsidRPr="000E0C83" w:rsidRDefault="00DD0834" w:rsidP="003B6997">
            <w:pPr>
              <w:pStyle w:val="BStabletextunbold"/>
              <w:jc w:val="right"/>
            </w:pPr>
            <w:r w:rsidRPr="000E0C83">
              <w:t>-293,584</w:t>
            </w:r>
          </w:p>
        </w:tc>
        <w:tc>
          <w:tcPr>
            <w:tcW w:w="964" w:type="dxa"/>
            <w:shd w:val="clear" w:color="auto" w:fill="auto"/>
            <w:noWrap/>
          </w:tcPr>
          <w:p w14:paraId="0E98251F" w14:textId="77777777" w:rsidR="00DD0834" w:rsidRPr="000E0C83" w:rsidRDefault="00DD0834" w:rsidP="003B6997">
            <w:pPr>
              <w:pStyle w:val="BStabletextunbold"/>
              <w:jc w:val="right"/>
            </w:pPr>
            <w:r w:rsidRPr="000E0C83">
              <w:t>-330,254</w:t>
            </w:r>
          </w:p>
        </w:tc>
      </w:tr>
      <w:tr w:rsidR="00DD0834" w:rsidRPr="007326A0" w14:paraId="52C479B3" w14:textId="77777777" w:rsidTr="003B6997">
        <w:trPr>
          <w:cantSplit/>
          <w:jc w:val="center"/>
        </w:trPr>
        <w:tc>
          <w:tcPr>
            <w:tcW w:w="2869" w:type="dxa"/>
            <w:shd w:val="clear" w:color="auto" w:fill="auto"/>
            <w:noWrap/>
          </w:tcPr>
          <w:p w14:paraId="6A544669" w14:textId="77777777" w:rsidR="00DD0834" w:rsidRPr="007326A0" w:rsidRDefault="00DD0834" w:rsidP="003B6997">
            <w:pPr>
              <w:pStyle w:val="BStabletextbold"/>
              <w:rPr>
                <w:color w:val="472D8C"/>
              </w:rPr>
            </w:pPr>
            <w:r w:rsidRPr="007326A0">
              <w:rPr>
                <w:color w:val="472D8C"/>
              </w:rPr>
              <w:t>Net cash flows from investments in financial assets for liquidity purposes</w:t>
            </w:r>
          </w:p>
        </w:tc>
        <w:tc>
          <w:tcPr>
            <w:tcW w:w="964" w:type="dxa"/>
            <w:shd w:val="clear" w:color="auto" w:fill="auto"/>
          </w:tcPr>
          <w:p w14:paraId="3E1E29BF" w14:textId="77777777" w:rsidR="00DD0834" w:rsidRPr="007326A0" w:rsidRDefault="00DD0834" w:rsidP="003B6997">
            <w:pPr>
              <w:pStyle w:val="BStabletextbold"/>
              <w:jc w:val="right"/>
              <w:rPr>
                <w:color w:val="472D8C"/>
              </w:rPr>
            </w:pPr>
            <w:r w:rsidRPr="007326A0">
              <w:rPr>
                <w:color w:val="472D8C"/>
              </w:rPr>
              <w:t>-242,463</w:t>
            </w:r>
          </w:p>
        </w:tc>
        <w:tc>
          <w:tcPr>
            <w:tcW w:w="964" w:type="dxa"/>
            <w:shd w:val="clear" w:color="auto" w:fill="auto"/>
            <w:noWrap/>
          </w:tcPr>
          <w:p w14:paraId="26346B0A" w14:textId="77777777" w:rsidR="00DD0834" w:rsidRPr="007326A0" w:rsidRDefault="00DD0834" w:rsidP="003B6997">
            <w:pPr>
              <w:pStyle w:val="BStabletextbold"/>
              <w:jc w:val="right"/>
              <w:rPr>
                <w:color w:val="472D8C"/>
              </w:rPr>
            </w:pPr>
            <w:r w:rsidRPr="007326A0">
              <w:rPr>
                <w:color w:val="472D8C"/>
              </w:rPr>
              <w:t>1,825</w:t>
            </w:r>
          </w:p>
        </w:tc>
        <w:tc>
          <w:tcPr>
            <w:tcW w:w="964" w:type="dxa"/>
            <w:shd w:val="clear" w:color="auto" w:fill="auto"/>
            <w:noWrap/>
          </w:tcPr>
          <w:p w14:paraId="43FB32A1" w14:textId="77777777" w:rsidR="00DD0834" w:rsidRPr="007326A0" w:rsidRDefault="00DD0834" w:rsidP="003B6997">
            <w:pPr>
              <w:pStyle w:val="BStabletextbold"/>
              <w:jc w:val="right"/>
              <w:rPr>
                <w:color w:val="472D8C"/>
              </w:rPr>
            </w:pPr>
            <w:r w:rsidRPr="007326A0">
              <w:rPr>
                <w:color w:val="472D8C"/>
              </w:rPr>
              <w:t>-590,021</w:t>
            </w:r>
          </w:p>
        </w:tc>
        <w:tc>
          <w:tcPr>
            <w:tcW w:w="964" w:type="dxa"/>
            <w:shd w:val="clear" w:color="auto" w:fill="auto"/>
            <w:noWrap/>
          </w:tcPr>
          <w:p w14:paraId="16D215B8" w14:textId="77777777" w:rsidR="00DD0834" w:rsidRPr="007326A0" w:rsidRDefault="00DD0834" w:rsidP="003B6997">
            <w:pPr>
              <w:pStyle w:val="BStabletextbold"/>
              <w:jc w:val="right"/>
              <w:rPr>
                <w:color w:val="472D8C"/>
              </w:rPr>
            </w:pPr>
            <w:r w:rsidRPr="007326A0">
              <w:rPr>
                <w:color w:val="472D8C"/>
              </w:rPr>
              <w:t>-208,351</w:t>
            </w:r>
          </w:p>
        </w:tc>
        <w:tc>
          <w:tcPr>
            <w:tcW w:w="964" w:type="dxa"/>
            <w:shd w:val="clear" w:color="auto" w:fill="auto"/>
            <w:noWrap/>
          </w:tcPr>
          <w:p w14:paraId="1497F569" w14:textId="77777777" w:rsidR="00DD0834" w:rsidRPr="007326A0" w:rsidRDefault="00DD0834" w:rsidP="003B6997">
            <w:pPr>
              <w:pStyle w:val="BStabletextbold"/>
              <w:jc w:val="right"/>
              <w:rPr>
                <w:color w:val="472D8C"/>
              </w:rPr>
            </w:pPr>
            <w:r w:rsidRPr="007326A0">
              <w:rPr>
                <w:color w:val="472D8C"/>
              </w:rPr>
              <w:t>-216,612</w:t>
            </w:r>
          </w:p>
        </w:tc>
        <w:tc>
          <w:tcPr>
            <w:tcW w:w="964" w:type="dxa"/>
            <w:shd w:val="clear" w:color="auto" w:fill="auto"/>
            <w:noWrap/>
          </w:tcPr>
          <w:p w14:paraId="24AE6E26" w14:textId="77777777" w:rsidR="00DD0834" w:rsidRPr="007326A0" w:rsidRDefault="00DD0834" w:rsidP="003B6997">
            <w:pPr>
              <w:pStyle w:val="BStabletextbold"/>
              <w:jc w:val="right"/>
              <w:rPr>
                <w:color w:val="472D8C"/>
              </w:rPr>
            </w:pPr>
            <w:r w:rsidRPr="007326A0">
              <w:rPr>
                <w:color w:val="472D8C"/>
              </w:rPr>
              <w:t>-231,935</w:t>
            </w:r>
          </w:p>
        </w:tc>
      </w:tr>
      <w:tr w:rsidR="00DD0834" w:rsidRPr="007326A0" w14:paraId="3FE95EA0" w14:textId="77777777" w:rsidTr="003B6997">
        <w:trPr>
          <w:cantSplit/>
          <w:jc w:val="center"/>
        </w:trPr>
        <w:tc>
          <w:tcPr>
            <w:tcW w:w="2869" w:type="dxa"/>
            <w:shd w:val="clear" w:color="auto" w:fill="auto"/>
            <w:noWrap/>
          </w:tcPr>
          <w:p w14:paraId="567DB652" w14:textId="77777777" w:rsidR="00DD0834" w:rsidRPr="007326A0" w:rsidRDefault="00DD0834" w:rsidP="003B6997">
            <w:pPr>
              <w:pStyle w:val="BStabletextbold"/>
              <w:rPr>
                <w:color w:val="472D8C"/>
              </w:rPr>
            </w:pPr>
            <w:r w:rsidRPr="007326A0">
              <w:rPr>
                <w:color w:val="472D8C"/>
              </w:rPr>
              <w:t>Net cash flows from investing activities</w:t>
            </w:r>
          </w:p>
        </w:tc>
        <w:tc>
          <w:tcPr>
            <w:tcW w:w="964" w:type="dxa"/>
            <w:shd w:val="clear" w:color="auto" w:fill="auto"/>
          </w:tcPr>
          <w:p w14:paraId="2FC85004" w14:textId="77777777" w:rsidR="00DD0834" w:rsidRPr="007326A0" w:rsidRDefault="00DD0834" w:rsidP="003B6997">
            <w:pPr>
              <w:pStyle w:val="BStabletextbold"/>
              <w:jc w:val="right"/>
              <w:rPr>
                <w:color w:val="472D8C"/>
              </w:rPr>
            </w:pPr>
            <w:r w:rsidRPr="007326A0">
              <w:rPr>
                <w:color w:val="472D8C"/>
              </w:rPr>
              <w:t>-1,013,680</w:t>
            </w:r>
          </w:p>
        </w:tc>
        <w:tc>
          <w:tcPr>
            <w:tcW w:w="964" w:type="dxa"/>
            <w:shd w:val="clear" w:color="auto" w:fill="auto"/>
            <w:noWrap/>
          </w:tcPr>
          <w:p w14:paraId="32B27655" w14:textId="77777777" w:rsidR="00DD0834" w:rsidRPr="007326A0" w:rsidRDefault="00DD0834" w:rsidP="003B6997">
            <w:pPr>
              <w:pStyle w:val="BStabletextbold"/>
              <w:jc w:val="right"/>
              <w:rPr>
                <w:color w:val="472D8C"/>
              </w:rPr>
            </w:pPr>
            <w:r w:rsidRPr="007326A0">
              <w:rPr>
                <w:color w:val="472D8C"/>
              </w:rPr>
              <w:t>-643,613</w:t>
            </w:r>
          </w:p>
        </w:tc>
        <w:tc>
          <w:tcPr>
            <w:tcW w:w="964" w:type="dxa"/>
            <w:shd w:val="clear" w:color="auto" w:fill="auto"/>
            <w:noWrap/>
          </w:tcPr>
          <w:p w14:paraId="03725C4C" w14:textId="77777777" w:rsidR="00DD0834" w:rsidRPr="007326A0" w:rsidRDefault="00DD0834" w:rsidP="003B6997">
            <w:pPr>
              <w:pStyle w:val="BStabletextbold"/>
              <w:jc w:val="right"/>
              <w:rPr>
                <w:color w:val="472D8C"/>
              </w:rPr>
            </w:pPr>
            <w:r w:rsidRPr="007326A0">
              <w:rPr>
                <w:color w:val="472D8C"/>
              </w:rPr>
              <w:t>-1,471,804</w:t>
            </w:r>
          </w:p>
        </w:tc>
        <w:tc>
          <w:tcPr>
            <w:tcW w:w="964" w:type="dxa"/>
            <w:shd w:val="clear" w:color="auto" w:fill="auto"/>
            <w:noWrap/>
          </w:tcPr>
          <w:p w14:paraId="554B72AD" w14:textId="77777777" w:rsidR="00DD0834" w:rsidRPr="007326A0" w:rsidRDefault="00DD0834" w:rsidP="003B6997">
            <w:pPr>
              <w:pStyle w:val="BStabletextbold"/>
              <w:jc w:val="right"/>
              <w:rPr>
                <w:color w:val="472D8C"/>
              </w:rPr>
            </w:pPr>
            <w:r w:rsidRPr="007326A0">
              <w:rPr>
                <w:color w:val="472D8C"/>
              </w:rPr>
              <w:t>-1,109,359</w:t>
            </w:r>
          </w:p>
        </w:tc>
        <w:tc>
          <w:tcPr>
            <w:tcW w:w="964" w:type="dxa"/>
            <w:shd w:val="clear" w:color="auto" w:fill="auto"/>
            <w:noWrap/>
          </w:tcPr>
          <w:p w14:paraId="4A7B30FC" w14:textId="77777777" w:rsidR="00DD0834" w:rsidRPr="007326A0" w:rsidRDefault="00DD0834" w:rsidP="003B6997">
            <w:pPr>
              <w:pStyle w:val="BStabletextbold"/>
              <w:jc w:val="right"/>
              <w:rPr>
                <w:color w:val="472D8C"/>
              </w:rPr>
            </w:pPr>
            <w:r w:rsidRPr="007326A0">
              <w:rPr>
                <w:color w:val="472D8C"/>
              </w:rPr>
              <w:t>-1,412,203</w:t>
            </w:r>
          </w:p>
        </w:tc>
        <w:tc>
          <w:tcPr>
            <w:tcW w:w="964" w:type="dxa"/>
            <w:shd w:val="clear" w:color="auto" w:fill="auto"/>
            <w:noWrap/>
          </w:tcPr>
          <w:p w14:paraId="73132117" w14:textId="77777777" w:rsidR="00DD0834" w:rsidRPr="007326A0" w:rsidRDefault="00DD0834" w:rsidP="003B6997">
            <w:pPr>
              <w:pStyle w:val="BStabletextbold"/>
              <w:jc w:val="right"/>
              <w:rPr>
                <w:color w:val="472D8C"/>
              </w:rPr>
            </w:pPr>
            <w:r w:rsidRPr="007326A0">
              <w:rPr>
                <w:color w:val="472D8C"/>
              </w:rPr>
              <w:t>-1,482,530</w:t>
            </w:r>
          </w:p>
        </w:tc>
      </w:tr>
      <w:tr w:rsidR="00DD0834" w:rsidRPr="007326A0" w14:paraId="78BE63F8" w14:textId="77777777" w:rsidTr="003B6997">
        <w:trPr>
          <w:cantSplit/>
          <w:jc w:val="center"/>
        </w:trPr>
        <w:tc>
          <w:tcPr>
            <w:tcW w:w="2869" w:type="dxa"/>
            <w:shd w:val="clear" w:color="auto" w:fill="auto"/>
            <w:noWrap/>
            <w:vAlign w:val="bottom"/>
          </w:tcPr>
          <w:p w14:paraId="76DFEFEC" w14:textId="77777777" w:rsidR="00DD0834" w:rsidRPr="007326A0" w:rsidRDefault="00DD0834" w:rsidP="003B6997">
            <w:pPr>
              <w:pStyle w:val="BStabletextunbold"/>
              <w:rPr>
                <w:b/>
                <w:bCs w:val="0"/>
              </w:rPr>
            </w:pPr>
            <w:r w:rsidRPr="007326A0">
              <w:rPr>
                <w:b/>
                <w:bCs w:val="0"/>
              </w:rPr>
              <w:t>Cash flows from financing activities</w:t>
            </w:r>
          </w:p>
        </w:tc>
        <w:tc>
          <w:tcPr>
            <w:tcW w:w="964" w:type="dxa"/>
            <w:shd w:val="clear" w:color="auto" w:fill="auto"/>
          </w:tcPr>
          <w:p w14:paraId="08041BBC" w14:textId="77777777" w:rsidR="00DD0834" w:rsidRPr="007326A0" w:rsidRDefault="00DD0834" w:rsidP="003B6997">
            <w:pPr>
              <w:pStyle w:val="BStabletextunbold"/>
              <w:rPr>
                <w:b/>
                <w:bCs w:val="0"/>
              </w:rPr>
            </w:pPr>
          </w:p>
        </w:tc>
        <w:tc>
          <w:tcPr>
            <w:tcW w:w="964" w:type="dxa"/>
            <w:shd w:val="clear" w:color="auto" w:fill="auto"/>
            <w:noWrap/>
          </w:tcPr>
          <w:p w14:paraId="20A8BD76" w14:textId="77777777" w:rsidR="00DD0834" w:rsidRPr="007326A0" w:rsidRDefault="00DD0834" w:rsidP="003B6997">
            <w:pPr>
              <w:pStyle w:val="BStabletextunbold"/>
              <w:rPr>
                <w:b/>
                <w:bCs w:val="0"/>
              </w:rPr>
            </w:pPr>
          </w:p>
        </w:tc>
        <w:tc>
          <w:tcPr>
            <w:tcW w:w="964" w:type="dxa"/>
            <w:shd w:val="clear" w:color="auto" w:fill="auto"/>
            <w:noWrap/>
          </w:tcPr>
          <w:p w14:paraId="04791A42" w14:textId="77777777" w:rsidR="00DD0834" w:rsidRPr="007326A0" w:rsidRDefault="00DD0834" w:rsidP="003B6997">
            <w:pPr>
              <w:pStyle w:val="BStabletextunbold"/>
              <w:rPr>
                <w:b/>
                <w:bCs w:val="0"/>
              </w:rPr>
            </w:pPr>
          </w:p>
        </w:tc>
        <w:tc>
          <w:tcPr>
            <w:tcW w:w="964" w:type="dxa"/>
            <w:shd w:val="clear" w:color="auto" w:fill="auto"/>
            <w:noWrap/>
          </w:tcPr>
          <w:p w14:paraId="34F106E8" w14:textId="77777777" w:rsidR="00DD0834" w:rsidRPr="007326A0" w:rsidRDefault="00DD0834" w:rsidP="003B6997">
            <w:pPr>
              <w:pStyle w:val="BStabletextunbold"/>
              <w:rPr>
                <w:b/>
                <w:bCs w:val="0"/>
              </w:rPr>
            </w:pPr>
          </w:p>
        </w:tc>
        <w:tc>
          <w:tcPr>
            <w:tcW w:w="964" w:type="dxa"/>
            <w:shd w:val="clear" w:color="auto" w:fill="auto"/>
            <w:noWrap/>
          </w:tcPr>
          <w:p w14:paraId="1DA2BD36" w14:textId="77777777" w:rsidR="00DD0834" w:rsidRPr="007326A0" w:rsidRDefault="00DD0834" w:rsidP="003B6997">
            <w:pPr>
              <w:pStyle w:val="BStabletextunbold"/>
              <w:rPr>
                <w:b/>
                <w:bCs w:val="0"/>
              </w:rPr>
            </w:pPr>
          </w:p>
        </w:tc>
        <w:tc>
          <w:tcPr>
            <w:tcW w:w="964" w:type="dxa"/>
            <w:shd w:val="clear" w:color="auto" w:fill="auto"/>
            <w:noWrap/>
          </w:tcPr>
          <w:p w14:paraId="07418CAC" w14:textId="77777777" w:rsidR="00DD0834" w:rsidRPr="007326A0" w:rsidRDefault="00DD0834" w:rsidP="003B6997">
            <w:pPr>
              <w:pStyle w:val="BStabletextunbold"/>
              <w:rPr>
                <w:b/>
                <w:bCs w:val="0"/>
              </w:rPr>
            </w:pPr>
          </w:p>
        </w:tc>
      </w:tr>
      <w:tr w:rsidR="00DD0834" w:rsidRPr="00601709" w14:paraId="69BD007B" w14:textId="77777777" w:rsidTr="003B6997">
        <w:trPr>
          <w:cantSplit/>
          <w:jc w:val="center"/>
        </w:trPr>
        <w:tc>
          <w:tcPr>
            <w:tcW w:w="2869" w:type="dxa"/>
            <w:shd w:val="clear" w:color="auto" w:fill="auto"/>
            <w:noWrap/>
          </w:tcPr>
          <w:p w14:paraId="3B0E17DB" w14:textId="77777777" w:rsidR="00DD0834" w:rsidRPr="00601709" w:rsidRDefault="00DD0834" w:rsidP="003B6997">
            <w:pPr>
              <w:pStyle w:val="BStabletextbold"/>
            </w:pPr>
            <w:r w:rsidRPr="007326A0">
              <w:t>Receipts</w:t>
            </w:r>
          </w:p>
        </w:tc>
        <w:tc>
          <w:tcPr>
            <w:tcW w:w="964" w:type="dxa"/>
            <w:shd w:val="clear" w:color="auto" w:fill="auto"/>
          </w:tcPr>
          <w:p w14:paraId="26B602A7" w14:textId="77777777" w:rsidR="00DD0834" w:rsidRPr="00601709" w:rsidRDefault="00DD0834" w:rsidP="003B6997">
            <w:pPr>
              <w:pStyle w:val="BStabletextbold"/>
            </w:pPr>
          </w:p>
        </w:tc>
        <w:tc>
          <w:tcPr>
            <w:tcW w:w="964" w:type="dxa"/>
            <w:shd w:val="clear" w:color="auto" w:fill="auto"/>
            <w:noWrap/>
          </w:tcPr>
          <w:p w14:paraId="2F908F32" w14:textId="77777777" w:rsidR="00DD0834" w:rsidRPr="00601709" w:rsidRDefault="00DD0834" w:rsidP="003B6997">
            <w:pPr>
              <w:pStyle w:val="BStabletextbold"/>
            </w:pPr>
          </w:p>
        </w:tc>
        <w:tc>
          <w:tcPr>
            <w:tcW w:w="964" w:type="dxa"/>
            <w:shd w:val="clear" w:color="auto" w:fill="auto"/>
            <w:noWrap/>
          </w:tcPr>
          <w:p w14:paraId="57D2326D" w14:textId="77777777" w:rsidR="00DD0834" w:rsidRPr="00601709" w:rsidRDefault="00DD0834" w:rsidP="003B6997">
            <w:pPr>
              <w:pStyle w:val="BStabletextbold"/>
            </w:pPr>
          </w:p>
        </w:tc>
        <w:tc>
          <w:tcPr>
            <w:tcW w:w="964" w:type="dxa"/>
            <w:shd w:val="clear" w:color="auto" w:fill="auto"/>
            <w:noWrap/>
          </w:tcPr>
          <w:p w14:paraId="35E56174" w14:textId="77777777" w:rsidR="00DD0834" w:rsidRPr="00601709" w:rsidRDefault="00DD0834" w:rsidP="003B6997">
            <w:pPr>
              <w:pStyle w:val="BStabletextbold"/>
            </w:pPr>
          </w:p>
        </w:tc>
        <w:tc>
          <w:tcPr>
            <w:tcW w:w="964" w:type="dxa"/>
            <w:shd w:val="clear" w:color="auto" w:fill="auto"/>
            <w:noWrap/>
          </w:tcPr>
          <w:p w14:paraId="3BD88186" w14:textId="77777777" w:rsidR="00DD0834" w:rsidRPr="00601709" w:rsidRDefault="00DD0834" w:rsidP="003B6997">
            <w:pPr>
              <w:pStyle w:val="BStabletextbold"/>
            </w:pPr>
          </w:p>
        </w:tc>
        <w:tc>
          <w:tcPr>
            <w:tcW w:w="964" w:type="dxa"/>
            <w:shd w:val="clear" w:color="auto" w:fill="auto"/>
            <w:noWrap/>
          </w:tcPr>
          <w:p w14:paraId="7BEDB81C" w14:textId="77777777" w:rsidR="00DD0834" w:rsidRPr="00601709" w:rsidRDefault="00DD0834" w:rsidP="003B6997">
            <w:pPr>
              <w:pStyle w:val="BStabletextbold"/>
            </w:pPr>
          </w:p>
        </w:tc>
      </w:tr>
      <w:tr w:rsidR="00DD0834" w:rsidRPr="006D5D15" w14:paraId="65387A68" w14:textId="77777777" w:rsidTr="003B6997">
        <w:trPr>
          <w:cantSplit/>
          <w:jc w:val="center"/>
        </w:trPr>
        <w:tc>
          <w:tcPr>
            <w:tcW w:w="2869" w:type="dxa"/>
            <w:shd w:val="clear" w:color="auto" w:fill="auto"/>
            <w:noWrap/>
          </w:tcPr>
          <w:p w14:paraId="12C867B2" w14:textId="77777777" w:rsidR="00DD0834" w:rsidRPr="00601709" w:rsidRDefault="00DD0834" w:rsidP="003B6997">
            <w:pPr>
              <w:pStyle w:val="BStabletextunbold"/>
              <w:keepNext/>
              <w:keepLines/>
            </w:pPr>
            <w:r w:rsidRPr="00E56520">
              <w:t>Borrowings</w:t>
            </w:r>
          </w:p>
        </w:tc>
        <w:tc>
          <w:tcPr>
            <w:tcW w:w="964" w:type="dxa"/>
            <w:shd w:val="clear" w:color="auto" w:fill="auto"/>
          </w:tcPr>
          <w:p w14:paraId="2D3ED88E" w14:textId="77777777" w:rsidR="00DD0834" w:rsidRPr="007326A0" w:rsidRDefault="00DD0834" w:rsidP="003B6997">
            <w:pPr>
              <w:pStyle w:val="BStabletextunbold"/>
              <w:keepNext/>
              <w:keepLines/>
              <w:jc w:val="right"/>
            </w:pPr>
            <w:r w:rsidRPr="007326A0">
              <w:t>1,147,032</w:t>
            </w:r>
          </w:p>
        </w:tc>
        <w:tc>
          <w:tcPr>
            <w:tcW w:w="964" w:type="dxa"/>
            <w:shd w:val="clear" w:color="auto" w:fill="auto"/>
            <w:noWrap/>
          </w:tcPr>
          <w:p w14:paraId="5F067E99" w14:textId="77777777" w:rsidR="00DD0834" w:rsidRPr="007326A0" w:rsidRDefault="00DD0834" w:rsidP="003B6997">
            <w:pPr>
              <w:pStyle w:val="BStabletextunbold"/>
              <w:keepNext/>
              <w:keepLines/>
              <w:jc w:val="right"/>
            </w:pPr>
            <w:r w:rsidRPr="007326A0">
              <w:t>992,074</w:t>
            </w:r>
          </w:p>
        </w:tc>
        <w:tc>
          <w:tcPr>
            <w:tcW w:w="964" w:type="dxa"/>
            <w:shd w:val="clear" w:color="auto" w:fill="auto"/>
            <w:noWrap/>
          </w:tcPr>
          <w:p w14:paraId="1733AA92" w14:textId="77777777" w:rsidR="00DD0834" w:rsidRPr="007326A0" w:rsidRDefault="00DD0834" w:rsidP="003B6997">
            <w:pPr>
              <w:pStyle w:val="BStabletextunbold"/>
              <w:keepNext/>
              <w:keepLines/>
              <w:jc w:val="right"/>
            </w:pPr>
            <w:r w:rsidRPr="007326A0">
              <w:t>1,748,113</w:t>
            </w:r>
          </w:p>
        </w:tc>
        <w:tc>
          <w:tcPr>
            <w:tcW w:w="964" w:type="dxa"/>
            <w:shd w:val="clear" w:color="auto" w:fill="auto"/>
            <w:noWrap/>
          </w:tcPr>
          <w:p w14:paraId="34236799" w14:textId="77777777" w:rsidR="00DD0834" w:rsidRPr="007326A0" w:rsidRDefault="00DD0834" w:rsidP="003B6997">
            <w:pPr>
              <w:pStyle w:val="BStabletextunbold"/>
              <w:keepNext/>
              <w:keepLines/>
              <w:jc w:val="right"/>
            </w:pPr>
            <w:r w:rsidRPr="007326A0">
              <w:t>710,560</w:t>
            </w:r>
          </w:p>
        </w:tc>
        <w:tc>
          <w:tcPr>
            <w:tcW w:w="964" w:type="dxa"/>
            <w:shd w:val="clear" w:color="auto" w:fill="auto"/>
            <w:noWrap/>
          </w:tcPr>
          <w:p w14:paraId="4D4A3A23" w14:textId="77777777" w:rsidR="00DD0834" w:rsidRPr="007326A0" w:rsidRDefault="00DD0834" w:rsidP="003B6997">
            <w:pPr>
              <w:pStyle w:val="BStabletextunbold"/>
              <w:keepNext/>
              <w:keepLines/>
              <w:jc w:val="right"/>
            </w:pPr>
            <w:r w:rsidRPr="007326A0">
              <w:t>2,101,653</w:t>
            </w:r>
          </w:p>
        </w:tc>
        <w:tc>
          <w:tcPr>
            <w:tcW w:w="964" w:type="dxa"/>
            <w:shd w:val="clear" w:color="auto" w:fill="auto"/>
            <w:noWrap/>
          </w:tcPr>
          <w:p w14:paraId="33A53D96" w14:textId="77777777" w:rsidR="00DD0834" w:rsidRPr="007326A0" w:rsidRDefault="00DD0834" w:rsidP="003B6997">
            <w:pPr>
              <w:pStyle w:val="BStabletextunbold"/>
              <w:keepNext/>
              <w:keepLines/>
              <w:jc w:val="right"/>
            </w:pPr>
            <w:r w:rsidRPr="007326A0">
              <w:t>1,045,401</w:t>
            </w:r>
          </w:p>
        </w:tc>
      </w:tr>
      <w:tr w:rsidR="00DD0834" w:rsidRPr="006D5D15" w14:paraId="67B74CC4" w14:textId="77777777" w:rsidTr="003B6997">
        <w:trPr>
          <w:cantSplit/>
          <w:jc w:val="center"/>
        </w:trPr>
        <w:tc>
          <w:tcPr>
            <w:tcW w:w="2869" w:type="dxa"/>
            <w:shd w:val="clear" w:color="auto" w:fill="auto"/>
            <w:noWrap/>
          </w:tcPr>
          <w:p w14:paraId="42BCDC98" w14:textId="77777777" w:rsidR="00DD0834" w:rsidRPr="00601709" w:rsidRDefault="00DD0834" w:rsidP="003B6997">
            <w:pPr>
              <w:pStyle w:val="BStabletextbold"/>
            </w:pPr>
            <w:r w:rsidRPr="007326A0">
              <w:t>Total receipts from financing activities</w:t>
            </w:r>
          </w:p>
        </w:tc>
        <w:tc>
          <w:tcPr>
            <w:tcW w:w="964" w:type="dxa"/>
            <w:shd w:val="clear" w:color="auto" w:fill="auto"/>
          </w:tcPr>
          <w:p w14:paraId="626793E0" w14:textId="77777777" w:rsidR="00DD0834" w:rsidRPr="007326A0" w:rsidRDefault="00DD0834" w:rsidP="003B6997">
            <w:pPr>
              <w:pStyle w:val="BStabletextbold"/>
              <w:jc w:val="right"/>
            </w:pPr>
            <w:r w:rsidRPr="007326A0">
              <w:t>1,147,032</w:t>
            </w:r>
          </w:p>
        </w:tc>
        <w:tc>
          <w:tcPr>
            <w:tcW w:w="964" w:type="dxa"/>
            <w:shd w:val="clear" w:color="auto" w:fill="auto"/>
            <w:noWrap/>
          </w:tcPr>
          <w:p w14:paraId="3AA0DE5A" w14:textId="77777777" w:rsidR="00DD0834" w:rsidRPr="007326A0" w:rsidRDefault="00DD0834" w:rsidP="003B6997">
            <w:pPr>
              <w:pStyle w:val="BStabletextbold"/>
              <w:jc w:val="right"/>
            </w:pPr>
            <w:r w:rsidRPr="007326A0">
              <w:t>992,074</w:t>
            </w:r>
          </w:p>
        </w:tc>
        <w:tc>
          <w:tcPr>
            <w:tcW w:w="964" w:type="dxa"/>
            <w:shd w:val="clear" w:color="auto" w:fill="auto"/>
            <w:noWrap/>
          </w:tcPr>
          <w:p w14:paraId="487F04B4" w14:textId="77777777" w:rsidR="00DD0834" w:rsidRPr="007326A0" w:rsidRDefault="00DD0834" w:rsidP="003B6997">
            <w:pPr>
              <w:pStyle w:val="BStabletextbold"/>
              <w:jc w:val="right"/>
            </w:pPr>
            <w:r w:rsidRPr="007326A0">
              <w:t>1,748,113</w:t>
            </w:r>
          </w:p>
        </w:tc>
        <w:tc>
          <w:tcPr>
            <w:tcW w:w="964" w:type="dxa"/>
            <w:shd w:val="clear" w:color="auto" w:fill="auto"/>
            <w:noWrap/>
          </w:tcPr>
          <w:p w14:paraId="4BE43758" w14:textId="77777777" w:rsidR="00DD0834" w:rsidRPr="007326A0" w:rsidRDefault="00DD0834" w:rsidP="003B6997">
            <w:pPr>
              <w:pStyle w:val="BStabletextbold"/>
              <w:jc w:val="right"/>
            </w:pPr>
            <w:r w:rsidRPr="007326A0">
              <w:t>710,560</w:t>
            </w:r>
          </w:p>
        </w:tc>
        <w:tc>
          <w:tcPr>
            <w:tcW w:w="964" w:type="dxa"/>
            <w:shd w:val="clear" w:color="auto" w:fill="auto"/>
            <w:noWrap/>
          </w:tcPr>
          <w:p w14:paraId="0D2C0F87" w14:textId="77777777" w:rsidR="00DD0834" w:rsidRPr="007326A0" w:rsidRDefault="00DD0834" w:rsidP="003B6997">
            <w:pPr>
              <w:pStyle w:val="BStabletextbold"/>
              <w:jc w:val="right"/>
            </w:pPr>
            <w:r w:rsidRPr="007326A0">
              <w:t>2,101,653</w:t>
            </w:r>
          </w:p>
        </w:tc>
        <w:tc>
          <w:tcPr>
            <w:tcW w:w="964" w:type="dxa"/>
            <w:shd w:val="clear" w:color="auto" w:fill="auto"/>
            <w:noWrap/>
          </w:tcPr>
          <w:p w14:paraId="6E5C5860" w14:textId="77777777" w:rsidR="00DD0834" w:rsidRPr="007326A0" w:rsidRDefault="00DD0834" w:rsidP="003B6997">
            <w:pPr>
              <w:pStyle w:val="BStabletextbold"/>
              <w:jc w:val="right"/>
            </w:pPr>
            <w:r w:rsidRPr="007326A0">
              <w:t>1,045,401</w:t>
            </w:r>
          </w:p>
        </w:tc>
      </w:tr>
      <w:tr w:rsidR="00DD0834" w:rsidRPr="006D5D15" w14:paraId="44EB6852" w14:textId="77777777" w:rsidTr="003B6997">
        <w:trPr>
          <w:cantSplit/>
          <w:jc w:val="center"/>
        </w:trPr>
        <w:tc>
          <w:tcPr>
            <w:tcW w:w="2869" w:type="dxa"/>
            <w:shd w:val="clear" w:color="auto" w:fill="auto"/>
            <w:noWrap/>
            <w:vAlign w:val="bottom"/>
          </w:tcPr>
          <w:p w14:paraId="7E08D8A3" w14:textId="77777777" w:rsidR="00DD0834" w:rsidRPr="007326A0" w:rsidRDefault="00DD0834" w:rsidP="003B6997">
            <w:pPr>
              <w:pStyle w:val="BStabletextbold"/>
            </w:pPr>
            <w:r w:rsidRPr="00B02825">
              <w:t>Payments</w:t>
            </w:r>
          </w:p>
        </w:tc>
        <w:tc>
          <w:tcPr>
            <w:tcW w:w="964" w:type="dxa"/>
            <w:shd w:val="clear" w:color="auto" w:fill="auto"/>
          </w:tcPr>
          <w:p w14:paraId="346BD276" w14:textId="77777777" w:rsidR="00DD0834" w:rsidRPr="007326A0" w:rsidRDefault="00DD0834" w:rsidP="003B6997">
            <w:pPr>
              <w:pStyle w:val="BStabletextbold"/>
              <w:jc w:val="right"/>
            </w:pPr>
          </w:p>
        </w:tc>
        <w:tc>
          <w:tcPr>
            <w:tcW w:w="964" w:type="dxa"/>
            <w:shd w:val="clear" w:color="auto" w:fill="auto"/>
            <w:noWrap/>
          </w:tcPr>
          <w:p w14:paraId="2775CC6A" w14:textId="77777777" w:rsidR="00DD0834" w:rsidRPr="007326A0" w:rsidRDefault="00DD0834" w:rsidP="003B6997">
            <w:pPr>
              <w:pStyle w:val="BStabletextbold"/>
              <w:jc w:val="right"/>
            </w:pPr>
          </w:p>
        </w:tc>
        <w:tc>
          <w:tcPr>
            <w:tcW w:w="964" w:type="dxa"/>
            <w:shd w:val="clear" w:color="auto" w:fill="auto"/>
            <w:noWrap/>
          </w:tcPr>
          <w:p w14:paraId="6D2FC649" w14:textId="77777777" w:rsidR="00DD0834" w:rsidRPr="007326A0" w:rsidRDefault="00DD0834" w:rsidP="003B6997">
            <w:pPr>
              <w:pStyle w:val="BStabletextbold"/>
              <w:jc w:val="right"/>
            </w:pPr>
          </w:p>
        </w:tc>
        <w:tc>
          <w:tcPr>
            <w:tcW w:w="964" w:type="dxa"/>
            <w:shd w:val="clear" w:color="auto" w:fill="auto"/>
            <w:noWrap/>
          </w:tcPr>
          <w:p w14:paraId="5CD6DF2C" w14:textId="77777777" w:rsidR="00DD0834" w:rsidRPr="007326A0" w:rsidRDefault="00DD0834" w:rsidP="003B6997">
            <w:pPr>
              <w:pStyle w:val="BStabletextbold"/>
              <w:jc w:val="right"/>
            </w:pPr>
          </w:p>
        </w:tc>
        <w:tc>
          <w:tcPr>
            <w:tcW w:w="964" w:type="dxa"/>
            <w:shd w:val="clear" w:color="auto" w:fill="auto"/>
            <w:noWrap/>
          </w:tcPr>
          <w:p w14:paraId="3A3C702E" w14:textId="77777777" w:rsidR="00DD0834" w:rsidRPr="007326A0" w:rsidRDefault="00DD0834" w:rsidP="003B6997">
            <w:pPr>
              <w:pStyle w:val="BStabletextbold"/>
              <w:jc w:val="right"/>
            </w:pPr>
          </w:p>
        </w:tc>
        <w:tc>
          <w:tcPr>
            <w:tcW w:w="964" w:type="dxa"/>
            <w:shd w:val="clear" w:color="auto" w:fill="auto"/>
            <w:noWrap/>
          </w:tcPr>
          <w:p w14:paraId="3BA85C58" w14:textId="77777777" w:rsidR="00DD0834" w:rsidRPr="007326A0" w:rsidRDefault="00DD0834" w:rsidP="003B6997">
            <w:pPr>
              <w:pStyle w:val="BStabletextbold"/>
              <w:jc w:val="right"/>
            </w:pPr>
          </w:p>
        </w:tc>
      </w:tr>
      <w:tr w:rsidR="00DD0834" w:rsidRPr="00601709" w14:paraId="57E3BC36" w14:textId="77777777" w:rsidTr="003B6997">
        <w:trPr>
          <w:cantSplit/>
          <w:jc w:val="center"/>
        </w:trPr>
        <w:tc>
          <w:tcPr>
            <w:tcW w:w="2869" w:type="dxa"/>
            <w:shd w:val="clear" w:color="auto" w:fill="auto"/>
            <w:noWrap/>
          </w:tcPr>
          <w:p w14:paraId="160DEF27" w14:textId="77777777" w:rsidR="00DD0834" w:rsidRPr="007326A0" w:rsidRDefault="00DD0834" w:rsidP="003B6997">
            <w:pPr>
              <w:pStyle w:val="BStabletextunbold"/>
              <w:keepNext/>
              <w:keepLines/>
            </w:pPr>
            <w:r w:rsidRPr="00B02825">
              <w:t>Borrowings</w:t>
            </w:r>
          </w:p>
        </w:tc>
        <w:tc>
          <w:tcPr>
            <w:tcW w:w="964" w:type="dxa"/>
            <w:shd w:val="clear" w:color="auto" w:fill="auto"/>
          </w:tcPr>
          <w:p w14:paraId="2F9C6B15" w14:textId="77777777" w:rsidR="00DD0834" w:rsidRPr="007326A0" w:rsidRDefault="00DD0834" w:rsidP="003B6997">
            <w:pPr>
              <w:pStyle w:val="BStabletextunbold"/>
              <w:keepNext/>
              <w:keepLines/>
              <w:jc w:val="right"/>
            </w:pPr>
            <w:r w:rsidRPr="007326A0">
              <w:t>-20,004</w:t>
            </w:r>
          </w:p>
        </w:tc>
        <w:tc>
          <w:tcPr>
            <w:tcW w:w="964" w:type="dxa"/>
            <w:shd w:val="clear" w:color="auto" w:fill="auto"/>
            <w:noWrap/>
          </w:tcPr>
          <w:p w14:paraId="1EC4DC26" w14:textId="77777777" w:rsidR="00DD0834" w:rsidRPr="007326A0" w:rsidRDefault="00DD0834" w:rsidP="003B6997">
            <w:pPr>
              <w:pStyle w:val="BStabletextunbold"/>
              <w:keepNext/>
              <w:keepLines/>
              <w:jc w:val="right"/>
            </w:pPr>
            <w:r w:rsidRPr="007326A0">
              <w:t>-11,525</w:t>
            </w:r>
          </w:p>
        </w:tc>
        <w:tc>
          <w:tcPr>
            <w:tcW w:w="964" w:type="dxa"/>
            <w:shd w:val="clear" w:color="auto" w:fill="auto"/>
            <w:noWrap/>
          </w:tcPr>
          <w:p w14:paraId="013E5747" w14:textId="77777777" w:rsidR="00DD0834" w:rsidRPr="007326A0" w:rsidRDefault="00DD0834" w:rsidP="003B6997">
            <w:pPr>
              <w:pStyle w:val="BStabletextunbold"/>
              <w:keepNext/>
              <w:keepLines/>
              <w:jc w:val="right"/>
            </w:pPr>
            <w:r w:rsidRPr="007326A0">
              <w:t>-25,179</w:t>
            </w:r>
          </w:p>
        </w:tc>
        <w:tc>
          <w:tcPr>
            <w:tcW w:w="964" w:type="dxa"/>
            <w:shd w:val="clear" w:color="auto" w:fill="auto"/>
            <w:noWrap/>
          </w:tcPr>
          <w:p w14:paraId="4FA6FE7B" w14:textId="77777777" w:rsidR="00DD0834" w:rsidRPr="007326A0" w:rsidRDefault="00DD0834" w:rsidP="003B6997">
            <w:pPr>
              <w:pStyle w:val="BStabletextunbold"/>
              <w:keepNext/>
              <w:keepLines/>
              <w:jc w:val="right"/>
            </w:pPr>
            <w:r w:rsidRPr="007326A0">
              <w:t>-23,828</w:t>
            </w:r>
          </w:p>
        </w:tc>
        <w:tc>
          <w:tcPr>
            <w:tcW w:w="964" w:type="dxa"/>
            <w:shd w:val="clear" w:color="auto" w:fill="auto"/>
            <w:noWrap/>
          </w:tcPr>
          <w:p w14:paraId="547D9DA9" w14:textId="77777777" w:rsidR="00DD0834" w:rsidRPr="007326A0" w:rsidRDefault="00DD0834" w:rsidP="003B6997">
            <w:pPr>
              <w:pStyle w:val="BStabletextunbold"/>
              <w:keepNext/>
              <w:keepLines/>
              <w:jc w:val="right"/>
            </w:pPr>
            <w:r w:rsidRPr="007326A0">
              <w:t>-23,650</w:t>
            </w:r>
          </w:p>
        </w:tc>
        <w:tc>
          <w:tcPr>
            <w:tcW w:w="964" w:type="dxa"/>
            <w:shd w:val="clear" w:color="auto" w:fill="auto"/>
            <w:noWrap/>
          </w:tcPr>
          <w:p w14:paraId="72162DB0" w14:textId="77777777" w:rsidR="00DD0834" w:rsidRPr="007326A0" w:rsidRDefault="00DD0834" w:rsidP="003B6997">
            <w:pPr>
              <w:pStyle w:val="BStabletextunbold"/>
              <w:keepNext/>
              <w:keepLines/>
              <w:jc w:val="right"/>
            </w:pPr>
            <w:r w:rsidRPr="007326A0">
              <w:t>-23,730</w:t>
            </w:r>
          </w:p>
        </w:tc>
      </w:tr>
      <w:tr w:rsidR="00DD0834" w:rsidRPr="006D5D15" w14:paraId="7F7E3924" w14:textId="77777777" w:rsidTr="003B6997">
        <w:trPr>
          <w:cantSplit/>
          <w:jc w:val="center"/>
        </w:trPr>
        <w:tc>
          <w:tcPr>
            <w:tcW w:w="2869" w:type="dxa"/>
            <w:shd w:val="clear" w:color="auto" w:fill="auto"/>
            <w:noWrap/>
          </w:tcPr>
          <w:p w14:paraId="56B84672" w14:textId="77777777" w:rsidR="00DD0834" w:rsidRPr="007326A0" w:rsidRDefault="00DD0834" w:rsidP="003B6997">
            <w:pPr>
              <w:pStyle w:val="BStabletextunbold"/>
              <w:keepNext/>
              <w:keepLines/>
            </w:pPr>
            <w:r w:rsidRPr="00B02825">
              <w:t>Repayment of lease liabilities - principal</w:t>
            </w:r>
          </w:p>
        </w:tc>
        <w:tc>
          <w:tcPr>
            <w:tcW w:w="964" w:type="dxa"/>
            <w:shd w:val="clear" w:color="auto" w:fill="auto"/>
          </w:tcPr>
          <w:p w14:paraId="767373A7" w14:textId="77777777" w:rsidR="00DD0834" w:rsidRPr="007326A0" w:rsidRDefault="00DD0834" w:rsidP="003B6997">
            <w:pPr>
              <w:pStyle w:val="BStabletextunbold"/>
              <w:keepNext/>
              <w:keepLines/>
              <w:jc w:val="right"/>
            </w:pPr>
            <w:r w:rsidRPr="007326A0">
              <w:t>-51,084</w:t>
            </w:r>
          </w:p>
        </w:tc>
        <w:tc>
          <w:tcPr>
            <w:tcW w:w="964" w:type="dxa"/>
            <w:shd w:val="clear" w:color="auto" w:fill="auto"/>
            <w:noWrap/>
          </w:tcPr>
          <w:p w14:paraId="4628D19E" w14:textId="77777777" w:rsidR="00DD0834" w:rsidRPr="007326A0" w:rsidRDefault="00DD0834" w:rsidP="003B6997">
            <w:pPr>
              <w:pStyle w:val="BStabletextunbold"/>
              <w:keepNext/>
              <w:keepLines/>
              <w:jc w:val="right"/>
            </w:pPr>
            <w:r w:rsidRPr="007326A0">
              <w:t>-64,721</w:t>
            </w:r>
          </w:p>
        </w:tc>
        <w:tc>
          <w:tcPr>
            <w:tcW w:w="964" w:type="dxa"/>
            <w:shd w:val="clear" w:color="auto" w:fill="auto"/>
            <w:noWrap/>
          </w:tcPr>
          <w:p w14:paraId="26FE6F4B" w14:textId="77777777" w:rsidR="00DD0834" w:rsidRPr="007326A0" w:rsidRDefault="00DD0834" w:rsidP="003B6997">
            <w:pPr>
              <w:pStyle w:val="BStabletextunbold"/>
              <w:keepNext/>
              <w:keepLines/>
              <w:jc w:val="right"/>
            </w:pPr>
            <w:r w:rsidRPr="007326A0">
              <w:t>-57,351</w:t>
            </w:r>
          </w:p>
        </w:tc>
        <w:tc>
          <w:tcPr>
            <w:tcW w:w="964" w:type="dxa"/>
            <w:shd w:val="clear" w:color="auto" w:fill="auto"/>
            <w:noWrap/>
          </w:tcPr>
          <w:p w14:paraId="0A00625F" w14:textId="77777777" w:rsidR="00DD0834" w:rsidRPr="007326A0" w:rsidRDefault="00DD0834" w:rsidP="003B6997">
            <w:pPr>
              <w:pStyle w:val="BStabletextunbold"/>
              <w:keepNext/>
              <w:keepLines/>
              <w:jc w:val="right"/>
            </w:pPr>
            <w:r w:rsidRPr="007326A0">
              <w:t>-60,634</w:t>
            </w:r>
          </w:p>
        </w:tc>
        <w:tc>
          <w:tcPr>
            <w:tcW w:w="964" w:type="dxa"/>
            <w:shd w:val="clear" w:color="auto" w:fill="auto"/>
            <w:noWrap/>
          </w:tcPr>
          <w:p w14:paraId="4BCA8CFC" w14:textId="77777777" w:rsidR="00DD0834" w:rsidRPr="007326A0" w:rsidRDefault="00DD0834" w:rsidP="003B6997">
            <w:pPr>
              <w:pStyle w:val="BStabletextunbold"/>
              <w:keepNext/>
              <w:keepLines/>
              <w:jc w:val="right"/>
            </w:pPr>
            <w:r w:rsidRPr="007326A0">
              <w:t>-63,971</w:t>
            </w:r>
          </w:p>
        </w:tc>
        <w:tc>
          <w:tcPr>
            <w:tcW w:w="964" w:type="dxa"/>
            <w:shd w:val="clear" w:color="auto" w:fill="auto"/>
            <w:noWrap/>
          </w:tcPr>
          <w:p w14:paraId="348F7B69" w14:textId="77777777" w:rsidR="00DD0834" w:rsidRPr="007326A0" w:rsidRDefault="00DD0834" w:rsidP="003B6997">
            <w:pPr>
              <w:pStyle w:val="BStabletextunbold"/>
              <w:keepNext/>
              <w:keepLines/>
              <w:jc w:val="right"/>
            </w:pPr>
            <w:r w:rsidRPr="007326A0">
              <w:t>-65,508</w:t>
            </w:r>
          </w:p>
        </w:tc>
      </w:tr>
      <w:tr w:rsidR="00DD0834" w:rsidRPr="006D5D15" w14:paraId="2A30A197" w14:textId="77777777" w:rsidTr="003B6997">
        <w:trPr>
          <w:cantSplit/>
          <w:jc w:val="center"/>
        </w:trPr>
        <w:tc>
          <w:tcPr>
            <w:tcW w:w="2869" w:type="dxa"/>
            <w:shd w:val="clear" w:color="auto" w:fill="auto"/>
            <w:noWrap/>
          </w:tcPr>
          <w:p w14:paraId="28631DA7" w14:textId="77777777" w:rsidR="00DD0834" w:rsidRPr="007326A0" w:rsidRDefault="00DD0834" w:rsidP="003B6997">
            <w:pPr>
              <w:pStyle w:val="BStabletextbold"/>
            </w:pPr>
            <w:r w:rsidRPr="00B02825">
              <w:t>Total payments from financing activities</w:t>
            </w:r>
          </w:p>
        </w:tc>
        <w:tc>
          <w:tcPr>
            <w:tcW w:w="964" w:type="dxa"/>
            <w:shd w:val="clear" w:color="auto" w:fill="auto"/>
          </w:tcPr>
          <w:p w14:paraId="7D756801" w14:textId="77777777" w:rsidR="00DD0834" w:rsidRPr="007326A0" w:rsidRDefault="00DD0834" w:rsidP="003B6997">
            <w:pPr>
              <w:pStyle w:val="BStabletextbold"/>
              <w:jc w:val="right"/>
            </w:pPr>
            <w:r w:rsidRPr="007326A0">
              <w:t>-71,088</w:t>
            </w:r>
          </w:p>
        </w:tc>
        <w:tc>
          <w:tcPr>
            <w:tcW w:w="964" w:type="dxa"/>
            <w:shd w:val="clear" w:color="auto" w:fill="auto"/>
            <w:noWrap/>
          </w:tcPr>
          <w:p w14:paraId="1C23F47D" w14:textId="77777777" w:rsidR="00DD0834" w:rsidRPr="007326A0" w:rsidRDefault="00DD0834" w:rsidP="003B6997">
            <w:pPr>
              <w:pStyle w:val="BStabletextbold"/>
              <w:jc w:val="right"/>
            </w:pPr>
            <w:r w:rsidRPr="007326A0">
              <w:t>-76,247</w:t>
            </w:r>
          </w:p>
        </w:tc>
        <w:tc>
          <w:tcPr>
            <w:tcW w:w="964" w:type="dxa"/>
            <w:shd w:val="clear" w:color="auto" w:fill="auto"/>
            <w:noWrap/>
          </w:tcPr>
          <w:p w14:paraId="2A671848" w14:textId="77777777" w:rsidR="00DD0834" w:rsidRPr="007326A0" w:rsidRDefault="00DD0834" w:rsidP="003B6997">
            <w:pPr>
              <w:pStyle w:val="BStabletextbold"/>
              <w:jc w:val="right"/>
            </w:pPr>
            <w:r w:rsidRPr="007326A0">
              <w:t>-82,530</w:t>
            </w:r>
          </w:p>
        </w:tc>
        <w:tc>
          <w:tcPr>
            <w:tcW w:w="964" w:type="dxa"/>
            <w:shd w:val="clear" w:color="auto" w:fill="auto"/>
            <w:noWrap/>
          </w:tcPr>
          <w:p w14:paraId="501B56D3" w14:textId="77777777" w:rsidR="00DD0834" w:rsidRPr="007326A0" w:rsidRDefault="00DD0834" w:rsidP="003B6997">
            <w:pPr>
              <w:pStyle w:val="BStabletextbold"/>
              <w:jc w:val="right"/>
            </w:pPr>
            <w:r w:rsidRPr="007326A0">
              <w:t>-84,462</w:t>
            </w:r>
          </w:p>
        </w:tc>
        <w:tc>
          <w:tcPr>
            <w:tcW w:w="964" w:type="dxa"/>
            <w:shd w:val="clear" w:color="auto" w:fill="auto"/>
            <w:noWrap/>
          </w:tcPr>
          <w:p w14:paraId="43DEC03B" w14:textId="77777777" w:rsidR="00DD0834" w:rsidRPr="007326A0" w:rsidRDefault="00DD0834" w:rsidP="003B6997">
            <w:pPr>
              <w:pStyle w:val="BStabletextbold"/>
              <w:jc w:val="right"/>
            </w:pPr>
            <w:r w:rsidRPr="007326A0">
              <w:t>-87,621</w:t>
            </w:r>
          </w:p>
        </w:tc>
        <w:tc>
          <w:tcPr>
            <w:tcW w:w="964" w:type="dxa"/>
            <w:shd w:val="clear" w:color="auto" w:fill="auto"/>
            <w:noWrap/>
          </w:tcPr>
          <w:p w14:paraId="538180A2" w14:textId="77777777" w:rsidR="00DD0834" w:rsidRPr="007326A0" w:rsidRDefault="00DD0834" w:rsidP="003B6997">
            <w:pPr>
              <w:pStyle w:val="BStabletextbold"/>
              <w:jc w:val="right"/>
            </w:pPr>
            <w:r w:rsidRPr="007326A0">
              <w:t>-89,238</w:t>
            </w:r>
          </w:p>
        </w:tc>
      </w:tr>
      <w:tr w:rsidR="00DD0834" w:rsidRPr="007326A0" w14:paraId="4BA5C518" w14:textId="77777777" w:rsidTr="003B6997">
        <w:trPr>
          <w:cantSplit/>
          <w:jc w:val="center"/>
        </w:trPr>
        <w:tc>
          <w:tcPr>
            <w:tcW w:w="2869" w:type="dxa"/>
            <w:tcBorders>
              <w:bottom w:val="single" w:sz="4" w:space="0" w:color="auto"/>
            </w:tcBorders>
            <w:shd w:val="clear" w:color="auto" w:fill="auto"/>
            <w:noWrap/>
          </w:tcPr>
          <w:p w14:paraId="26B3F66C" w14:textId="77777777" w:rsidR="00DD0834" w:rsidRPr="007326A0" w:rsidRDefault="00DD0834" w:rsidP="003B6997">
            <w:pPr>
              <w:pStyle w:val="BStabletextbold"/>
              <w:rPr>
                <w:color w:val="472D8C"/>
              </w:rPr>
            </w:pPr>
            <w:r w:rsidRPr="007326A0">
              <w:rPr>
                <w:color w:val="472D8C"/>
              </w:rPr>
              <w:t>Net cash flows from financing activities</w:t>
            </w:r>
          </w:p>
        </w:tc>
        <w:tc>
          <w:tcPr>
            <w:tcW w:w="964" w:type="dxa"/>
            <w:tcBorders>
              <w:bottom w:val="single" w:sz="4" w:space="0" w:color="auto"/>
            </w:tcBorders>
            <w:shd w:val="clear" w:color="auto" w:fill="auto"/>
          </w:tcPr>
          <w:p w14:paraId="61015B88" w14:textId="77777777" w:rsidR="00DD0834" w:rsidRPr="007326A0" w:rsidRDefault="00DD0834" w:rsidP="003B6997">
            <w:pPr>
              <w:pStyle w:val="BStabletextbold"/>
              <w:jc w:val="right"/>
              <w:rPr>
                <w:color w:val="472D8C"/>
              </w:rPr>
            </w:pPr>
            <w:r w:rsidRPr="007326A0">
              <w:rPr>
                <w:color w:val="472D8C"/>
              </w:rPr>
              <w:t>1,075,944</w:t>
            </w:r>
          </w:p>
        </w:tc>
        <w:tc>
          <w:tcPr>
            <w:tcW w:w="964" w:type="dxa"/>
            <w:tcBorders>
              <w:bottom w:val="single" w:sz="4" w:space="0" w:color="auto"/>
            </w:tcBorders>
            <w:shd w:val="clear" w:color="auto" w:fill="auto"/>
            <w:noWrap/>
          </w:tcPr>
          <w:p w14:paraId="0C21697E" w14:textId="77777777" w:rsidR="00DD0834" w:rsidRPr="007326A0" w:rsidRDefault="00DD0834" w:rsidP="003B6997">
            <w:pPr>
              <w:pStyle w:val="BStabletextbold"/>
              <w:jc w:val="right"/>
              <w:rPr>
                <w:color w:val="472D8C"/>
              </w:rPr>
            </w:pPr>
            <w:r w:rsidRPr="007326A0">
              <w:rPr>
                <w:color w:val="472D8C"/>
              </w:rPr>
              <w:t>915,827</w:t>
            </w:r>
          </w:p>
        </w:tc>
        <w:tc>
          <w:tcPr>
            <w:tcW w:w="964" w:type="dxa"/>
            <w:tcBorders>
              <w:bottom w:val="single" w:sz="4" w:space="0" w:color="auto"/>
            </w:tcBorders>
            <w:shd w:val="clear" w:color="auto" w:fill="auto"/>
            <w:noWrap/>
          </w:tcPr>
          <w:p w14:paraId="78D8CEA0" w14:textId="77777777" w:rsidR="00DD0834" w:rsidRPr="007326A0" w:rsidRDefault="00DD0834" w:rsidP="003B6997">
            <w:pPr>
              <w:pStyle w:val="BStabletextbold"/>
              <w:jc w:val="right"/>
              <w:rPr>
                <w:color w:val="472D8C"/>
              </w:rPr>
            </w:pPr>
            <w:r w:rsidRPr="007326A0">
              <w:rPr>
                <w:color w:val="472D8C"/>
              </w:rPr>
              <w:t>1,665,583</w:t>
            </w:r>
          </w:p>
        </w:tc>
        <w:tc>
          <w:tcPr>
            <w:tcW w:w="964" w:type="dxa"/>
            <w:tcBorders>
              <w:bottom w:val="single" w:sz="4" w:space="0" w:color="auto"/>
            </w:tcBorders>
            <w:shd w:val="clear" w:color="auto" w:fill="auto"/>
            <w:noWrap/>
          </w:tcPr>
          <w:p w14:paraId="307BD7BF" w14:textId="77777777" w:rsidR="00DD0834" w:rsidRPr="007326A0" w:rsidRDefault="00DD0834" w:rsidP="003B6997">
            <w:pPr>
              <w:pStyle w:val="BStabletextbold"/>
              <w:jc w:val="right"/>
              <w:rPr>
                <w:color w:val="472D8C"/>
              </w:rPr>
            </w:pPr>
            <w:r w:rsidRPr="007326A0">
              <w:rPr>
                <w:color w:val="472D8C"/>
              </w:rPr>
              <w:t>626,098</w:t>
            </w:r>
          </w:p>
        </w:tc>
        <w:tc>
          <w:tcPr>
            <w:tcW w:w="964" w:type="dxa"/>
            <w:tcBorders>
              <w:bottom w:val="single" w:sz="4" w:space="0" w:color="auto"/>
            </w:tcBorders>
            <w:shd w:val="clear" w:color="auto" w:fill="auto"/>
            <w:noWrap/>
          </w:tcPr>
          <w:p w14:paraId="1A108B89" w14:textId="77777777" w:rsidR="00DD0834" w:rsidRPr="007326A0" w:rsidRDefault="00DD0834" w:rsidP="003B6997">
            <w:pPr>
              <w:pStyle w:val="BStabletextbold"/>
              <w:jc w:val="right"/>
              <w:rPr>
                <w:color w:val="472D8C"/>
              </w:rPr>
            </w:pPr>
            <w:r w:rsidRPr="007326A0">
              <w:rPr>
                <w:color w:val="472D8C"/>
              </w:rPr>
              <w:t>2,014,032</w:t>
            </w:r>
          </w:p>
        </w:tc>
        <w:tc>
          <w:tcPr>
            <w:tcW w:w="964" w:type="dxa"/>
            <w:tcBorders>
              <w:bottom w:val="single" w:sz="4" w:space="0" w:color="auto"/>
            </w:tcBorders>
            <w:shd w:val="clear" w:color="auto" w:fill="auto"/>
            <w:noWrap/>
          </w:tcPr>
          <w:p w14:paraId="07C5D5BF" w14:textId="77777777" w:rsidR="00DD0834" w:rsidRPr="007326A0" w:rsidRDefault="00DD0834" w:rsidP="003B6997">
            <w:pPr>
              <w:pStyle w:val="BStabletextbold"/>
              <w:jc w:val="right"/>
              <w:rPr>
                <w:color w:val="472D8C"/>
              </w:rPr>
            </w:pPr>
            <w:r w:rsidRPr="007326A0">
              <w:rPr>
                <w:color w:val="472D8C"/>
              </w:rPr>
              <w:t>956,163</w:t>
            </w:r>
          </w:p>
        </w:tc>
      </w:tr>
      <w:tr w:rsidR="00DD0834" w:rsidRPr="007326A0" w14:paraId="7BD17EF8" w14:textId="77777777" w:rsidTr="003B6997">
        <w:trPr>
          <w:cantSplit/>
          <w:jc w:val="center"/>
        </w:trPr>
        <w:tc>
          <w:tcPr>
            <w:tcW w:w="2869" w:type="dxa"/>
            <w:tcBorders>
              <w:top w:val="single" w:sz="4" w:space="0" w:color="auto"/>
              <w:bottom w:val="single" w:sz="4" w:space="0" w:color="auto"/>
            </w:tcBorders>
            <w:shd w:val="clear" w:color="auto" w:fill="auto"/>
            <w:noWrap/>
          </w:tcPr>
          <w:p w14:paraId="31871937" w14:textId="77777777" w:rsidR="00DD0834" w:rsidRPr="007326A0" w:rsidRDefault="00DD0834" w:rsidP="003B6997">
            <w:pPr>
              <w:pStyle w:val="BStabletextbold"/>
              <w:rPr>
                <w:color w:val="472D8C"/>
              </w:rPr>
            </w:pPr>
            <w:r w:rsidRPr="00B02825">
              <w:rPr>
                <w:color w:val="472D8C"/>
              </w:rPr>
              <w:t>Net increase/(decrease) in cash and cash equivalents</w:t>
            </w:r>
          </w:p>
        </w:tc>
        <w:tc>
          <w:tcPr>
            <w:tcW w:w="964" w:type="dxa"/>
            <w:tcBorders>
              <w:top w:val="single" w:sz="4" w:space="0" w:color="auto"/>
              <w:bottom w:val="single" w:sz="4" w:space="0" w:color="auto"/>
            </w:tcBorders>
            <w:shd w:val="clear" w:color="auto" w:fill="auto"/>
          </w:tcPr>
          <w:p w14:paraId="26DF113F" w14:textId="77777777" w:rsidR="00DD0834" w:rsidRPr="007326A0" w:rsidRDefault="00DD0834" w:rsidP="003B6997">
            <w:pPr>
              <w:pStyle w:val="BStabletextbold"/>
              <w:jc w:val="right"/>
              <w:rPr>
                <w:color w:val="472D8C"/>
              </w:rPr>
            </w:pPr>
            <w:r w:rsidRPr="007326A0">
              <w:rPr>
                <w:color w:val="472D8C"/>
              </w:rPr>
              <w:t>-170,101</w:t>
            </w:r>
          </w:p>
        </w:tc>
        <w:tc>
          <w:tcPr>
            <w:tcW w:w="964" w:type="dxa"/>
            <w:tcBorders>
              <w:top w:val="single" w:sz="4" w:space="0" w:color="auto"/>
              <w:bottom w:val="single" w:sz="4" w:space="0" w:color="auto"/>
            </w:tcBorders>
            <w:shd w:val="clear" w:color="auto" w:fill="auto"/>
            <w:noWrap/>
          </w:tcPr>
          <w:p w14:paraId="56A5758D" w14:textId="77777777" w:rsidR="00DD0834" w:rsidRPr="007326A0" w:rsidRDefault="00DD0834" w:rsidP="003B6997">
            <w:pPr>
              <w:pStyle w:val="BStabletextbold"/>
              <w:jc w:val="right"/>
              <w:rPr>
                <w:color w:val="472D8C"/>
              </w:rPr>
            </w:pPr>
            <w:r w:rsidRPr="007326A0">
              <w:rPr>
                <w:color w:val="472D8C"/>
              </w:rPr>
              <w:t>681,800</w:t>
            </w:r>
          </w:p>
        </w:tc>
        <w:tc>
          <w:tcPr>
            <w:tcW w:w="964" w:type="dxa"/>
            <w:tcBorders>
              <w:top w:val="single" w:sz="4" w:space="0" w:color="auto"/>
              <w:bottom w:val="single" w:sz="4" w:space="0" w:color="auto"/>
            </w:tcBorders>
            <w:shd w:val="clear" w:color="auto" w:fill="auto"/>
            <w:noWrap/>
          </w:tcPr>
          <w:p w14:paraId="249B8FFF" w14:textId="77777777" w:rsidR="00DD0834" w:rsidRPr="007326A0" w:rsidRDefault="00DD0834" w:rsidP="003B6997">
            <w:pPr>
              <w:pStyle w:val="BStabletextbold"/>
              <w:jc w:val="right"/>
              <w:rPr>
                <w:color w:val="472D8C"/>
              </w:rPr>
            </w:pPr>
            <w:r w:rsidRPr="007326A0">
              <w:rPr>
                <w:color w:val="472D8C"/>
              </w:rPr>
              <w:t>-272,276</w:t>
            </w:r>
          </w:p>
          <w:p w14:paraId="7EEFE115" w14:textId="77777777" w:rsidR="00DD0834" w:rsidRPr="007326A0" w:rsidRDefault="00DD0834" w:rsidP="003B6997">
            <w:pPr>
              <w:pStyle w:val="BStabletextbold"/>
              <w:jc w:val="right"/>
              <w:rPr>
                <w:color w:val="472D8C"/>
              </w:rPr>
            </w:pPr>
          </w:p>
        </w:tc>
        <w:tc>
          <w:tcPr>
            <w:tcW w:w="964" w:type="dxa"/>
            <w:tcBorders>
              <w:top w:val="single" w:sz="4" w:space="0" w:color="auto"/>
              <w:bottom w:val="single" w:sz="4" w:space="0" w:color="auto"/>
            </w:tcBorders>
            <w:shd w:val="clear" w:color="auto" w:fill="auto"/>
            <w:noWrap/>
          </w:tcPr>
          <w:p w14:paraId="539ACC5A" w14:textId="77777777" w:rsidR="00DD0834" w:rsidRPr="007326A0" w:rsidRDefault="00DD0834" w:rsidP="003B6997">
            <w:pPr>
              <w:pStyle w:val="BStabletextbold"/>
              <w:jc w:val="right"/>
              <w:rPr>
                <w:color w:val="472D8C"/>
              </w:rPr>
            </w:pPr>
            <w:r w:rsidRPr="007326A0">
              <w:rPr>
                <w:color w:val="472D8C"/>
              </w:rPr>
              <w:t>-550,557</w:t>
            </w:r>
          </w:p>
        </w:tc>
        <w:tc>
          <w:tcPr>
            <w:tcW w:w="964" w:type="dxa"/>
            <w:tcBorders>
              <w:top w:val="single" w:sz="4" w:space="0" w:color="auto"/>
              <w:bottom w:val="single" w:sz="4" w:space="0" w:color="auto"/>
            </w:tcBorders>
            <w:shd w:val="clear" w:color="auto" w:fill="auto"/>
            <w:noWrap/>
          </w:tcPr>
          <w:p w14:paraId="749E7DEC" w14:textId="77777777" w:rsidR="00DD0834" w:rsidRPr="007326A0" w:rsidRDefault="00DD0834" w:rsidP="003B6997">
            <w:pPr>
              <w:pStyle w:val="BStabletextbold"/>
              <w:jc w:val="right"/>
              <w:rPr>
                <w:color w:val="472D8C"/>
              </w:rPr>
            </w:pPr>
            <w:r w:rsidRPr="007326A0">
              <w:rPr>
                <w:color w:val="472D8C"/>
              </w:rPr>
              <w:t>606,964</w:t>
            </w:r>
          </w:p>
        </w:tc>
        <w:tc>
          <w:tcPr>
            <w:tcW w:w="964" w:type="dxa"/>
            <w:tcBorders>
              <w:top w:val="single" w:sz="4" w:space="0" w:color="auto"/>
              <w:bottom w:val="single" w:sz="4" w:space="0" w:color="auto"/>
            </w:tcBorders>
            <w:shd w:val="clear" w:color="auto" w:fill="auto"/>
            <w:noWrap/>
          </w:tcPr>
          <w:p w14:paraId="7F51AFC8" w14:textId="77777777" w:rsidR="00DD0834" w:rsidRPr="007326A0" w:rsidRDefault="00DD0834" w:rsidP="003B6997">
            <w:pPr>
              <w:pStyle w:val="BStabletextbold"/>
              <w:jc w:val="right"/>
              <w:rPr>
                <w:color w:val="472D8C"/>
              </w:rPr>
            </w:pPr>
            <w:r w:rsidRPr="007326A0">
              <w:rPr>
                <w:color w:val="472D8C"/>
              </w:rPr>
              <w:t>-516,739</w:t>
            </w:r>
          </w:p>
        </w:tc>
      </w:tr>
      <w:tr w:rsidR="00DD0834" w:rsidRPr="00601709" w14:paraId="460B61A2" w14:textId="77777777" w:rsidTr="003B6997">
        <w:trPr>
          <w:cantSplit/>
          <w:jc w:val="center"/>
        </w:trPr>
        <w:tc>
          <w:tcPr>
            <w:tcW w:w="2869" w:type="dxa"/>
            <w:tcBorders>
              <w:top w:val="single" w:sz="4" w:space="0" w:color="auto"/>
              <w:bottom w:val="single" w:sz="4" w:space="0" w:color="auto"/>
            </w:tcBorders>
            <w:shd w:val="clear" w:color="auto" w:fill="auto"/>
            <w:noWrap/>
          </w:tcPr>
          <w:p w14:paraId="2F00DEEA" w14:textId="77777777" w:rsidR="00DD0834" w:rsidRPr="00601709" w:rsidRDefault="00DD0834" w:rsidP="003B6997">
            <w:pPr>
              <w:pStyle w:val="BStabletextbold"/>
            </w:pPr>
          </w:p>
        </w:tc>
        <w:tc>
          <w:tcPr>
            <w:tcW w:w="964" w:type="dxa"/>
            <w:tcBorders>
              <w:top w:val="single" w:sz="4" w:space="0" w:color="auto"/>
              <w:bottom w:val="single" w:sz="4" w:space="0" w:color="auto"/>
            </w:tcBorders>
            <w:shd w:val="clear" w:color="auto" w:fill="auto"/>
          </w:tcPr>
          <w:p w14:paraId="4F74835C" w14:textId="77777777" w:rsidR="00DD0834" w:rsidRPr="00601709" w:rsidRDefault="00DD0834" w:rsidP="003B6997">
            <w:pPr>
              <w:pStyle w:val="BTablefigureBold"/>
            </w:pPr>
          </w:p>
        </w:tc>
        <w:tc>
          <w:tcPr>
            <w:tcW w:w="964" w:type="dxa"/>
            <w:tcBorders>
              <w:top w:val="single" w:sz="4" w:space="0" w:color="auto"/>
              <w:bottom w:val="single" w:sz="4" w:space="0" w:color="auto"/>
            </w:tcBorders>
            <w:shd w:val="clear" w:color="auto" w:fill="auto"/>
            <w:noWrap/>
          </w:tcPr>
          <w:p w14:paraId="43E03DC8" w14:textId="77777777" w:rsidR="00DD0834" w:rsidRPr="00601709" w:rsidRDefault="00DD0834" w:rsidP="003B6997">
            <w:pPr>
              <w:pStyle w:val="BTablefigureBold"/>
            </w:pPr>
          </w:p>
        </w:tc>
        <w:tc>
          <w:tcPr>
            <w:tcW w:w="964" w:type="dxa"/>
            <w:tcBorders>
              <w:top w:val="single" w:sz="4" w:space="0" w:color="auto"/>
              <w:bottom w:val="single" w:sz="4" w:space="0" w:color="auto"/>
            </w:tcBorders>
            <w:shd w:val="clear" w:color="auto" w:fill="auto"/>
            <w:noWrap/>
          </w:tcPr>
          <w:p w14:paraId="0CAF07F0" w14:textId="77777777" w:rsidR="00DD0834" w:rsidRPr="00601709" w:rsidRDefault="00DD0834" w:rsidP="003B6997">
            <w:pPr>
              <w:pStyle w:val="BTablefigureBold"/>
            </w:pPr>
          </w:p>
        </w:tc>
        <w:tc>
          <w:tcPr>
            <w:tcW w:w="964" w:type="dxa"/>
            <w:tcBorders>
              <w:top w:val="single" w:sz="4" w:space="0" w:color="auto"/>
              <w:bottom w:val="single" w:sz="4" w:space="0" w:color="auto"/>
            </w:tcBorders>
            <w:shd w:val="clear" w:color="auto" w:fill="auto"/>
            <w:noWrap/>
          </w:tcPr>
          <w:p w14:paraId="31D03357" w14:textId="77777777" w:rsidR="00DD0834" w:rsidRPr="00601709" w:rsidRDefault="00DD0834" w:rsidP="003B6997">
            <w:pPr>
              <w:pStyle w:val="BTablefigureBold"/>
            </w:pPr>
          </w:p>
        </w:tc>
        <w:tc>
          <w:tcPr>
            <w:tcW w:w="964" w:type="dxa"/>
            <w:tcBorders>
              <w:top w:val="single" w:sz="4" w:space="0" w:color="auto"/>
              <w:bottom w:val="single" w:sz="4" w:space="0" w:color="auto"/>
            </w:tcBorders>
            <w:shd w:val="clear" w:color="auto" w:fill="auto"/>
            <w:noWrap/>
          </w:tcPr>
          <w:p w14:paraId="1B4E7071" w14:textId="77777777" w:rsidR="00DD0834" w:rsidRPr="00601709" w:rsidRDefault="00DD0834" w:rsidP="003B6997">
            <w:pPr>
              <w:pStyle w:val="BTablefigureBold"/>
            </w:pPr>
          </w:p>
        </w:tc>
        <w:tc>
          <w:tcPr>
            <w:tcW w:w="964" w:type="dxa"/>
            <w:tcBorders>
              <w:top w:val="single" w:sz="4" w:space="0" w:color="auto"/>
              <w:bottom w:val="single" w:sz="4" w:space="0" w:color="auto"/>
            </w:tcBorders>
            <w:shd w:val="clear" w:color="auto" w:fill="auto"/>
            <w:noWrap/>
          </w:tcPr>
          <w:p w14:paraId="2B3C5EBE" w14:textId="77777777" w:rsidR="00DD0834" w:rsidRPr="00601709" w:rsidRDefault="00DD0834" w:rsidP="003B6997">
            <w:pPr>
              <w:pStyle w:val="BTablefigureBold"/>
            </w:pPr>
          </w:p>
        </w:tc>
      </w:tr>
      <w:tr w:rsidR="00DD0834" w:rsidRPr="007326A0" w14:paraId="7092FA15" w14:textId="77777777" w:rsidTr="003B6997">
        <w:trPr>
          <w:cantSplit/>
          <w:jc w:val="center"/>
        </w:trPr>
        <w:tc>
          <w:tcPr>
            <w:tcW w:w="2869" w:type="dxa"/>
            <w:tcBorders>
              <w:top w:val="single" w:sz="4" w:space="0" w:color="auto"/>
            </w:tcBorders>
            <w:shd w:val="clear" w:color="auto" w:fill="auto"/>
            <w:noWrap/>
          </w:tcPr>
          <w:p w14:paraId="3DAD700C" w14:textId="77777777" w:rsidR="00DD0834" w:rsidRPr="00B02825" w:rsidRDefault="00DD0834" w:rsidP="003B6997">
            <w:pPr>
              <w:pStyle w:val="BStabletextbold"/>
              <w:rPr>
                <w:color w:val="472D8C"/>
              </w:rPr>
            </w:pPr>
            <w:r w:rsidRPr="00B02825">
              <w:rPr>
                <w:color w:val="472D8C"/>
              </w:rPr>
              <w:t>Cash and cash equivalents at the beginning of reporting period</w:t>
            </w:r>
          </w:p>
        </w:tc>
        <w:tc>
          <w:tcPr>
            <w:tcW w:w="964" w:type="dxa"/>
            <w:tcBorders>
              <w:top w:val="single" w:sz="4" w:space="0" w:color="auto"/>
            </w:tcBorders>
            <w:shd w:val="clear" w:color="auto" w:fill="auto"/>
          </w:tcPr>
          <w:p w14:paraId="41B0614A" w14:textId="77777777" w:rsidR="00DD0834" w:rsidRPr="00B02825" w:rsidRDefault="00DD0834" w:rsidP="003B6997">
            <w:pPr>
              <w:pStyle w:val="BStabletextbold"/>
              <w:jc w:val="right"/>
              <w:rPr>
                <w:color w:val="472D8C"/>
              </w:rPr>
            </w:pPr>
            <w:r w:rsidRPr="007326A0">
              <w:rPr>
                <w:color w:val="472D8C"/>
              </w:rPr>
              <w:t>2,284,042</w:t>
            </w:r>
          </w:p>
        </w:tc>
        <w:tc>
          <w:tcPr>
            <w:tcW w:w="964" w:type="dxa"/>
            <w:tcBorders>
              <w:top w:val="single" w:sz="4" w:space="0" w:color="auto"/>
            </w:tcBorders>
            <w:shd w:val="clear" w:color="auto" w:fill="auto"/>
            <w:noWrap/>
          </w:tcPr>
          <w:p w14:paraId="26912110" w14:textId="77777777" w:rsidR="00DD0834" w:rsidRPr="00B02825" w:rsidRDefault="00DD0834" w:rsidP="003B6997">
            <w:pPr>
              <w:pStyle w:val="BStabletextbold"/>
              <w:jc w:val="right"/>
              <w:rPr>
                <w:color w:val="472D8C"/>
              </w:rPr>
            </w:pPr>
            <w:r w:rsidRPr="007326A0">
              <w:rPr>
                <w:color w:val="472D8C"/>
              </w:rPr>
              <w:t>2,284,042</w:t>
            </w:r>
          </w:p>
        </w:tc>
        <w:tc>
          <w:tcPr>
            <w:tcW w:w="964" w:type="dxa"/>
            <w:tcBorders>
              <w:top w:val="single" w:sz="4" w:space="0" w:color="auto"/>
            </w:tcBorders>
            <w:shd w:val="clear" w:color="auto" w:fill="auto"/>
            <w:noWrap/>
          </w:tcPr>
          <w:p w14:paraId="28AE19BD" w14:textId="77777777" w:rsidR="00DD0834" w:rsidRPr="008312EE" w:rsidRDefault="00DD0834" w:rsidP="003B6997">
            <w:pPr>
              <w:pStyle w:val="BStabletextbold"/>
              <w:jc w:val="right"/>
              <w:rPr>
                <w:color w:val="472D8C"/>
                <w:lang w:val="en-US"/>
              </w:rPr>
            </w:pPr>
            <w:r w:rsidRPr="007326A0">
              <w:rPr>
                <w:color w:val="472D8C"/>
              </w:rPr>
              <w:t>2,965,8</w:t>
            </w:r>
            <w:r>
              <w:rPr>
                <w:color w:val="472D8C"/>
                <w:lang w:val="en-US"/>
              </w:rPr>
              <w:t>42</w:t>
            </w:r>
          </w:p>
        </w:tc>
        <w:tc>
          <w:tcPr>
            <w:tcW w:w="964" w:type="dxa"/>
            <w:tcBorders>
              <w:top w:val="single" w:sz="4" w:space="0" w:color="auto"/>
            </w:tcBorders>
            <w:shd w:val="clear" w:color="auto" w:fill="auto"/>
            <w:noWrap/>
          </w:tcPr>
          <w:p w14:paraId="3A1E209B" w14:textId="77777777" w:rsidR="00DD0834" w:rsidRPr="00B02825" w:rsidRDefault="00DD0834" w:rsidP="003B6997">
            <w:pPr>
              <w:pStyle w:val="BStabletextbold"/>
              <w:jc w:val="right"/>
              <w:rPr>
                <w:color w:val="472D8C"/>
              </w:rPr>
            </w:pPr>
            <w:r w:rsidRPr="007326A0">
              <w:rPr>
                <w:color w:val="472D8C"/>
              </w:rPr>
              <w:t>2,693,564</w:t>
            </w:r>
          </w:p>
        </w:tc>
        <w:tc>
          <w:tcPr>
            <w:tcW w:w="964" w:type="dxa"/>
            <w:tcBorders>
              <w:top w:val="single" w:sz="4" w:space="0" w:color="auto"/>
            </w:tcBorders>
            <w:shd w:val="clear" w:color="auto" w:fill="auto"/>
            <w:noWrap/>
          </w:tcPr>
          <w:p w14:paraId="30D5B5F2" w14:textId="77777777" w:rsidR="00DD0834" w:rsidRPr="00B02825" w:rsidRDefault="00DD0834" w:rsidP="003B6997">
            <w:pPr>
              <w:pStyle w:val="BStabletextbold"/>
              <w:jc w:val="right"/>
              <w:rPr>
                <w:color w:val="472D8C"/>
              </w:rPr>
            </w:pPr>
            <w:r w:rsidRPr="007326A0">
              <w:rPr>
                <w:color w:val="472D8C"/>
              </w:rPr>
              <w:t>2,143,007</w:t>
            </w:r>
          </w:p>
        </w:tc>
        <w:tc>
          <w:tcPr>
            <w:tcW w:w="964" w:type="dxa"/>
            <w:tcBorders>
              <w:top w:val="single" w:sz="4" w:space="0" w:color="auto"/>
            </w:tcBorders>
            <w:shd w:val="clear" w:color="auto" w:fill="auto"/>
            <w:noWrap/>
          </w:tcPr>
          <w:p w14:paraId="11B1E460" w14:textId="77777777" w:rsidR="00DD0834" w:rsidRPr="00B02825" w:rsidRDefault="00DD0834" w:rsidP="003B6997">
            <w:pPr>
              <w:pStyle w:val="BStabletextbold"/>
              <w:jc w:val="right"/>
              <w:rPr>
                <w:color w:val="472D8C"/>
              </w:rPr>
            </w:pPr>
            <w:r w:rsidRPr="007326A0">
              <w:rPr>
                <w:color w:val="472D8C"/>
              </w:rPr>
              <w:t>2,749,972</w:t>
            </w:r>
          </w:p>
        </w:tc>
      </w:tr>
      <w:tr w:rsidR="00DD0834" w:rsidRPr="007326A0" w14:paraId="0BAAA41D" w14:textId="77777777" w:rsidTr="003B6997">
        <w:trPr>
          <w:cantSplit/>
          <w:jc w:val="center"/>
        </w:trPr>
        <w:tc>
          <w:tcPr>
            <w:tcW w:w="2869" w:type="dxa"/>
            <w:tcBorders>
              <w:bottom w:val="single" w:sz="4" w:space="0" w:color="auto"/>
            </w:tcBorders>
            <w:shd w:val="clear" w:color="auto" w:fill="auto"/>
            <w:noWrap/>
          </w:tcPr>
          <w:p w14:paraId="5190F535" w14:textId="77777777" w:rsidR="00DD0834" w:rsidRPr="00B02825" w:rsidRDefault="00DD0834" w:rsidP="003B6997">
            <w:pPr>
              <w:pStyle w:val="BStabletextbold"/>
              <w:rPr>
                <w:color w:val="472D8C"/>
              </w:rPr>
            </w:pPr>
            <w:r w:rsidRPr="00B02825">
              <w:rPr>
                <w:color w:val="472D8C"/>
              </w:rPr>
              <w:t>Cash and cash equivalents at the end of reporting period</w:t>
            </w:r>
          </w:p>
        </w:tc>
        <w:tc>
          <w:tcPr>
            <w:tcW w:w="964" w:type="dxa"/>
            <w:tcBorders>
              <w:bottom w:val="single" w:sz="4" w:space="0" w:color="auto"/>
            </w:tcBorders>
            <w:shd w:val="clear" w:color="auto" w:fill="auto"/>
          </w:tcPr>
          <w:p w14:paraId="411BDC94" w14:textId="77777777" w:rsidR="00DD0834" w:rsidRPr="00B02825" w:rsidRDefault="00DD0834" w:rsidP="003B6997">
            <w:pPr>
              <w:pStyle w:val="BStabletextbold"/>
              <w:jc w:val="right"/>
              <w:rPr>
                <w:color w:val="472D8C"/>
              </w:rPr>
            </w:pPr>
            <w:r w:rsidRPr="007326A0">
              <w:rPr>
                <w:color w:val="472D8C"/>
              </w:rPr>
              <w:t>2,113,940</w:t>
            </w:r>
          </w:p>
        </w:tc>
        <w:tc>
          <w:tcPr>
            <w:tcW w:w="964" w:type="dxa"/>
            <w:tcBorders>
              <w:bottom w:val="single" w:sz="4" w:space="0" w:color="auto"/>
            </w:tcBorders>
            <w:shd w:val="clear" w:color="auto" w:fill="auto"/>
            <w:noWrap/>
          </w:tcPr>
          <w:p w14:paraId="64E9E9F0" w14:textId="77777777" w:rsidR="00DD0834" w:rsidRPr="00B02825" w:rsidRDefault="00DD0834" w:rsidP="003B6997">
            <w:pPr>
              <w:pStyle w:val="BStabletextbold"/>
              <w:jc w:val="right"/>
              <w:rPr>
                <w:color w:val="472D8C"/>
              </w:rPr>
            </w:pPr>
            <w:r w:rsidRPr="007326A0">
              <w:rPr>
                <w:color w:val="472D8C"/>
              </w:rPr>
              <w:t>2,965,842</w:t>
            </w:r>
          </w:p>
        </w:tc>
        <w:tc>
          <w:tcPr>
            <w:tcW w:w="964" w:type="dxa"/>
            <w:tcBorders>
              <w:bottom w:val="single" w:sz="4" w:space="0" w:color="auto"/>
            </w:tcBorders>
            <w:shd w:val="clear" w:color="auto" w:fill="auto"/>
            <w:noWrap/>
          </w:tcPr>
          <w:p w14:paraId="7CC083A9" w14:textId="77777777" w:rsidR="00DD0834" w:rsidRPr="00B02825" w:rsidRDefault="00DD0834" w:rsidP="003B6997">
            <w:pPr>
              <w:pStyle w:val="BStabletextbold"/>
              <w:jc w:val="right"/>
              <w:rPr>
                <w:color w:val="472D8C"/>
              </w:rPr>
            </w:pPr>
            <w:r w:rsidRPr="007326A0">
              <w:rPr>
                <w:color w:val="472D8C"/>
              </w:rPr>
              <w:t>2,693,564</w:t>
            </w:r>
          </w:p>
        </w:tc>
        <w:tc>
          <w:tcPr>
            <w:tcW w:w="964" w:type="dxa"/>
            <w:tcBorders>
              <w:bottom w:val="single" w:sz="4" w:space="0" w:color="auto"/>
            </w:tcBorders>
            <w:shd w:val="clear" w:color="auto" w:fill="auto"/>
            <w:noWrap/>
          </w:tcPr>
          <w:p w14:paraId="0087E4AF" w14:textId="77777777" w:rsidR="00DD0834" w:rsidRPr="00B02825" w:rsidRDefault="00DD0834" w:rsidP="003B6997">
            <w:pPr>
              <w:pStyle w:val="BStabletextbold"/>
              <w:jc w:val="right"/>
              <w:rPr>
                <w:color w:val="472D8C"/>
              </w:rPr>
            </w:pPr>
            <w:r w:rsidRPr="007326A0">
              <w:rPr>
                <w:color w:val="472D8C"/>
              </w:rPr>
              <w:t>2,143,007</w:t>
            </w:r>
          </w:p>
        </w:tc>
        <w:tc>
          <w:tcPr>
            <w:tcW w:w="964" w:type="dxa"/>
            <w:tcBorders>
              <w:bottom w:val="single" w:sz="4" w:space="0" w:color="auto"/>
            </w:tcBorders>
            <w:shd w:val="clear" w:color="auto" w:fill="auto"/>
            <w:noWrap/>
          </w:tcPr>
          <w:p w14:paraId="785CAB78" w14:textId="77777777" w:rsidR="00DD0834" w:rsidRPr="00B02825" w:rsidRDefault="00DD0834" w:rsidP="003B6997">
            <w:pPr>
              <w:pStyle w:val="BStabletextbold"/>
              <w:jc w:val="right"/>
              <w:rPr>
                <w:color w:val="472D8C"/>
              </w:rPr>
            </w:pPr>
            <w:r w:rsidRPr="007326A0">
              <w:rPr>
                <w:color w:val="472D8C"/>
              </w:rPr>
              <w:t>2,749,972</w:t>
            </w:r>
          </w:p>
        </w:tc>
        <w:tc>
          <w:tcPr>
            <w:tcW w:w="964" w:type="dxa"/>
            <w:tcBorders>
              <w:bottom w:val="single" w:sz="4" w:space="0" w:color="auto"/>
            </w:tcBorders>
            <w:shd w:val="clear" w:color="auto" w:fill="auto"/>
            <w:noWrap/>
          </w:tcPr>
          <w:p w14:paraId="162B06A5" w14:textId="77777777" w:rsidR="00DD0834" w:rsidRPr="00B02825" w:rsidRDefault="00DD0834" w:rsidP="003B6997">
            <w:pPr>
              <w:pStyle w:val="BStabletextbold"/>
              <w:jc w:val="right"/>
              <w:rPr>
                <w:color w:val="472D8C"/>
              </w:rPr>
            </w:pPr>
            <w:r w:rsidRPr="007326A0">
              <w:rPr>
                <w:color w:val="472D8C"/>
              </w:rPr>
              <w:t>2,233,234</w:t>
            </w:r>
          </w:p>
        </w:tc>
      </w:tr>
      <w:tr w:rsidR="00DD0834" w:rsidRPr="005A059C" w14:paraId="3056A55C" w14:textId="77777777" w:rsidTr="003B6997">
        <w:trPr>
          <w:cantSplit/>
          <w:jc w:val="center"/>
        </w:trPr>
        <w:tc>
          <w:tcPr>
            <w:tcW w:w="2869" w:type="dxa"/>
            <w:tcBorders>
              <w:top w:val="single" w:sz="4" w:space="0" w:color="auto"/>
            </w:tcBorders>
            <w:shd w:val="clear" w:color="auto" w:fill="auto"/>
            <w:noWrap/>
            <w:vAlign w:val="bottom"/>
          </w:tcPr>
          <w:p w14:paraId="2C669A8B" w14:textId="77777777" w:rsidR="00DD0834" w:rsidRPr="005A059C" w:rsidRDefault="00DD0834" w:rsidP="003B6997">
            <w:pPr>
              <w:pStyle w:val="BStabletextunbold"/>
              <w:keepNext/>
              <w:keepLines/>
              <w:rPr>
                <w:b/>
                <w:bCs w:val="0"/>
              </w:rPr>
            </w:pPr>
            <w:r w:rsidRPr="005A059C">
              <w:rPr>
                <w:b/>
                <w:bCs w:val="0"/>
              </w:rPr>
              <w:t>Key fiscal aggregates</w:t>
            </w:r>
          </w:p>
        </w:tc>
        <w:tc>
          <w:tcPr>
            <w:tcW w:w="964" w:type="dxa"/>
            <w:tcBorders>
              <w:top w:val="single" w:sz="4" w:space="0" w:color="auto"/>
            </w:tcBorders>
            <w:shd w:val="clear" w:color="auto" w:fill="auto"/>
          </w:tcPr>
          <w:p w14:paraId="77438E33" w14:textId="77777777" w:rsidR="00DD0834" w:rsidRPr="005A059C" w:rsidRDefault="00DD0834" w:rsidP="003B6997">
            <w:pPr>
              <w:pStyle w:val="BStabletextunbold"/>
              <w:keepNext/>
              <w:keepLines/>
              <w:rPr>
                <w:b/>
                <w:bCs w:val="0"/>
              </w:rPr>
            </w:pPr>
          </w:p>
        </w:tc>
        <w:tc>
          <w:tcPr>
            <w:tcW w:w="964" w:type="dxa"/>
            <w:tcBorders>
              <w:top w:val="single" w:sz="4" w:space="0" w:color="auto"/>
            </w:tcBorders>
            <w:shd w:val="clear" w:color="auto" w:fill="auto"/>
            <w:noWrap/>
          </w:tcPr>
          <w:p w14:paraId="75B33435" w14:textId="77777777" w:rsidR="00DD0834" w:rsidRPr="005A059C" w:rsidRDefault="00DD0834" w:rsidP="003B6997">
            <w:pPr>
              <w:pStyle w:val="BStabletextunbold"/>
              <w:keepNext/>
              <w:keepLines/>
              <w:rPr>
                <w:b/>
                <w:bCs w:val="0"/>
              </w:rPr>
            </w:pPr>
          </w:p>
        </w:tc>
        <w:tc>
          <w:tcPr>
            <w:tcW w:w="964" w:type="dxa"/>
            <w:tcBorders>
              <w:top w:val="single" w:sz="4" w:space="0" w:color="auto"/>
            </w:tcBorders>
            <w:shd w:val="clear" w:color="auto" w:fill="auto"/>
            <w:noWrap/>
          </w:tcPr>
          <w:p w14:paraId="76E6D4DB" w14:textId="77777777" w:rsidR="00DD0834" w:rsidRPr="005A059C" w:rsidRDefault="00DD0834" w:rsidP="003B6997">
            <w:pPr>
              <w:pStyle w:val="BStabletextunbold"/>
              <w:keepNext/>
              <w:keepLines/>
              <w:rPr>
                <w:b/>
                <w:bCs w:val="0"/>
              </w:rPr>
            </w:pPr>
          </w:p>
        </w:tc>
        <w:tc>
          <w:tcPr>
            <w:tcW w:w="964" w:type="dxa"/>
            <w:tcBorders>
              <w:top w:val="single" w:sz="4" w:space="0" w:color="auto"/>
            </w:tcBorders>
            <w:shd w:val="clear" w:color="auto" w:fill="auto"/>
            <w:noWrap/>
          </w:tcPr>
          <w:p w14:paraId="1080BC4A" w14:textId="77777777" w:rsidR="00DD0834" w:rsidRPr="005A059C" w:rsidRDefault="00DD0834" w:rsidP="003B6997">
            <w:pPr>
              <w:pStyle w:val="BStabletextunbold"/>
              <w:keepNext/>
              <w:keepLines/>
              <w:rPr>
                <w:b/>
                <w:bCs w:val="0"/>
              </w:rPr>
            </w:pPr>
          </w:p>
        </w:tc>
        <w:tc>
          <w:tcPr>
            <w:tcW w:w="964" w:type="dxa"/>
            <w:tcBorders>
              <w:top w:val="single" w:sz="4" w:space="0" w:color="auto"/>
            </w:tcBorders>
            <w:shd w:val="clear" w:color="auto" w:fill="auto"/>
            <w:noWrap/>
          </w:tcPr>
          <w:p w14:paraId="35C4178F" w14:textId="77777777" w:rsidR="00DD0834" w:rsidRPr="005A059C" w:rsidRDefault="00DD0834" w:rsidP="003B6997">
            <w:pPr>
              <w:pStyle w:val="BStabletextunbold"/>
              <w:keepNext/>
              <w:keepLines/>
              <w:rPr>
                <w:b/>
                <w:bCs w:val="0"/>
              </w:rPr>
            </w:pPr>
          </w:p>
        </w:tc>
        <w:tc>
          <w:tcPr>
            <w:tcW w:w="964" w:type="dxa"/>
            <w:tcBorders>
              <w:top w:val="single" w:sz="4" w:space="0" w:color="auto"/>
            </w:tcBorders>
            <w:shd w:val="clear" w:color="auto" w:fill="auto"/>
            <w:noWrap/>
          </w:tcPr>
          <w:p w14:paraId="3EC89706" w14:textId="77777777" w:rsidR="00DD0834" w:rsidRPr="005A059C" w:rsidRDefault="00DD0834" w:rsidP="003B6997">
            <w:pPr>
              <w:pStyle w:val="BStabletextunbold"/>
              <w:keepNext/>
              <w:keepLines/>
              <w:rPr>
                <w:b/>
                <w:bCs w:val="0"/>
              </w:rPr>
            </w:pPr>
          </w:p>
        </w:tc>
      </w:tr>
      <w:tr w:rsidR="00DD0834" w:rsidRPr="00601709" w14:paraId="16610969" w14:textId="77777777" w:rsidTr="003B6997">
        <w:trPr>
          <w:cantSplit/>
          <w:jc w:val="center"/>
        </w:trPr>
        <w:tc>
          <w:tcPr>
            <w:tcW w:w="2869" w:type="dxa"/>
            <w:shd w:val="clear" w:color="auto" w:fill="auto"/>
            <w:noWrap/>
          </w:tcPr>
          <w:p w14:paraId="07128EA5" w14:textId="77777777" w:rsidR="00DD0834" w:rsidRPr="007326A0" w:rsidRDefault="00DD0834" w:rsidP="003B6997">
            <w:pPr>
              <w:pStyle w:val="BStabletextunbold"/>
              <w:keepNext/>
              <w:keepLines/>
            </w:pPr>
            <w:r w:rsidRPr="004B22DB">
              <w:t>Net cash from operating activities</w:t>
            </w:r>
          </w:p>
        </w:tc>
        <w:tc>
          <w:tcPr>
            <w:tcW w:w="964" w:type="dxa"/>
            <w:shd w:val="clear" w:color="auto" w:fill="auto"/>
          </w:tcPr>
          <w:p w14:paraId="6DF709B5" w14:textId="77777777" w:rsidR="00DD0834" w:rsidRPr="007326A0" w:rsidRDefault="00DD0834" w:rsidP="003B6997">
            <w:pPr>
              <w:pStyle w:val="BStabletextunbold"/>
              <w:keepNext/>
              <w:keepLines/>
              <w:jc w:val="right"/>
            </w:pPr>
            <w:r w:rsidRPr="007326A0">
              <w:t>-232,365</w:t>
            </w:r>
          </w:p>
        </w:tc>
        <w:tc>
          <w:tcPr>
            <w:tcW w:w="964" w:type="dxa"/>
            <w:shd w:val="clear" w:color="auto" w:fill="auto"/>
            <w:noWrap/>
          </w:tcPr>
          <w:p w14:paraId="393C66AE" w14:textId="77777777" w:rsidR="00DD0834" w:rsidRPr="007326A0" w:rsidRDefault="00DD0834" w:rsidP="003B6997">
            <w:pPr>
              <w:pStyle w:val="BStabletextunbold"/>
              <w:keepNext/>
              <w:keepLines/>
              <w:jc w:val="right"/>
            </w:pPr>
            <w:r w:rsidRPr="007326A0">
              <w:t>409,587</w:t>
            </w:r>
          </w:p>
        </w:tc>
        <w:tc>
          <w:tcPr>
            <w:tcW w:w="964" w:type="dxa"/>
            <w:shd w:val="clear" w:color="auto" w:fill="auto"/>
            <w:noWrap/>
          </w:tcPr>
          <w:p w14:paraId="5D3BF9DA" w14:textId="77777777" w:rsidR="00DD0834" w:rsidRPr="007326A0" w:rsidRDefault="00DD0834" w:rsidP="003B6997">
            <w:pPr>
              <w:pStyle w:val="BStabletextunbold"/>
              <w:keepNext/>
              <w:keepLines/>
              <w:jc w:val="right"/>
            </w:pPr>
            <w:r w:rsidRPr="007326A0">
              <w:t>-466,055</w:t>
            </w:r>
          </w:p>
        </w:tc>
        <w:tc>
          <w:tcPr>
            <w:tcW w:w="964" w:type="dxa"/>
            <w:shd w:val="clear" w:color="auto" w:fill="auto"/>
            <w:noWrap/>
          </w:tcPr>
          <w:p w14:paraId="60ECF576" w14:textId="77777777" w:rsidR="00DD0834" w:rsidRPr="007326A0" w:rsidRDefault="00DD0834" w:rsidP="003B6997">
            <w:pPr>
              <w:pStyle w:val="BStabletextunbold"/>
              <w:keepNext/>
              <w:keepLines/>
              <w:jc w:val="right"/>
            </w:pPr>
            <w:r w:rsidRPr="007326A0">
              <w:t>-67,296</w:t>
            </w:r>
          </w:p>
        </w:tc>
        <w:tc>
          <w:tcPr>
            <w:tcW w:w="964" w:type="dxa"/>
            <w:shd w:val="clear" w:color="auto" w:fill="auto"/>
            <w:noWrap/>
          </w:tcPr>
          <w:p w14:paraId="7D91A4D4" w14:textId="77777777" w:rsidR="00DD0834" w:rsidRPr="007326A0" w:rsidRDefault="00DD0834" w:rsidP="003B6997">
            <w:pPr>
              <w:pStyle w:val="BStabletextunbold"/>
              <w:keepNext/>
              <w:keepLines/>
              <w:jc w:val="right"/>
            </w:pPr>
            <w:r w:rsidRPr="007326A0">
              <w:t>5,135</w:t>
            </w:r>
          </w:p>
        </w:tc>
        <w:tc>
          <w:tcPr>
            <w:tcW w:w="964" w:type="dxa"/>
            <w:shd w:val="clear" w:color="auto" w:fill="auto"/>
            <w:noWrap/>
          </w:tcPr>
          <w:p w14:paraId="576D479C" w14:textId="77777777" w:rsidR="00DD0834" w:rsidRPr="007326A0" w:rsidRDefault="00DD0834" w:rsidP="003B6997">
            <w:pPr>
              <w:pStyle w:val="BStabletextunbold"/>
              <w:keepNext/>
              <w:keepLines/>
              <w:jc w:val="right"/>
            </w:pPr>
            <w:r w:rsidRPr="007326A0">
              <w:t>9,628</w:t>
            </w:r>
          </w:p>
        </w:tc>
      </w:tr>
      <w:tr w:rsidR="00DD0834" w:rsidRPr="006D5D15" w14:paraId="1D24FDC4" w14:textId="77777777" w:rsidTr="003B6997">
        <w:trPr>
          <w:cantSplit/>
          <w:jc w:val="center"/>
        </w:trPr>
        <w:tc>
          <w:tcPr>
            <w:tcW w:w="2869" w:type="dxa"/>
            <w:tcBorders>
              <w:bottom w:val="single" w:sz="4" w:space="0" w:color="auto"/>
            </w:tcBorders>
            <w:shd w:val="clear" w:color="auto" w:fill="auto"/>
            <w:noWrap/>
          </w:tcPr>
          <w:p w14:paraId="23B2BD8A" w14:textId="77777777" w:rsidR="00DD0834" w:rsidRPr="00601709" w:rsidRDefault="00DD0834" w:rsidP="003B6997">
            <w:pPr>
              <w:pStyle w:val="BStabletextunbold"/>
              <w:keepNext/>
              <w:keepLines/>
            </w:pPr>
            <w:r w:rsidRPr="004B22DB">
              <w:t>Investments in non-financial assets</w:t>
            </w:r>
          </w:p>
        </w:tc>
        <w:tc>
          <w:tcPr>
            <w:tcW w:w="964" w:type="dxa"/>
            <w:tcBorders>
              <w:bottom w:val="single" w:sz="4" w:space="0" w:color="auto"/>
            </w:tcBorders>
            <w:shd w:val="clear" w:color="auto" w:fill="auto"/>
          </w:tcPr>
          <w:p w14:paraId="1B1E1A0C" w14:textId="77777777" w:rsidR="00DD0834" w:rsidRPr="007326A0" w:rsidRDefault="00DD0834" w:rsidP="003B6997">
            <w:pPr>
              <w:pStyle w:val="BStabletextunbold"/>
              <w:keepNext/>
              <w:keepLines/>
              <w:jc w:val="right"/>
            </w:pPr>
            <w:r w:rsidRPr="007326A0">
              <w:t>-1,100,267</w:t>
            </w:r>
          </w:p>
        </w:tc>
        <w:tc>
          <w:tcPr>
            <w:tcW w:w="964" w:type="dxa"/>
            <w:tcBorders>
              <w:bottom w:val="single" w:sz="4" w:space="0" w:color="auto"/>
            </w:tcBorders>
            <w:shd w:val="clear" w:color="auto" w:fill="auto"/>
            <w:noWrap/>
          </w:tcPr>
          <w:p w14:paraId="6CD9F9B3" w14:textId="77777777" w:rsidR="00DD0834" w:rsidRPr="007326A0" w:rsidRDefault="00DD0834" w:rsidP="003B6997">
            <w:pPr>
              <w:pStyle w:val="BStabletextunbold"/>
              <w:keepNext/>
              <w:keepLines/>
              <w:jc w:val="right"/>
            </w:pPr>
            <w:r w:rsidRPr="007326A0">
              <w:t>-674,223</w:t>
            </w:r>
          </w:p>
        </w:tc>
        <w:tc>
          <w:tcPr>
            <w:tcW w:w="964" w:type="dxa"/>
            <w:tcBorders>
              <w:bottom w:val="single" w:sz="4" w:space="0" w:color="auto"/>
            </w:tcBorders>
            <w:shd w:val="clear" w:color="auto" w:fill="auto"/>
            <w:noWrap/>
          </w:tcPr>
          <w:p w14:paraId="014D42D7" w14:textId="77777777" w:rsidR="00DD0834" w:rsidRPr="007326A0" w:rsidRDefault="00DD0834" w:rsidP="003B6997">
            <w:pPr>
              <w:pStyle w:val="BStabletextunbold"/>
              <w:keepNext/>
              <w:keepLines/>
              <w:jc w:val="right"/>
            </w:pPr>
            <w:r w:rsidRPr="007326A0">
              <w:t>-1,195,154</w:t>
            </w:r>
          </w:p>
        </w:tc>
        <w:tc>
          <w:tcPr>
            <w:tcW w:w="964" w:type="dxa"/>
            <w:tcBorders>
              <w:bottom w:val="single" w:sz="4" w:space="0" w:color="auto"/>
            </w:tcBorders>
            <w:shd w:val="clear" w:color="auto" w:fill="auto"/>
            <w:noWrap/>
          </w:tcPr>
          <w:p w14:paraId="0C09DA7F" w14:textId="77777777" w:rsidR="00DD0834" w:rsidRPr="007326A0" w:rsidRDefault="00DD0834" w:rsidP="003B6997">
            <w:pPr>
              <w:pStyle w:val="BStabletextunbold"/>
              <w:keepNext/>
              <w:keepLines/>
              <w:jc w:val="right"/>
            </w:pPr>
            <w:r w:rsidRPr="007326A0">
              <w:t>-873,714</w:t>
            </w:r>
          </w:p>
        </w:tc>
        <w:tc>
          <w:tcPr>
            <w:tcW w:w="964" w:type="dxa"/>
            <w:tcBorders>
              <w:bottom w:val="single" w:sz="4" w:space="0" w:color="auto"/>
            </w:tcBorders>
            <w:shd w:val="clear" w:color="auto" w:fill="auto"/>
            <w:noWrap/>
          </w:tcPr>
          <w:p w14:paraId="710FE9F1" w14:textId="77777777" w:rsidR="00DD0834" w:rsidRPr="007326A0" w:rsidRDefault="00DD0834" w:rsidP="003B6997">
            <w:pPr>
              <w:pStyle w:val="BStabletextunbold"/>
              <w:keepNext/>
              <w:keepLines/>
              <w:jc w:val="right"/>
            </w:pPr>
            <w:r w:rsidRPr="007326A0">
              <w:t>-1,171,198</w:t>
            </w:r>
          </w:p>
        </w:tc>
        <w:tc>
          <w:tcPr>
            <w:tcW w:w="964" w:type="dxa"/>
            <w:tcBorders>
              <w:bottom w:val="single" w:sz="4" w:space="0" w:color="auto"/>
            </w:tcBorders>
            <w:shd w:val="clear" w:color="auto" w:fill="auto"/>
            <w:noWrap/>
          </w:tcPr>
          <w:p w14:paraId="0A8EA38D" w14:textId="77777777" w:rsidR="00DD0834" w:rsidRPr="007326A0" w:rsidRDefault="00DD0834" w:rsidP="003B6997">
            <w:pPr>
              <w:pStyle w:val="BStabletextunbold"/>
              <w:keepNext/>
              <w:keepLines/>
              <w:jc w:val="right"/>
            </w:pPr>
            <w:r w:rsidRPr="007326A0">
              <w:t>-1,229,102</w:t>
            </w:r>
          </w:p>
        </w:tc>
      </w:tr>
      <w:tr w:rsidR="00DD0834" w:rsidRPr="00337E3C" w14:paraId="123E81CF" w14:textId="77777777" w:rsidTr="003B6997">
        <w:trPr>
          <w:cantSplit/>
          <w:jc w:val="center"/>
        </w:trPr>
        <w:tc>
          <w:tcPr>
            <w:tcW w:w="2869" w:type="dxa"/>
            <w:tcBorders>
              <w:top w:val="single" w:sz="4" w:space="0" w:color="auto"/>
              <w:bottom w:val="single" w:sz="4" w:space="0" w:color="auto"/>
            </w:tcBorders>
            <w:shd w:val="clear" w:color="auto" w:fill="auto"/>
            <w:noWrap/>
          </w:tcPr>
          <w:p w14:paraId="2F27FBC1" w14:textId="77777777" w:rsidR="00DD0834" w:rsidRPr="00337E3C" w:rsidRDefault="00DD0834" w:rsidP="003B6997">
            <w:pPr>
              <w:pStyle w:val="BStabletextbold"/>
              <w:rPr>
                <w:color w:val="472D8C"/>
              </w:rPr>
            </w:pPr>
            <w:r w:rsidRPr="00B02825">
              <w:rPr>
                <w:color w:val="472D8C"/>
              </w:rPr>
              <w:t>Cash deficit</w:t>
            </w:r>
          </w:p>
        </w:tc>
        <w:tc>
          <w:tcPr>
            <w:tcW w:w="964" w:type="dxa"/>
            <w:tcBorders>
              <w:top w:val="single" w:sz="4" w:space="0" w:color="auto"/>
              <w:bottom w:val="single" w:sz="4" w:space="0" w:color="auto"/>
            </w:tcBorders>
            <w:shd w:val="clear" w:color="auto" w:fill="auto"/>
          </w:tcPr>
          <w:p w14:paraId="2BF1F3C1" w14:textId="77777777" w:rsidR="00DD0834" w:rsidRPr="00337E3C" w:rsidRDefault="00DD0834" w:rsidP="003B6997">
            <w:pPr>
              <w:pStyle w:val="BStabletextbold"/>
              <w:jc w:val="right"/>
              <w:rPr>
                <w:color w:val="472D8C"/>
              </w:rPr>
            </w:pPr>
            <w:r w:rsidRPr="00337E3C">
              <w:rPr>
                <w:color w:val="472D8C"/>
              </w:rPr>
              <w:t>-1,332,632</w:t>
            </w:r>
          </w:p>
        </w:tc>
        <w:tc>
          <w:tcPr>
            <w:tcW w:w="964" w:type="dxa"/>
            <w:tcBorders>
              <w:top w:val="single" w:sz="4" w:space="0" w:color="auto"/>
              <w:bottom w:val="single" w:sz="4" w:space="0" w:color="auto"/>
            </w:tcBorders>
            <w:shd w:val="clear" w:color="auto" w:fill="auto"/>
            <w:noWrap/>
          </w:tcPr>
          <w:p w14:paraId="7C210861" w14:textId="77777777" w:rsidR="00DD0834" w:rsidRPr="00337E3C" w:rsidRDefault="00DD0834" w:rsidP="003B6997">
            <w:pPr>
              <w:pStyle w:val="BStabletextbold"/>
              <w:jc w:val="right"/>
              <w:rPr>
                <w:color w:val="472D8C"/>
              </w:rPr>
            </w:pPr>
            <w:r w:rsidRPr="00337E3C">
              <w:rPr>
                <w:color w:val="472D8C"/>
              </w:rPr>
              <w:t>-264,636</w:t>
            </w:r>
          </w:p>
        </w:tc>
        <w:tc>
          <w:tcPr>
            <w:tcW w:w="964" w:type="dxa"/>
            <w:tcBorders>
              <w:top w:val="single" w:sz="4" w:space="0" w:color="auto"/>
              <w:bottom w:val="single" w:sz="4" w:space="0" w:color="auto"/>
            </w:tcBorders>
            <w:shd w:val="clear" w:color="auto" w:fill="auto"/>
            <w:noWrap/>
          </w:tcPr>
          <w:p w14:paraId="1A4B6634" w14:textId="77777777" w:rsidR="00DD0834" w:rsidRPr="00337E3C" w:rsidRDefault="00DD0834" w:rsidP="003B6997">
            <w:pPr>
              <w:pStyle w:val="BStabletextbold"/>
              <w:jc w:val="right"/>
              <w:rPr>
                <w:color w:val="472D8C"/>
              </w:rPr>
            </w:pPr>
            <w:r w:rsidRPr="00337E3C">
              <w:rPr>
                <w:color w:val="472D8C"/>
              </w:rPr>
              <w:t>-1,661,209</w:t>
            </w:r>
          </w:p>
        </w:tc>
        <w:tc>
          <w:tcPr>
            <w:tcW w:w="964" w:type="dxa"/>
            <w:tcBorders>
              <w:top w:val="single" w:sz="4" w:space="0" w:color="auto"/>
              <w:bottom w:val="single" w:sz="4" w:space="0" w:color="auto"/>
            </w:tcBorders>
            <w:shd w:val="clear" w:color="auto" w:fill="auto"/>
            <w:noWrap/>
          </w:tcPr>
          <w:p w14:paraId="599CA132" w14:textId="77777777" w:rsidR="00DD0834" w:rsidRPr="00337E3C" w:rsidRDefault="00DD0834" w:rsidP="003B6997">
            <w:pPr>
              <w:pStyle w:val="BStabletextbold"/>
              <w:jc w:val="right"/>
              <w:rPr>
                <w:color w:val="472D8C"/>
              </w:rPr>
            </w:pPr>
            <w:r w:rsidRPr="00337E3C">
              <w:rPr>
                <w:color w:val="472D8C"/>
              </w:rPr>
              <w:t>-941,010</w:t>
            </w:r>
          </w:p>
        </w:tc>
        <w:tc>
          <w:tcPr>
            <w:tcW w:w="964" w:type="dxa"/>
            <w:tcBorders>
              <w:top w:val="single" w:sz="4" w:space="0" w:color="auto"/>
              <w:bottom w:val="single" w:sz="4" w:space="0" w:color="auto"/>
            </w:tcBorders>
            <w:shd w:val="clear" w:color="auto" w:fill="auto"/>
            <w:noWrap/>
          </w:tcPr>
          <w:p w14:paraId="68E0DFDE" w14:textId="77777777" w:rsidR="00DD0834" w:rsidRPr="00337E3C" w:rsidRDefault="00DD0834" w:rsidP="003B6997">
            <w:pPr>
              <w:pStyle w:val="BStabletextbold"/>
              <w:jc w:val="right"/>
              <w:rPr>
                <w:color w:val="472D8C"/>
              </w:rPr>
            </w:pPr>
            <w:r w:rsidRPr="00337E3C">
              <w:rPr>
                <w:color w:val="472D8C"/>
              </w:rPr>
              <w:t>-1,166,063</w:t>
            </w:r>
          </w:p>
        </w:tc>
        <w:tc>
          <w:tcPr>
            <w:tcW w:w="964" w:type="dxa"/>
            <w:tcBorders>
              <w:top w:val="single" w:sz="4" w:space="0" w:color="auto"/>
              <w:bottom w:val="single" w:sz="4" w:space="0" w:color="auto"/>
            </w:tcBorders>
            <w:shd w:val="clear" w:color="auto" w:fill="auto"/>
            <w:noWrap/>
          </w:tcPr>
          <w:p w14:paraId="15F92649" w14:textId="77777777" w:rsidR="00DD0834" w:rsidRPr="00337E3C" w:rsidRDefault="00DD0834" w:rsidP="003B6997">
            <w:pPr>
              <w:pStyle w:val="BStabletextbold"/>
              <w:jc w:val="right"/>
              <w:rPr>
                <w:color w:val="472D8C"/>
              </w:rPr>
            </w:pPr>
            <w:r w:rsidRPr="00337E3C">
              <w:rPr>
                <w:color w:val="472D8C"/>
              </w:rPr>
              <w:t>-1,219,474</w:t>
            </w:r>
          </w:p>
        </w:tc>
      </w:tr>
    </w:tbl>
    <w:p w14:paraId="03069A06" w14:textId="77777777" w:rsidR="00DD0834" w:rsidRPr="000056E9" w:rsidRDefault="00DD0834" w:rsidP="00773BAB">
      <w:pPr>
        <w:pStyle w:val="BNoteBold"/>
        <w:ind w:left="284"/>
      </w:pPr>
      <w:r w:rsidRPr="000056E9">
        <w:t xml:space="preserve">Note: </w:t>
      </w:r>
    </w:p>
    <w:p w14:paraId="2F4F9805" w14:textId="4D58AFE7" w:rsidR="006C269A" w:rsidRDefault="00DD0834" w:rsidP="00773BAB">
      <w:pPr>
        <w:pStyle w:val="BNote"/>
        <w:ind w:left="284"/>
      </w:pPr>
      <w:r w:rsidRPr="00410DD7">
        <w:t>Numbers may not add due to rounding.</w:t>
      </w:r>
    </w:p>
    <w:p w14:paraId="5E61018B" w14:textId="77777777" w:rsidR="006C269A" w:rsidRDefault="006C269A">
      <w:pPr>
        <w:rPr>
          <w:rFonts w:ascii="Calibri" w:hAnsi="Calibri"/>
          <w:sz w:val="18"/>
        </w:rPr>
      </w:pPr>
      <w:r>
        <w:br w:type="page"/>
      </w:r>
    </w:p>
    <w:p w14:paraId="0224803F" w14:textId="77777777" w:rsidR="00DD0834" w:rsidRPr="00410DD7" w:rsidRDefault="00DD0834" w:rsidP="00773BAB">
      <w:pPr>
        <w:pStyle w:val="BNote"/>
        <w:ind w:left="284"/>
        <w:rPr>
          <w:b/>
        </w:rPr>
      </w:pPr>
    </w:p>
    <w:p w14:paraId="1B87C85F" w14:textId="77777777" w:rsidR="00DD0834" w:rsidRDefault="00DD0834" w:rsidP="003B6997">
      <w:pPr>
        <w:pStyle w:val="BNote"/>
        <w:sectPr w:rsidR="00DD0834" w:rsidSect="00542DA2">
          <w:footerReference w:type="default" r:id="rId21"/>
          <w:pgSz w:w="11906" w:h="16838" w:code="9"/>
          <w:pgMar w:top="1151" w:right="1440" w:bottom="1729" w:left="1440" w:header="720" w:footer="720" w:gutter="0"/>
          <w:cols w:space="708"/>
          <w:docGrid w:linePitch="360"/>
        </w:sectPr>
      </w:pPr>
    </w:p>
    <w:p w14:paraId="22930BC5" w14:textId="4A850D0F" w:rsidR="006C269A" w:rsidRDefault="006C269A">
      <w:pPr>
        <w:rPr>
          <w:rFonts w:ascii="Calibri" w:hAnsi="Calibri"/>
          <w:b/>
          <w:sz w:val="36"/>
        </w:rPr>
      </w:pPr>
    </w:p>
    <w:p w14:paraId="5FDA6F24" w14:textId="77777777" w:rsidR="00773BAB" w:rsidRDefault="00773BAB" w:rsidP="00773BAB">
      <w:pPr>
        <w:rPr>
          <w:rFonts w:ascii="Calibri" w:hAnsi="Calibri"/>
          <w:b/>
          <w:sz w:val="36"/>
        </w:rPr>
      </w:pPr>
    </w:p>
    <w:p w14:paraId="7E375C87" w14:textId="77777777" w:rsidR="00773BAB" w:rsidRDefault="00773BAB" w:rsidP="00773BAB">
      <w:pPr>
        <w:jc w:val="center"/>
        <w:rPr>
          <w:b/>
          <w:bCs/>
          <w:sz w:val="32"/>
          <w:szCs w:val="32"/>
        </w:rPr>
      </w:pPr>
    </w:p>
    <w:p w14:paraId="2CE5B0B0" w14:textId="4A3C843B" w:rsidR="00773BAB" w:rsidRDefault="00773BAB" w:rsidP="00773BAB">
      <w:pPr>
        <w:jc w:val="center"/>
        <w:rPr>
          <w:b/>
          <w:bCs/>
          <w:sz w:val="32"/>
          <w:szCs w:val="32"/>
        </w:rPr>
      </w:pPr>
      <w:r w:rsidRPr="00A3203C">
        <w:rPr>
          <w:b/>
          <w:bCs/>
          <w:sz w:val="32"/>
          <w:szCs w:val="32"/>
        </w:rPr>
        <w:t xml:space="preserve">APPENDIX </w:t>
      </w:r>
      <w:r>
        <w:rPr>
          <w:b/>
          <w:bCs/>
          <w:sz w:val="32"/>
          <w:szCs w:val="32"/>
        </w:rPr>
        <w:t>F</w:t>
      </w:r>
    </w:p>
    <w:p w14:paraId="02B81D58" w14:textId="77777777" w:rsidR="00773BAB" w:rsidRDefault="00773BAB" w:rsidP="00773BAB">
      <w:pPr>
        <w:jc w:val="center"/>
        <w:rPr>
          <w:b/>
          <w:bCs/>
          <w:sz w:val="32"/>
          <w:szCs w:val="32"/>
        </w:rPr>
      </w:pPr>
    </w:p>
    <w:p w14:paraId="6C4A5E6E" w14:textId="77777777" w:rsidR="00773BAB" w:rsidRPr="00A3203C" w:rsidRDefault="00773BAB" w:rsidP="00773BAB">
      <w:pPr>
        <w:jc w:val="center"/>
        <w:rPr>
          <w:b/>
          <w:bCs/>
          <w:sz w:val="32"/>
          <w:szCs w:val="32"/>
        </w:rPr>
      </w:pPr>
    </w:p>
    <w:p w14:paraId="7C159B45" w14:textId="1CB80D2E" w:rsidR="00773BAB" w:rsidRDefault="00E94176" w:rsidP="00773BAB">
      <w:pPr>
        <w:jc w:val="center"/>
        <w:rPr>
          <w:b/>
          <w:bCs/>
          <w:sz w:val="32"/>
          <w:szCs w:val="32"/>
        </w:rPr>
      </w:pPr>
      <w:r>
        <w:rPr>
          <w:b/>
          <w:bCs/>
          <w:sz w:val="32"/>
          <w:szCs w:val="32"/>
        </w:rPr>
        <w:t>GENERAL GOVERNMENT SECTOR</w:t>
      </w:r>
    </w:p>
    <w:p w14:paraId="63F299D4" w14:textId="45E575B4" w:rsidR="00773BAB" w:rsidRPr="00A3203C" w:rsidRDefault="00E94176" w:rsidP="00773BAB">
      <w:pPr>
        <w:jc w:val="center"/>
        <w:rPr>
          <w:b/>
          <w:bCs/>
          <w:sz w:val="32"/>
          <w:szCs w:val="32"/>
        </w:rPr>
      </w:pPr>
      <w:r>
        <w:rPr>
          <w:b/>
          <w:bCs/>
          <w:sz w:val="32"/>
          <w:szCs w:val="32"/>
        </w:rPr>
        <w:t>KEY AGGREGATES HISTORY</w:t>
      </w:r>
    </w:p>
    <w:p w14:paraId="6D044C47" w14:textId="3717B851" w:rsidR="00E94176" w:rsidRDefault="00773BAB" w:rsidP="00773BAB">
      <w:r>
        <w:br w:type="page"/>
      </w:r>
      <w:r>
        <w:lastRenderedPageBreak/>
        <w:t xml:space="preserve"> </w:t>
      </w:r>
    </w:p>
    <w:p w14:paraId="2406DC76" w14:textId="77777777" w:rsidR="00E94176" w:rsidRDefault="00E94176">
      <w:r>
        <w:br w:type="page"/>
      </w:r>
    </w:p>
    <w:p w14:paraId="61A4F28D" w14:textId="77777777" w:rsidR="00E94176" w:rsidRPr="00930757" w:rsidRDefault="00E94176" w:rsidP="00785F44">
      <w:pPr>
        <w:pStyle w:val="Heading2"/>
        <w:numPr>
          <w:ilvl w:val="0"/>
          <w:numId w:val="0"/>
        </w:numPr>
        <w:ind w:left="2127" w:hanging="2127"/>
      </w:pPr>
      <w:bookmarkStart w:id="7" w:name="_Toc84300601"/>
      <w:r>
        <w:lastRenderedPageBreak/>
        <w:t>Appendix F – General Government Sector – Key Aggregates History</w:t>
      </w:r>
      <w:bookmarkEnd w:id="7"/>
    </w:p>
    <w:tbl>
      <w:tblPr>
        <w:tblW w:w="899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31"/>
        <w:gridCol w:w="1867"/>
        <w:gridCol w:w="1867"/>
        <w:gridCol w:w="1867"/>
        <w:gridCol w:w="1867"/>
      </w:tblGrid>
      <w:tr w:rsidR="00E94176" w:rsidRPr="005272B5" w14:paraId="693B0B1E" w14:textId="77777777" w:rsidTr="00785F44">
        <w:trPr>
          <w:jc w:val="center"/>
        </w:trPr>
        <w:tc>
          <w:tcPr>
            <w:tcW w:w="1531" w:type="dxa"/>
            <w:tcBorders>
              <w:bottom w:val="single" w:sz="4" w:space="0" w:color="auto"/>
            </w:tcBorders>
            <w:shd w:val="clear" w:color="auto" w:fill="472D8C"/>
          </w:tcPr>
          <w:p w14:paraId="0FF9F613" w14:textId="77777777" w:rsidR="00E94176" w:rsidRPr="00976404" w:rsidRDefault="00E94176" w:rsidP="00785F44">
            <w:pPr>
              <w:pStyle w:val="BStabletextbold"/>
              <w:rPr>
                <w:color w:val="FFFFFF" w:themeColor="background1"/>
              </w:rPr>
            </w:pPr>
            <w:r w:rsidRPr="00976404">
              <w:rPr>
                <w:color w:val="FFFFFF" w:themeColor="background1"/>
              </w:rPr>
              <w:t>Year</w:t>
            </w:r>
          </w:p>
        </w:tc>
        <w:tc>
          <w:tcPr>
            <w:tcW w:w="1867" w:type="dxa"/>
            <w:tcBorders>
              <w:bottom w:val="single" w:sz="4" w:space="0" w:color="auto"/>
            </w:tcBorders>
            <w:shd w:val="clear" w:color="auto" w:fill="472D8C"/>
          </w:tcPr>
          <w:p w14:paraId="0361EB22"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Headline net operating balance</w:t>
            </w:r>
          </w:p>
          <w:p w14:paraId="5E861B9E"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$m</w:t>
            </w:r>
          </w:p>
        </w:tc>
        <w:tc>
          <w:tcPr>
            <w:tcW w:w="1867" w:type="dxa"/>
            <w:tcBorders>
              <w:bottom w:val="single" w:sz="4" w:space="0" w:color="auto"/>
            </w:tcBorders>
            <w:shd w:val="clear" w:color="auto" w:fill="472D8C"/>
          </w:tcPr>
          <w:p w14:paraId="59DE52F0"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Net debt</w:t>
            </w:r>
            <w:r w:rsidRPr="00976404">
              <w:rPr>
                <w:color w:val="FFFFFF" w:themeColor="background1"/>
                <w:vertAlign w:val="superscript"/>
                <w:lang w:eastAsia="en-AU"/>
              </w:rPr>
              <w:t>1</w:t>
            </w:r>
          </w:p>
          <w:p w14:paraId="4120B986" w14:textId="77777777" w:rsidR="00E94176" w:rsidRPr="00976404" w:rsidRDefault="00E94176" w:rsidP="00785F44">
            <w:pPr>
              <w:pStyle w:val="BStableheading"/>
              <w:framePr w:wrap="around"/>
              <w:jc w:val="left"/>
              <w:rPr>
                <w:color w:val="FFFFFF" w:themeColor="background1"/>
                <w:lang w:eastAsia="en-AU"/>
              </w:rPr>
            </w:pPr>
          </w:p>
          <w:p w14:paraId="1F7A1895"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$m</w:t>
            </w:r>
          </w:p>
        </w:tc>
        <w:tc>
          <w:tcPr>
            <w:tcW w:w="1867" w:type="dxa"/>
            <w:tcBorders>
              <w:bottom w:val="single" w:sz="4" w:space="0" w:color="auto"/>
            </w:tcBorders>
            <w:shd w:val="clear" w:color="auto" w:fill="472D8C"/>
          </w:tcPr>
          <w:p w14:paraId="2A0DC9DF"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Net financial</w:t>
            </w:r>
          </w:p>
          <w:p w14:paraId="6E063D43"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liabilities</w:t>
            </w:r>
          </w:p>
          <w:p w14:paraId="00691799"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$m</w:t>
            </w:r>
          </w:p>
        </w:tc>
        <w:tc>
          <w:tcPr>
            <w:tcW w:w="1867" w:type="dxa"/>
            <w:tcBorders>
              <w:bottom w:val="single" w:sz="4" w:space="0" w:color="auto"/>
            </w:tcBorders>
            <w:shd w:val="clear" w:color="auto" w:fill="472D8C"/>
          </w:tcPr>
          <w:p w14:paraId="5ABAFD8E"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Net worth</w:t>
            </w:r>
          </w:p>
          <w:p w14:paraId="529E1A89" w14:textId="77777777" w:rsidR="00E94176" w:rsidRPr="00976404" w:rsidRDefault="00E94176" w:rsidP="00785F44">
            <w:pPr>
              <w:pStyle w:val="BStableheading"/>
              <w:framePr w:wrap="around"/>
              <w:jc w:val="left"/>
              <w:rPr>
                <w:color w:val="FFFFFF" w:themeColor="background1"/>
                <w:lang w:eastAsia="en-AU"/>
              </w:rPr>
            </w:pPr>
          </w:p>
          <w:p w14:paraId="166CDBDB" w14:textId="77777777" w:rsidR="00E94176" w:rsidRPr="00976404" w:rsidRDefault="00E94176" w:rsidP="00785F44">
            <w:pPr>
              <w:pStyle w:val="BStableheading"/>
              <w:framePr w:wrap="around"/>
              <w:rPr>
                <w:color w:val="FFFFFF" w:themeColor="background1"/>
                <w:lang w:eastAsia="en-AU"/>
              </w:rPr>
            </w:pPr>
            <w:r w:rsidRPr="00976404">
              <w:rPr>
                <w:color w:val="FFFFFF" w:themeColor="background1"/>
                <w:lang w:eastAsia="en-AU"/>
              </w:rPr>
              <w:t>$m</w:t>
            </w:r>
          </w:p>
        </w:tc>
      </w:tr>
      <w:tr w:rsidR="00E94176" w:rsidRPr="00C52D24" w14:paraId="3F304481" w14:textId="77777777" w:rsidTr="00E94176">
        <w:trPr>
          <w:jc w:val="center"/>
        </w:trPr>
        <w:tc>
          <w:tcPr>
            <w:tcW w:w="1531" w:type="dxa"/>
            <w:tcBorders>
              <w:bottom w:val="nil"/>
            </w:tcBorders>
          </w:tcPr>
          <w:p w14:paraId="19265E55" w14:textId="77777777" w:rsidR="00E94176" w:rsidRPr="00102320" w:rsidRDefault="00E94176" w:rsidP="00785F44">
            <w:pPr>
              <w:pStyle w:val="BStabletextunbold"/>
            </w:pPr>
            <w:r w:rsidRPr="00102320">
              <w:t>2006-07</w:t>
            </w:r>
          </w:p>
        </w:tc>
        <w:tc>
          <w:tcPr>
            <w:tcW w:w="1867" w:type="dxa"/>
            <w:tcBorders>
              <w:bottom w:val="nil"/>
            </w:tcBorders>
          </w:tcPr>
          <w:p w14:paraId="6FFDB3F3" w14:textId="77777777" w:rsidR="00E94176" w:rsidRPr="00C52D24" w:rsidRDefault="00E94176" w:rsidP="00E94176">
            <w:pPr>
              <w:pStyle w:val="BStablefigures"/>
              <w:jc w:val="right"/>
              <w:rPr>
                <w:rFonts w:eastAsia="Calibri"/>
                <w:i w:val="0"/>
                <w:iCs/>
              </w:rPr>
            </w:pPr>
            <w:r w:rsidRPr="00C52D24">
              <w:rPr>
                <w:i w:val="0"/>
                <w:iCs/>
              </w:rPr>
              <w:t xml:space="preserve">89.0 </w:t>
            </w:r>
          </w:p>
        </w:tc>
        <w:tc>
          <w:tcPr>
            <w:tcW w:w="1867" w:type="dxa"/>
            <w:tcBorders>
              <w:bottom w:val="nil"/>
            </w:tcBorders>
          </w:tcPr>
          <w:p w14:paraId="72ED5FA5" w14:textId="77777777" w:rsidR="00E94176" w:rsidRPr="00C52D24" w:rsidRDefault="00E94176" w:rsidP="00E94176">
            <w:pPr>
              <w:pStyle w:val="BStablefigures"/>
              <w:jc w:val="right"/>
              <w:rPr>
                <w:rFonts w:eastAsia="Calibri"/>
                <w:i w:val="0"/>
                <w:iCs/>
              </w:rPr>
            </w:pPr>
            <w:r w:rsidRPr="00C52D24">
              <w:rPr>
                <w:i w:val="0"/>
                <w:iCs/>
              </w:rPr>
              <w:t xml:space="preserve">-555.9 </w:t>
            </w:r>
          </w:p>
        </w:tc>
        <w:tc>
          <w:tcPr>
            <w:tcW w:w="1867" w:type="dxa"/>
            <w:tcBorders>
              <w:bottom w:val="nil"/>
            </w:tcBorders>
          </w:tcPr>
          <w:p w14:paraId="177B2C36" w14:textId="77777777" w:rsidR="00E94176" w:rsidRPr="00C52D24" w:rsidRDefault="00E94176" w:rsidP="00E94176">
            <w:pPr>
              <w:pStyle w:val="BStablefigures"/>
              <w:jc w:val="right"/>
              <w:rPr>
                <w:rFonts w:eastAsia="Calibri"/>
                <w:i w:val="0"/>
                <w:iCs/>
              </w:rPr>
            </w:pPr>
            <w:r w:rsidRPr="00C52D24">
              <w:rPr>
                <w:i w:val="0"/>
                <w:iCs/>
              </w:rPr>
              <w:t>N/A</w:t>
            </w:r>
          </w:p>
        </w:tc>
        <w:tc>
          <w:tcPr>
            <w:tcW w:w="1867" w:type="dxa"/>
            <w:tcBorders>
              <w:bottom w:val="nil"/>
            </w:tcBorders>
          </w:tcPr>
          <w:p w14:paraId="6B5BE36A" w14:textId="77777777" w:rsidR="00E94176" w:rsidRPr="00C52D24" w:rsidRDefault="00E94176" w:rsidP="00E94176">
            <w:pPr>
              <w:pStyle w:val="BStablefigures"/>
              <w:jc w:val="right"/>
              <w:rPr>
                <w:rFonts w:eastAsia="Calibri"/>
                <w:i w:val="0"/>
                <w:iCs/>
              </w:rPr>
            </w:pPr>
            <w:r w:rsidRPr="00C52D24">
              <w:rPr>
                <w:i w:val="0"/>
                <w:iCs/>
              </w:rPr>
              <w:t xml:space="preserve">11,181.6 </w:t>
            </w:r>
          </w:p>
        </w:tc>
      </w:tr>
      <w:tr w:rsidR="00E94176" w:rsidRPr="00C52D24" w14:paraId="340D3F62" w14:textId="77777777" w:rsidTr="00E94176">
        <w:trPr>
          <w:jc w:val="center"/>
        </w:trPr>
        <w:tc>
          <w:tcPr>
            <w:tcW w:w="1531" w:type="dxa"/>
            <w:tcBorders>
              <w:top w:val="nil"/>
              <w:bottom w:val="nil"/>
            </w:tcBorders>
          </w:tcPr>
          <w:p w14:paraId="39C0F164" w14:textId="77777777" w:rsidR="00E94176" w:rsidRPr="00102320" w:rsidRDefault="00E94176" w:rsidP="00785F44">
            <w:pPr>
              <w:pStyle w:val="BStabletextunbold"/>
              <w:rPr>
                <w:vertAlign w:val="superscript"/>
              </w:rPr>
            </w:pPr>
            <w:r w:rsidRPr="00102320">
              <w:t>2007-08</w:t>
            </w:r>
            <w:r w:rsidRPr="00102320">
              <w:rPr>
                <w:vertAlign w:val="superscript"/>
              </w:rPr>
              <w:t>2</w:t>
            </w:r>
          </w:p>
        </w:tc>
        <w:tc>
          <w:tcPr>
            <w:tcW w:w="1867" w:type="dxa"/>
            <w:tcBorders>
              <w:top w:val="nil"/>
              <w:bottom w:val="nil"/>
            </w:tcBorders>
          </w:tcPr>
          <w:p w14:paraId="39F94BB7" w14:textId="77777777" w:rsidR="00E94176" w:rsidRPr="00C52D24" w:rsidRDefault="00E94176" w:rsidP="00E94176">
            <w:pPr>
              <w:pStyle w:val="BStablefigures"/>
              <w:jc w:val="right"/>
              <w:rPr>
                <w:rFonts w:eastAsia="Calibri"/>
                <w:i w:val="0"/>
                <w:iCs/>
              </w:rPr>
            </w:pPr>
            <w:r w:rsidRPr="00C52D24">
              <w:rPr>
                <w:i w:val="0"/>
                <w:iCs/>
              </w:rPr>
              <w:t xml:space="preserve">298.1 </w:t>
            </w:r>
          </w:p>
        </w:tc>
        <w:tc>
          <w:tcPr>
            <w:tcW w:w="1867" w:type="dxa"/>
            <w:tcBorders>
              <w:top w:val="nil"/>
              <w:bottom w:val="nil"/>
            </w:tcBorders>
          </w:tcPr>
          <w:p w14:paraId="2BDA82C6" w14:textId="77777777" w:rsidR="00E94176" w:rsidRPr="00C52D24" w:rsidRDefault="00E94176" w:rsidP="00E94176">
            <w:pPr>
              <w:pStyle w:val="BStablefigures"/>
              <w:jc w:val="right"/>
              <w:rPr>
                <w:rFonts w:eastAsia="Calibri"/>
                <w:i w:val="0"/>
                <w:iCs/>
              </w:rPr>
            </w:pPr>
            <w:r w:rsidRPr="00C52D24">
              <w:rPr>
                <w:i w:val="0"/>
                <w:iCs/>
              </w:rPr>
              <w:t xml:space="preserve">-933.3 </w:t>
            </w:r>
          </w:p>
        </w:tc>
        <w:tc>
          <w:tcPr>
            <w:tcW w:w="1867" w:type="dxa"/>
            <w:tcBorders>
              <w:top w:val="nil"/>
              <w:bottom w:val="nil"/>
            </w:tcBorders>
          </w:tcPr>
          <w:p w14:paraId="78D7B0DB" w14:textId="77777777" w:rsidR="00E94176" w:rsidRPr="00C52D24" w:rsidRDefault="00E94176" w:rsidP="00E94176">
            <w:pPr>
              <w:pStyle w:val="BStablefigures"/>
              <w:jc w:val="right"/>
              <w:rPr>
                <w:rFonts w:eastAsia="Calibri"/>
                <w:i w:val="0"/>
                <w:iCs/>
              </w:rPr>
            </w:pPr>
            <w:r w:rsidRPr="00C52D24">
              <w:rPr>
                <w:i w:val="0"/>
                <w:iCs/>
              </w:rPr>
              <w:t xml:space="preserve">512.1 </w:t>
            </w:r>
          </w:p>
        </w:tc>
        <w:tc>
          <w:tcPr>
            <w:tcW w:w="1867" w:type="dxa"/>
            <w:tcBorders>
              <w:top w:val="nil"/>
              <w:bottom w:val="nil"/>
            </w:tcBorders>
          </w:tcPr>
          <w:p w14:paraId="05A8B3FA" w14:textId="77777777" w:rsidR="00E94176" w:rsidRPr="00C52D24" w:rsidRDefault="00E94176" w:rsidP="00E94176">
            <w:pPr>
              <w:pStyle w:val="BStablefigures"/>
              <w:jc w:val="right"/>
              <w:rPr>
                <w:rFonts w:eastAsia="Calibri"/>
                <w:i w:val="0"/>
                <w:iCs/>
              </w:rPr>
            </w:pPr>
            <w:r w:rsidRPr="00C52D24">
              <w:rPr>
                <w:i w:val="0"/>
                <w:iCs/>
              </w:rPr>
              <w:t xml:space="preserve">13,305.2 </w:t>
            </w:r>
          </w:p>
        </w:tc>
      </w:tr>
      <w:tr w:rsidR="00E94176" w:rsidRPr="00C52D24" w14:paraId="0C3005E9" w14:textId="77777777" w:rsidTr="00E94176">
        <w:trPr>
          <w:jc w:val="center"/>
        </w:trPr>
        <w:tc>
          <w:tcPr>
            <w:tcW w:w="1531" w:type="dxa"/>
            <w:tcBorders>
              <w:top w:val="nil"/>
              <w:bottom w:val="nil"/>
            </w:tcBorders>
          </w:tcPr>
          <w:p w14:paraId="7B4569F7" w14:textId="77777777" w:rsidR="00E94176" w:rsidRPr="00102320" w:rsidRDefault="00E94176" w:rsidP="00785F44">
            <w:pPr>
              <w:pStyle w:val="BStabletextunbold"/>
            </w:pPr>
            <w:r w:rsidRPr="00102320">
              <w:t>2008-09</w:t>
            </w:r>
          </w:p>
        </w:tc>
        <w:tc>
          <w:tcPr>
            <w:tcW w:w="1867" w:type="dxa"/>
            <w:tcBorders>
              <w:top w:val="nil"/>
              <w:bottom w:val="nil"/>
            </w:tcBorders>
          </w:tcPr>
          <w:p w14:paraId="30FF20FE" w14:textId="77777777" w:rsidR="00E94176" w:rsidRPr="00C52D24" w:rsidRDefault="00E94176" w:rsidP="00E94176">
            <w:pPr>
              <w:pStyle w:val="BStablefigures"/>
              <w:jc w:val="right"/>
              <w:rPr>
                <w:rFonts w:eastAsia="Calibri"/>
                <w:i w:val="0"/>
                <w:iCs/>
              </w:rPr>
            </w:pPr>
            <w:r w:rsidRPr="00C52D24">
              <w:rPr>
                <w:i w:val="0"/>
                <w:iCs/>
              </w:rPr>
              <w:t xml:space="preserve">-26.5 </w:t>
            </w:r>
          </w:p>
        </w:tc>
        <w:tc>
          <w:tcPr>
            <w:tcW w:w="1867" w:type="dxa"/>
            <w:tcBorders>
              <w:top w:val="nil"/>
              <w:bottom w:val="nil"/>
            </w:tcBorders>
          </w:tcPr>
          <w:p w14:paraId="46A17848" w14:textId="77777777" w:rsidR="00E94176" w:rsidRPr="00C52D24" w:rsidRDefault="00E94176" w:rsidP="00E94176">
            <w:pPr>
              <w:pStyle w:val="BStablefigures"/>
              <w:jc w:val="right"/>
              <w:rPr>
                <w:rFonts w:eastAsia="Calibri"/>
                <w:i w:val="0"/>
                <w:iCs/>
              </w:rPr>
            </w:pPr>
            <w:r w:rsidRPr="00C52D24">
              <w:rPr>
                <w:i w:val="0"/>
                <w:iCs/>
              </w:rPr>
              <w:t xml:space="preserve">-992.3 </w:t>
            </w:r>
          </w:p>
        </w:tc>
        <w:tc>
          <w:tcPr>
            <w:tcW w:w="1867" w:type="dxa"/>
            <w:tcBorders>
              <w:top w:val="nil"/>
              <w:bottom w:val="nil"/>
            </w:tcBorders>
          </w:tcPr>
          <w:p w14:paraId="3B902AFD" w14:textId="77777777" w:rsidR="00E94176" w:rsidRPr="00C52D24" w:rsidRDefault="00E94176" w:rsidP="00E94176">
            <w:pPr>
              <w:pStyle w:val="BStablefigures"/>
              <w:jc w:val="right"/>
              <w:rPr>
                <w:rFonts w:eastAsia="Calibri"/>
                <w:i w:val="0"/>
                <w:iCs/>
              </w:rPr>
            </w:pPr>
            <w:r w:rsidRPr="00C52D24">
              <w:rPr>
                <w:i w:val="0"/>
                <w:iCs/>
              </w:rPr>
              <w:t xml:space="preserve">1,739.4 </w:t>
            </w:r>
          </w:p>
        </w:tc>
        <w:tc>
          <w:tcPr>
            <w:tcW w:w="1867" w:type="dxa"/>
            <w:tcBorders>
              <w:top w:val="nil"/>
              <w:bottom w:val="nil"/>
            </w:tcBorders>
          </w:tcPr>
          <w:p w14:paraId="24CDF4AB" w14:textId="77777777" w:rsidR="00E94176" w:rsidRPr="00C52D24" w:rsidRDefault="00E94176" w:rsidP="00E94176">
            <w:pPr>
              <w:pStyle w:val="BStablefigures"/>
              <w:jc w:val="right"/>
              <w:rPr>
                <w:rFonts w:eastAsia="Calibri"/>
                <w:i w:val="0"/>
                <w:iCs/>
              </w:rPr>
            </w:pPr>
            <w:r w:rsidRPr="00C52D24">
              <w:rPr>
                <w:i w:val="0"/>
                <w:iCs/>
              </w:rPr>
              <w:t xml:space="preserve">14,486.5 </w:t>
            </w:r>
          </w:p>
        </w:tc>
      </w:tr>
      <w:tr w:rsidR="00E94176" w:rsidRPr="00C52D24" w14:paraId="38A6E3B0" w14:textId="77777777" w:rsidTr="00E94176">
        <w:trPr>
          <w:jc w:val="center"/>
        </w:trPr>
        <w:tc>
          <w:tcPr>
            <w:tcW w:w="1531" w:type="dxa"/>
            <w:tcBorders>
              <w:top w:val="nil"/>
              <w:bottom w:val="nil"/>
            </w:tcBorders>
          </w:tcPr>
          <w:p w14:paraId="295F818E" w14:textId="77777777" w:rsidR="00E94176" w:rsidRPr="00102320" w:rsidRDefault="00E94176" w:rsidP="00785F44">
            <w:pPr>
              <w:pStyle w:val="BStabletextunbold"/>
            </w:pPr>
            <w:r w:rsidRPr="00102320">
              <w:t>2009-10</w:t>
            </w:r>
          </w:p>
        </w:tc>
        <w:tc>
          <w:tcPr>
            <w:tcW w:w="1867" w:type="dxa"/>
            <w:tcBorders>
              <w:top w:val="nil"/>
              <w:bottom w:val="nil"/>
            </w:tcBorders>
          </w:tcPr>
          <w:p w14:paraId="4FF9EA1E" w14:textId="77777777" w:rsidR="00E94176" w:rsidRPr="00C52D24" w:rsidRDefault="00E94176" w:rsidP="00E94176">
            <w:pPr>
              <w:pStyle w:val="BStablefigures"/>
              <w:jc w:val="right"/>
              <w:rPr>
                <w:rFonts w:eastAsia="Calibri"/>
                <w:i w:val="0"/>
                <w:iCs/>
              </w:rPr>
            </w:pPr>
            <w:r w:rsidRPr="00C52D24">
              <w:rPr>
                <w:i w:val="0"/>
                <w:iCs/>
              </w:rPr>
              <w:t xml:space="preserve">147.9 </w:t>
            </w:r>
          </w:p>
        </w:tc>
        <w:tc>
          <w:tcPr>
            <w:tcW w:w="1867" w:type="dxa"/>
            <w:tcBorders>
              <w:top w:val="nil"/>
              <w:bottom w:val="nil"/>
            </w:tcBorders>
          </w:tcPr>
          <w:p w14:paraId="41977051" w14:textId="77777777" w:rsidR="00E94176" w:rsidRPr="00C52D24" w:rsidRDefault="00E94176" w:rsidP="00E94176">
            <w:pPr>
              <w:pStyle w:val="BStablefigures"/>
              <w:jc w:val="right"/>
              <w:rPr>
                <w:rFonts w:eastAsia="Calibri"/>
                <w:i w:val="0"/>
                <w:iCs/>
              </w:rPr>
            </w:pPr>
            <w:r w:rsidRPr="00C52D24">
              <w:rPr>
                <w:i w:val="0"/>
                <w:iCs/>
              </w:rPr>
              <w:t xml:space="preserve">-941.8 </w:t>
            </w:r>
          </w:p>
        </w:tc>
        <w:tc>
          <w:tcPr>
            <w:tcW w:w="1867" w:type="dxa"/>
            <w:tcBorders>
              <w:top w:val="nil"/>
              <w:bottom w:val="nil"/>
            </w:tcBorders>
          </w:tcPr>
          <w:p w14:paraId="69BCB115" w14:textId="77777777" w:rsidR="00E94176" w:rsidRPr="00C52D24" w:rsidRDefault="00E94176" w:rsidP="00E94176">
            <w:pPr>
              <w:pStyle w:val="BStablefigures"/>
              <w:jc w:val="right"/>
              <w:rPr>
                <w:rFonts w:eastAsia="Calibri"/>
                <w:i w:val="0"/>
                <w:iCs/>
              </w:rPr>
            </w:pPr>
            <w:r w:rsidRPr="00C52D24">
              <w:rPr>
                <w:i w:val="0"/>
                <w:iCs/>
              </w:rPr>
              <w:t xml:space="preserve">2,246.3 </w:t>
            </w:r>
          </w:p>
        </w:tc>
        <w:tc>
          <w:tcPr>
            <w:tcW w:w="1867" w:type="dxa"/>
            <w:tcBorders>
              <w:top w:val="nil"/>
              <w:bottom w:val="nil"/>
            </w:tcBorders>
          </w:tcPr>
          <w:p w14:paraId="06E274C8" w14:textId="77777777" w:rsidR="00E94176" w:rsidRPr="00C52D24" w:rsidRDefault="00E94176" w:rsidP="00E94176">
            <w:pPr>
              <w:pStyle w:val="BStablefigures"/>
              <w:jc w:val="right"/>
              <w:rPr>
                <w:rFonts w:eastAsia="Calibri"/>
                <w:i w:val="0"/>
                <w:iCs/>
              </w:rPr>
            </w:pPr>
            <w:r w:rsidRPr="00C52D24">
              <w:rPr>
                <w:i w:val="0"/>
                <w:iCs/>
              </w:rPr>
              <w:t xml:space="preserve">15,414.2 </w:t>
            </w:r>
          </w:p>
        </w:tc>
      </w:tr>
      <w:tr w:rsidR="00E94176" w:rsidRPr="00C52D24" w14:paraId="79A38448" w14:textId="77777777" w:rsidTr="00E94176">
        <w:trPr>
          <w:jc w:val="center"/>
        </w:trPr>
        <w:tc>
          <w:tcPr>
            <w:tcW w:w="1531" w:type="dxa"/>
            <w:tcBorders>
              <w:top w:val="nil"/>
              <w:bottom w:val="nil"/>
            </w:tcBorders>
          </w:tcPr>
          <w:p w14:paraId="7579B844" w14:textId="77777777" w:rsidR="00E94176" w:rsidRPr="00102320" w:rsidRDefault="00E94176" w:rsidP="00785F44">
            <w:pPr>
              <w:pStyle w:val="BStabletextunbold"/>
            </w:pPr>
            <w:r w:rsidRPr="00102320">
              <w:t>2010-11</w:t>
            </w:r>
          </w:p>
        </w:tc>
        <w:tc>
          <w:tcPr>
            <w:tcW w:w="1867" w:type="dxa"/>
            <w:tcBorders>
              <w:top w:val="nil"/>
              <w:bottom w:val="nil"/>
            </w:tcBorders>
          </w:tcPr>
          <w:p w14:paraId="599F0708" w14:textId="77777777" w:rsidR="00E94176" w:rsidRPr="00C52D24" w:rsidRDefault="00E94176" w:rsidP="00E94176">
            <w:pPr>
              <w:pStyle w:val="BStablefigures"/>
              <w:jc w:val="right"/>
              <w:rPr>
                <w:rFonts w:eastAsia="Calibri"/>
                <w:i w:val="0"/>
                <w:iCs/>
              </w:rPr>
            </w:pPr>
            <w:r w:rsidRPr="00C52D24">
              <w:rPr>
                <w:i w:val="0"/>
                <w:iCs/>
              </w:rPr>
              <w:t xml:space="preserve">22.9 </w:t>
            </w:r>
          </w:p>
        </w:tc>
        <w:tc>
          <w:tcPr>
            <w:tcW w:w="1867" w:type="dxa"/>
            <w:tcBorders>
              <w:top w:val="nil"/>
              <w:bottom w:val="nil"/>
            </w:tcBorders>
          </w:tcPr>
          <w:p w14:paraId="44DDA156" w14:textId="77777777" w:rsidR="00E94176" w:rsidRPr="00C52D24" w:rsidRDefault="00E94176" w:rsidP="00E94176">
            <w:pPr>
              <w:pStyle w:val="BStablefigures"/>
              <w:jc w:val="right"/>
              <w:rPr>
                <w:rFonts w:eastAsia="Calibri"/>
                <w:i w:val="0"/>
                <w:iCs/>
              </w:rPr>
            </w:pPr>
            <w:r w:rsidRPr="00C52D24">
              <w:rPr>
                <w:i w:val="0"/>
                <w:iCs/>
              </w:rPr>
              <w:t xml:space="preserve">-735.9 </w:t>
            </w:r>
          </w:p>
        </w:tc>
        <w:tc>
          <w:tcPr>
            <w:tcW w:w="1867" w:type="dxa"/>
            <w:tcBorders>
              <w:top w:val="nil"/>
              <w:bottom w:val="nil"/>
            </w:tcBorders>
          </w:tcPr>
          <w:p w14:paraId="05833B82" w14:textId="77777777" w:rsidR="00E94176" w:rsidRPr="00C52D24" w:rsidRDefault="00E94176" w:rsidP="00E94176">
            <w:pPr>
              <w:pStyle w:val="BStablefigures"/>
              <w:jc w:val="right"/>
              <w:rPr>
                <w:rFonts w:eastAsia="Calibri"/>
                <w:i w:val="0"/>
                <w:iCs/>
              </w:rPr>
            </w:pPr>
            <w:r w:rsidRPr="00C52D24">
              <w:rPr>
                <w:i w:val="0"/>
                <w:iCs/>
              </w:rPr>
              <w:t xml:space="preserve">2,526.1 </w:t>
            </w:r>
          </w:p>
        </w:tc>
        <w:tc>
          <w:tcPr>
            <w:tcW w:w="1867" w:type="dxa"/>
            <w:tcBorders>
              <w:top w:val="nil"/>
              <w:bottom w:val="nil"/>
            </w:tcBorders>
          </w:tcPr>
          <w:p w14:paraId="168EA6D9" w14:textId="77777777" w:rsidR="00E94176" w:rsidRPr="00C52D24" w:rsidRDefault="00E94176" w:rsidP="00E94176">
            <w:pPr>
              <w:pStyle w:val="BStablefigures"/>
              <w:jc w:val="right"/>
              <w:rPr>
                <w:rFonts w:eastAsia="Calibri"/>
                <w:i w:val="0"/>
                <w:iCs/>
              </w:rPr>
            </w:pPr>
            <w:r w:rsidRPr="00C52D24">
              <w:rPr>
                <w:i w:val="0"/>
                <w:iCs/>
              </w:rPr>
              <w:t xml:space="preserve">15,875.6 </w:t>
            </w:r>
          </w:p>
        </w:tc>
      </w:tr>
      <w:tr w:rsidR="00E94176" w:rsidRPr="00C52D24" w14:paraId="3066E929" w14:textId="77777777" w:rsidTr="00E94176">
        <w:trPr>
          <w:jc w:val="center"/>
        </w:trPr>
        <w:tc>
          <w:tcPr>
            <w:tcW w:w="1531" w:type="dxa"/>
            <w:tcBorders>
              <w:top w:val="nil"/>
              <w:bottom w:val="nil"/>
            </w:tcBorders>
          </w:tcPr>
          <w:p w14:paraId="1116B9DE" w14:textId="77777777" w:rsidR="00E94176" w:rsidRPr="00102320" w:rsidRDefault="00E94176" w:rsidP="00785F44">
            <w:pPr>
              <w:pStyle w:val="BStabletextunbold"/>
            </w:pPr>
            <w:r w:rsidRPr="00102320">
              <w:t>2011-12</w:t>
            </w:r>
          </w:p>
        </w:tc>
        <w:tc>
          <w:tcPr>
            <w:tcW w:w="1867" w:type="dxa"/>
            <w:tcBorders>
              <w:top w:val="nil"/>
              <w:bottom w:val="nil"/>
            </w:tcBorders>
          </w:tcPr>
          <w:p w14:paraId="2FE528EE" w14:textId="77777777" w:rsidR="00E94176" w:rsidRPr="00C52D24" w:rsidRDefault="00E94176" w:rsidP="00E94176">
            <w:pPr>
              <w:pStyle w:val="BStablefigures"/>
              <w:jc w:val="right"/>
              <w:rPr>
                <w:rFonts w:eastAsia="Calibri"/>
                <w:i w:val="0"/>
                <w:iCs/>
              </w:rPr>
            </w:pPr>
            <w:r w:rsidRPr="00C52D24">
              <w:rPr>
                <w:i w:val="0"/>
                <w:iCs/>
              </w:rPr>
              <w:t xml:space="preserve">43.8 </w:t>
            </w:r>
          </w:p>
        </w:tc>
        <w:tc>
          <w:tcPr>
            <w:tcW w:w="1867" w:type="dxa"/>
            <w:tcBorders>
              <w:top w:val="nil"/>
              <w:bottom w:val="nil"/>
            </w:tcBorders>
          </w:tcPr>
          <w:p w14:paraId="055FFD8B" w14:textId="77777777" w:rsidR="00E94176" w:rsidRPr="00C52D24" w:rsidRDefault="00E94176" w:rsidP="00E94176">
            <w:pPr>
              <w:pStyle w:val="BStablefigures"/>
              <w:jc w:val="right"/>
              <w:rPr>
                <w:rFonts w:eastAsia="Calibri"/>
                <w:i w:val="0"/>
                <w:iCs/>
              </w:rPr>
            </w:pPr>
            <w:r w:rsidRPr="00C52D24">
              <w:rPr>
                <w:i w:val="0"/>
                <w:iCs/>
              </w:rPr>
              <w:t xml:space="preserve">-473.2 </w:t>
            </w:r>
          </w:p>
        </w:tc>
        <w:tc>
          <w:tcPr>
            <w:tcW w:w="1867" w:type="dxa"/>
            <w:tcBorders>
              <w:top w:val="nil"/>
              <w:bottom w:val="nil"/>
            </w:tcBorders>
          </w:tcPr>
          <w:p w14:paraId="4E8E711F" w14:textId="77777777" w:rsidR="00E94176" w:rsidRPr="00C52D24" w:rsidRDefault="00E94176" w:rsidP="00E94176">
            <w:pPr>
              <w:pStyle w:val="BStablefigures"/>
              <w:jc w:val="right"/>
              <w:rPr>
                <w:rFonts w:eastAsia="Calibri"/>
                <w:i w:val="0"/>
                <w:iCs/>
              </w:rPr>
            </w:pPr>
            <w:r w:rsidRPr="00C52D24">
              <w:rPr>
                <w:i w:val="0"/>
                <w:iCs/>
              </w:rPr>
              <w:t xml:space="preserve">5,472.0 </w:t>
            </w:r>
          </w:p>
        </w:tc>
        <w:tc>
          <w:tcPr>
            <w:tcW w:w="1867" w:type="dxa"/>
            <w:tcBorders>
              <w:top w:val="nil"/>
              <w:bottom w:val="nil"/>
            </w:tcBorders>
          </w:tcPr>
          <w:p w14:paraId="499691DF" w14:textId="77777777" w:rsidR="00E94176" w:rsidRPr="00C52D24" w:rsidRDefault="00E94176" w:rsidP="00E94176">
            <w:pPr>
              <w:pStyle w:val="BStablefigures"/>
              <w:jc w:val="right"/>
              <w:rPr>
                <w:rFonts w:eastAsia="Calibri"/>
                <w:i w:val="0"/>
                <w:iCs/>
              </w:rPr>
            </w:pPr>
            <w:r w:rsidRPr="00C52D24">
              <w:rPr>
                <w:i w:val="0"/>
                <w:iCs/>
              </w:rPr>
              <w:t xml:space="preserve">13,792.5 </w:t>
            </w:r>
          </w:p>
        </w:tc>
      </w:tr>
      <w:tr w:rsidR="00E94176" w:rsidRPr="00C52D24" w14:paraId="268904D2" w14:textId="77777777" w:rsidTr="00E94176">
        <w:trPr>
          <w:jc w:val="center"/>
        </w:trPr>
        <w:tc>
          <w:tcPr>
            <w:tcW w:w="1531" w:type="dxa"/>
            <w:tcBorders>
              <w:top w:val="nil"/>
              <w:bottom w:val="nil"/>
            </w:tcBorders>
          </w:tcPr>
          <w:p w14:paraId="770B98DE" w14:textId="77777777" w:rsidR="00E94176" w:rsidRPr="00102320" w:rsidRDefault="00E94176" w:rsidP="00785F44">
            <w:pPr>
              <w:pStyle w:val="BStabletextunbold"/>
            </w:pPr>
            <w:r w:rsidRPr="00102320">
              <w:t>2012-13</w:t>
            </w:r>
          </w:p>
        </w:tc>
        <w:tc>
          <w:tcPr>
            <w:tcW w:w="1867" w:type="dxa"/>
            <w:tcBorders>
              <w:top w:val="nil"/>
              <w:bottom w:val="nil"/>
            </w:tcBorders>
          </w:tcPr>
          <w:p w14:paraId="12F467B9" w14:textId="77777777" w:rsidR="00E94176" w:rsidRPr="00C52D24" w:rsidRDefault="00E94176" w:rsidP="00E94176">
            <w:pPr>
              <w:pStyle w:val="BStablefigures"/>
              <w:jc w:val="right"/>
              <w:rPr>
                <w:rFonts w:eastAsia="Calibri"/>
                <w:i w:val="0"/>
                <w:iCs/>
              </w:rPr>
            </w:pPr>
            <w:r w:rsidRPr="00C52D24">
              <w:rPr>
                <w:i w:val="0"/>
                <w:iCs/>
              </w:rPr>
              <w:t xml:space="preserve">-273.8 </w:t>
            </w:r>
          </w:p>
        </w:tc>
        <w:tc>
          <w:tcPr>
            <w:tcW w:w="1867" w:type="dxa"/>
            <w:tcBorders>
              <w:top w:val="nil"/>
              <w:bottom w:val="nil"/>
            </w:tcBorders>
          </w:tcPr>
          <w:p w14:paraId="453BED69" w14:textId="77777777" w:rsidR="00E94176" w:rsidRPr="00C52D24" w:rsidRDefault="00E94176" w:rsidP="00E94176">
            <w:pPr>
              <w:pStyle w:val="BStablefigures"/>
              <w:jc w:val="right"/>
              <w:rPr>
                <w:rFonts w:eastAsia="Calibri"/>
                <w:i w:val="0"/>
                <w:iCs/>
              </w:rPr>
            </w:pPr>
            <w:r w:rsidRPr="00C52D24">
              <w:rPr>
                <w:i w:val="0"/>
                <w:iCs/>
              </w:rPr>
              <w:t xml:space="preserve">109.8 </w:t>
            </w:r>
          </w:p>
        </w:tc>
        <w:tc>
          <w:tcPr>
            <w:tcW w:w="1867" w:type="dxa"/>
            <w:tcBorders>
              <w:top w:val="nil"/>
              <w:bottom w:val="nil"/>
            </w:tcBorders>
          </w:tcPr>
          <w:p w14:paraId="270FC0BE" w14:textId="77777777" w:rsidR="00E94176" w:rsidRPr="00C52D24" w:rsidRDefault="00E94176" w:rsidP="00E94176">
            <w:pPr>
              <w:pStyle w:val="BStablefigures"/>
              <w:jc w:val="right"/>
              <w:rPr>
                <w:rFonts w:eastAsia="Calibri"/>
                <w:i w:val="0"/>
                <w:iCs/>
              </w:rPr>
            </w:pPr>
            <w:r w:rsidRPr="00C52D24">
              <w:rPr>
                <w:i w:val="0"/>
                <w:iCs/>
              </w:rPr>
              <w:t xml:space="preserve">4,840.7 </w:t>
            </w:r>
          </w:p>
        </w:tc>
        <w:tc>
          <w:tcPr>
            <w:tcW w:w="1867" w:type="dxa"/>
            <w:tcBorders>
              <w:top w:val="nil"/>
              <w:bottom w:val="nil"/>
            </w:tcBorders>
          </w:tcPr>
          <w:p w14:paraId="22620C92" w14:textId="77777777" w:rsidR="00E94176" w:rsidRPr="00C52D24" w:rsidRDefault="00E94176" w:rsidP="00E94176">
            <w:pPr>
              <w:pStyle w:val="BStablefigures"/>
              <w:jc w:val="right"/>
              <w:rPr>
                <w:rFonts w:eastAsia="Calibri"/>
                <w:i w:val="0"/>
                <w:iCs/>
              </w:rPr>
            </w:pPr>
            <w:r w:rsidRPr="00C52D24">
              <w:rPr>
                <w:i w:val="0"/>
                <w:iCs/>
              </w:rPr>
              <w:t xml:space="preserve">15,198.8 </w:t>
            </w:r>
          </w:p>
        </w:tc>
      </w:tr>
      <w:tr w:rsidR="00E94176" w:rsidRPr="00C52D24" w14:paraId="107278C2" w14:textId="77777777" w:rsidTr="00E94176">
        <w:trPr>
          <w:jc w:val="center"/>
        </w:trPr>
        <w:tc>
          <w:tcPr>
            <w:tcW w:w="1531" w:type="dxa"/>
            <w:tcBorders>
              <w:top w:val="nil"/>
              <w:bottom w:val="nil"/>
            </w:tcBorders>
          </w:tcPr>
          <w:p w14:paraId="718AC693" w14:textId="77777777" w:rsidR="00E94176" w:rsidRPr="00102320" w:rsidRDefault="00E94176" w:rsidP="00785F44">
            <w:pPr>
              <w:pStyle w:val="BStabletextunbold"/>
              <w:rPr>
                <w:vertAlign w:val="superscript"/>
              </w:rPr>
            </w:pPr>
            <w:r w:rsidRPr="00102320">
              <w:t>2013-14</w:t>
            </w:r>
          </w:p>
        </w:tc>
        <w:tc>
          <w:tcPr>
            <w:tcW w:w="1867" w:type="dxa"/>
            <w:tcBorders>
              <w:top w:val="nil"/>
              <w:bottom w:val="nil"/>
            </w:tcBorders>
          </w:tcPr>
          <w:p w14:paraId="73F0F0E2" w14:textId="77777777" w:rsidR="00E94176" w:rsidRPr="00C52D24" w:rsidRDefault="00E94176" w:rsidP="00E94176">
            <w:pPr>
              <w:pStyle w:val="BStablefigures"/>
              <w:jc w:val="right"/>
              <w:rPr>
                <w:rFonts w:eastAsia="Calibri"/>
                <w:i w:val="0"/>
                <w:iCs/>
              </w:rPr>
            </w:pPr>
            <w:r w:rsidRPr="00C52D24">
              <w:rPr>
                <w:i w:val="0"/>
                <w:iCs/>
              </w:rPr>
              <w:t xml:space="preserve">-187.8 </w:t>
            </w:r>
          </w:p>
        </w:tc>
        <w:tc>
          <w:tcPr>
            <w:tcW w:w="1867" w:type="dxa"/>
            <w:tcBorders>
              <w:top w:val="nil"/>
              <w:bottom w:val="nil"/>
            </w:tcBorders>
          </w:tcPr>
          <w:p w14:paraId="7D55F520" w14:textId="77777777" w:rsidR="00E94176" w:rsidRPr="00C52D24" w:rsidRDefault="00E94176" w:rsidP="00E94176">
            <w:pPr>
              <w:pStyle w:val="BStablefigures"/>
              <w:jc w:val="right"/>
              <w:rPr>
                <w:rFonts w:eastAsia="Calibri"/>
                <w:i w:val="0"/>
                <w:iCs/>
              </w:rPr>
            </w:pPr>
            <w:r w:rsidRPr="00C52D24">
              <w:rPr>
                <w:i w:val="0"/>
                <w:iCs/>
              </w:rPr>
              <w:t xml:space="preserve">312.7 </w:t>
            </w:r>
          </w:p>
        </w:tc>
        <w:tc>
          <w:tcPr>
            <w:tcW w:w="1867" w:type="dxa"/>
            <w:tcBorders>
              <w:top w:val="nil"/>
              <w:bottom w:val="nil"/>
            </w:tcBorders>
          </w:tcPr>
          <w:p w14:paraId="65A9C389" w14:textId="77777777" w:rsidR="00E94176" w:rsidRPr="00C52D24" w:rsidRDefault="00E94176" w:rsidP="00E94176">
            <w:pPr>
              <w:pStyle w:val="BStablefigures"/>
              <w:jc w:val="right"/>
              <w:rPr>
                <w:rFonts w:eastAsia="Calibri"/>
                <w:i w:val="0"/>
                <w:iCs/>
              </w:rPr>
            </w:pPr>
            <w:r w:rsidRPr="00C52D24">
              <w:rPr>
                <w:i w:val="0"/>
                <w:iCs/>
              </w:rPr>
              <w:t xml:space="preserve">5,559.0 </w:t>
            </w:r>
          </w:p>
        </w:tc>
        <w:tc>
          <w:tcPr>
            <w:tcW w:w="1867" w:type="dxa"/>
            <w:tcBorders>
              <w:top w:val="nil"/>
              <w:bottom w:val="nil"/>
            </w:tcBorders>
          </w:tcPr>
          <w:p w14:paraId="3CBF42CD" w14:textId="77777777" w:rsidR="00E94176" w:rsidRPr="00C52D24" w:rsidRDefault="00E94176" w:rsidP="00E94176">
            <w:pPr>
              <w:pStyle w:val="BStablefigures"/>
              <w:jc w:val="right"/>
              <w:rPr>
                <w:rFonts w:eastAsia="Calibri"/>
                <w:i w:val="0"/>
                <w:iCs/>
              </w:rPr>
            </w:pPr>
            <w:r w:rsidRPr="00C52D24">
              <w:rPr>
                <w:i w:val="0"/>
                <w:iCs/>
              </w:rPr>
              <w:t xml:space="preserve">14,879.9 </w:t>
            </w:r>
          </w:p>
        </w:tc>
      </w:tr>
      <w:tr w:rsidR="00E94176" w:rsidRPr="00C52D24" w14:paraId="026BD3C0" w14:textId="77777777" w:rsidTr="00E94176">
        <w:trPr>
          <w:jc w:val="center"/>
        </w:trPr>
        <w:tc>
          <w:tcPr>
            <w:tcW w:w="1531" w:type="dxa"/>
            <w:tcBorders>
              <w:top w:val="nil"/>
              <w:bottom w:val="nil"/>
            </w:tcBorders>
          </w:tcPr>
          <w:p w14:paraId="128F6C7E" w14:textId="77777777" w:rsidR="00E94176" w:rsidRPr="00102320" w:rsidRDefault="00E94176" w:rsidP="00785F44">
            <w:pPr>
              <w:pStyle w:val="BStabletextunbold"/>
            </w:pPr>
            <w:r w:rsidRPr="00102320">
              <w:t>2014-15</w:t>
            </w:r>
          </w:p>
        </w:tc>
        <w:tc>
          <w:tcPr>
            <w:tcW w:w="1867" w:type="dxa"/>
            <w:tcBorders>
              <w:top w:val="nil"/>
              <w:bottom w:val="nil"/>
            </w:tcBorders>
          </w:tcPr>
          <w:p w14:paraId="2341D23A" w14:textId="77777777" w:rsidR="00E94176" w:rsidRPr="00C52D24" w:rsidRDefault="00E94176" w:rsidP="00E94176">
            <w:pPr>
              <w:pStyle w:val="BStablefigures"/>
              <w:jc w:val="right"/>
              <w:rPr>
                <w:rFonts w:eastAsia="Calibri"/>
                <w:i w:val="0"/>
                <w:iCs/>
              </w:rPr>
            </w:pPr>
            <w:r w:rsidRPr="00C52D24">
              <w:rPr>
                <w:rFonts w:eastAsia="Calibri"/>
                <w:i w:val="0"/>
                <w:iCs/>
              </w:rPr>
              <w:t>-479.3</w:t>
            </w:r>
          </w:p>
        </w:tc>
        <w:tc>
          <w:tcPr>
            <w:tcW w:w="1867" w:type="dxa"/>
            <w:tcBorders>
              <w:top w:val="nil"/>
              <w:bottom w:val="nil"/>
            </w:tcBorders>
          </w:tcPr>
          <w:p w14:paraId="2F2AB43E" w14:textId="77777777" w:rsidR="00E94176" w:rsidRPr="00C52D24" w:rsidRDefault="00E94176" w:rsidP="00E94176">
            <w:pPr>
              <w:pStyle w:val="BStablefigures"/>
              <w:jc w:val="right"/>
              <w:rPr>
                <w:rFonts w:eastAsia="Calibri"/>
                <w:i w:val="0"/>
                <w:iCs/>
              </w:rPr>
            </w:pPr>
            <w:r w:rsidRPr="00C52D24">
              <w:rPr>
                <w:rFonts w:eastAsia="Calibri"/>
                <w:i w:val="0"/>
                <w:iCs/>
              </w:rPr>
              <w:t>909.6</w:t>
            </w:r>
          </w:p>
        </w:tc>
        <w:tc>
          <w:tcPr>
            <w:tcW w:w="1867" w:type="dxa"/>
            <w:tcBorders>
              <w:top w:val="nil"/>
              <w:bottom w:val="nil"/>
            </w:tcBorders>
          </w:tcPr>
          <w:p w14:paraId="145178B5" w14:textId="77777777" w:rsidR="00E94176" w:rsidRPr="00C52D24" w:rsidRDefault="00E94176" w:rsidP="00E94176">
            <w:pPr>
              <w:pStyle w:val="BStablefigures"/>
              <w:jc w:val="right"/>
              <w:rPr>
                <w:rFonts w:eastAsia="Calibri"/>
                <w:i w:val="0"/>
                <w:iCs/>
              </w:rPr>
            </w:pPr>
            <w:r w:rsidRPr="00C52D24">
              <w:rPr>
                <w:rFonts w:eastAsia="Calibri"/>
                <w:i w:val="0"/>
                <w:iCs/>
              </w:rPr>
              <w:t>7,002.7</w:t>
            </w:r>
          </w:p>
        </w:tc>
        <w:tc>
          <w:tcPr>
            <w:tcW w:w="1867" w:type="dxa"/>
            <w:tcBorders>
              <w:top w:val="nil"/>
              <w:bottom w:val="nil"/>
            </w:tcBorders>
          </w:tcPr>
          <w:p w14:paraId="1490647D" w14:textId="77777777" w:rsidR="00E94176" w:rsidRPr="00C52D24" w:rsidRDefault="00E94176" w:rsidP="00E94176">
            <w:pPr>
              <w:pStyle w:val="BStablefigures"/>
              <w:jc w:val="right"/>
              <w:rPr>
                <w:rFonts w:eastAsia="Calibri"/>
                <w:i w:val="0"/>
                <w:iCs/>
              </w:rPr>
            </w:pPr>
            <w:r w:rsidRPr="00C52D24">
              <w:rPr>
                <w:rFonts w:eastAsia="Calibri"/>
                <w:i w:val="0"/>
                <w:iCs/>
              </w:rPr>
              <w:t>14,284.9</w:t>
            </w:r>
          </w:p>
        </w:tc>
      </w:tr>
      <w:tr w:rsidR="00E94176" w:rsidRPr="00C52D24" w14:paraId="3FADE19E" w14:textId="77777777" w:rsidTr="00E94176">
        <w:trPr>
          <w:jc w:val="center"/>
        </w:trPr>
        <w:tc>
          <w:tcPr>
            <w:tcW w:w="1531" w:type="dxa"/>
            <w:tcBorders>
              <w:top w:val="nil"/>
              <w:bottom w:val="nil"/>
            </w:tcBorders>
          </w:tcPr>
          <w:p w14:paraId="7DA71309" w14:textId="77777777" w:rsidR="00E94176" w:rsidRPr="00102320" w:rsidRDefault="00E94176" w:rsidP="00785F44">
            <w:pPr>
              <w:pStyle w:val="BStabletextunbold"/>
            </w:pPr>
            <w:r w:rsidRPr="00102320">
              <w:t>2015-16</w:t>
            </w:r>
          </w:p>
        </w:tc>
        <w:tc>
          <w:tcPr>
            <w:tcW w:w="1867" w:type="dxa"/>
            <w:tcBorders>
              <w:top w:val="nil"/>
              <w:bottom w:val="nil"/>
            </w:tcBorders>
          </w:tcPr>
          <w:p w14:paraId="0D923982" w14:textId="77777777" w:rsidR="00E94176" w:rsidRPr="00C52D24" w:rsidRDefault="00E94176" w:rsidP="00E94176">
            <w:pPr>
              <w:pStyle w:val="BStablefigures"/>
              <w:jc w:val="right"/>
              <w:rPr>
                <w:rFonts w:eastAsia="Calibri"/>
                <w:i w:val="0"/>
                <w:iCs/>
              </w:rPr>
            </w:pPr>
            <w:r w:rsidRPr="00C52D24">
              <w:rPr>
                <w:rFonts w:eastAsia="Calibri"/>
                <w:i w:val="0"/>
                <w:iCs/>
              </w:rPr>
              <w:t>-173.7</w:t>
            </w:r>
          </w:p>
        </w:tc>
        <w:tc>
          <w:tcPr>
            <w:tcW w:w="1867" w:type="dxa"/>
            <w:tcBorders>
              <w:top w:val="nil"/>
              <w:bottom w:val="nil"/>
            </w:tcBorders>
          </w:tcPr>
          <w:p w14:paraId="3DB4F6BC" w14:textId="77777777" w:rsidR="00E94176" w:rsidRPr="00C52D24" w:rsidRDefault="00E94176" w:rsidP="00E94176">
            <w:pPr>
              <w:pStyle w:val="BStablefigures"/>
              <w:jc w:val="right"/>
              <w:rPr>
                <w:rFonts w:eastAsia="Calibri"/>
                <w:i w:val="0"/>
                <w:iCs/>
              </w:rPr>
            </w:pPr>
            <w:r w:rsidRPr="00C52D24">
              <w:rPr>
                <w:rFonts w:eastAsia="Calibri"/>
                <w:i w:val="0"/>
                <w:iCs/>
              </w:rPr>
              <w:t>1,646.5</w:t>
            </w:r>
          </w:p>
        </w:tc>
        <w:tc>
          <w:tcPr>
            <w:tcW w:w="1867" w:type="dxa"/>
            <w:tcBorders>
              <w:top w:val="nil"/>
              <w:bottom w:val="nil"/>
            </w:tcBorders>
          </w:tcPr>
          <w:p w14:paraId="626A6136" w14:textId="77777777" w:rsidR="00E94176" w:rsidRPr="00C52D24" w:rsidRDefault="00E94176" w:rsidP="00E94176">
            <w:pPr>
              <w:pStyle w:val="BStablefigures"/>
              <w:jc w:val="right"/>
              <w:rPr>
                <w:rFonts w:eastAsia="Calibri"/>
                <w:i w:val="0"/>
                <w:iCs/>
              </w:rPr>
            </w:pPr>
            <w:r w:rsidRPr="00C52D24">
              <w:rPr>
                <w:rFonts w:eastAsia="Calibri"/>
                <w:i w:val="0"/>
                <w:iCs/>
              </w:rPr>
              <w:t>9,665.9</w:t>
            </w:r>
          </w:p>
        </w:tc>
        <w:tc>
          <w:tcPr>
            <w:tcW w:w="1867" w:type="dxa"/>
            <w:tcBorders>
              <w:top w:val="nil"/>
              <w:bottom w:val="nil"/>
            </w:tcBorders>
          </w:tcPr>
          <w:p w14:paraId="2620496F" w14:textId="77777777" w:rsidR="00E94176" w:rsidRPr="00C52D24" w:rsidRDefault="00E94176" w:rsidP="00E94176">
            <w:pPr>
              <w:pStyle w:val="BStablefigures"/>
              <w:jc w:val="right"/>
              <w:rPr>
                <w:rFonts w:eastAsia="Calibri"/>
                <w:i w:val="0"/>
                <w:iCs/>
              </w:rPr>
            </w:pPr>
            <w:r w:rsidRPr="00C52D24">
              <w:rPr>
                <w:rFonts w:eastAsia="Calibri"/>
                <w:i w:val="0"/>
                <w:iCs/>
              </w:rPr>
              <w:t>12,408.5</w:t>
            </w:r>
          </w:p>
        </w:tc>
      </w:tr>
      <w:tr w:rsidR="00E94176" w:rsidRPr="00C52D24" w14:paraId="6E754451" w14:textId="77777777" w:rsidTr="00E94176">
        <w:trPr>
          <w:jc w:val="center"/>
        </w:trPr>
        <w:tc>
          <w:tcPr>
            <w:tcW w:w="1531" w:type="dxa"/>
            <w:tcBorders>
              <w:top w:val="nil"/>
              <w:bottom w:val="nil"/>
            </w:tcBorders>
          </w:tcPr>
          <w:p w14:paraId="0CB55061" w14:textId="77777777" w:rsidR="00E94176" w:rsidRPr="00102320" w:rsidRDefault="00E94176" w:rsidP="00785F44">
            <w:pPr>
              <w:pStyle w:val="BStabletextunbold"/>
            </w:pPr>
            <w:r w:rsidRPr="00102320">
              <w:t>2016-17</w:t>
            </w:r>
          </w:p>
        </w:tc>
        <w:tc>
          <w:tcPr>
            <w:tcW w:w="1867" w:type="dxa"/>
            <w:tcBorders>
              <w:top w:val="nil"/>
              <w:bottom w:val="nil"/>
            </w:tcBorders>
          </w:tcPr>
          <w:p w14:paraId="22D954E2" w14:textId="77777777" w:rsidR="00E94176" w:rsidRPr="00C52D24" w:rsidRDefault="00E94176" w:rsidP="00E94176">
            <w:pPr>
              <w:pStyle w:val="BStablefigures"/>
              <w:jc w:val="right"/>
              <w:rPr>
                <w:rFonts w:eastAsia="Calibri"/>
                <w:i w:val="0"/>
                <w:iCs/>
              </w:rPr>
            </w:pPr>
            <w:r w:rsidRPr="00C52D24">
              <w:rPr>
                <w:rFonts w:eastAsia="Calibri"/>
                <w:i w:val="0"/>
                <w:iCs/>
              </w:rPr>
              <w:t>-26.7</w:t>
            </w:r>
          </w:p>
        </w:tc>
        <w:tc>
          <w:tcPr>
            <w:tcW w:w="1867" w:type="dxa"/>
            <w:tcBorders>
              <w:top w:val="nil"/>
              <w:bottom w:val="nil"/>
            </w:tcBorders>
          </w:tcPr>
          <w:p w14:paraId="069A2C0F" w14:textId="77777777" w:rsidR="00E94176" w:rsidRPr="00C52D24" w:rsidRDefault="00E94176" w:rsidP="00E94176">
            <w:pPr>
              <w:pStyle w:val="BStablefigures"/>
              <w:jc w:val="right"/>
              <w:rPr>
                <w:rFonts w:eastAsia="Calibri"/>
                <w:i w:val="0"/>
                <w:iCs/>
              </w:rPr>
            </w:pPr>
            <w:r w:rsidRPr="00C52D24">
              <w:rPr>
                <w:rFonts w:eastAsia="Calibri"/>
                <w:i w:val="0"/>
                <w:iCs/>
              </w:rPr>
              <w:t>1,452.8</w:t>
            </w:r>
          </w:p>
        </w:tc>
        <w:tc>
          <w:tcPr>
            <w:tcW w:w="1867" w:type="dxa"/>
            <w:tcBorders>
              <w:top w:val="nil"/>
              <w:bottom w:val="nil"/>
            </w:tcBorders>
          </w:tcPr>
          <w:p w14:paraId="6398F9A3" w14:textId="77777777" w:rsidR="00E94176" w:rsidRPr="00C52D24" w:rsidRDefault="00E94176" w:rsidP="00E94176">
            <w:pPr>
              <w:pStyle w:val="BStablefigures"/>
              <w:jc w:val="right"/>
              <w:rPr>
                <w:rFonts w:eastAsia="Calibri"/>
                <w:i w:val="0"/>
                <w:iCs/>
              </w:rPr>
            </w:pPr>
            <w:r w:rsidRPr="00C52D24">
              <w:rPr>
                <w:rFonts w:eastAsia="Calibri"/>
                <w:i w:val="0"/>
                <w:iCs/>
              </w:rPr>
              <w:t>6,984.0</w:t>
            </w:r>
          </w:p>
        </w:tc>
        <w:tc>
          <w:tcPr>
            <w:tcW w:w="1867" w:type="dxa"/>
            <w:tcBorders>
              <w:top w:val="nil"/>
              <w:bottom w:val="nil"/>
            </w:tcBorders>
            <w:shd w:val="clear" w:color="auto" w:fill="auto"/>
          </w:tcPr>
          <w:p w14:paraId="7EADD946" w14:textId="77777777" w:rsidR="00E94176" w:rsidRPr="00C52D24" w:rsidRDefault="00E94176" w:rsidP="00E94176">
            <w:pPr>
              <w:pStyle w:val="BStablefigures"/>
              <w:jc w:val="right"/>
              <w:rPr>
                <w:rFonts w:eastAsia="Calibri"/>
                <w:i w:val="0"/>
                <w:iCs/>
              </w:rPr>
            </w:pPr>
            <w:r w:rsidRPr="00C52D24">
              <w:rPr>
                <w:rFonts w:eastAsia="Calibri"/>
                <w:i w:val="0"/>
                <w:iCs/>
              </w:rPr>
              <w:t>15,663.8</w:t>
            </w:r>
          </w:p>
        </w:tc>
      </w:tr>
      <w:tr w:rsidR="00E94176" w:rsidRPr="00C52D24" w14:paraId="00BB33F0" w14:textId="77777777" w:rsidTr="00E94176">
        <w:trPr>
          <w:jc w:val="center"/>
        </w:trPr>
        <w:tc>
          <w:tcPr>
            <w:tcW w:w="1531" w:type="dxa"/>
            <w:tcBorders>
              <w:top w:val="nil"/>
              <w:bottom w:val="nil"/>
            </w:tcBorders>
          </w:tcPr>
          <w:p w14:paraId="23CADB3A" w14:textId="77777777" w:rsidR="00E94176" w:rsidRPr="00102320" w:rsidRDefault="00E94176" w:rsidP="00785F44">
            <w:pPr>
              <w:pStyle w:val="BStabletextunbold"/>
            </w:pPr>
            <w:r w:rsidRPr="00102320">
              <w:t>2017-18</w:t>
            </w:r>
          </w:p>
        </w:tc>
        <w:tc>
          <w:tcPr>
            <w:tcW w:w="1867" w:type="dxa"/>
            <w:tcBorders>
              <w:top w:val="nil"/>
              <w:bottom w:val="nil"/>
            </w:tcBorders>
          </w:tcPr>
          <w:p w14:paraId="38490707" w14:textId="77777777" w:rsidR="00E94176" w:rsidRPr="00C52D24" w:rsidRDefault="00E94176" w:rsidP="00E94176">
            <w:pPr>
              <w:pStyle w:val="BStablefigures"/>
              <w:jc w:val="right"/>
              <w:rPr>
                <w:rFonts w:eastAsia="Calibri"/>
                <w:i w:val="0"/>
                <w:iCs/>
              </w:rPr>
            </w:pPr>
            <w:r w:rsidRPr="00C52D24">
              <w:rPr>
                <w:rFonts w:eastAsia="Calibri"/>
                <w:i w:val="0"/>
                <w:iCs/>
              </w:rPr>
              <w:t>80.8</w:t>
            </w:r>
          </w:p>
        </w:tc>
        <w:tc>
          <w:tcPr>
            <w:tcW w:w="1867" w:type="dxa"/>
            <w:tcBorders>
              <w:top w:val="nil"/>
              <w:bottom w:val="nil"/>
            </w:tcBorders>
          </w:tcPr>
          <w:p w14:paraId="649F71E8" w14:textId="77777777" w:rsidR="00E94176" w:rsidRPr="00C52D24" w:rsidRDefault="00E94176" w:rsidP="00E94176">
            <w:pPr>
              <w:pStyle w:val="BStablefigures"/>
              <w:jc w:val="right"/>
              <w:rPr>
                <w:rFonts w:eastAsia="Calibri"/>
                <w:i w:val="0"/>
                <w:iCs/>
              </w:rPr>
            </w:pPr>
            <w:r w:rsidRPr="00C52D24">
              <w:rPr>
                <w:rFonts w:eastAsia="Calibri"/>
                <w:i w:val="0"/>
                <w:iCs/>
              </w:rPr>
              <w:t>1,302.2</w:t>
            </w:r>
          </w:p>
        </w:tc>
        <w:tc>
          <w:tcPr>
            <w:tcW w:w="1867" w:type="dxa"/>
            <w:tcBorders>
              <w:top w:val="nil"/>
              <w:bottom w:val="nil"/>
            </w:tcBorders>
          </w:tcPr>
          <w:p w14:paraId="53E1AD5E" w14:textId="77777777" w:rsidR="00E94176" w:rsidRPr="00C52D24" w:rsidRDefault="00E94176" w:rsidP="00E94176">
            <w:pPr>
              <w:pStyle w:val="BStablefigures"/>
              <w:jc w:val="right"/>
              <w:rPr>
                <w:rFonts w:eastAsia="Calibri"/>
                <w:i w:val="0"/>
                <w:iCs/>
              </w:rPr>
            </w:pPr>
            <w:r w:rsidRPr="00C52D24">
              <w:rPr>
                <w:rFonts w:eastAsia="Calibri"/>
                <w:i w:val="0"/>
                <w:iCs/>
              </w:rPr>
              <w:t>7,706.5</w:t>
            </w:r>
          </w:p>
        </w:tc>
        <w:tc>
          <w:tcPr>
            <w:tcW w:w="1867" w:type="dxa"/>
            <w:tcBorders>
              <w:top w:val="nil"/>
              <w:bottom w:val="nil"/>
            </w:tcBorders>
          </w:tcPr>
          <w:p w14:paraId="13C4D20F" w14:textId="77777777" w:rsidR="00E94176" w:rsidRPr="00C52D24" w:rsidRDefault="00E94176" w:rsidP="00E94176">
            <w:pPr>
              <w:pStyle w:val="BStablefigures"/>
              <w:jc w:val="right"/>
              <w:rPr>
                <w:rFonts w:eastAsia="Calibri"/>
                <w:i w:val="0"/>
                <w:iCs/>
              </w:rPr>
            </w:pPr>
            <w:r w:rsidRPr="00C52D24">
              <w:rPr>
                <w:rFonts w:eastAsia="Calibri"/>
                <w:i w:val="0"/>
                <w:iCs/>
              </w:rPr>
              <w:t>15,343.9</w:t>
            </w:r>
          </w:p>
        </w:tc>
      </w:tr>
      <w:tr w:rsidR="00E94176" w:rsidRPr="00C52D24" w14:paraId="6B46FFEA" w14:textId="77777777" w:rsidTr="00E94176">
        <w:trPr>
          <w:jc w:val="center"/>
        </w:trPr>
        <w:tc>
          <w:tcPr>
            <w:tcW w:w="1531" w:type="dxa"/>
            <w:tcBorders>
              <w:top w:val="nil"/>
              <w:bottom w:val="nil"/>
            </w:tcBorders>
          </w:tcPr>
          <w:p w14:paraId="28C4314A" w14:textId="77777777" w:rsidR="00E94176" w:rsidRPr="00102320" w:rsidRDefault="00E94176" w:rsidP="00785F44">
            <w:pPr>
              <w:pStyle w:val="BStabletextunbold"/>
              <w:rPr>
                <w:vertAlign w:val="superscript"/>
              </w:rPr>
            </w:pPr>
            <w:r w:rsidRPr="00102320">
              <w:t>2018-19</w:t>
            </w:r>
          </w:p>
        </w:tc>
        <w:tc>
          <w:tcPr>
            <w:tcW w:w="1867" w:type="dxa"/>
            <w:tcBorders>
              <w:top w:val="nil"/>
              <w:bottom w:val="nil"/>
            </w:tcBorders>
          </w:tcPr>
          <w:p w14:paraId="09A3B915" w14:textId="77777777" w:rsidR="00E94176" w:rsidRPr="00C52D24" w:rsidRDefault="00E94176" w:rsidP="00E94176">
            <w:pPr>
              <w:pStyle w:val="BStablefigures"/>
              <w:jc w:val="right"/>
              <w:rPr>
                <w:rFonts w:eastAsia="Calibri"/>
                <w:i w:val="0"/>
                <w:iCs/>
              </w:rPr>
            </w:pPr>
            <w:r w:rsidRPr="00C52D24">
              <w:rPr>
                <w:rFonts w:eastAsia="Calibri"/>
                <w:i w:val="0"/>
                <w:iCs/>
              </w:rPr>
              <w:t>43.8</w:t>
            </w:r>
          </w:p>
        </w:tc>
        <w:tc>
          <w:tcPr>
            <w:tcW w:w="1867" w:type="dxa"/>
            <w:tcBorders>
              <w:top w:val="nil"/>
              <w:bottom w:val="nil"/>
            </w:tcBorders>
          </w:tcPr>
          <w:p w14:paraId="69000765" w14:textId="77777777" w:rsidR="00E94176" w:rsidRPr="00C52D24" w:rsidRDefault="00E94176" w:rsidP="00E94176">
            <w:pPr>
              <w:pStyle w:val="BStablefigures"/>
              <w:jc w:val="right"/>
              <w:rPr>
                <w:rFonts w:eastAsia="Calibri"/>
                <w:i w:val="0"/>
                <w:iCs/>
              </w:rPr>
            </w:pPr>
            <w:r w:rsidRPr="00C52D24">
              <w:rPr>
                <w:rFonts w:eastAsia="Calibri"/>
                <w:i w:val="0"/>
                <w:iCs/>
              </w:rPr>
              <w:t>2,181.7</w:t>
            </w:r>
          </w:p>
        </w:tc>
        <w:tc>
          <w:tcPr>
            <w:tcW w:w="1867" w:type="dxa"/>
            <w:tcBorders>
              <w:top w:val="nil"/>
              <w:bottom w:val="nil"/>
            </w:tcBorders>
          </w:tcPr>
          <w:p w14:paraId="4128AF0E" w14:textId="77777777" w:rsidR="00E94176" w:rsidRPr="00C52D24" w:rsidRDefault="00E94176" w:rsidP="00E94176">
            <w:pPr>
              <w:pStyle w:val="BStablefigures"/>
              <w:jc w:val="right"/>
              <w:rPr>
                <w:rFonts w:eastAsia="Calibri"/>
                <w:i w:val="0"/>
                <w:iCs/>
              </w:rPr>
            </w:pPr>
            <w:r w:rsidRPr="00C52D24">
              <w:rPr>
                <w:rFonts w:eastAsia="Calibri"/>
                <w:i w:val="0"/>
                <w:iCs/>
              </w:rPr>
              <w:t>6,571.0</w:t>
            </w:r>
          </w:p>
        </w:tc>
        <w:tc>
          <w:tcPr>
            <w:tcW w:w="1867" w:type="dxa"/>
            <w:tcBorders>
              <w:top w:val="nil"/>
              <w:bottom w:val="nil"/>
            </w:tcBorders>
          </w:tcPr>
          <w:p w14:paraId="50D089E5" w14:textId="77777777" w:rsidR="00E94176" w:rsidRPr="00C52D24" w:rsidRDefault="00E94176" w:rsidP="00E94176">
            <w:pPr>
              <w:pStyle w:val="BStablefigures"/>
              <w:jc w:val="right"/>
              <w:rPr>
                <w:rFonts w:eastAsia="Calibri"/>
                <w:i w:val="0"/>
                <w:iCs/>
              </w:rPr>
            </w:pPr>
            <w:r w:rsidRPr="00C52D24">
              <w:rPr>
                <w:rFonts w:eastAsia="Calibri"/>
                <w:i w:val="0"/>
                <w:iCs/>
              </w:rPr>
              <w:t>17,635.1</w:t>
            </w:r>
          </w:p>
        </w:tc>
      </w:tr>
      <w:tr w:rsidR="00E94176" w:rsidRPr="00C52D24" w14:paraId="59739095" w14:textId="77777777" w:rsidTr="00E94176">
        <w:trPr>
          <w:jc w:val="center"/>
        </w:trPr>
        <w:tc>
          <w:tcPr>
            <w:tcW w:w="1531" w:type="dxa"/>
            <w:tcBorders>
              <w:top w:val="nil"/>
              <w:bottom w:val="nil"/>
            </w:tcBorders>
          </w:tcPr>
          <w:p w14:paraId="1DD4992A" w14:textId="77777777" w:rsidR="00E94176" w:rsidRPr="00893DCE" w:rsidRDefault="00E94176" w:rsidP="00785F44">
            <w:pPr>
              <w:pStyle w:val="BStabletextunbold"/>
              <w:rPr>
                <w:lang w:val="en-US"/>
              </w:rPr>
            </w:pPr>
            <w:r w:rsidRPr="00893DCE">
              <w:t>2019-20</w:t>
            </w:r>
            <w:r w:rsidRPr="00893DCE">
              <w:rPr>
                <w:vertAlign w:val="superscript"/>
              </w:rPr>
              <w:t>3</w:t>
            </w:r>
          </w:p>
        </w:tc>
        <w:tc>
          <w:tcPr>
            <w:tcW w:w="1867" w:type="dxa"/>
            <w:tcBorders>
              <w:top w:val="nil"/>
              <w:bottom w:val="nil"/>
            </w:tcBorders>
          </w:tcPr>
          <w:p w14:paraId="00049C21" w14:textId="77777777" w:rsidR="00E94176" w:rsidRPr="00C52D24" w:rsidRDefault="00E94176" w:rsidP="00E94176">
            <w:pPr>
              <w:pStyle w:val="BStablefigures"/>
              <w:jc w:val="right"/>
              <w:rPr>
                <w:rFonts w:eastAsia="Calibri"/>
                <w:i w:val="0"/>
                <w:iCs/>
              </w:rPr>
            </w:pPr>
            <w:r w:rsidRPr="00C52D24">
              <w:rPr>
                <w:rFonts w:eastAsia="Calibri"/>
                <w:i w:val="0"/>
                <w:iCs/>
              </w:rPr>
              <w:t>-681.1</w:t>
            </w:r>
          </w:p>
        </w:tc>
        <w:tc>
          <w:tcPr>
            <w:tcW w:w="1867" w:type="dxa"/>
            <w:tcBorders>
              <w:top w:val="nil"/>
              <w:bottom w:val="nil"/>
            </w:tcBorders>
          </w:tcPr>
          <w:p w14:paraId="4BE6567C" w14:textId="77777777" w:rsidR="00E94176" w:rsidRPr="00C52D24" w:rsidRDefault="00E94176" w:rsidP="00E94176">
            <w:pPr>
              <w:pStyle w:val="BStablefigures"/>
              <w:jc w:val="right"/>
              <w:rPr>
                <w:rFonts w:eastAsia="Calibri"/>
                <w:i w:val="0"/>
                <w:iCs/>
              </w:rPr>
            </w:pPr>
            <w:r w:rsidRPr="00C52D24">
              <w:rPr>
                <w:rFonts w:eastAsia="Calibri"/>
                <w:i w:val="0"/>
                <w:iCs/>
              </w:rPr>
              <w:t>3,296.7</w:t>
            </w:r>
          </w:p>
        </w:tc>
        <w:tc>
          <w:tcPr>
            <w:tcW w:w="1867" w:type="dxa"/>
            <w:tcBorders>
              <w:top w:val="nil"/>
              <w:bottom w:val="nil"/>
            </w:tcBorders>
          </w:tcPr>
          <w:p w14:paraId="5E90AB3D" w14:textId="77777777" w:rsidR="00E94176" w:rsidRPr="00C52D24" w:rsidRDefault="00E94176" w:rsidP="00E94176">
            <w:pPr>
              <w:pStyle w:val="BStablefigures"/>
              <w:jc w:val="right"/>
              <w:rPr>
                <w:rFonts w:eastAsia="Calibri"/>
                <w:i w:val="0"/>
                <w:iCs/>
              </w:rPr>
            </w:pPr>
            <w:r w:rsidRPr="00C52D24">
              <w:rPr>
                <w:rFonts w:eastAsia="Calibri"/>
                <w:i w:val="0"/>
                <w:iCs/>
              </w:rPr>
              <w:t>12,003.2</w:t>
            </w:r>
          </w:p>
        </w:tc>
        <w:tc>
          <w:tcPr>
            <w:tcW w:w="1867" w:type="dxa"/>
            <w:tcBorders>
              <w:top w:val="nil"/>
              <w:bottom w:val="nil"/>
            </w:tcBorders>
          </w:tcPr>
          <w:p w14:paraId="6F0622D7" w14:textId="77777777" w:rsidR="00E94176" w:rsidRPr="00C52D24" w:rsidRDefault="00E94176" w:rsidP="00E94176">
            <w:pPr>
              <w:pStyle w:val="BStablefigures"/>
              <w:jc w:val="right"/>
              <w:rPr>
                <w:rFonts w:eastAsia="Calibri"/>
                <w:i w:val="0"/>
                <w:iCs/>
              </w:rPr>
            </w:pPr>
            <w:r w:rsidRPr="00C52D24">
              <w:rPr>
                <w:rFonts w:eastAsia="Calibri"/>
                <w:i w:val="0"/>
                <w:iCs/>
              </w:rPr>
              <w:t>13,030.3</w:t>
            </w:r>
          </w:p>
        </w:tc>
      </w:tr>
      <w:tr w:rsidR="00E94176" w:rsidRPr="00C52D24" w14:paraId="372A3E69" w14:textId="77777777" w:rsidTr="00E94176">
        <w:trPr>
          <w:jc w:val="center"/>
        </w:trPr>
        <w:tc>
          <w:tcPr>
            <w:tcW w:w="1531" w:type="dxa"/>
            <w:tcBorders>
              <w:top w:val="nil"/>
              <w:bottom w:val="single" w:sz="4" w:space="0" w:color="auto"/>
            </w:tcBorders>
          </w:tcPr>
          <w:p w14:paraId="417E9559" w14:textId="77777777" w:rsidR="00E94176" w:rsidRPr="00893DCE" w:rsidRDefault="00E94176" w:rsidP="00785F44">
            <w:pPr>
              <w:pStyle w:val="BStabletextunbold"/>
              <w:rPr>
                <w:vertAlign w:val="superscript"/>
                <w:lang w:val="en-US"/>
              </w:rPr>
            </w:pPr>
            <w:r w:rsidRPr="00893DCE">
              <w:t>2020-21</w:t>
            </w:r>
            <w:r w:rsidRPr="00893DCE">
              <w:rPr>
                <w:vertAlign w:val="superscript"/>
                <w:lang w:val="en-US"/>
              </w:rPr>
              <w:t>4</w:t>
            </w:r>
          </w:p>
        </w:tc>
        <w:tc>
          <w:tcPr>
            <w:tcW w:w="1867" w:type="dxa"/>
            <w:tcBorders>
              <w:top w:val="nil"/>
              <w:bottom w:val="single" w:sz="4" w:space="0" w:color="auto"/>
            </w:tcBorders>
            <w:shd w:val="clear" w:color="auto" w:fill="auto"/>
          </w:tcPr>
          <w:p w14:paraId="30343C6B" w14:textId="77777777" w:rsidR="00E94176" w:rsidRPr="00C52D24" w:rsidRDefault="00E94176" w:rsidP="00E94176">
            <w:pPr>
              <w:pStyle w:val="BStablefigures"/>
              <w:jc w:val="right"/>
              <w:rPr>
                <w:rFonts w:eastAsia="Calibri"/>
                <w:i w:val="0"/>
                <w:iCs/>
              </w:rPr>
            </w:pPr>
            <w:r w:rsidRPr="00C52D24">
              <w:rPr>
                <w:rFonts w:eastAsia="Calibri"/>
                <w:i w:val="0"/>
                <w:iCs/>
              </w:rPr>
              <w:t>-363.1</w:t>
            </w:r>
          </w:p>
        </w:tc>
        <w:tc>
          <w:tcPr>
            <w:tcW w:w="1867" w:type="dxa"/>
            <w:tcBorders>
              <w:top w:val="nil"/>
              <w:bottom w:val="single" w:sz="4" w:space="0" w:color="auto"/>
            </w:tcBorders>
          </w:tcPr>
          <w:p w14:paraId="5EFE9A7A" w14:textId="77777777" w:rsidR="00E94176" w:rsidRPr="00C52D24" w:rsidRDefault="00E94176" w:rsidP="00E94176">
            <w:pPr>
              <w:pStyle w:val="BStablefigures"/>
              <w:jc w:val="right"/>
              <w:rPr>
                <w:rFonts w:eastAsia="Calibri"/>
                <w:i w:val="0"/>
                <w:iCs/>
              </w:rPr>
            </w:pPr>
            <w:r w:rsidRPr="00C52D24">
              <w:rPr>
                <w:rFonts w:eastAsia="Calibri"/>
                <w:i w:val="0"/>
                <w:iCs/>
              </w:rPr>
              <w:t>4,352.8</w:t>
            </w:r>
          </w:p>
        </w:tc>
        <w:tc>
          <w:tcPr>
            <w:tcW w:w="1867" w:type="dxa"/>
            <w:tcBorders>
              <w:top w:val="nil"/>
              <w:bottom w:val="single" w:sz="4" w:space="0" w:color="auto"/>
            </w:tcBorders>
          </w:tcPr>
          <w:p w14:paraId="687930B4" w14:textId="77777777" w:rsidR="00E94176" w:rsidRPr="00C52D24" w:rsidRDefault="00E94176" w:rsidP="00E94176">
            <w:pPr>
              <w:pStyle w:val="BStablefigures"/>
              <w:jc w:val="right"/>
              <w:rPr>
                <w:rFonts w:eastAsia="Calibri"/>
                <w:i w:val="0"/>
                <w:iCs/>
              </w:rPr>
            </w:pPr>
            <w:r w:rsidRPr="00C52D24">
              <w:rPr>
                <w:rFonts w:eastAsia="Calibri"/>
                <w:i w:val="0"/>
                <w:iCs/>
              </w:rPr>
              <w:t>13,301.0</w:t>
            </w:r>
          </w:p>
        </w:tc>
        <w:tc>
          <w:tcPr>
            <w:tcW w:w="1867" w:type="dxa"/>
            <w:tcBorders>
              <w:top w:val="nil"/>
              <w:bottom w:val="single" w:sz="4" w:space="0" w:color="auto"/>
            </w:tcBorders>
          </w:tcPr>
          <w:p w14:paraId="0C4E694C" w14:textId="77777777" w:rsidR="00E94176" w:rsidRPr="00C52D24" w:rsidRDefault="00E94176" w:rsidP="00E94176">
            <w:pPr>
              <w:pStyle w:val="BStablefigures"/>
              <w:jc w:val="right"/>
              <w:rPr>
                <w:rFonts w:eastAsia="Calibri"/>
                <w:i w:val="0"/>
                <w:iCs/>
              </w:rPr>
            </w:pPr>
            <w:r w:rsidRPr="00C52D24">
              <w:rPr>
                <w:rFonts w:eastAsia="Calibri"/>
                <w:i w:val="0"/>
                <w:iCs/>
              </w:rPr>
              <w:t>13,693.0</w:t>
            </w:r>
          </w:p>
        </w:tc>
      </w:tr>
      <w:tr w:rsidR="00E94176" w:rsidRPr="00C52D24" w14:paraId="74FC7512" w14:textId="77777777" w:rsidTr="00E94176">
        <w:trPr>
          <w:jc w:val="center"/>
        </w:trPr>
        <w:tc>
          <w:tcPr>
            <w:tcW w:w="1531" w:type="dxa"/>
            <w:tcBorders>
              <w:top w:val="single" w:sz="4" w:space="0" w:color="auto"/>
              <w:bottom w:val="nil"/>
            </w:tcBorders>
            <w:shd w:val="clear" w:color="auto" w:fill="auto"/>
          </w:tcPr>
          <w:p w14:paraId="6AA905A7" w14:textId="77777777" w:rsidR="00E94176" w:rsidRPr="00893DCE" w:rsidRDefault="00E94176" w:rsidP="00785F44">
            <w:pPr>
              <w:pStyle w:val="BStabletextunbold"/>
            </w:pPr>
            <w:r w:rsidRPr="00893DCE">
              <w:t>2021-22</w:t>
            </w:r>
            <w:r w:rsidRPr="00893DCE">
              <w:rPr>
                <w:vertAlign w:val="superscript"/>
              </w:rPr>
              <w:t>5</w:t>
            </w:r>
          </w:p>
        </w:tc>
        <w:tc>
          <w:tcPr>
            <w:tcW w:w="1867" w:type="dxa"/>
            <w:tcBorders>
              <w:top w:val="single" w:sz="4" w:space="0" w:color="auto"/>
              <w:bottom w:val="nil"/>
            </w:tcBorders>
          </w:tcPr>
          <w:p w14:paraId="714ACAC1" w14:textId="77777777" w:rsidR="00E94176" w:rsidRPr="00C52D24" w:rsidRDefault="00E94176" w:rsidP="00E94176">
            <w:pPr>
              <w:pStyle w:val="BStablefigures"/>
              <w:jc w:val="right"/>
              <w:rPr>
                <w:rFonts w:eastAsia="Calibri"/>
                <w:i w:val="0"/>
                <w:iCs/>
              </w:rPr>
            </w:pPr>
            <w:r w:rsidRPr="00C52D24">
              <w:rPr>
                <w:rFonts w:eastAsia="Calibri"/>
                <w:i w:val="0"/>
                <w:iCs/>
              </w:rPr>
              <w:t>-951.5</w:t>
            </w:r>
          </w:p>
        </w:tc>
        <w:tc>
          <w:tcPr>
            <w:tcW w:w="1867" w:type="dxa"/>
            <w:tcBorders>
              <w:top w:val="single" w:sz="4" w:space="0" w:color="auto"/>
              <w:bottom w:val="nil"/>
            </w:tcBorders>
          </w:tcPr>
          <w:p w14:paraId="5D514E50" w14:textId="77777777" w:rsidR="00E94176" w:rsidRPr="00C52D24" w:rsidRDefault="00E94176" w:rsidP="00E94176">
            <w:pPr>
              <w:pStyle w:val="BStablefigures"/>
              <w:jc w:val="right"/>
              <w:rPr>
                <w:rFonts w:eastAsia="Calibri"/>
                <w:i w:val="0"/>
                <w:iCs/>
              </w:rPr>
            </w:pPr>
            <w:r w:rsidRPr="00C52D24">
              <w:rPr>
                <w:rFonts w:eastAsia="Calibri"/>
                <w:i w:val="0"/>
                <w:iCs/>
              </w:rPr>
              <w:t>5,721.0</w:t>
            </w:r>
          </w:p>
        </w:tc>
        <w:tc>
          <w:tcPr>
            <w:tcW w:w="1867" w:type="dxa"/>
            <w:tcBorders>
              <w:top w:val="single" w:sz="4" w:space="0" w:color="auto"/>
              <w:bottom w:val="nil"/>
            </w:tcBorders>
          </w:tcPr>
          <w:p w14:paraId="13364B2D" w14:textId="77777777" w:rsidR="00E94176" w:rsidRPr="00C52D24" w:rsidRDefault="00E94176" w:rsidP="00E94176">
            <w:pPr>
              <w:pStyle w:val="BStablefigures"/>
              <w:jc w:val="right"/>
              <w:rPr>
                <w:rFonts w:eastAsia="Calibri"/>
                <w:i w:val="0"/>
                <w:iCs/>
              </w:rPr>
            </w:pPr>
            <w:r w:rsidRPr="00C52D24">
              <w:rPr>
                <w:rFonts w:eastAsia="Calibri"/>
                <w:i w:val="0"/>
                <w:iCs/>
              </w:rPr>
              <w:t>11,747.8</w:t>
            </w:r>
          </w:p>
        </w:tc>
        <w:tc>
          <w:tcPr>
            <w:tcW w:w="1867" w:type="dxa"/>
            <w:tcBorders>
              <w:top w:val="single" w:sz="4" w:space="0" w:color="auto"/>
              <w:bottom w:val="nil"/>
            </w:tcBorders>
          </w:tcPr>
          <w:p w14:paraId="24EEB758" w14:textId="77777777" w:rsidR="00E94176" w:rsidRPr="00C52D24" w:rsidRDefault="00E94176" w:rsidP="00E94176">
            <w:pPr>
              <w:pStyle w:val="BStablefigures"/>
              <w:jc w:val="right"/>
              <w:rPr>
                <w:rFonts w:eastAsia="Calibri"/>
                <w:i w:val="0"/>
                <w:iCs/>
              </w:rPr>
            </w:pPr>
            <w:r w:rsidRPr="00C52D24">
              <w:rPr>
                <w:rFonts w:eastAsia="Calibri"/>
                <w:i w:val="0"/>
                <w:iCs/>
              </w:rPr>
              <w:t>16,055.6</w:t>
            </w:r>
          </w:p>
        </w:tc>
      </w:tr>
      <w:tr w:rsidR="00E94176" w:rsidRPr="00C52D24" w14:paraId="40E99006" w14:textId="77777777" w:rsidTr="00E94176">
        <w:trPr>
          <w:jc w:val="center"/>
        </w:trPr>
        <w:tc>
          <w:tcPr>
            <w:tcW w:w="1531" w:type="dxa"/>
            <w:tcBorders>
              <w:top w:val="nil"/>
              <w:bottom w:val="nil"/>
            </w:tcBorders>
            <w:shd w:val="clear" w:color="auto" w:fill="auto"/>
          </w:tcPr>
          <w:p w14:paraId="14242608" w14:textId="77777777" w:rsidR="00E94176" w:rsidRPr="00893DCE" w:rsidRDefault="00E94176" w:rsidP="00785F44">
            <w:pPr>
              <w:pStyle w:val="BStabletextunbold"/>
            </w:pPr>
            <w:r w:rsidRPr="00893DCE">
              <w:t>2022-23</w:t>
            </w:r>
            <w:r w:rsidRPr="00893DCE">
              <w:rPr>
                <w:vertAlign w:val="superscript"/>
              </w:rPr>
              <w:t>5</w:t>
            </w:r>
          </w:p>
        </w:tc>
        <w:tc>
          <w:tcPr>
            <w:tcW w:w="1867" w:type="dxa"/>
            <w:tcBorders>
              <w:top w:val="nil"/>
              <w:bottom w:val="nil"/>
            </w:tcBorders>
          </w:tcPr>
          <w:p w14:paraId="49D3C95D" w14:textId="77777777" w:rsidR="00E94176" w:rsidRPr="00C52D24" w:rsidRDefault="00E94176" w:rsidP="00E94176">
            <w:pPr>
              <w:pStyle w:val="BStablefigures"/>
              <w:jc w:val="right"/>
              <w:rPr>
                <w:rFonts w:eastAsia="Calibri"/>
                <w:i w:val="0"/>
                <w:iCs/>
              </w:rPr>
            </w:pPr>
            <w:r w:rsidRPr="00C52D24">
              <w:rPr>
                <w:rFonts w:eastAsia="Calibri"/>
                <w:i w:val="0"/>
                <w:iCs/>
              </w:rPr>
              <w:t>-564.3</w:t>
            </w:r>
          </w:p>
        </w:tc>
        <w:tc>
          <w:tcPr>
            <w:tcW w:w="1867" w:type="dxa"/>
            <w:tcBorders>
              <w:top w:val="nil"/>
              <w:bottom w:val="nil"/>
            </w:tcBorders>
          </w:tcPr>
          <w:p w14:paraId="5CE0C110" w14:textId="77777777" w:rsidR="00E94176" w:rsidRPr="00C52D24" w:rsidRDefault="00E94176" w:rsidP="00E94176">
            <w:pPr>
              <w:pStyle w:val="BStablefigures"/>
              <w:jc w:val="right"/>
              <w:rPr>
                <w:rFonts w:eastAsia="Calibri"/>
                <w:i w:val="0"/>
                <w:iCs/>
              </w:rPr>
            </w:pPr>
            <w:r w:rsidRPr="00C52D24">
              <w:rPr>
                <w:rFonts w:eastAsia="Calibri"/>
                <w:i w:val="0"/>
                <w:iCs/>
              </w:rPr>
              <w:t>6,875.9</w:t>
            </w:r>
          </w:p>
        </w:tc>
        <w:tc>
          <w:tcPr>
            <w:tcW w:w="1867" w:type="dxa"/>
            <w:tcBorders>
              <w:top w:val="nil"/>
              <w:bottom w:val="nil"/>
            </w:tcBorders>
          </w:tcPr>
          <w:p w14:paraId="355B5935" w14:textId="77777777" w:rsidR="00E94176" w:rsidRPr="00C52D24" w:rsidRDefault="00E94176" w:rsidP="00E94176">
            <w:pPr>
              <w:pStyle w:val="BStablefigures"/>
              <w:jc w:val="right"/>
              <w:rPr>
                <w:rFonts w:eastAsia="Calibri"/>
                <w:i w:val="0"/>
                <w:iCs/>
              </w:rPr>
            </w:pPr>
            <w:r w:rsidRPr="00C52D24">
              <w:rPr>
                <w:rFonts w:eastAsia="Calibri"/>
                <w:i w:val="0"/>
                <w:iCs/>
              </w:rPr>
              <w:t>12,674.8</w:t>
            </w:r>
          </w:p>
        </w:tc>
        <w:tc>
          <w:tcPr>
            <w:tcW w:w="1867" w:type="dxa"/>
            <w:tcBorders>
              <w:top w:val="nil"/>
              <w:bottom w:val="nil"/>
            </w:tcBorders>
          </w:tcPr>
          <w:p w14:paraId="0C7A0A4B" w14:textId="77777777" w:rsidR="00E94176" w:rsidRPr="00C52D24" w:rsidRDefault="00E94176" w:rsidP="00E94176">
            <w:pPr>
              <w:pStyle w:val="BStablefigures"/>
              <w:jc w:val="right"/>
              <w:rPr>
                <w:rFonts w:eastAsia="Calibri"/>
                <w:i w:val="0"/>
                <w:iCs/>
              </w:rPr>
            </w:pPr>
            <w:r w:rsidRPr="00C52D24">
              <w:rPr>
                <w:rFonts w:eastAsia="Calibri"/>
                <w:i w:val="0"/>
                <w:iCs/>
              </w:rPr>
              <w:t>15,404.8</w:t>
            </w:r>
          </w:p>
        </w:tc>
      </w:tr>
      <w:tr w:rsidR="00E94176" w:rsidRPr="00C52D24" w14:paraId="210AA6C1" w14:textId="77777777" w:rsidTr="00E94176">
        <w:trPr>
          <w:jc w:val="center"/>
        </w:trPr>
        <w:tc>
          <w:tcPr>
            <w:tcW w:w="1531" w:type="dxa"/>
            <w:tcBorders>
              <w:top w:val="nil"/>
              <w:bottom w:val="nil"/>
            </w:tcBorders>
            <w:shd w:val="clear" w:color="auto" w:fill="auto"/>
          </w:tcPr>
          <w:p w14:paraId="5B471989" w14:textId="77777777" w:rsidR="00E94176" w:rsidRPr="00893DCE" w:rsidRDefault="00E94176" w:rsidP="00785F44">
            <w:pPr>
              <w:pStyle w:val="BStabletextunbold"/>
            </w:pPr>
            <w:r w:rsidRPr="00893DCE">
              <w:t>2023-24</w:t>
            </w:r>
            <w:r w:rsidRPr="00893DCE">
              <w:rPr>
                <w:vertAlign w:val="superscript"/>
              </w:rPr>
              <w:t>5</w:t>
            </w:r>
          </w:p>
        </w:tc>
        <w:tc>
          <w:tcPr>
            <w:tcW w:w="1867" w:type="dxa"/>
            <w:tcBorders>
              <w:top w:val="nil"/>
              <w:bottom w:val="nil"/>
            </w:tcBorders>
          </w:tcPr>
          <w:p w14:paraId="51AB7110" w14:textId="77777777" w:rsidR="00E94176" w:rsidRPr="00C52D24" w:rsidRDefault="00E94176" w:rsidP="00E94176">
            <w:pPr>
              <w:pStyle w:val="BStablefigures"/>
              <w:jc w:val="right"/>
              <w:rPr>
                <w:rFonts w:eastAsia="Calibri"/>
                <w:i w:val="0"/>
                <w:iCs/>
              </w:rPr>
            </w:pPr>
            <w:r w:rsidRPr="00C52D24">
              <w:rPr>
                <w:rFonts w:eastAsia="Calibri"/>
                <w:i w:val="0"/>
                <w:iCs/>
              </w:rPr>
              <w:t>-530.4</w:t>
            </w:r>
          </w:p>
        </w:tc>
        <w:tc>
          <w:tcPr>
            <w:tcW w:w="1867" w:type="dxa"/>
            <w:tcBorders>
              <w:top w:val="nil"/>
              <w:bottom w:val="nil"/>
            </w:tcBorders>
          </w:tcPr>
          <w:p w14:paraId="391D59EA" w14:textId="77777777" w:rsidR="00E94176" w:rsidRPr="00C52D24" w:rsidRDefault="00E94176" w:rsidP="00E94176">
            <w:pPr>
              <w:pStyle w:val="BStablefigures"/>
              <w:jc w:val="right"/>
              <w:rPr>
                <w:rFonts w:eastAsia="Calibri"/>
                <w:i w:val="0"/>
                <w:iCs/>
              </w:rPr>
            </w:pPr>
            <w:r w:rsidRPr="00C52D24">
              <w:rPr>
                <w:rFonts w:eastAsia="Calibri"/>
                <w:i w:val="0"/>
                <w:iCs/>
              </w:rPr>
              <w:t>8,245.2</w:t>
            </w:r>
          </w:p>
        </w:tc>
        <w:tc>
          <w:tcPr>
            <w:tcW w:w="1867" w:type="dxa"/>
            <w:tcBorders>
              <w:top w:val="nil"/>
              <w:bottom w:val="nil"/>
            </w:tcBorders>
          </w:tcPr>
          <w:p w14:paraId="360F3D73" w14:textId="77777777" w:rsidR="00E94176" w:rsidRPr="00C52D24" w:rsidRDefault="00E94176" w:rsidP="00E94176">
            <w:pPr>
              <w:pStyle w:val="BStablefigures"/>
              <w:jc w:val="right"/>
              <w:rPr>
                <w:rFonts w:eastAsia="Calibri"/>
                <w:i w:val="0"/>
                <w:iCs/>
              </w:rPr>
            </w:pPr>
            <w:r w:rsidRPr="00C52D24">
              <w:rPr>
                <w:rFonts w:eastAsia="Calibri"/>
                <w:i w:val="0"/>
                <w:iCs/>
              </w:rPr>
              <w:t>13,969.8</w:t>
            </w:r>
          </w:p>
        </w:tc>
        <w:tc>
          <w:tcPr>
            <w:tcW w:w="1867" w:type="dxa"/>
            <w:tcBorders>
              <w:top w:val="nil"/>
              <w:bottom w:val="nil"/>
            </w:tcBorders>
          </w:tcPr>
          <w:p w14:paraId="01B53DA5" w14:textId="77777777" w:rsidR="00E94176" w:rsidRPr="00C52D24" w:rsidRDefault="00E94176" w:rsidP="00E94176">
            <w:pPr>
              <w:pStyle w:val="BStablefigures"/>
              <w:jc w:val="right"/>
              <w:rPr>
                <w:rFonts w:eastAsia="Calibri"/>
                <w:i w:val="0"/>
                <w:iCs/>
              </w:rPr>
            </w:pPr>
            <w:r w:rsidRPr="00C52D24">
              <w:rPr>
                <w:rFonts w:eastAsia="Calibri"/>
                <w:i w:val="0"/>
                <w:iCs/>
              </w:rPr>
              <w:t>15,007.1</w:t>
            </w:r>
          </w:p>
        </w:tc>
      </w:tr>
      <w:tr w:rsidR="00E94176" w:rsidRPr="00C52D24" w14:paraId="2C3790A6" w14:textId="77777777" w:rsidTr="00E94176">
        <w:trPr>
          <w:jc w:val="center"/>
        </w:trPr>
        <w:tc>
          <w:tcPr>
            <w:tcW w:w="1531" w:type="dxa"/>
            <w:tcBorders>
              <w:top w:val="nil"/>
            </w:tcBorders>
            <w:shd w:val="clear" w:color="auto" w:fill="auto"/>
          </w:tcPr>
          <w:p w14:paraId="30ABFC5A" w14:textId="77777777" w:rsidR="00E94176" w:rsidRPr="00893DCE" w:rsidRDefault="00E94176" w:rsidP="00785F44">
            <w:pPr>
              <w:pStyle w:val="BStabletextunbold"/>
            </w:pPr>
            <w:r w:rsidRPr="00893DCE">
              <w:t>2024-25</w:t>
            </w:r>
            <w:r w:rsidRPr="00893DCE">
              <w:rPr>
                <w:vertAlign w:val="superscript"/>
              </w:rPr>
              <w:t>5</w:t>
            </w:r>
          </w:p>
        </w:tc>
        <w:tc>
          <w:tcPr>
            <w:tcW w:w="1867" w:type="dxa"/>
            <w:tcBorders>
              <w:top w:val="nil"/>
            </w:tcBorders>
          </w:tcPr>
          <w:p w14:paraId="50FCE90D" w14:textId="77777777" w:rsidR="00E94176" w:rsidRPr="00C52D24" w:rsidRDefault="00E94176" w:rsidP="00E94176">
            <w:pPr>
              <w:pStyle w:val="BStablefigures"/>
              <w:jc w:val="right"/>
              <w:rPr>
                <w:rFonts w:eastAsia="Calibri"/>
                <w:i w:val="0"/>
                <w:iCs/>
              </w:rPr>
            </w:pPr>
            <w:r w:rsidRPr="00C52D24">
              <w:rPr>
                <w:rFonts w:eastAsia="Calibri"/>
                <w:i w:val="0"/>
                <w:iCs/>
              </w:rPr>
              <w:t>-474.1</w:t>
            </w:r>
          </w:p>
        </w:tc>
        <w:tc>
          <w:tcPr>
            <w:tcW w:w="1867" w:type="dxa"/>
            <w:tcBorders>
              <w:top w:val="nil"/>
            </w:tcBorders>
          </w:tcPr>
          <w:p w14:paraId="11858831" w14:textId="77777777" w:rsidR="00E94176" w:rsidRPr="00C52D24" w:rsidRDefault="00E94176" w:rsidP="00E94176">
            <w:pPr>
              <w:pStyle w:val="BStablefigures"/>
              <w:jc w:val="right"/>
              <w:rPr>
                <w:rFonts w:eastAsia="Calibri"/>
                <w:i w:val="0"/>
                <w:iCs/>
              </w:rPr>
            </w:pPr>
            <w:r w:rsidRPr="00C52D24">
              <w:rPr>
                <w:rFonts w:eastAsia="Calibri"/>
                <w:i w:val="0"/>
                <w:iCs/>
              </w:rPr>
              <w:t>9,580.9</w:t>
            </w:r>
          </w:p>
        </w:tc>
        <w:tc>
          <w:tcPr>
            <w:tcW w:w="1867" w:type="dxa"/>
            <w:tcBorders>
              <w:top w:val="nil"/>
            </w:tcBorders>
          </w:tcPr>
          <w:p w14:paraId="4AC68BED" w14:textId="77777777" w:rsidR="00E94176" w:rsidRPr="00C52D24" w:rsidRDefault="00E94176" w:rsidP="00E94176">
            <w:pPr>
              <w:pStyle w:val="BStablefigures"/>
              <w:jc w:val="right"/>
              <w:rPr>
                <w:rFonts w:eastAsia="Calibri"/>
                <w:i w:val="0"/>
                <w:iCs/>
              </w:rPr>
            </w:pPr>
            <w:r w:rsidRPr="00C52D24">
              <w:rPr>
                <w:rFonts w:eastAsia="Calibri"/>
                <w:i w:val="0"/>
                <w:iCs/>
              </w:rPr>
              <w:t>15,092.4</w:t>
            </w:r>
          </w:p>
        </w:tc>
        <w:tc>
          <w:tcPr>
            <w:tcW w:w="1867" w:type="dxa"/>
            <w:tcBorders>
              <w:top w:val="nil"/>
            </w:tcBorders>
          </w:tcPr>
          <w:p w14:paraId="3DF2F1EB" w14:textId="77777777" w:rsidR="00E94176" w:rsidRPr="00C52D24" w:rsidRDefault="00E94176" w:rsidP="00E94176">
            <w:pPr>
              <w:pStyle w:val="BStablefigures"/>
              <w:jc w:val="right"/>
              <w:rPr>
                <w:rFonts w:eastAsia="Calibri"/>
                <w:i w:val="0"/>
                <w:iCs/>
              </w:rPr>
            </w:pPr>
            <w:r w:rsidRPr="00C52D24">
              <w:rPr>
                <w:rFonts w:eastAsia="Calibri"/>
                <w:i w:val="0"/>
                <w:iCs/>
              </w:rPr>
              <w:t>14,490.1</w:t>
            </w:r>
          </w:p>
        </w:tc>
      </w:tr>
    </w:tbl>
    <w:p w14:paraId="6AB506B2" w14:textId="77777777" w:rsidR="00E94176" w:rsidRPr="005272B5" w:rsidRDefault="00E94176" w:rsidP="00785F44">
      <w:pPr>
        <w:pStyle w:val="BSnote"/>
      </w:pPr>
      <w:r w:rsidRPr="005272B5">
        <w:t>Notes:</w:t>
      </w:r>
    </w:p>
    <w:p w14:paraId="3DCEC510" w14:textId="77777777" w:rsidR="00E94176" w:rsidRPr="00FC247E" w:rsidRDefault="00E94176" w:rsidP="00E94176">
      <w:pPr>
        <w:pStyle w:val="BSnoteslist"/>
        <w:numPr>
          <w:ilvl w:val="0"/>
          <w:numId w:val="20"/>
        </w:numPr>
      </w:pPr>
      <w:r w:rsidRPr="00FC247E">
        <w:rPr>
          <w:lang w:val="en-AU"/>
        </w:rPr>
        <w:t>Net debt excludes superannuation related investments.</w:t>
      </w:r>
    </w:p>
    <w:p w14:paraId="406ACDF4" w14:textId="77777777" w:rsidR="00E94176" w:rsidRPr="00FC247E" w:rsidRDefault="00E94176" w:rsidP="00785F44">
      <w:pPr>
        <w:pStyle w:val="BSnoteslist"/>
      </w:pPr>
      <w:r w:rsidRPr="00FC247E">
        <w:t>The ACT did not measure net financial liabilities until 2008-09. The amount for 2007-08 reflects the amount presented in the 2008</w:t>
      </w:r>
      <w:r w:rsidRPr="00FC247E">
        <w:noBreakHyphen/>
        <w:t>09 Loan Council Allocation Outcome Report for comparative purposes.</w:t>
      </w:r>
    </w:p>
    <w:p w14:paraId="5C6BECFE" w14:textId="77777777" w:rsidR="00E94176" w:rsidRDefault="00E94176" w:rsidP="00785F44">
      <w:pPr>
        <w:pStyle w:val="BSnoteslist"/>
      </w:pPr>
      <w:r w:rsidRPr="00FC247E">
        <w:t>From 2019-20</w:t>
      </w:r>
      <w:r w:rsidRPr="00FC247E">
        <w:rPr>
          <w:lang w:val="en-AU"/>
        </w:rPr>
        <w:t>,</w:t>
      </w:r>
      <w:r w:rsidRPr="00FC247E">
        <w:t xml:space="preserve"> net debt includes the impact of changes to AASB 16 </w:t>
      </w:r>
      <w:r w:rsidRPr="00FC247E">
        <w:rPr>
          <w:i/>
          <w:iCs/>
          <w:lang w:val="en-AU"/>
        </w:rPr>
        <w:t>Leases</w:t>
      </w:r>
      <w:r w:rsidRPr="00FC247E">
        <w:rPr>
          <w:lang w:val="en-AU"/>
        </w:rPr>
        <w:t xml:space="preserve">, </w:t>
      </w:r>
      <w:r w:rsidRPr="00FC247E">
        <w:t xml:space="preserve">which recognises the majority of leases on the balance sheet, increasing </w:t>
      </w:r>
      <w:r w:rsidRPr="00FC247E">
        <w:rPr>
          <w:lang w:val="en-AU"/>
        </w:rPr>
        <w:t>n</w:t>
      </w:r>
      <w:r w:rsidRPr="00FC247E">
        <w:t xml:space="preserve">et debt. For this reason, </w:t>
      </w:r>
      <w:r w:rsidRPr="00FC247E">
        <w:rPr>
          <w:lang w:val="en-AU"/>
        </w:rPr>
        <w:t>n</w:t>
      </w:r>
      <w:r w:rsidRPr="00FC247E">
        <w:t>et debt from 2019-20 is not directly comparable to prior years.</w:t>
      </w:r>
    </w:p>
    <w:p w14:paraId="336FC6EF" w14:textId="77777777" w:rsidR="00E94176" w:rsidRPr="00FC247E" w:rsidRDefault="00E94176" w:rsidP="00785F44">
      <w:pPr>
        <w:pStyle w:val="BSnoteslist"/>
      </w:pPr>
      <w:r>
        <w:rPr>
          <w:lang w:val="en-US"/>
        </w:rPr>
        <w:t>Reflects the 2020-21 interim outcome which was unaudited at the time of preparing these budget statements.</w:t>
      </w:r>
    </w:p>
    <w:p w14:paraId="622F7F8F" w14:textId="77777777" w:rsidR="00E94176" w:rsidRPr="00D20B97" w:rsidRDefault="00E94176" w:rsidP="00785F44">
      <w:pPr>
        <w:pStyle w:val="BSnoteslist"/>
      </w:pPr>
      <w:r w:rsidRPr="00D20B97">
        <w:t>Reflects current estimates in the 20</w:t>
      </w:r>
      <w:r w:rsidRPr="00D20B97">
        <w:rPr>
          <w:lang w:val="en-AU"/>
        </w:rPr>
        <w:t xml:space="preserve">21-22 </w:t>
      </w:r>
      <w:r w:rsidRPr="00D20B97">
        <w:t>Budget.</w:t>
      </w:r>
    </w:p>
    <w:p w14:paraId="548F7147" w14:textId="1DF99F2A" w:rsidR="00773BAB" w:rsidRDefault="00773BAB" w:rsidP="00773BAB">
      <w:r>
        <w:br w:type="page"/>
      </w:r>
      <w:r w:rsidR="00E94176">
        <w:lastRenderedPageBreak/>
        <w:br w:type="page"/>
      </w:r>
    </w:p>
    <w:p w14:paraId="7669C81D" w14:textId="77777777" w:rsidR="00E94176" w:rsidRDefault="00E94176">
      <w:pPr>
        <w:sectPr w:rsidR="00E94176" w:rsidSect="00542DA2">
          <w:footerReference w:type="default" r:id="rId22"/>
          <w:pgSz w:w="11906" w:h="16838" w:code="9"/>
          <w:pgMar w:top="1151" w:right="1440" w:bottom="1729" w:left="1440" w:header="720" w:footer="720" w:gutter="0"/>
          <w:cols w:space="708"/>
          <w:docGrid w:linePitch="360"/>
        </w:sectPr>
      </w:pPr>
    </w:p>
    <w:p w14:paraId="3AAC4594" w14:textId="77777777" w:rsidR="00E94176" w:rsidRDefault="00E94176" w:rsidP="00E94176">
      <w:pPr>
        <w:rPr>
          <w:rFonts w:ascii="Calibri" w:hAnsi="Calibri"/>
          <w:b/>
          <w:sz w:val="36"/>
        </w:rPr>
      </w:pPr>
    </w:p>
    <w:p w14:paraId="7DF62411" w14:textId="77777777" w:rsidR="00E94176" w:rsidRDefault="00E94176" w:rsidP="00E94176">
      <w:pPr>
        <w:jc w:val="center"/>
        <w:rPr>
          <w:b/>
          <w:bCs/>
          <w:sz w:val="32"/>
          <w:szCs w:val="32"/>
        </w:rPr>
      </w:pPr>
    </w:p>
    <w:p w14:paraId="66D29031" w14:textId="30079FB8" w:rsidR="00E94176" w:rsidRDefault="00E94176" w:rsidP="00E94176">
      <w:pPr>
        <w:jc w:val="center"/>
        <w:rPr>
          <w:b/>
          <w:bCs/>
          <w:sz w:val="32"/>
          <w:szCs w:val="32"/>
        </w:rPr>
      </w:pPr>
      <w:r w:rsidRPr="00A3203C">
        <w:rPr>
          <w:b/>
          <w:bCs/>
          <w:sz w:val="32"/>
          <w:szCs w:val="32"/>
        </w:rPr>
        <w:t xml:space="preserve">APPENDIX </w:t>
      </w:r>
      <w:r>
        <w:rPr>
          <w:b/>
          <w:bCs/>
          <w:sz w:val="32"/>
          <w:szCs w:val="32"/>
        </w:rPr>
        <w:t>G</w:t>
      </w:r>
    </w:p>
    <w:p w14:paraId="36F296EC" w14:textId="77777777" w:rsidR="00E94176" w:rsidRDefault="00E94176" w:rsidP="00E94176">
      <w:pPr>
        <w:jc w:val="center"/>
        <w:rPr>
          <w:b/>
          <w:bCs/>
          <w:sz w:val="32"/>
          <w:szCs w:val="32"/>
        </w:rPr>
      </w:pPr>
    </w:p>
    <w:p w14:paraId="13949D86" w14:textId="77777777" w:rsidR="00E94176" w:rsidRPr="00A3203C" w:rsidRDefault="00E94176" w:rsidP="00E94176">
      <w:pPr>
        <w:jc w:val="center"/>
        <w:rPr>
          <w:b/>
          <w:bCs/>
          <w:sz w:val="32"/>
          <w:szCs w:val="32"/>
        </w:rPr>
      </w:pPr>
    </w:p>
    <w:p w14:paraId="476BE396" w14:textId="54EEA966" w:rsidR="00E94176" w:rsidRDefault="00E94176" w:rsidP="00E94176">
      <w:pPr>
        <w:jc w:val="center"/>
        <w:rPr>
          <w:b/>
          <w:bCs/>
          <w:sz w:val="32"/>
          <w:szCs w:val="32"/>
        </w:rPr>
      </w:pPr>
      <w:r>
        <w:rPr>
          <w:b/>
          <w:bCs/>
          <w:sz w:val="32"/>
          <w:szCs w:val="32"/>
        </w:rPr>
        <w:t>KEY ACCOUNTING TREATMENTS</w:t>
      </w:r>
    </w:p>
    <w:p w14:paraId="431E92BE" w14:textId="4F680E62" w:rsidR="00DD0834" w:rsidRDefault="00E94176" w:rsidP="00E94176">
      <w:r>
        <w:br w:type="page"/>
      </w:r>
    </w:p>
    <w:p w14:paraId="06F05FA3" w14:textId="62E5869E" w:rsidR="00E94176" w:rsidRDefault="00E94176">
      <w:pPr>
        <w:rPr>
          <w:rFonts w:ascii="Calibri" w:eastAsiaTheme="majorEastAsia" w:hAnsi="Calibri" w:cstheme="majorBidi"/>
          <w:b/>
          <w:caps/>
          <w:color w:val="472D8C"/>
          <w:sz w:val="36"/>
          <w:szCs w:val="26"/>
        </w:rPr>
      </w:pPr>
      <w:r>
        <w:rPr>
          <w:rFonts w:ascii="Calibri" w:eastAsiaTheme="majorEastAsia" w:hAnsi="Calibri" w:cstheme="majorBidi"/>
          <w:b/>
          <w:caps/>
          <w:color w:val="472D8C"/>
          <w:sz w:val="36"/>
          <w:szCs w:val="26"/>
        </w:rPr>
        <w:lastRenderedPageBreak/>
        <w:br w:type="page"/>
      </w:r>
    </w:p>
    <w:p w14:paraId="65414D8D" w14:textId="58EE6E61" w:rsidR="00D454C3" w:rsidRPr="008978CE" w:rsidRDefault="00D454C3" w:rsidP="008978CE">
      <w:pPr>
        <w:pStyle w:val="Heading2"/>
        <w:numPr>
          <w:ilvl w:val="0"/>
          <w:numId w:val="0"/>
        </w:numPr>
        <w:ind w:left="576" w:hanging="576"/>
      </w:pPr>
      <w:bookmarkStart w:id="8" w:name="_Toc63543062"/>
      <w:bookmarkStart w:id="9" w:name="_Toc84300602"/>
      <w:r w:rsidRPr="008978CE">
        <w:lastRenderedPageBreak/>
        <w:t>Appendix G – K</w:t>
      </w:r>
      <w:r w:rsidR="008978CE">
        <w:t>ey</w:t>
      </w:r>
      <w:r w:rsidRPr="008978CE">
        <w:t xml:space="preserve"> A</w:t>
      </w:r>
      <w:r w:rsidR="008978CE">
        <w:t>ccounting</w:t>
      </w:r>
      <w:r w:rsidRPr="008978CE">
        <w:t xml:space="preserve"> T</w:t>
      </w:r>
      <w:bookmarkEnd w:id="8"/>
      <w:r w:rsidR="008978CE">
        <w:t>reatments</w:t>
      </w:r>
      <w:bookmarkEnd w:id="9"/>
    </w:p>
    <w:p w14:paraId="1548F51D" w14:textId="77777777" w:rsidR="00D454C3" w:rsidRPr="002F125D" w:rsidRDefault="00D454C3" w:rsidP="00785F44">
      <w:pPr>
        <w:keepNext/>
        <w:keepLines/>
        <w:spacing w:before="360" w:after="200" w:line="240" w:lineRule="auto"/>
        <w:outlineLvl w:val="2"/>
        <w:rPr>
          <w:rFonts w:ascii="Calibri" w:eastAsiaTheme="majorEastAsia" w:hAnsi="Calibri" w:cstheme="majorBidi"/>
          <w:b/>
          <w:sz w:val="32"/>
          <w:szCs w:val="24"/>
        </w:rPr>
      </w:pPr>
      <w:r w:rsidRPr="002F125D">
        <w:rPr>
          <w:rFonts w:ascii="Calibri" w:eastAsiaTheme="majorEastAsia" w:hAnsi="Calibri" w:cstheme="majorBidi"/>
          <w:b/>
          <w:sz w:val="32"/>
          <w:szCs w:val="24"/>
        </w:rPr>
        <w:t>Basis of financial estimates preparation</w:t>
      </w:r>
    </w:p>
    <w:p w14:paraId="2AF019AD" w14:textId="77777777" w:rsidR="00D454C3" w:rsidRDefault="00D454C3" w:rsidP="00785F44">
      <w:pPr>
        <w:rPr>
          <w:sz w:val="24"/>
        </w:rPr>
      </w:pPr>
      <w:r w:rsidRPr="00AF1DD6">
        <w:rPr>
          <w:sz w:val="24"/>
        </w:rPr>
        <w:t xml:space="preserve">The </w:t>
      </w:r>
      <w:r w:rsidRPr="00AC4BFD">
        <w:rPr>
          <w:i/>
          <w:iCs/>
          <w:sz w:val="24"/>
        </w:rPr>
        <w:t xml:space="preserve">Financial Management Act 1996 </w:t>
      </w:r>
      <w:r w:rsidRPr="00AF1DD6">
        <w:rPr>
          <w:sz w:val="24"/>
        </w:rPr>
        <w:t xml:space="preserve">requires the </w:t>
      </w:r>
      <w:r>
        <w:rPr>
          <w:sz w:val="24"/>
        </w:rPr>
        <w:t>Treasurer to present to the Legislative Assembly:</w:t>
      </w:r>
    </w:p>
    <w:p w14:paraId="5815C7E8" w14:textId="77777777" w:rsidR="00D454C3" w:rsidRPr="00AF1DD6" w:rsidRDefault="00D454C3" w:rsidP="00785F44">
      <w:pPr>
        <w:pStyle w:val="BBullet1"/>
        <w:ind w:left="284" w:hanging="284"/>
      </w:pPr>
      <w:r>
        <w:t xml:space="preserve">the proposed budget for the Territory for the year; </w:t>
      </w:r>
    </w:p>
    <w:p w14:paraId="56A2E2C0" w14:textId="77777777" w:rsidR="00D454C3" w:rsidRPr="00AF1DD6" w:rsidRDefault="00D454C3" w:rsidP="00785F44">
      <w:pPr>
        <w:pStyle w:val="BBullet1"/>
        <w:ind w:left="284" w:hanging="284"/>
      </w:pPr>
      <w:r>
        <w:t xml:space="preserve">the proposed budget for each directorate for the year; </w:t>
      </w:r>
    </w:p>
    <w:p w14:paraId="41E1C6ED" w14:textId="77777777" w:rsidR="00D454C3" w:rsidRPr="00AF1DD6" w:rsidRDefault="00D454C3" w:rsidP="00785F44">
      <w:pPr>
        <w:pStyle w:val="BBullet1"/>
        <w:ind w:left="284" w:hanging="284"/>
      </w:pPr>
      <w:r>
        <w:t xml:space="preserve">the proposed budget for each Territory Authority and Territory-owned corporation for the year; </w:t>
      </w:r>
    </w:p>
    <w:p w14:paraId="0D995083" w14:textId="77777777" w:rsidR="00D454C3" w:rsidRPr="00AF1DD6" w:rsidRDefault="00D454C3" w:rsidP="00785F44">
      <w:pPr>
        <w:pStyle w:val="BBullet1"/>
        <w:ind w:left="284" w:hanging="284"/>
      </w:pPr>
      <w:r>
        <w:t>a consolidated financial management statement in relation to;</w:t>
      </w:r>
    </w:p>
    <w:p w14:paraId="4DB25FF8" w14:textId="77777777" w:rsidR="00D454C3" w:rsidRPr="00AF1DD6" w:rsidRDefault="00D454C3" w:rsidP="00785F44">
      <w:pPr>
        <w:pStyle w:val="BBullet2"/>
        <w:ind w:left="851"/>
      </w:pPr>
      <w:r>
        <w:t>the General Government Sector (GGS); and</w:t>
      </w:r>
    </w:p>
    <w:p w14:paraId="4F1897A4" w14:textId="77777777" w:rsidR="00D454C3" w:rsidRPr="00AF1DD6" w:rsidRDefault="00D454C3" w:rsidP="00785F44">
      <w:pPr>
        <w:pStyle w:val="BBullet2"/>
        <w:ind w:left="851"/>
      </w:pPr>
      <w:r>
        <w:t>the Public Trading Enterprise sector.</w:t>
      </w:r>
    </w:p>
    <w:p w14:paraId="7D7E53A7" w14:textId="77777777" w:rsidR="00D454C3" w:rsidRDefault="00D454C3" w:rsidP="00785F44">
      <w:pPr>
        <w:pStyle w:val="Bbodytext"/>
      </w:pPr>
      <w:r w:rsidRPr="00AC4BFD">
        <w:t xml:space="preserve">The </w:t>
      </w:r>
      <w:r>
        <w:t>financial estimates</w:t>
      </w:r>
      <w:r w:rsidRPr="00AC4BFD">
        <w:t xml:space="preserve"> in these budget papers are prepared on an accrual basis of accounting, in accordance with</w:t>
      </w:r>
      <w:r>
        <w:t xml:space="preserve"> principles of the standards issued by the</w:t>
      </w:r>
      <w:r w:rsidRPr="00AC4BFD">
        <w:t xml:space="preserve"> Australian Accounting Standards</w:t>
      </w:r>
      <w:r>
        <w:t xml:space="preserve"> (AAS) Board</w:t>
      </w:r>
      <w:r w:rsidRPr="00AC4BFD">
        <w:t>, the Uniform Presentation Framework and the principles and rules contained in the Australia</w:t>
      </w:r>
      <w:r>
        <w:t>n</w:t>
      </w:r>
      <w:r w:rsidRPr="00AC4BFD">
        <w:t xml:space="preserve"> Bureau of Statistics, Australian System of Government Finance Statistics: Concepts, Sources and Methods 2015 (ABS</w:t>
      </w:r>
      <w:r>
        <w:t xml:space="preserve"> </w:t>
      </w:r>
      <w:r w:rsidRPr="00AC4BFD">
        <w:t xml:space="preserve">GFS Manual). </w:t>
      </w:r>
    </w:p>
    <w:p w14:paraId="725C2F24" w14:textId="77777777" w:rsidR="00D454C3" w:rsidRDefault="00D454C3" w:rsidP="00785F44">
      <w:pPr>
        <w:pStyle w:val="Bbodytext"/>
        <w:keepNext/>
        <w:keepLines/>
      </w:pPr>
      <w:r>
        <w:t>AAS do not provide guidance on the preparation or presentation of prospective financial information. However, as far as possible, recognition and measurement principles within AAS have been applied in presentation of the estimates.</w:t>
      </w:r>
    </w:p>
    <w:p w14:paraId="5589737C" w14:textId="77777777" w:rsidR="00D454C3" w:rsidRDefault="00D454C3" w:rsidP="00785F44">
      <w:pPr>
        <w:pStyle w:val="Bbodytext"/>
        <w:keepNext/>
        <w:keepLines/>
      </w:pPr>
      <w:r>
        <w:t xml:space="preserve">These recognition and measurement principles are consistent with AASB 1049: ‘Whole of Government and General Government Sector Reporting’ (AASB 1049). This provides that where options exist under AAS, treatments are adopted to align with the ABS GFS Manual and where only one option exists under AAS and that option conflicts with the ABS GFS Manual, the AAS will take precedence. </w:t>
      </w:r>
    </w:p>
    <w:p w14:paraId="15203C2F" w14:textId="77777777" w:rsidR="00D454C3" w:rsidRDefault="00D454C3" w:rsidP="00785F44">
      <w:pPr>
        <w:pStyle w:val="Bbodytext"/>
      </w:pPr>
      <w:r>
        <w:t>The Uniform Presentation Framework Net Operating Balance is the net result of harmonised revenues and expenses which arise from mutually agreed transactions between parties. This excludes other economic flows that represent changes in the volume or value of assets or liabilities that do not arise from transactions with other parties.</w:t>
      </w:r>
    </w:p>
    <w:p w14:paraId="10B18C47" w14:textId="77777777" w:rsidR="00D454C3" w:rsidRDefault="00D454C3" w:rsidP="00785F44">
      <w:pPr>
        <w:pStyle w:val="Bbodytext"/>
      </w:pPr>
      <w:r>
        <w:t>Estimates have been prepared consistently with the ACT Government Consolidated Annual Financial Statements, except for calculation of the Headline Net Operating Balance which is not required under AASB 1049. Inclusion of the superannuation return adjustment in calculating the Headline Net Operating Balance provides the most relevant and meaningful information on the longer-term sustainability of the budget position.</w:t>
      </w:r>
    </w:p>
    <w:p w14:paraId="065F31ED" w14:textId="77777777" w:rsidR="00D454C3" w:rsidRPr="00AC4BFD" w:rsidRDefault="00D454C3" w:rsidP="00785F44">
      <w:pPr>
        <w:pStyle w:val="Bbodytext"/>
      </w:pPr>
      <w:r w:rsidRPr="00AC4BFD">
        <w:t>Aggregated financial data is presented on an eliminated basis</w:t>
      </w:r>
      <w:r>
        <w:t>. That is,</w:t>
      </w:r>
      <w:r w:rsidRPr="00AC4BFD">
        <w:t xml:space="preserve"> intra</w:t>
      </w:r>
      <w:r>
        <w:t>-</w:t>
      </w:r>
      <w:r w:rsidRPr="00AC4BFD">
        <w:t xml:space="preserve">government transactions between entities </w:t>
      </w:r>
      <w:r>
        <w:t>have been</w:t>
      </w:r>
      <w:r w:rsidRPr="00AC4BFD">
        <w:t xml:space="preserve"> eliminated. </w:t>
      </w:r>
    </w:p>
    <w:p w14:paraId="0D0AF212" w14:textId="77777777" w:rsidR="00D454C3" w:rsidRPr="00AC4BFD" w:rsidRDefault="00D454C3" w:rsidP="00785F44">
      <w:pPr>
        <w:pStyle w:val="Bbodytext"/>
      </w:pPr>
      <w:r w:rsidRPr="00AC4BFD">
        <w:t>The Budget financial statements include:</w:t>
      </w:r>
    </w:p>
    <w:p w14:paraId="77F54D04" w14:textId="77777777" w:rsidR="00D454C3" w:rsidRDefault="00D454C3" w:rsidP="00785F44">
      <w:pPr>
        <w:pStyle w:val="BBullet1"/>
        <w:ind w:left="284" w:hanging="284"/>
      </w:pPr>
      <w:r>
        <w:t>estimates for the year ending 30 June 2021 in the original published 2020-21 Budget;</w:t>
      </w:r>
    </w:p>
    <w:p w14:paraId="1898804D" w14:textId="77777777" w:rsidR="00D454C3" w:rsidRDefault="00D454C3" w:rsidP="00785F44">
      <w:pPr>
        <w:pStyle w:val="BBullet1"/>
        <w:ind w:left="284" w:hanging="284"/>
      </w:pPr>
      <w:r>
        <w:lastRenderedPageBreak/>
        <w:t>the interim outcome for the year ending 30 June 2021, which was unaudited at the time of preparing these budget statements;</w:t>
      </w:r>
    </w:p>
    <w:p w14:paraId="2D7EC88A" w14:textId="77777777" w:rsidR="00D454C3" w:rsidRDefault="00D454C3" w:rsidP="00785F44">
      <w:pPr>
        <w:pStyle w:val="BBullet1"/>
        <w:ind w:left="284" w:hanging="284"/>
      </w:pPr>
      <w:r>
        <w:t>estimates for the budget year ending 30 June 2022; and</w:t>
      </w:r>
    </w:p>
    <w:p w14:paraId="73E0234E" w14:textId="77777777" w:rsidR="00D454C3" w:rsidRDefault="00D454C3" w:rsidP="00785F44">
      <w:pPr>
        <w:pStyle w:val="BBullet1"/>
        <w:ind w:left="284" w:hanging="284"/>
      </w:pPr>
      <w:r>
        <w:t>estimates for the three forward years ending 30 June 2023, 2024 and 2025.</w:t>
      </w:r>
    </w:p>
    <w:p w14:paraId="78B76AFB" w14:textId="77777777" w:rsidR="00D454C3" w:rsidRDefault="00D454C3" w:rsidP="00785F44">
      <w:pPr>
        <w:pStyle w:val="Bbodytext"/>
      </w:pPr>
      <w:r>
        <w:t xml:space="preserve">Financial estimates in the budget and forward years are prepared to reflect existing operations and the impact of new policy decisions taken by Government, where the financial impact can be reliably estimated. The estimates also consider other economic and financial data available until the time of preparation, including Commonwealth Government funding decisions announced in the 2021-22 Commonwealth Budget. </w:t>
      </w:r>
    </w:p>
    <w:p w14:paraId="2F9024EF" w14:textId="77777777" w:rsidR="00D454C3" w:rsidRDefault="00D454C3" w:rsidP="00785F44">
      <w:pPr>
        <w:pStyle w:val="Bbodytext"/>
      </w:pPr>
      <w:r>
        <w:t>Actual results may differ from these estimates.</w:t>
      </w:r>
    </w:p>
    <w:p w14:paraId="47E5A124" w14:textId="77777777" w:rsidR="00D454C3" w:rsidRDefault="00D454C3" w:rsidP="00785F44">
      <w:pPr>
        <w:pStyle w:val="Bbodytext"/>
      </w:pPr>
      <w:r>
        <w:t>Supplementary information can be found in the Glossary and Readers Guide to the 2021</w:t>
      </w:r>
      <w:r>
        <w:noBreakHyphen/>
        <w:t xml:space="preserve">22 Budget at </w:t>
      </w:r>
      <w:hyperlink r:id="rId23" w:history="1">
        <w:r w:rsidRPr="002B42F7">
          <w:rPr>
            <w:rStyle w:val="Hyperlink"/>
          </w:rPr>
          <w:t>https://www.treasury.act.gov.au/budget/budget-2021-22/budget-papers</w:t>
        </w:r>
      </w:hyperlink>
      <w:r>
        <w:t>.</w:t>
      </w:r>
    </w:p>
    <w:p w14:paraId="4F63C462" w14:textId="77777777" w:rsidR="00D454C3" w:rsidRDefault="00D454C3" w:rsidP="00785F44">
      <w:pPr>
        <w:pStyle w:val="Heading3"/>
      </w:pPr>
      <w:r>
        <w:t>Service concession arrangements accounting treatment</w:t>
      </w:r>
    </w:p>
    <w:p w14:paraId="4171C96E" w14:textId="44C08C22" w:rsidR="00D454C3" w:rsidRDefault="00D454C3" w:rsidP="00785F44">
      <w:pPr>
        <w:pStyle w:val="Bbodytext"/>
      </w:pPr>
      <w:r>
        <w:t>The financial estimates adopt the accounting standard AASB</w:t>
      </w:r>
      <w:r w:rsidR="00E76A5A">
        <w:t xml:space="preserve"> </w:t>
      </w:r>
      <w:r>
        <w:t>1059: ‘</w:t>
      </w:r>
      <w:r w:rsidRPr="005015C6">
        <w:t>Service Concession Arrangements: Grantors</w:t>
      </w:r>
      <w:r>
        <w:t>’</w:t>
      </w:r>
      <w:r>
        <w:rPr>
          <w:i/>
          <w:iCs/>
        </w:rPr>
        <w:t xml:space="preserve"> </w:t>
      </w:r>
      <w:r>
        <w:t xml:space="preserve">(AASB 1059), which combined with AASB 16 ‘Leases’ (AASB 16), replaces the previous treatment for Public Private Partnership arrangements. These arrangements were previously accounted for under </w:t>
      </w:r>
      <w:r w:rsidRPr="00F339A2">
        <w:rPr>
          <w:iCs/>
        </w:rPr>
        <w:t xml:space="preserve">Financial Reporting Standard 5 </w:t>
      </w:r>
      <w:r>
        <w:t xml:space="preserve">and were typically treated as leases or capitalised as assets gradually recognised over the service period. </w:t>
      </w:r>
    </w:p>
    <w:p w14:paraId="45495508" w14:textId="77777777" w:rsidR="00D454C3" w:rsidRDefault="00D454C3" w:rsidP="00785F44">
      <w:pPr>
        <w:pStyle w:val="Bbodytext"/>
      </w:pPr>
      <w:r>
        <w:t xml:space="preserve">AASB 1059 </w:t>
      </w:r>
      <w:r w:rsidRPr="0080376A">
        <w:t xml:space="preserve">prescribes the accounting treatment for these arrangements from the perspective of </w:t>
      </w:r>
      <w:r>
        <w:t>the</w:t>
      </w:r>
      <w:r w:rsidRPr="0080376A">
        <w:t xml:space="preserve"> government grantor</w:t>
      </w:r>
      <w:r>
        <w:t>.</w:t>
      </w:r>
    </w:p>
    <w:p w14:paraId="294FE61B" w14:textId="77777777" w:rsidR="00D454C3" w:rsidRPr="00837B56" w:rsidRDefault="00D454C3" w:rsidP="00785F44">
      <w:pPr>
        <w:rPr>
          <w:sz w:val="24"/>
        </w:rPr>
      </w:pPr>
      <w:r w:rsidRPr="00837B56">
        <w:rPr>
          <w:sz w:val="24"/>
        </w:rPr>
        <w:t xml:space="preserve">A service concession arrangement is defined as a contract effective in the reporting period between a grantor and an operator in which: </w:t>
      </w:r>
    </w:p>
    <w:p w14:paraId="793B573F" w14:textId="77777777" w:rsidR="00D454C3" w:rsidRPr="00837B56" w:rsidRDefault="00D454C3" w:rsidP="00785F44">
      <w:pPr>
        <w:pStyle w:val="BBullet1"/>
        <w:ind w:left="284" w:hanging="284"/>
      </w:pPr>
      <w:r>
        <w:t>t</w:t>
      </w:r>
      <w:r w:rsidRPr="00837B56">
        <w:t>he operator has a right of access to the service concession asset(s)</w:t>
      </w:r>
      <w:r>
        <w:t xml:space="preserve"> </w:t>
      </w:r>
      <w:r w:rsidRPr="00837B56">
        <w:t xml:space="preserve">to provide public services on behalf of the grantor for a specified period of time; </w:t>
      </w:r>
    </w:p>
    <w:p w14:paraId="748F09FD" w14:textId="77777777" w:rsidR="00D454C3" w:rsidRPr="00837B56" w:rsidRDefault="00D454C3" w:rsidP="00785F44">
      <w:pPr>
        <w:pStyle w:val="BBullet1"/>
        <w:ind w:left="284" w:hanging="284"/>
      </w:pPr>
      <w:r>
        <w:t>t</w:t>
      </w:r>
      <w:r w:rsidRPr="00837B56">
        <w:t xml:space="preserve">he operator is responsible for at least some of the management of the public services provided through the asset and does not merely act as an agent on behalf of the grantor; and </w:t>
      </w:r>
    </w:p>
    <w:p w14:paraId="2E7F23BA" w14:textId="77777777" w:rsidR="00D454C3" w:rsidRPr="00837B56" w:rsidRDefault="00D454C3" w:rsidP="00785F44">
      <w:pPr>
        <w:pStyle w:val="BBullet1"/>
        <w:ind w:left="284" w:hanging="284"/>
      </w:pPr>
      <w:r>
        <w:t>t</w:t>
      </w:r>
      <w:r w:rsidRPr="00837B56">
        <w:t xml:space="preserve">he operator is compensated for its services over the period of the service concession arrangement (AASB 1059 Appendix A). </w:t>
      </w:r>
    </w:p>
    <w:p w14:paraId="5E8A50F0" w14:textId="77777777" w:rsidR="00D454C3" w:rsidRDefault="00D454C3" w:rsidP="00785F44">
      <w:pPr>
        <w:rPr>
          <w:sz w:val="24"/>
        </w:rPr>
      </w:pPr>
      <w:r w:rsidRPr="00837B56">
        <w:rPr>
          <w:sz w:val="24"/>
        </w:rPr>
        <w:t>A grantor is the ACT Government agency that grants the right to access the service concession asset to the operator. An operator is the entity that has a right of access to the service concession asset to provide public services (AASB 1059 Appendix A).</w:t>
      </w:r>
    </w:p>
    <w:p w14:paraId="7B4FF421" w14:textId="77777777" w:rsidR="00D454C3" w:rsidRDefault="00D454C3" w:rsidP="00785F44">
      <w:pPr>
        <w:pStyle w:val="Bbodytext"/>
      </w:pPr>
      <w:r>
        <w:t xml:space="preserve">Under AASB 1059, service concession assets are required to be recognised on the balance sheet from the start of the arrangement or over the construction period, with a corresponding liability to reflect any payments due to the operator, and/or where the Government has granted the operator a right to charge users of the asset. </w:t>
      </w:r>
    </w:p>
    <w:p w14:paraId="45559A3D" w14:textId="77777777" w:rsidR="00D454C3" w:rsidRDefault="00D454C3" w:rsidP="00785F44">
      <w:pPr>
        <w:pStyle w:val="Bbodytext"/>
      </w:pPr>
      <w:r>
        <w:lastRenderedPageBreak/>
        <w:t>Where an existing asset meets the definition of a service concession asset under AASB 1059, it is to be reclassified as a service concession asset with the carrying value adjusted to current replacement cost (as a revaluation). The asset is subsequently depreciated over its useful life. A corresponding liability is also recognised at the same time to reflect any payments made between the operator and the Government.</w:t>
      </w:r>
    </w:p>
    <w:p w14:paraId="000AE091" w14:textId="77777777" w:rsidR="00D454C3" w:rsidRDefault="00D454C3" w:rsidP="00785F44">
      <w:pPr>
        <w:pStyle w:val="Bbodytext"/>
      </w:pPr>
      <w:r>
        <w:t xml:space="preserve">Under AASB 1059, the service concession liability is recognised using either the financial liability model, the grant of a right to the operator model, or both. </w:t>
      </w:r>
    </w:p>
    <w:p w14:paraId="3C55DC50" w14:textId="77777777" w:rsidR="00D454C3" w:rsidRDefault="00D454C3" w:rsidP="00785F44">
      <w:pPr>
        <w:pStyle w:val="Bbodytext"/>
      </w:pPr>
      <w:r>
        <w:t xml:space="preserve">This standard has been applied to Light Rail – Stage 1 and the ACT Housing Asset Assistance Program (HAAP). </w:t>
      </w:r>
    </w:p>
    <w:p w14:paraId="44F1C766" w14:textId="77777777" w:rsidR="00D454C3" w:rsidRDefault="00D454C3" w:rsidP="00785F44">
      <w:pPr>
        <w:pStyle w:val="Bbodytext"/>
      </w:pPr>
      <w:r>
        <w:t>HAAP arrangements are long term leases entered into between the government (the grantor) and a Community Housing Provider (the operator) to provide affordable housing solutions and specialist homelessness services to vulnerable Canberrans over the term of a lease.</w:t>
      </w:r>
    </w:p>
    <w:p w14:paraId="0A7B6F79" w14:textId="77777777" w:rsidR="00D454C3" w:rsidRDefault="00D454C3" w:rsidP="00785F44">
      <w:pPr>
        <w:pStyle w:val="Bbodytext"/>
      </w:pPr>
      <w:r>
        <w:t>Light Rail Stage 1 includes</w:t>
      </w:r>
      <w:r w:rsidRPr="00F73596">
        <w:t xml:space="preserve"> long-term contracts with private sector consortia to design, finance, construct, maintain and operate infrastructure assets. The Government will make service payments over the life of the contracts, intended to cover the costs incurred by the consortia in constructing, financing, maintaining and operating the assets. At the end of these contracts, the infrastructure will become Territory assets.</w:t>
      </w:r>
    </w:p>
    <w:p w14:paraId="3C701926" w14:textId="77777777" w:rsidR="00D454C3" w:rsidRDefault="00D454C3" w:rsidP="00785F44">
      <w:pPr>
        <w:pStyle w:val="Bbodytext"/>
      </w:pPr>
      <w:r>
        <w:t>In 2015-16, the Government also entered a public private partnership arrangement for the ACT Law Courts Facilities. These Facilities are not in scope of AASB 1059 and are accounted for under AASB 16. This is consistent with historical treatment for this arrangement.</w:t>
      </w:r>
    </w:p>
    <w:p w14:paraId="33819661" w14:textId="77777777" w:rsidR="00D454C3" w:rsidRPr="00012777" w:rsidRDefault="00D454C3" w:rsidP="00785F44">
      <w:pPr>
        <w:pStyle w:val="Heading3"/>
      </w:pPr>
      <w:r>
        <w:t>Concessional loans accounting</w:t>
      </w:r>
      <w:r w:rsidRPr="00012777">
        <w:t xml:space="preserve"> </w:t>
      </w:r>
      <w:r>
        <w:t>treatment</w:t>
      </w:r>
      <w:r w:rsidRPr="00012777">
        <w:t xml:space="preserve"> </w:t>
      </w:r>
    </w:p>
    <w:p w14:paraId="0D72DD56" w14:textId="77777777" w:rsidR="00D454C3" w:rsidRPr="00FC770C" w:rsidRDefault="00D454C3" w:rsidP="00785F44">
      <w:pPr>
        <w:pStyle w:val="Bbodytext"/>
        <w:rPr>
          <w:i/>
          <w:iCs/>
        </w:rPr>
      </w:pPr>
      <w:r>
        <w:t>The Government established a Sustainable Household Scheme</w:t>
      </w:r>
      <w:r w:rsidRPr="0005549F">
        <w:t xml:space="preserve"> </w:t>
      </w:r>
      <w:r>
        <w:t>in the 2020-21 Budget,</w:t>
      </w:r>
      <w:r w:rsidRPr="0005549F">
        <w:t xml:space="preserve"> </w:t>
      </w:r>
      <w:r>
        <w:t xml:space="preserve">which, following selection of a loan provider, commenced in late June 2021 to provide zero interest rate loans to assist households with the upfront costs of installing equipment to enable emissions reductions. In accordance with </w:t>
      </w:r>
      <w:r w:rsidRPr="00F339A2">
        <w:t>AASB 9</w:t>
      </w:r>
      <w:r>
        <w:t>:</w:t>
      </w:r>
      <w:r w:rsidRPr="00F339A2">
        <w:t xml:space="preserve"> </w:t>
      </w:r>
      <w:r>
        <w:t>‘</w:t>
      </w:r>
      <w:r w:rsidRPr="00F339A2">
        <w:t>Financial Instruments</w:t>
      </w:r>
      <w:r>
        <w:t>’</w:t>
      </w:r>
      <w:r w:rsidRPr="00F339A2">
        <w:t>,</w:t>
      </w:r>
      <w:r>
        <w:t xml:space="preserve"> loans provided at a zero-interest rate require the lender to recognise an expense on the operating statement reflecting the difference between the market borrowing interest rate and the zero interest rate offered. </w:t>
      </w:r>
    </w:p>
    <w:p w14:paraId="0AA1D468" w14:textId="77777777" w:rsidR="00D454C3" w:rsidRPr="00FF6128" w:rsidRDefault="00D454C3" w:rsidP="00785F44">
      <w:pPr>
        <w:pStyle w:val="Bbodytext"/>
      </w:pPr>
      <w:r>
        <w:t xml:space="preserve">Any loans issued under the scheme will be presented as a non-cash impact on the Headline Net Operating Balance and be reflected as an upfront expense (negative impact) when the loan is provided. The expense will be equal to the present value interest rate differential on the loan amount relative to the market rate at which the borrower would otherwise have accessed financing. </w:t>
      </w:r>
      <w:r w:rsidRPr="00FF6128">
        <w:t xml:space="preserve">The quantum of this expense </w:t>
      </w:r>
      <w:r>
        <w:t xml:space="preserve">will </w:t>
      </w:r>
      <w:r w:rsidRPr="00FF6128">
        <w:t xml:space="preserve">only be known at the time the concessional loan </w:t>
      </w:r>
      <w:r>
        <w:t>is</w:t>
      </w:r>
      <w:r w:rsidRPr="00FF6128">
        <w:t xml:space="preserve"> issued as it depend</w:t>
      </w:r>
      <w:r>
        <w:t>s</w:t>
      </w:r>
      <w:r w:rsidRPr="00FF6128">
        <w:t xml:space="preserve"> on the prevailing market interest rate. As such, </w:t>
      </w:r>
      <w:r>
        <w:t>any</w:t>
      </w:r>
      <w:r w:rsidRPr="00FF6128">
        <w:t xml:space="preserve"> budget initiative incorporating a concessional loan component </w:t>
      </w:r>
      <w:r>
        <w:t>has</w:t>
      </w:r>
      <w:r w:rsidRPr="00FF6128">
        <w:t xml:space="preserve"> assumed an indicative market rate of </w:t>
      </w:r>
      <w:r w:rsidRPr="007E47FD">
        <w:t>five per cent</w:t>
      </w:r>
      <w:r w:rsidRPr="00FF6128">
        <w:t xml:space="preserve"> for </w:t>
      </w:r>
      <w:r>
        <w:t xml:space="preserve">estimate </w:t>
      </w:r>
      <w:r w:rsidRPr="00FF6128">
        <w:t>purposes</w:t>
      </w:r>
      <w:r>
        <w:t xml:space="preserve"> (presently, the only loan that has been accounted for as a Concessional Loan in the estimates is the Sustainable Household Scheme).</w:t>
      </w:r>
    </w:p>
    <w:p w14:paraId="7D5E5B0A" w14:textId="77777777" w:rsidR="00D454C3" w:rsidRDefault="00D454C3" w:rsidP="00785F44">
      <w:pPr>
        <w:pStyle w:val="Bbodytext"/>
      </w:pPr>
      <w:r>
        <w:t>This expense is then unwound over the life of the loan. The initial expense recognition will also have a negative impact on net debt over and above the face value of the loan.</w:t>
      </w:r>
    </w:p>
    <w:p w14:paraId="27D796DB" w14:textId="77777777" w:rsidR="00D454C3" w:rsidRDefault="00D454C3" w:rsidP="00785F44">
      <w:pPr>
        <w:pStyle w:val="Bbodytext"/>
      </w:pPr>
      <w:r>
        <w:lastRenderedPageBreak/>
        <w:t xml:space="preserve">While the ACT Government is not currently expecting to account for a concessional loan for the Sustainable Household Scheme in 2021-22 (as its initial phase is being administered outside the ACT Government), the concessional accounting treatment has been maintained in the three forward estimates. </w:t>
      </w:r>
    </w:p>
    <w:p w14:paraId="1A6A5010" w14:textId="77777777" w:rsidR="00DD0834" w:rsidRDefault="00DD0834" w:rsidP="00D454C3">
      <w:pPr>
        <w:pStyle w:val="Bbodytext"/>
      </w:pPr>
    </w:p>
    <w:p w14:paraId="4251BA1E" w14:textId="77777777" w:rsidR="00D454C3" w:rsidRDefault="00D454C3">
      <w:pPr>
        <w:sectPr w:rsidR="00D454C3" w:rsidSect="00542DA2">
          <w:footerReference w:type="default" r:id="rId24"/>
          <w:pgSz w:w="11906" w:h="16838" w:code="9"/>
          <w:pgMar w:top="1151" w:right="1440" w:bottom="1729" w:left="1440" w:header="720" w:footer="720" w:gutter="0"/>
          <w:cols w:space="708"/>
          <w:docGrid w:linePitch="360"/>
        </w:sectPr>
      </w:pPr>
      <w:r>
        <w:br w:type="page"/>
      </w:r>
    </w:p>
    <w:p w14:paraId="5C26F532" w14:textId="77777777" w:rsidR="00D57076" w:rsidRDefault="00D57076" w:rsidP="00D57076">
      <w:pPr>
        <w:rPr>
          <w:rFonts w:ascii="Calibri" w:hAnsi="Calibri"/>
          <w:b/>
          <w:sz w:val="36"/>
        </w:rPr>
      </w:pPr>
    </w:p>
    <w:p w14:paraId="5D9972C7" w14:textId="77777777" w:rsidR="00D57076" w:rsidRDefault="00D57076" w:rsidP="00D57076">
      <w:pPr>
        <w:jc w:val="center"/>
        <w:rPr>
          <w:b/>
          <w:bCs/>
          <w:sz w:val="32"/>
          <w:szCs w:val="32"/>
        </w:rPr>
      </w:pPr>
    </w:p>
    <w:p w14:paraId="62D5208C" w14:textId="5358714B" w:rsidR="00D57076" w:rsidRDefault="00D57076" w:rsidP="00D57076">
      <w:pPr>
        <w:jc w:val="center"/>
        <w:rPr>
          <w:b/>
          <w:bCs/>
          <w:sz w:val="32"/>
          <w:szCs w:val="32"/>
        </w:rPr>
      </w:pPr>
      <w:r w:rsidRPr="00A3203C">
        <w:rPr>
          <w:b/>
          <w:bCs/>
          <w:sz w:val="32"/>
          <w:szCs w:val="32"/>
        </w:rPr>
        <w:t xml:space="preserve">APPENDIX </w:t>
      </w:r>
      <w:r>
        <w:rPr>
          <w:b/>
          <w:bCs/>
          <w:sz w:val="32"/>
          <w:szCs w:val="32"/>
        </w:rPr>
        <w:t>H</w:t>
      </w:r>
    </w:p>
    <w:p w14:paraId="254E760D" w14:textId="77777777" w:rsidR="00D57076" w:rsidRDefault="00D57076" w:rsidP="00D57076">
      <w:pPr>
        <w:jc w:val="center"/>
        <w:rPr>
          <w:b/>
          <w:bCs/>
          <w:sz w:val="32"/>
          <w:szCs w:val="32"/>
        </w:rPr>
      </w:pPr>
    </w:p>
    <w:p w14:paraId="4E13865F" w14:textId="77777777" w:rsidR="00D57076" w:rsidRPr="00A3203C" w:rsidRDefault="00D57076" w:rsidP="00D57076">
      <w:pPr>
        <w:jc w:val="center"/>
        <w:rPr>
          <w:b/>
          <w:bCs/>
          <w:sz w:val="32"/>
          <w:szCs w:val="32"/>
        </w:rPr>
      </w:pPr>
    </w:p>
    <w:p w14:paraId="5E16C672" w14:textId="6EC5AAF3" w:rsidR="00D57076" w:rsidRDefault="00D57076" w:rsidP="00D57076">
      <w:pPr>
        <w:jc w:val="center"/>
        <w:rPr>
          <w:b/>
          <w:bCs/>
          <w:sz w:val="32"/>
          <w:szCs w:val="32"/>
        </w:rPr>
      </w:pPr>
      <w:r>
        <w:rPr>
          <w:b/>
          <w:bCs/>
          <w:sz w:val="32"/>
          <w:szCs w:val="32"/>
        </w:rPr>
        <w:t>SAFER FAMILIES</w:t>
      </w:r>
    </w:p>
    <w:p w14:paraId="2AC7FEBF" w14:textId="77777777" w:rsidR="00D57076" w:rsidRDefault="00D57076" w:rsidP="00D57076">
      <w:r>
        <w:br w:type="page"/>
      </w:r>
    </w:p>
    <w:p w14:paraId="5584BE7A" w14:textId="77777777" w:rsidR="00D57076" w:rsidRDefault="00D57076" w:rsidP="00D57076">
      <w:pPr>
        <w:rPr>
          <w:rFonts w:ascii="Calibri" w:eastAsiaTheme="majorEastAsia" w:hAnsi="Calibri" w:cstheme="majorBidi"/>
          <w:b/>
          <w:caps/>
          <w:color w:val="472D8C"/>
          <w:sz w:val="36"/>
          <w:szCs w:val="26"/>
        </w:rPr>
      </w:pPr>
      <w:r>
        <w:rPr>
          <w:rFonts w:ascii="Calibri" w:eastAsiaTheme="majorEastAsia" w:hAnsi="Calibri" w:cstheme="majorBidi"/>
          <w:b/>
          <w:caps/>
          <w:color w:val="472D8C"/>
          <w:sz w:val="36"/>
          <w:szCs w:val="26"/>
        </w:rPr>
        <w:lastRenderedPageBreak/>
        <w:br w:type="page"/>
      </w:r>
    </w:p>
    <w:p w14:paraId="0F894F9F" w14:textId="2E3365A8" w:rsidR="00654E5E" w:rsidRPr="008978CE" w:rsidRDefault="00654E5E" w:rsidP="008978CE">
      <w:pPr>
        <w:pStyle w:val="Heading2"/>
        <w:numPr>
          <w:ilvl w:val="0"/>
          <w:numId w:val="0"/>
        </w:numPr>
        <w:ind w:left="576" w:hanging="576"/>
      </w:pPr>
      <w:bookmarkStart w:id="10" w:name="_Toc84300603"/>
      <w:r w:rsidRPr="008978CE">
        <w:lastRenderedPageBreak/>
        <w:t>A</w:t>
      </w:r>
      <w:r w:rsidR="008978CE">
        <w:t>ppendix</w:t>
      </w:r>
      <w:r w:rsidRPr="008978CE">
        <w:t xml:space="preserve"> H – </w:t>
      </w:r>
      <w:r w:rsidR="008978CE">
        <w:t>Safer Families</w:t>
      </w:r>
      <w:bookmarkEnd w:id="10"/>
      <w:r w:rsidRPr="008978CE">
        <w:t xml:space="preserve"> </w:t>
      </w:r>
    </w:p>
    <w:p w14:paraId="21C03B70" w14:textId="77777777" w:rsidR="00654E5E" w:rsidRPr="001E037D" w:rsidRDefault="00654E5E" w:rsidP="00785F44">
      <w:pPr>
        <w:keepNext/>
        <w:keepLines/>
        <w:spacing w:before="360" w:after="200" w:line="240" w:lineRule="auto"/>
        <w:outlineLvl w:val="2"/>
        <w:rPr>
          <w:rFonts w:ascii="Calibri" w:eastAsiaTheme="majorEastAsia" w:hAnsi="Calibri" w:cstheme="majorBidi"/>
          <w:b/>
          <w:color w:val="999789"/>
          <w:sz w:val="32"/>
          <w:szCs w:val="24"/>
        </w:rPr>
      </w:pPr>
      <w:r w:rsidRPr="001E037D">
        <w:rPr>
          <w:rFonts w:ascii="Calibri" w:eastAsiaTheme="majorEastAsia" w:hAnsi="Calibri" w:cstheme="majorBidi"/>
          <w:b/>
          <w:color w:val="999789"/>
          <w:sz w:val="32"/>
          <w:szCs w:val="24"/>
        </w:rPr>
        <w:t>Safer Families</w:t>
      </w:r>
    </w:p>
    <w:p w14:paraId="66B505C3" w14:textId="77777777" w:rsidR="00654E5E" w:rsidRDefault="00654E5E" w:rsidP="00785F44">
      <w:pPr>
        <w:spacing w:before="120" w:after="120" w:line="240" w:lineRule="auto"/>
        <w:rPr>
          <w:sz w:val="24"/>
          <w:szCs w:val="24"/>
        </w:rPr>
      </w:pPr>
      <w:r w:rsidRPr="7CECE307">
        <w:rPr>
          <w:sz w:val="24"/>
          <w:szCs w:val="24"/>
        </w:rPr>
        <w:t>The ACT Government is committed to addressing the critical issue of domestic and family violence</w:t>
      </w:r>
      <w:r>
        <w:rPr>
          <w:sz w:val="24"/>
          <w:szCs w:val="24"/>
        </w:rPr>
        <w:t>.</w:t>
      </w:r>
    </w:p>
    <w:p w14:paraId="49AAEE05" w14:textId="77777777" w:rsidR="00654E5E" w:rsidRPr="007D5FFA" w:rsidRDefault="00654E5E" w:rsidP="00785F44">
      <w:pPr>
        <w:spacing w:before="120" w:after="120" w:line="240" w:lineRule="auto"/>
        <w:rPr>
          <w:sz w:val="24"/>
          <w:szCs w:val="24"/>
        </w:rPr>
      </w:pPr>
      <w:r w:rsidRPr="007D5FFA">
        <w:rPr>
          <w:sz w:val="24"/>
          <w:szCs w:val="24"/>
        </w:rPr>
        <w:t>Domestic and family violence</w:t>
      </w:r>
      <w:r>
        <w:rPr>
          <w:sz w:val="24"/>
          <w:szCs w:val="24"/>
        </w:rPr>
        <w:t xml:space="preserve"> </w:t>
      </w:r>
      <w:r w:rsidRPr="007D5FFA">
        <w:rPr>
          <w:sz w:val="24"/>
          <w:szCs w:val="24"/>
        </w:rPr>
        <w:t>is not, and never will be, acceptable in the ACT community.</w:t>
      </w:r>
      <w:r>
        <w:rPr>
          <w:sz w:val="24"/>
          <w:szCs w:val="24"/>
        </w:rPr>
        <w:t xml:space="preserve"> </w:t>
      </w:r>
      <w:r w:rsidRPr="007D5FFA">
        <w:rPr>
          <w:sz w:val="24"/>
          <w:szCs w:val="24"/>
        </w:rPr>
        <w:t>Domestic and family violence has negative consequences for all of us. It violates the human rights of those affected, reduces access to housing and employment, impairs children’s health and development and is costly to our economy and our community.</w:t>
      </w:r>
    </w:p>
    <w:p w14:paraId="3D7A0A09" w14:textId="77777777" w:rsidR="00654E5E" w:rsidRPr="001E037D" w:rsidRDefault="00654E5E" w:rsidP="00785F44">
      <w:pPr>
        <w:spacing w:before="120" w:after="120" w:line="240" w:lineRule="auto"/>
        <w:rPr>
          <w:sz w:val="24"/>
          <w:szCs w:val="24"/>
        </w:rPr>
      </w:pPr>
      <w:r>
        <w:rPr>
          <w:sz w:val="24"/>
          <w:szCs w:val="24"/>
        </w:rPr>
        <w:t>T</w:t>
      </w:r>
      <w:r w:rsidRPr="7CECE307">
        <w:rPr>
          <w:sz w:val="24"/>
          <w:szCs w:val="24"/>
        </w:rPr>
        <w:t>he</w:t>
      </w:r>
      <w:r w:rsidRPr="7949A320">
        <w:rPr>
          <w:sz w:val="24"/>
          <w:szCs w:val="24"/>
        </w:rPr>
        <w:t xml:space="preserve"> 2021-22 Budget allocates </w:t>
      </w:r>
      <w:r>
        <w:rPr>
          <w:sz w:val="24"/>
          <w:szCs w:val="24"/>
        </w:rPr>
        <w:t xml:space="preserve">$46.5 million </w:t>
      </w:r>
      <w:r w:rsidRPr="7949A320">
        <w:rPr>
          <w:sz w:val="24"/>
          <w:szCs w:val="24"/>
        </w:rPr>
        <w:t>over four years to expand the ACT Government’s evidence-based approach to addressing domestic and family violence</w:t>
      </w:r>
      <w:r>
        <w:rPr>
          <w:sz w:val="24"/>
          <w:szCs w:val="24"/>
        </w:rPr>
        <w:t>.</w:t>
      </w:r>
      <w:r w:rsidRPr="7949A320">
        <w:rPr>
          <w:sz w:val="24"/>
          <w:szCs w:val="24"/>
        </w:rPr>
        <w:t xml:space="preserve"> This investment will also support an enhanced focus on sexual assault prevention and response. </w:t>
      </w:r>
    </w:p>
    <w:p w14:paraId="0DDFDB68" w14:textId="77777777" w:rsidR="00654E5E" w:rsidRPr="001E037D" w:rsidRDefault="00654E5E" w:rsidP="00785F44">
      <w:pPr>
        <w:spacing w:before="120" w:after="120" w:line="240" w:lineRule="auto"/>
        <w:rPr>
          <w:sz w:val="24"/>
        </w:rPr>
      </w:pPr>
      <w:r w:rsidRPr="001E037D">
        <w:rPr>
          <w:sz w:val="24"/>
        </w:rPr>
        <w:t xml:space="preserve">The ACT Government introduced the Safer Families Levy on 1 July 2016 to provide an ongoing revenue base to fund long-term system reform and service improvements in relation to </w:t>
      </w:r>
      <w:r w:rsidRPr="7949A320">
        <w:rPr>
          <w:sz w:val="24"/>
          <w:szCs w:val="24"/>
        </w:rPr>
        <w:t>domestic and family violence</w:t>
      </w:r>
      <w:r w:rsidRPr="001E037D">
        <w:rPr>
          <w:sz w:val="24"/>
        </w:rPr>
        <w:t>. The Levy is applied to all residential and rural properties.</w:t>
      </w:r>
    </w:p>
    <w:p w14:paraId="5FF0D9FB" w14:textId="77777777" w:rsidR="00654E5E" w:rsidRPr="001E037D" w:rsidRDefault="00654E5E" w:rsidP="00785F44">
      <w:pPr>
        <w:spacing w:before="120" w:after="120" w:line="240" w:lineRule="auto"/>
        <w:rPr>
          <w:sz w:val="24"/>
        </w:rPr>
      </w:pPr>
      <w:r w:rsidRPr="001E037D">
        <w:rPr>
          <w:sz w:val="24"/>
        </w:rPr>
        <w:t>The first phase of Safer Families initiatives commenced in 2016-17</w:t>
      </w:r>
      <w:r>
        <w:rPr>
          <w:sz w:val="24"/>
        </w:rPr>
        <w:t xml:space="preserve"> with a $21 million investment. </w:t>
      </w:r>
    </w:p>
    <w:p w14:paraId="35E74AAD" w14:textId="77777777" w:rsidR="00654E5E" w:rsidRPr="001E037D" w:rsidRDefault="00654E5E" w:rsidP="00785F44">
      <w:pPr>
        <w:spacing w:before="120" w:after="120" w:line="240" w:lineRule="auto"/>
        <w:rPr>
          <w:sz w:val="24"/>
          <w:szCs w:val="24"/>
        </w:rPr>
      </w:pPr>
      <w:r w:rsidRPr="7949A320">
        <w:rPr>
          <w:sz w:val="24"/>
          <w:szCs w:val="24"/>
        </w:rPr>
        <w:t xml:space="preserve">From 2021-22, the Government will increase the Safer Families Levy by $5 per year over four years, taking the Levy from $30 per household currently to $50 </w:t>
      </w:r>
      <w:r w:rsidRPr="7949A320" w:rsidDel="008D235A">
        <w:rPr>
          <w:sz w:val="24"/>
          <w:szCs w:val="24"/>
        </w:rPr>
        <w:t>per</w:t>
      </w:r>
      <w:r w:rsidRPr="7949A320">
        <w:rPr>
          <w:sz w:val="24"/>
          <w:szCs w:val="24"/>
        </w:rPr>
        <w:t> household in 2024</w:t>
      </w:r>
      <w:r>
        <w:rPr>
          <w:sz w:val="24"/>
          <w:szCs w:val="24"/>
        </w:rPr>
        <w:noBreakHyphen/>
      </w:r>
      <w:r w:rsidRPr="7949A320">
        <w:rPr>
          <w:sz w:val="24"/>
          <w:szCs w:val="24"/>
        </w:rPr>
        <w:t>25. The increases in the Levy allow us to enhance our responses to sexual violence, as well as to continue to fund critical frontline service delivery and enable the community to contribute to vital responses to domestic and family violence in a tangible way. This recognises that preventing domestic, family, and sexual violence is a collective responsibility across our community.</w:t>
      </w:r>
    </w:p>
    <w:p w14:paraId="0528962F" w14:textId="77777777" w:rsidR="00654E5E" w:rsidRPr="001E037D" w:rsidRDefault="00654E5E" w:rsidP="00785F44">
      <w:pPr>
        <w:spacing w:before="120" w:after="120" w:line="240" w:lineRule="auto"/>
        <w:rPr>
          <w:sz w:val="24"/>
          <w:szCs w:val="24"/>
        </w:rPr>
      </w:pPr>
      <w:r w:rsidRPr="13436F6E">
        <w:rPr>
          <w:sz w:val="24"/>
          <w:szCs w:val="24"/>
        </w:rPr>
        <w:t xml:space="preserve">The levy is expected to raise </w:t>
      </w:r>
      <w:r>
        <w:rPr>
          <w:sz w:val="24"/>
          <w:szCs w:val="24"/>
        </w:rPr>
        <w:t xml:space="preserve">around </w:t>
      </w:r>
      <w:r w:rsidRPr="13436F6E">
        <w:rPr>
          <w:sz w:val="24"/>
          <w:szCs w:val="24"/>
        </w:rPr>
        <w:t xml:space="preserve">$30 million over the next four years. The total investment in Safer Families </w:t>
      </w:r>
      <w:r>
        <w:rPr>
          <w:sz w:val="24"/>
          <w:szCs w:val="24"/>
        </w:rPr>
        <w:t xml:space="preserve">and complementary </w:t>
      </w:r>
      <w:r w:rsidRPr="13436F6E">
        <w:rPr>
          <w:sz w:val="24"/>
          <w:szCs w:val="24"/>
        </w:rPr>
        <w:t xml:space="preserve">initiatives over this period is </w:t>
      </w:r>
      <w:r w:rsidRPr="002F4E5F">
        <w:rPr>
          <w:sz w:val="24"/>
          <w:szCs w:val="24"/>
        </w:rPr>
        <w:t>$</w:t>
      </w:r>
      <w:r>
        <w:rPr>
          <w:sz w:val="24"/>
          <w:szCs w:val="24"/>
        </w:rPr>
        <w:t>46.5</w:t>
      </w:r>
      <w:r w:rsidRPr="002F4E5F">
        <w:rPr>
          <w:sz w:val="24"/>
          <w:szCs w:val="24"/>
        </w:rPr>
        <w:t xml:space="preserve"> million</w:t>
      </w:r>
      <w:r w:rsidRPr="13436F6E">
        <w:rPr>
          <w:sz w:val="24"/>
          <w:szCs w:val="24"/>
        </w:rPr>
        <w:t xml:space="preserve">. </w:t>
      </w:r>
    </w:p>
    <w:p w14:paraId="0116398F" w14:textId="77777777" w:rsidR="00654E5E" w:rsidRDefault="00654E5E" w:rsidP="00785F44">
      <w:pPr>
        <w:spacing w:before="120" w:after="120" w:line="240" w:lineRule="auto"/>
        <w:rPr>
          <w:sz w:val="24"/>
        </w:rPr>
      </w:pPr>
      <w:r w:rsidRPr="001E037D">
        <w:rPr>
          <w:sz w:val="24"/>
        </w:rPr>
        <w:t xml:space="preserve">The achievements from the Safer Families initiatives have been reported in budget papers, directorate annual reports, and through annual Safer Families statements by the Minister for the Prevention of Domestic and Family Violence. Outcomes and achievements will </w:t>
      </w:r>
      <w:r>
        <w:rPr>
          <w:sz w:val="24"/>
        </w:rPr>
        <w:t>c</w:t>
      </w:r>
      <w:r w:rsidRPr="001E037D">
        <w:rPr>
          <w:sz w:val="24"/>
        </w:rPr>
        <w:t>ontinue to be reported through these mechanisms.</w:t>
      </w:r>
    </w:p>
    <w:p w14:paraId="4CAAC411" w14:textId="77777777" w:rsidR="00654E5E" w:rsidRPr="001E037D" w:rsidRDefault="00654E5E" w:rsidP="00785F44">
      <w:pPr>
        <w:spacing w:before="120" w:after="120" w:line="240" w:lineRule="auto"/>
        <w:rPr>
          <w:rFonts w:ascii="Calibri" w:eastAsiaTheme="majorEastAsia" w:hAnsi="Calibri" w:cstheme="majorBidi"/>
          <w:b/>
          <w:sz w:val="28"/>
          <w:szCs w:val="28"/>
        </w:rPr>
      </w:pPr>
      <w:r w:rsidRPr="00B952F9">
        <w:rPr>
          <w:noProof/>
          <w:sz w:val="24"/>
        </w:rPr>
        <w:lastRenderedPageBreak/>
        <mc:AlternateContent>
          <mc:Choice Requires="wps">
            <w:drawing>
              <wp:anchor distT="45720" distB="45720" distL="114300" distR="114300" simplePos="0" relativeHeight="251659264" behindDoc="0" locked="0" layoutInCell="1" allowOverlap="1" wp14:anchorId="6EC55447" wp14:editId="375E8CFE">
                <wp:simplePos x="0" y="0"/>
                <wp:positionH relativeFrom="margin">
                  <wp:align>left</wp:align>
                </wp:positionH>
                <wp:positionV relativeFrom="paragraph">
                  <wp:posOffset>22225</wp:posOffset>
                </wp:positionV>
                <wp:extent cx="5728970" cy="24371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2437130"/>
                        </a:xfrm>
                        <a:prstGeom prst="rect">
                          <a:avLst/>
                        </a:prstGeom>
                        <a:noFill/>
                        <a:ln w="9525">
                          <a:noFill/>
                          <a:miter lim="800000"/>
                          <a:headEnd/>
                          <a:tailEnd/>
                        </a:ln>
                      </wps:spPr>
                      <wps:txbx>
                        <w:txbxContent>
                          <w:p w14:paraId="6E6EF041" w14:textId="77777777" w:rsidR="00AB05FB" w:rsidRPr="00576B7D" w:rsidRDefault="00AB05FB" w:rsidP="00785F44">
                            <w:pPr>
                              <w:spacing w:after="0" w:line="240" w:lineRule="auto"/>
                              <w:rPr>
                                <w:b/>
                                <w:bCs/>
                                <w:color w:val="150045"/>
                                <w:sz w:val="24"/>
                                <w:szCs w:val="24"/>
                              </w:rPr>
                            </w:pPr>
                            <w:r w:rsidRPr="00576B7D">
                              <w:rPr>
                                <w:b/>
                                <w:bCs/>
                                <w:color w:val="150045"/>
                                <w:sz w:val="24"/>
                                <w:szCs w:val="24"/>
                              </w:rPr>
                              <w:t xml:space="preserve">Safer Families initiatives will continue to focus on strategic and flexible responses that are inclusive of all Canberrans and ensure we can quickly and appropriately respond to emerging issues and new evidence of what works best. We will prioritise initiatives that focus on: </w:t>
                            </w:r>
                          </w:p>
                          <w:p w14:paraId="3103DD1C" w14:textId="77777777" w:rsidR="00AB05FB" w:rsidRPr="00576B7D" w:rsidRDefault="00AB05FB" w:rsidP="00654E5E">
                            <w:pPr>
                              <w:numPr>
                                <w:ilvl w:val="0"/>
                                <w:numId w:val="1"/>
                              </w:numPr>
                              <w:tabs>
                                <w:tab w:val="left" w:pos="357"/>
                              </w:tabs>
                              <w:spacing w:after="0" w:line="240" w:lineRule="auto"/>
                              <w:ind w:left="360"/>
                              <w:rPr>
                                <w:b/>
                                <w:bCs/>
                                <w:color w:val="150045"/>
                                <w:sz w:val="24"/>
                                <w:szCs w:val="24"/>
                              </w:rPr>
                            </w:pPr>
                            <w:r w:rsidRPr="00576B7D">
                              <w:rPr>
                                <w:b/>
                                <w:bCs/>
                                <w:color w:val="150045"/>
                                <w:sz w:val="24"/>
                                <w:szCs w:val="24"/>
                              </w:rPr>
                              <w:t>new and sustainable ways of working across government and community that provide support earlier, reduce barriers to access, join up and integrate services, respond to diverse needs, and hold perpetrators to account;</w:t>
                            </w:r>
                          </w:p>
                          <w:p w14:paraId="7C46396F" w14:textId="77777777" w:rsidR="00AB05FB" w:rsidRPr="00576B7D" w:rsidRDefault="00AB05FB" w:rsidP="00654E5E">
                            <w:pPr>
                              <w:numPr>
                                <w:ilvl w:val="0"/>
                                <w:numId w:val="1"/>
                              </w:numPr>
                              <w:tabs>
                                <w:tab w:val="left" w:pos="357"/>
                              </w:tabs>
                              <w:spacing w:after="0" w:line="240" w:lineRule="auto"/>
                              <w:ind w:left="360"/>
                              <w:rPr>
                                <w:b/>
                                <w:bCs/>
                                <w:color w:val="150045"/>
                                <w:sz w:val="24"/>
                                <w:szCs w:val="24"/>
                              </w:rPr>
                            </w:pPr>
                            <w:r w:rsidRPr="00576B7D">
                              <w:rPr>
                                <w:b/>
                                <w:bCs/>
                                <w:color w:val="150045"/>
                                <w:sz w:val="24"/>
                                <w:szCs w:val="24"/>
                              </w:rPr>
                              <w:t>building whole-of-government and multi-agency domestic and family violence</w:t>
                            </w:r>
                            <w:r w:rsidRPr="00576B7D" w:rsidDel="00231DD1">
                              <w:rPr>
                                <w:b/>
                                <w:bCs/>
                                <w:color w:val="150045"/>
                                <w:sz w:val="24"/>
                                <w:szCs w:val="24"/>
                              </w:rPr>
                              <w:t xml:space="preserve"> </w:t>
                            </w:r>
                            <w:r w:rsidRPr="00576B7D">
                              <w:rPr>
                                <w:b/>
                                <w:bCs/>
                                <w:color w:val="150045"/>
                                <w:sz w:val="24"/>
                                <w:szCs w:val="24"/>
                              </w:rPr>
                              <w:t>capability, coordination and supporting infrastructure, including through strategic leadership and governance; and</w:t>
                            </w:r>
                          </w:p>
                          <w:p w14:paraId="2D16555B" w14:textId="77777777" w:rsidR="00AB05FB" w:rsidRPr="00576B7D" w:rsidRDefault="00AB05FB" w:rsidP="00654E5E">
                            <w:pPr>
                              <w:numPr>
                                <w:ilvl w:val="0"/>
                                <w:numId w:val="1"/>
                              </w:numPr>
                              <w:tabs>
                                <w:tab w:val="left" w:pos="357"/>
                              </w:tabs>
                              <w:spacing w:after="0" w:line="240" w:lineRule="auto"/>
                              <w:ind w:left="360"/>
                              <w:rPr>
                                <w:rFonts w:eastAsiaTheme="minorEastAsia"/>
                                <w:b/>
                                <w:bCs/>
                                <w:color w:val="150045"/>
                                <w:sz w:val="24"/>
                                <w:szCs w:val="24"/>
                              </w:rPr>
                            </w:pPr>
                            <w:r w:rsidRPr="00576B7D">
                              <w:rPr>
                                <w:b/>
                                <w:bCs/>
                                <w:color w:val="150045"/>
                                <w:sz w:val="24"/>
                                <w:szCs w:val="24"/>
                              </w:rPr>
                              <w:t>improving the capacity and capability of front line domestic and family violence</w:t>
                            </w:r>
                            <w:r w:rsidRPr="00576B7D" w:rsidDel="00231DD1">
                              <w:rPr>
                                <w:b/>
                                <w:bCs/>
                                <w:color w:val="150045"/>
                                <w:sz w:val="24"/>
                                <w:szCs w:val="24"/>
                              </w:rPr>
                              <w:t xml:space="preserve"> </w:t>
                            </w:r>
                            <w:r w:rsidRPr="00576B7D">
                              <w:rPr>
                                <w:b/>
                                <w:bCs/>
                                <w:color w:val="150045"/>
                                <w:sz w:val="24"/>
                                <w:szCs w:val="24"/>
                              </w:rPr>
                              <w:t>services to meet increased demand.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55447" id="_x0000_t202" coordsize="21600,21600" o:spt="202" path="m,l,21600r21600,l21600,xe">
                <v:stroke joinstyle="miter"/>
                <v:path gradientshapeok="t" o:connecttype="rect"/>
              </v:shapetype>
              <v:shape id="Text Box 2" o:spid="_x0000_s1026" type="#_x0000_t202" style="position:absolute;margin-left:0;margin-top:1.75pt;width:451.1pt;height:19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" filled="f" stroked="f">
                <v:textbox>
                  <w:txbxContent>
                    <w:p w14:paraId="6E6EF041" w14:textId="77777777" w:rsidR="00AB05FB" w:rsidRPr="00576B7D" w:rsidRDefault="00AB05FB" w:rsidP="00785F44">
                      <w:pPr>
                        <w:spacing w:after="0" w:line="240" w:lineRule="auto"/>
                        <w:rPr>
                          <w:b/>
                          <w:bCs/>
                          <w:color w:val="150045"/>
                          <w:sz w:val="24"/>
                          <w:szCs w:val="24"/>
                        </w:rPr>
                      </w:pPr>
                      <w:r w:rsidRPr="00576B7D">
                        <w:rPr>
                          <w:b/>
                          <w:bCs/>
                          <w:color w:val="150045"/>
                          <w:sz w:val="24"/>
                          <w:szCs w:val="24"/>
                        </w:rPr>
                        <w:t xml:space="preserve">Safer Families initiatives will continue to focus on strategic and flexible responses that are inclusive of all Canberrans and ensure we can quickly and appropriately respond to emerging issues and new evidence of what works best. We will prioritise initiatives that focus on: </w:t>
                      </w:r>
                    </w:p>
                    <w:p w14:paraId="3103DD1C" w14:textId="77777777" w:rsidR="00AB05FB" w:rsidRPr="00576B7D" w:rsidRDefault="00AB05FB" w:rsidP="00654E5E">
                      <w:pPr>
                        <w:numPr>
                          <w:ilvl w:val="0"/>
                          <w:numId w:val="1"/>
                        </w:numPr>
                        <w:tabs>
                          <w:tab w:val="left" w:pos="357"/>
                        </w:tabs>
                        <w:spacing w:after="0" w:line="240" w:lineRule="auto"/>
                        <w:ind w:left="360"/>
                        <w:rPr>
                          <w:b/>
                          <w:bCs/>
                          <w:color w:val="150045"/>
                          <w:sz w:val="24"/>
                          <w:szCs w:val="24"/>
                        </w:rPr>
                      </w:pPr>
                      <w:r w:rsidRPr="00576B7D">
                        <w:rPr>
                          <w:b/>
                          <w:bCs/>
                          <w:color w:val="150045"/>
                          <w:sz w:val="24"/>
                          <w:szCs w:val="24"/>
                        </w:rPr>
                        <w:t>new and sustainable ways of working across government and community that provide support earlier, reduce barriers to access, join up and integrate services, respond to diverse needs, and hold perpetrators to account;</w:t>
                      </w:r>
                    </w:p>
                    <w:p w14:paraId="7C46396F" w14:textId="77777777" w:rsidR="00AB05FB" w:rsidRPr="00576B7D" w:rsidRDefault="00AB05FB" w:rsidP="00654E5E">
                      <w:pPr>
                        <w:numPr>
                          <w:ilvl w:val="0"/>
                          <w:numId w:val="1"/>
                        </w:numPr>
                        <w:tabs>
                          <w:tab w:val="left" w:pos="357"/>
                        </w:tabs>
                        <w:spacing w:after="0" w:line="240" w:lineRule="auto"/>
                        <w:ind w:left="360"/>
                        <w:rPr>
                          <w:b/>
                          <w:bCs/>
                          <w:color w:val="150045"/>
                          <w:sz w:val="24"/>
                          <w:szCs w:val="24"/>
                        </w:rPr>
                      </w:pPr>
                      <w:r w:rsidRPr="00576B7D">
                        <w:rPr>
                          <w:b/>
                          <w:bCs/>
                          <w:color w:val="150045"/>
                          <w:sz w:val="24"/>
                          <w:szCs w:val="24"/>
                        </w:rPr>
                        <w:t>building whole-of-government and multi-agency domestic and family violence</w:t>
                      </w:r>
                      <w:r w:rsidRPr="00576B7D" w:rsidDel="00231DD1">
                        <w:rPr>
                          <w:b/>
                          <w:bCs/>
                          <w:color w:val="150045"/>
                          <w:sz w:val="24"/>
                          <w:szCs w:val="24"/>
                        </w:rPr>
                        <w:t xml:space="preserve"> </w:t>
                      </w:r>
                      <w:r w:rsidRPr="00576B7D">
                        <w:rPr>
                          <w:b/>
                          <w:bCs/>
                          <w:color w:val="150045"/>
                          <w:sz w:val="24"/>
                          <w:szCs w:val="24"/>
                        </w:rPr>
                        <w:t>capability, coordination and supporting infrastructure, including through strategic leadership and governance; and</w:t>
                      </w:r>
                    </w:p>
                    <w:p w14:paraId="2D16555B" w14:textId="77777777" w:rsidR="00AB05FB" w:rsidRPr="00576B7D" w:rsidRDefault="00AB05FB" w:rsidP="00654E5E">
                      <w:pPr>
                        <w:numPr>
                          <w:ilvl w:val="0"/>
                          <w:numId w:val="1"/>
                        </w:numPr>
                        <w:tabs>
                          <w:tab w:val="left" w:pos="357"/>
                        </w:tabs>
                        <w:spacing w:after="0" w:line="240" w:lineRule="auto"/>
                        <w:ind w:left="360"/>
                        <w:rPr>
                          <w:rFonts w:eastAsiaTheme="minorEastAsia"/>
                          <w:b/>
                          <w:bCs/>
                          <w:color w:val="150045"/>
                          <w:sz w:val="24"/>
                          <w:szCs w:val="24"/>
                        </w:rPr>
                      </w:pPr>
                      <w:r w:rsidRPr="00576B7D">
                        <w:rPr>
                          <w:b/>
                          <w:bCs/>
                          <w:color w:val="150045"/>
                          <w:sz w:val="24"/>
                          <w:szCs w:val="24"/>
                        </w:rPr>
                        <w:t>improving the capacity and capability of front line domestic and family violence</w:t>
                      </w:r>
                      <w:r w:rsidRPr="00576B7D" w:rsidDel="00231DD1">
                        <w:rPr>
                          <w:b/>
                          <w:bCs/>
                          <w:color w:val="150045"/>
                          <w:sz w:val="24"/>
                          <w:szCs w:val="24"/>
                        </w:rPr>
                        <w:t xml:space="preserve"> </w:t>
                      </w:r>
                      <w:r w:rsidRPr="00576B7D">
                        <w:rPr>
                          <w:b/>
                          <w:bCs/>
                          <w:color w:val="150045"/>
                          <w:sz w:val="24"/>
                          <w:szCs w:val="24"/>
                        </w:rPr>
                        <w:t>services to meet increased demand.</w:t>
                      </w:r>
                    </w:p>
                  </w:txbxContent>
                </v:textbox>
                <w10:wrap type="square" anchorx="margin"/>
              </v:shape>
            </w:pict>
          </mc:Fallback>
        </mc:AlternateContent>
      </w:r>
      <w:r w:rsidRPr="7949A320">
        <w:rPr>
          <w:rFonts w:ascii="Calibri" w:eastAsiaTheme="majorEastAsia" w:hAnsi="Calibri" w:cstheme="majorBidi"/>
          <w:b/>
          <w:sz w:val="28"/>
          <w:szCs w:val="28"/>
        </w:rPr>
        <w:t>Achievements in 2020-21</w:t>
      </w:r>
    </w:p>
    <w:p w14:paraId="4E30A4F4" w14:textId="77777777" w:rsidR="00654E5E" w:rsidRPr="001E037D" w:rsidRDefault="00654E5E" w:rsidP="00785F44">
      <w:pPr>
        <w:spacing w:before="120" w:after="120" w:line="240" w:lineRule="auto"/>
        <w:rPr>
          <w:sz w:val="24"/>
          <w:szCs w:val="24"/>
        </w:rPr>
      </w:pPr>
      <w:r w:rsidRPr="7949A320">
        <w:rPr>
          <w:sz w:val="24"/>
          <w:szCs w:val="24"/>
        </w:rPr>
        <w:t xml:space="preserve">In 2020-21 the Government responded to the changing needs and demands arising as a result of COVID-19 including additional funding for domestic and family violence prevention services as part of Community Support Package funded in the </w:t>
      </w:r>
      <w:r w:rsidRPr="00C52D24">
        <w:rPr>
          <w:sz w:val="24"/>
          <w:szCs w:val="24"/>
        </w:rPr>
        <w:t>August 2020 Economic and Fiscal Update.</w:t>
      </w:r>
      <w:r w:rsidRPr="7949A320">
        <w:rPr>
          <w:sz w:val="24"/>
          <w:szCs w:val="24"/>
        </w:rPr>
        <w:t xml:space="preserve"> </w:t>
      </w:r>
    </w:p>
    <w:p w14:paraId="3B3515B5" w14:textId="77777777" w:rsidR="00654E5E" w:rsidRPr="001E037D" w:rsidRDefault="00654E5E" w:rsidP="00785F44">
      <w:pPr>
        <w:spacing w:before="120" w:after="120" w:line="240" w:lineRule="auto"/>
        <w:rPr>
          <w:sz w:val="24"/>
          <w:szCs w:val="24"/>
        </w:rPr>
      </w:pPr>
      <w:r w:rsidRPr="7949A320">
        <w:rPr>
          <w:sz w:val="24"/>
          <w:szCs w:val="24"/>
        </w:rPr>
        <w:t>The Government continued the delivery of domestic and family violence</w:t>
      </w:r>
      <w:r w:rsidRPr="7949A320" w:rsidDel="00501DA2">
        <w:rPr>
          <w:sz w:val="24"/>
          <w:szCs w:val="24"/>
        </w:rPr>
        <w:t xml:space="preserve"> </w:t>
      </w:r>
      <w:r w:rsidRPr="7949A320">
        <w:rPr>
          <w:sz w:val="24"/>
          <w:szCs w:val="24"/>
        </w:rPr>
        <w:t xml:space="preserve">training to all staff, including specialist training for frontline workers. This training has equipped staff with the skills they need to recognise and respond to clients and colleagues experiencing domestic and family violence. </w:t>
      </w:r>
    </w:p>
    <w:p w14:paraId="7E8E9E43" w14:textId="77777777" w:rsidR="00654E5E" w:rsidRPr="001E037D" w:rsidRDefault="00654E5E" w:rsidP="00785F44">
      <w:pPr>
        <w:spacing w:before="120" w:after="120" w:line="240" w:lineRule="auto"/>
        <w:rPr>
          <w:sz w:val="24"/>
        </w:rPr>
      </w:pPr>
      <w:r w:rsidRPr="001E037D">
        <w:rPr>
          <w:sz w:val="24"/>
        </w:rPr>
        <w:t>The Government continued to build whole</w:t>
      </w:r>
      <w:r>
        <w:rPr>
          <w:sz w:val="24"/>
        </w:rPr>
        <w:t>-</w:t>
      </w:r>
      <w:r w:rsidRPr="001E037D">
        <w:rPr>
          <w:sz w:val="24"/>
        </w:rPr>
        <w:t>of</w:t>
      </w:r>
      <w:r>
        <w:rPr>
          <w:sz w:val="24"/>
        </w:rPr>
        <w:t>-</w:t>
      </w:r>
      <w:r w:rsidRPr="001E037D">
        <w:rPr>
          <w:sz w:val="24"/>
        </w:rPr>
        <w:t xml:space="preserve">government and sector capacity through the joint development of a draft Domestic and Family Violence Risk Assessment and Management Framework. The framework is being tested in a number of sites and will drive more integrated and consistent understanding and responses to </w:t>
      </w:r>
      <w:r w:rsidRPr="7949A320">
        <w:rPr>
          <w:sz w:val="24"/>
          <w:szCs w:val="24"/>
        </w:rPr>
        <w:t>domestic and family violence</w:t>
      </w:r>
      <w:r w:rsidRPr="001E037D">
        <w:rPr>
          <w:sz w:val="24"/>
        </w:rPr>
        <w:t>.</w:t>
      </w:r>
    </w:p>
    <w:p w14:paraId="405A648E" w14:textId="77777777" w:rsidR="00654E5E" w:rsidRPr="001E037D" w:rsidRDefault="00654E5E" w:rsidP="00785F44">
      <w:pPr>
        <w:spacing w:before="120" w:after="120" w:line="240" w:lineRule="auto"/>
        <w:rPr>
          <w:sz w:val="24"/>
        </w:rPr>
      </w:pPr>
      <w:r w:rsidRPr="00B05D0E">
        <w:rPr>
          <w:sz w:val="24"/>
        </w:rPr>
        <w:t>The ACT continued the successful health justice partnerships pilot.</w:t>
      </w:r>
      <w:r w:rsidRPr="001E037D">
        <w:rPr>
          <w:sz w:val="24"/>
        </w:rPr>
        <w:t xml:space="preserve"> The partnerships provide women with free and confidential legal advice by embedding a lawyer in health and family settings. This facilitates coordinated health and legal assistance that can prevent a significant crisis.</w:t>
      </w:r>
    </w:p>
    <w:p w14:paraId="66D06AEF" w14:textId="77777777" w:rsidR="00654E5E" w:rsidRPr="00535030" w:rsidRDefault="00654E5E" w:rsidP="00785F44">
      <w:pPr>
        <w:spacing w:before="120" w:after="120" w:line="240" w:lineRule="auto"/>
        <w:rPr>
          <w:b/>
          <w:bCs/>
          <w:sz w:val="24"/>
          <w:szCs w:val="24"/>
        </w:rPr>
      </w:pPr>
      <w:r w:rsidRPr="00535030">
        <w:rPr>
          <w:b/>
          <w:bCs/>
          <w:sz w:val="24"/>
          <w:szCs w:val="24"/>
        </w:rPr>
        <w:t>The Safer Families package supported the Government to continue to work in partnership with Care Financial to develop a program to build the capacity of frontline workers to be able to recognise when someone is suffering from financial abuse and then respond appropriately. Training sessions began in August 2020 with frontline domestic and family violence</w:t>
      </w:r>
      <w:r w:rsidRPr="00535030" w:rsidDel="00873BD0">
        <w:rPr>
          <w:b/>
          <w:bCs/>
          <w:sz w:val="24"/>
          <w:szCs w:val="24"/>
        </w:rPr>
        <w:t xml:space="preserve"> </w:t>
      </w:r>
      <w:r w:rsidRPr="00535030">
        <w:rPr>
          <w:b/>
          <w:bCs/>
          <w:sz w:val="24"/>
          <w:szCs w:val="24"/>
        </w:rPr>
        <w:t xml:space="preserve">workers. </w:t>
      </w:r>
    </w:p>
    <w:p w14:paraId="64A33A60" w14:textId="77777777" w:rsidR="00654E5E" w:rsidRPr="001E037D" w:rsidRDefault="00654E5E" w:rsidP="00785F44">
      <w:pPr>
        <w:spacing w:before="120" w:after="120" w:line="240" w:lineRule="auto"/>
        <w:rPr>
          <w:sz w:val="24"/>
        </w:rPr>
      </w:pPr>
      <w:r w:rsidRPr="001E037D">
        <w:rPr>
          <w:sz w:val="24"/>
        </w:rPr>
        <w:t xml:space="preserve">We continued to build on our partnership with the ACT Children and Young People Commissioner to listen to young people’s experiences of </w:t>
      </w:r>
      <w:r w:rsidRPr="7949A320">
        <w:rPr>
          <w:sz w:val="24"/>
          <w:szCs w:val="24"/>
        </w:rPr>
        <w:t>domestic and family violence</w:t>
      </w:r>
      <w:r w:rsidRPr="001E037D">
        <w:rPr>
          <w:sz w:val="24"/>
        </w:rPr>
        <w:t xml:space="preserve">, including their interactions with services that are designed to support them. The </w:t>
      </w:r>
      <w:r w:rsidRPr="001E037D">
        <w:rPr>
          <w:i/>
          <w:iCs/>
          <w:sz w:val="24"/>
        </w:rPr>
        <w:t>Now You Have Heard Us, What Will You Do?</w:t>
      </w:r>
      <w:r w:rsidRPr="001E037D">
        <w:rPr>
          <w:sz w:val="24"/>
        </w:rPr>
        <w:t xml:space="preserve"> booklet was published to share young people’s experiences of </w:t>
      </w:r>
      <w:r w:rsidRPr="7949A320">
        <w:rPr>
          <w:sz w:val="24"/>
          <w:szCs w:val="24"/>
        </w:rPr>
        <w:t>domestic and family violence</w:t>
      </w:r>
      <w:r>
        <w:rPr>
          <w:sz w:val="24"/>
        </w:rPr>
        <w:t>.</w:t>
      </w:r>
      <w:r w:rsidRPr="001E037D">
        <w:rPr>
          <w:sz w:val="24"/>
        </w:rPr>
        <w:t xml:space="preserve"> These insights are driving further opportunities to co-design and implement solutions to address the problems young people told us about.</w:t>
      </w:r>
    </w:p>
    <w:p w14:paraId="65034FC3" w14:textId="77777777" w:rsidR="00654E5E" w:rsidRPr="001E037D" w:rsidRDefault="00654E5E" w:rsidP="00785F44">
      <w:pPr>
        <w:spacing w:before="120" w:after="120" w:line="240" w:lineRule="auto"/>
        <w:rPr>
          <w:sz w:val="24"/>
        </w:rPr>
      </w:pPr>
      <w:r w:rsidRPr="001E037D">
        <w:rPr>
          <w:sz w:val="24"/>
        </w:rPr>
        <w:t xml:space="preserve">In 2020-21, legislative amendments to establish a </w:t>
      </w:r>
      <w:r w:rsidRPr="00EB7ACE">
        <w:rPr>
          <w:i/>
          <w:iCs/>
          <w:sz w:val="24"/>
        </w:rPr>
        <w:t>D</w:t>
      </w:r>
      <w:r w:rsidRPr="00EB7ACE">
        <w:rPr>
          <w:i/>
          <w:iCs/>
          <w:sz w:val="24"/>
          <w:szCs w:val="24"/>
        </w:rPr>
        <w:t>omestic and Family Violence</w:t>
      </w:r>
      <w:r w:rsidRPr="00EB7ACE" w:rsidDel="00B47B9C">
        <w:rPr>
          <w:i/>
          <w:iCs/>
          <w:sz w:val="24"/>
        </w:rPr>
        <w:t xml:space="preserve"> </w:t>
      </w:r>
      <w:r w:rsidRPr="00EB7ACE">
        <w:rPr>
          <w:i/>
          <w:iCs/>
          <w:sz w:val="24"/>
        </w:rPr>
        <w:t>Death Review</w:t>
      </w:r>
      <w:r w:rsidRPr="001E037D">
        <w:rPr>
          <w:sz w:val="24"/>
        </w:rPr>
        <w:t xml:space="preserve"> were passed in the Legislative Assembly so that all domestic and family violence </w:t>
      </w:r>
      <w:r w:rsidRPr="001E037D">
        <w:rPr>
          <w:sz w:val="24"/>
        </w:rPr>
        <w:lastRenderedPageBreak/>
        <w:t xml:space="preserve">related deaths in the ACT can be reviewed and recommendations can be made to improve early intervention and system responses. This initiative will ensure a review of all </w:t>
      </w:r>
      <w:r w:rsidRPr="7949A320">
        <w:rPr>
          <w:sz w:val="24"/>
          <w:szCs w:val="24"/>
        </w:rPr>
        <w:t>domestic and family violence</w:t>
      </w:r>
      <w:r w:rsidRPr="001E037D">
        <w:rPr>
          <w:sz w:val="24"/>
        </w:rPr>
        <w:t xml:space="preserve">-related deaths in the ACT and provide recommendations to improve system-wide supports and services. </w:t>
      </w:r>
    </w:p>
    <w:p w14:paraId="4B17D257" w14:textId="77777777" w:rsidR="00654E5E" w:rsidRPr="001E037D" w:rsidRDefault="00654E5E" w:rsidP="00785F44">
      <w:pPr>
        <w:spacing w:before="120" w:after="120" w:line="240" w:lineRule="auto"/>
        <w:rPr>
          <w:sz w:val="24"/>
          <w:szCs w:val="24"/>
        </w:rPr>
      </w:pPr>
      <w:r w:rsidRPr="13436F6E">
        <w:rPr>
          <w:sz w:val="24"/>
          <w:szCs w:val="24"/>
        </w:rPr>
        <w:t xml:space="preserve">The Domestic Violence Prevention Council’s Aboriginal and Torres Strait Islander Reference Group was supported to consult with the community to </w:t>
      </w:r>
      <w:r w:rsidRPr="7949A320">
        <w:rPr>
          <w:sz w:val="24"/>
          <w:szCs w:val="24"/>
        </w:rPr>
        <w:t xml:space="preserve">update </w:t>
      </w:r>
      <w:r w:rsidRPr="13436F6E">
        <w:rPr>
          <w:sz w:val="24"/>
          <w:szCs w:val="24"/>
        </w:rPr>
        <w:t>the recommendations of the</w:t>
      </w:r>
      <w:r w:rsidRPr="13436F6E">
        <w:rPr>
          <w:i/>
          <w:sz w:val="24"/>
          <w:szCs w:val="24"/>
        </w:rPr>
        <w:t xml:space="preserve"> We Don’t Shoot Our Wounded</w:t>
      </w:r>
      <w:r w:rsidRPr="13436F6E">
        <w:rPr>
          <w:sz w:val="24"/>
          <w:szCs w:val="24"/>
        </w:rPr>
        <w:t xml:space="preserve"> </w:t>
      </w:r>
      <w:r w:rsidRPr="7949A320">
        <w:rPr>
          <w:sz w:val="24"/>
          <w:szCs w:val="24"/>
        </w:rPr>
        <w:t>report</w:t>
      </w:r>
      <w:r w:rsidRPr="13436F6E">
        <w:rPr>
          <w:sz w:val="24"/>
          <w:szCs w:val="24"/>
        </w:rPr>
        <w:t xml:space="preserve"> and to gain insights into </w:t>
      </w:r>
      <w:r w:rsidRPr="7949A320">
        <w:rPr>
          <w:sz w:val="24"/>
          <w:szCs w:val="24"/>
        </w:rPr>
        <w:t>domestic and family violence</w:t>
      </w:r>
      <w:r w:rsidRPr="13436F6E" w:rsidDel="003D5C41">
        <w:rPr>
          <w:sz w:val="24"/>
          <w:szCs w:val="24"/>
        </w:rPr>
        <w:t xml:space="preserve"> </w:t>
      </w:r>
      <w:r w:rsidRPr="13436F6E">
        <w:rPr>
          <w:sz w:val="24"/>
          <w:szCs w:val="24"/>
        </w:rPr>
        <w:t xml:space="preserve">in the Aboriginal and Torres Strait Islander community. </w:t>
      </w:r>
    </w:p>
    <w:p w14:paraId="6BED4006" w14:textId="77777777" w:rsidR="00654E5E" w:rsidRPr="001E037D" w:rsidRDefault="00654E5E" w:rsidP="00785F44">
      <w:pPr>
        <w:spacing w:before="120" w:after="120" w:line="240" w:lineRule="auto"/>
        <w:rPr>
          <w:sz w:val="24"/>
        </w:rPr>
      </w:pPr>
      <w:r w:rsidRPr="00612311">
        <w:rPr>
          <w:noProof/>
          <w:sz w:val="24"/>
        </w:rPr>
        <mc:AlternateContent>
          <mc:Choice Requires="wps">
            <w:drawing>
              <wp:anchor distT="45720" distB="45720" distL="114300" distR="114300" simplePos="0" relativeHeight="251660288" behindDoc="0" locked="0" layoutInCell="1" allowOverlap="1" wp14:anchorId="45CC3764" wp14:editId="4675CF98">
                <wp:simplePos x="0" y="0"/>
                <wp:positionH relativeFrom="margin">
                  <wp:align>right</wp:align>
                </wp:positionH>
                <wp:positionV relativeFrom="paragraph">
                  <wp:posOffset>46990</wp:posOffset>
                </wp:positionV>
                <wp:extent cx="3082290" cy="29197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2920181"/>
                        </a:xfrm>
                        <a:prstGeom prst="rect">
                          <a:avLst/>
                        </a:prstGeom>
                        <a:noFill/>
                        <a:ln w="9525">
                          <a:noFill/>
                          <a:miter lim="800000"/>
                          <a:headEnd/>
                          <a:tailEnd/>
                        </a:ln>
                      </wps:spPr>
                      <wps:txbx>
                        <w:txbxContent>
                          <w:p w14:paraId="2DC2B1C9" w14:textId="77777777" w:rsidR="00AB05FB" w:rsidRPr="00576B7D" w:rsidRDefault="00AB05FB" w:rsidP="00785F44">
                            <w:pPr>
                              <w:spacing w:after="0" w:line="240" w:lineRule="auto"/>
                              <w:rPr>
                                <w:b/>
                                <w:bCs/>
                                <w:color w:val="150045"/>
                                <w:sz w:val="24"/>
                                <w:szCs w:val="24"/>
                              </w:rPr>
                            </w:pPr>
                            <w:r w:rsidRPr="00576B7D">
                              <w:rPr>
                                <w:b/>
                                <w:bCs/>
                                <w:color w:val="150045"/>
                                <w:sz w:val="24"/>
                                <w:szCs w:val="24"/>
                              </w:rPr>
                              <w:t>In recognition of the need for holistic and integrated responses to domestic and family violence, the ACT introduced the Family Violence Safety Action Pilot (FVSAP). The FVSAP introduces a collaborative model of information sharing that focuses on early identification and assessment of risk to women and families even where they may not have a judicial or police response. The FVSAP Pilot also focuses on the provision of effective management of identified risk and supports through a collaborative response for the whole family, including the perpetrator, and intensive case management and case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C3764" id="_x0000_s1027" type="#_x0000_t202" style="position:absolute;margin-left:191.5pt;margin-top:3.7pt;width:242.7pt;height:229.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" filled="f" stroked="f">
                <v:textbox>
                  <w:txbxContent>
                    <w:p w14:paraId="2DC2B1C9" w14:textId="77777777" w:rsidR="00AB05FB" w:rsidRPr="00576B7D" w:rsidRDefault="00AB05FB" w:rsidP="00785F44">
                      <w:pPr>
                        <w:spacing w:after="0" w:line="240" w:lineRule="auto"/>
                        <w:rPr>
                          <w:b/>
                          <w:bCs/>
                          <w:color w:val="150045"/>
                          <w:sz w:val="24"/>
                          <w:szCs w:val="24"/>
                        </w:rPr>
                      </w:pPr>
                      <w:r w:rsidRPr="00576B7D">
                        <w:rPr>
                          <w:b/>
                          <w:bCs/>
                          <w:color w:val="150045"/>
                          <w:sz w:val="24"/>
                          <w:szCs w:val="24"/>
                        </w:rPr>
                        <w:t>In recognition of the need for holistic and integrated responses to domestic and family violence, the ACT introduced the Family Violence Safety Action Pilot (FVSAP). The FVSAP introduces a collaborative model of information sharing that focuses on early identification and assessment of risk to women and families even where they may not have a judicial or police response. The FVSAP Pilot also focuses on the provision of effective management of identified risk and supports through a collaborative response for the whole family, including the perpetrator, and intensive case management and case coordination.</w:t>
                      </w:r>
                    </w:p>
                  </w:txbxContent>
                </v:textbox>
                <w10:wrap type="square" anchorx="margin"/>
              </v:shape>
            </w:pict>
          </mc:Fallback>
        </mc:AlternateContent>
      </w:r>
      <w:r w:rsidRPr="001E037D">
        <w:rPr>
          <w:sz w:val="24"/>
        </w:rPr>
        <w:t>Throughout 2020-21, Safer Families funding supported an ongoing focus on perpetrator accountability. This included the development of practice standards for Men’s Behaviour Change Programs in the ACT. The practice standards work to ensure programs are focussed on the safety of women and children, offer men who use violence opportunities to change their abusive behaviour while holding them to account, and contribute to building an evidence base about best practice programs for men who use violence in their relationships.</w:t>
      </w:r>
    </w:p>
    <w:p w14:paraId="07BE2004" w14:textId="77777777" w:rsidR="00654E5E" w:rsidRDefault="00654E5E" w:rsidP="00785F44">
      <w:pPr>
        <w:spacing w:before="120" w:after="120" w:line="240" w:lineRule="auto"/>
        <w:rPr>
          <w:sz w:val="24"/>
        </w:rPr>
      </w:pPr>
      <w:r w:rsidRPr="001E037D">
        <w:rPr>
          <w:sz w:val="24"/>
        </w:rPr>
        <w:t xml:space="preserve">Another key aspect of the ACT response to perpetrators of </w:t>
      </w:r>
      <w:r w:rsidRPr="7949A320">
        <w:rPr>
          <w:sz w:val="24"/>
          <w:szCs w:val="24"/>
        </w:rPr>
        <w:t>domestic and family violence</w:t>
      </w:r>
      <w:r w:rsidRPr="001E037D" w:rsidDel="00B22BAC">
        <w:rPr>
          <w:sz w:val="24"/>
        </w:rPr>
        <w:t xml:space="preserve"> </w:t>
      </w:r>
      <w:r w:rsidRPr="001E037D">
        <w:rPr>
          <w:sz w:val="24"/>
        </w:rPr>
        <w:t>is the Room4Change program provided by the Domestic Violence Crisis Service. Room4Change is one of Australia’s only residential men’s behaviour change programs and supports partners and children to stay safely in the home while men are engaged in the six-month program. The preliminary evaluation of Room4Change showed positive outcomes for participants and their families.</w:t>
      </w:r>
    </w:p>
    <w:p w14:paraId="23DEFA6B" w14:textId="77777777" w:rsidR="00654E5E" w:rsidRPr="001E037D" w:rsidRDefault="00654E5E" w:rsidP="00785F44">
      <w:pPr>
        <w:spacing w:before="120" w:after="120" w:line="240" w:lineRule="auto"/>
        <w:rPr>
          <w:sz w:val="24"/>
        </w:rPr>
      </w:pPr>
      <w:r w:rsidRPr="001E037D">
        <w:rPr>
          <w:sz w:val="24"/>
        </w:rPr>
        <w:t xml:space="preserve">At a national level, the ACT Government continued its shared commitment with other governments across Australia to implement the </w:t>
      </w:r>
      <w:r w:rsidRPr="001E037D">
        <w:rPr>
          <w:i/>
          <w:iCs/>
          <w:sz w:val="24"/>
        </w:rPr>
        <w:t>National Plan to Reduce Violence Against Women and Children 2010–2022</w:t>
      </w:r>
      <w:r w:rsidRPr="001E037D">
        <w:rPr>
          <w:sz w:val="24"/>
        </w:rPr>
        <w:t xml:space="preserve"> (the National Plan). A national implementation plan was published online in November 2020. </w:t>
      </w:r>
    </w:p>
    <w:p w14:paraId="3C39A0DB" w14:textId="77777777" w:rsidR="00654E5E" w:rsidRPr="001E037D" w:rsidRDefault="00654E5E" w:rsidP="00785F44">
      <w:pPr>
        <w:spacing w:line="240" w:lineRule="auto"/>
        <w:rPr>
          <w:rFonts w:ascii="Calibri" w:eastAsia="Calibri" w:hAnsi="Calibri" w:cs="Calibri"/>
          <w:sz w:val="24"/>
          <w:szCs w:val="24"/>
          <w:lang w:val="en-US"/>
        </w:rPr>
      </w:pPr>
      <w:r w:rsidRPr="001E037D">
        <w:rPr>
          <w:rFonts w:ascii="Calibri" w:eastAsia="Calibri" w:hAnsi="Calibri" w:cs="Calibri"/>
          <w:sz w:val="24"/>
          <w:szCs w:val="24"/>
          <w:lang w:val="en-US"/>
        </w:rPr>
        <w:t xml:space="preserve">In April 2021 the Government made a clear commitment to taking action to prevent and respond to sexual assault in Canberra. This work is being progressed through a Steering Committee and three working groups focused on prevention, response, and law reform. All of the work is informed by the Aboriginal and Torres Strait Islander consultation committee as well as engagement through various means with culturally and linguistically diverse communities and other diverse groups. The work is intended to be inclusive and includes a focus on worker safety. </w:t>
      </w:r>
    </w:p>
    <w:p w14:paraId="09DCBE10" w14:textId="77777777" w:rsidR="00654E5E" w:rsidRPr="001E037D" w:rsidRDefault="00654E5E" w:rsidP="00785F44">
      <w:pPr>
        <w:keepNext/>
        <w:spacing w:before="240" w:after="200" w:line="240" w:lineRule="auto"/>
        <w:rPr>
          <w:b/>
          <w:iCs/>
          <w:color w:val="472D8C"/>
          <w:szCs w:val="18"/>
        </w:rPr>
      </w:pPr>
      <w:r w:rsidRPr="001E037D">
        <w:rPr>
          <w:rFonts w:eastAsia="Calibri"/>
          <w:b/>
          <w:iCs/>
          <w:color w:val="472D8C"/>
          <w:szCs w:val="18"/>
        </w:rPr>
        <w:lastRenderedPageBreak/>
        <w:t xml:space="preserve">Table H.1: Funding and expenditure of Safer </w:t>
      </w:r>
      <w:r w:rsidRPr="006B1948">
        <w:rPr>
          <w:rFonts w:eastAsia="Calibri"/>
          <w:b/>
          <w:iCs/>
          <w:color w:val="472D8C"/>
          <w:szCs w:val="18"/>
        </w:rPr>
        <w:t>Families</w:t>
      </w:r>
      <w:r w:rsidRPr="001E037D">
        <w:rPr>
          <w:rFonts w:eastAsia="Calibri"/>
          <w:b/>
          <w:iCs/>
          <w:color w:val="472D8C"/>
          <w:szCs w:val="18"/>
        </w:rPr>
        <w:t xml:space="preserve"> initiatives in 2020-21</w:t>
      </w:r>
    </w:p>
    <w:tbl>
      <w:tblPr>
        <w:tblW w:w="9102" w:type="dxa"/>
        <w:tblLayout w:type="fixed"/>
        <w:tblCellMar>
          <w:left w:w="30" w:type="dxa"/>
          <w:right w:w="30" w:type="dxa"/>
        </w:tblCellMar>
        <w:tblLook w:val="0000" w:firstRow="0" w:lastRow="0" w:firstColumn="0" w:lastColumn="0" w:noHBand="0" w:noVBand="0"/>
      </w:tblPr>
      <w:tblGrid>
        <w:gridCol w:w="6706"/>
        <w:gridCol w:w="1262"/>
        <w:gridCol w:w="1134"/>
      </w:tblGrid>
      <w:tr w:rsidR="00654E5E" w:rsidRPr="001E037D" w14:paraId="55C93A77" w14:textId="77777777" w:rsidTr="00785F44">
        <w:trPr>
          <w:cantSplit/>
          <w:trHeight w:val="227"/>
          <w:tblHeader/>
        </w:trPr>
        <w:tc>
          <w:tcPr>
            <w:tcW w:w="6706" w:type="dxa"/>
            <w:tcBorders>
              <w:top w:val="single" w:sz="4" w:space="0" w:color="auto"/>
              <w:left w:val="nil"/>
              <w:bottom w:val="single" w:sz="4" w:space="0" w:color="auto"/>
              <w:right w:val="nil"/>
            </w:tcBorders>
            <w:shd w:val="clear" w:color="auto" w:fill="472D8C"/>
            <w:vAlign w:val="center"/>
          </w:tcPr>
          <w:p w14:paraId="747430BE" w14:textId="77777777" w:rsidR="00654E5E" w:rsidRPr="001E037D" w:rsidRDefault="00654E5E" w:rsidP="00785F44">
            <w:pPr>
              <w:keepNext/>
              <w:spacing w:after="0"/>
              <w:ind w:left="227" w:hanging="227"/>
              <w:rPr>
                <w:b/>
                <w:bCs/>
                <w:color w:val="FFFFFF" w:themeColor="background1"/>
                <w:sz w:val="20"/>
                <w:lang w:eastAsia="en-AU"/>
              </w:rPr>
            </w:pPr>
            <w:r w:rsidRPr="001E037D">
              <w:rPr>
                <w:b/>
                <w:bCs/>
                <w:color w:val="FFFFFF" w:themeColor="background1"/>
                <w:sz w:val="20"/>
                <w:lang w:eastAsia="en-AU"/>
              </w:rPr>
              <w:t>Safer Families initiatives</w:t>
            </w:r>
          </w:p>
        </w:tc>
        <w:tc>
          <w:tcPr>
            <w:tcW w:w="1262" w:type="dxa"/>
            <w:tcBorders>
              <w:top w:val="single" w:sz="4" w:space="0" w:color="auto"/>
              <w:left w:val="nil"/>
              <w:bottom w:val="single" w:sz="4" w:space="0" w:color="auto"/>
              <w:right w:val="nil"/>
            </w:tcBorders>
            <w:shd w:val="clear" w:color="auto" w:fill="472D8C"/>
          </w:tcPr>
          <w:p w14:paraId="287EED6C" w14:textId="77777777" w:rsidR="00654E5E" w:rsidRPr="001E037D" w:rsidRDefault="00654E5E" w:rsidP="00785F44">
            <w:pPr>
              <w:keepNext/>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2020-21</w:t>
            </w:r>
          </w:p>
          <w:p w14:paraId="28672094" w14:textId="77777777" w:rsidR="00654E5E" w:rsidRPr="001E037D" w:rsidRDefault="00654E5E" w:rsidP="00785F44">
            <w:pPr>
              <w:keepNext/>
              <w:spacing w:after="0" w:line="240" w:lineRule="auto"/>
              <w:jc w:val="right"/>
              <w:rPr>
                <w:rFonts w:ascii="Calibri" w:eastAsia="Times New Roman" w:hAnsi="Calibri" w:cs="Times New Roman"/>
                <w:b/>
                <w:color w:val="FFFFFF" w:themeColor="background1"/>
                <w:sz w:val="20"/>
                <w:szCs w:val="20"/>
                <w:lang w:eastAsia="en-AU"/>
              </w:rPr>
            </w:pPr>
            <w:r>
              <w:rPr>
                <w:rFonts w:ascii="Calibri" w:eastAsia="Times New Roman" w:hAnsi="Calibri" w:cs="Times New Roman"/>
                <w:b/>
                <w:color w:val="FFFFFF" w:themeColor="background1"/>
                <w:sz w:val="20"/>
                <w:szCs w:val="20"/>
                <w:lang w:eastAsia="en-AU"/>
              </w:rPr>
              <w:t>Budget</w:t>
            </w:r>
          </w:p>
          <w:p w14:paraId="1759872A" w14:textId="77777777" w:rsidR="00654E5E" w:rsidRPr="001E037D" w:rsidRDefault="00654E5E" w:rsidP="00785F44">
            <w:pPr>
              <w:keepNext/>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w:t>
            </w:r>
            <w:r>
              <w:rPr>
                <w:rFonts w:ascii="Calibri" w:eastAsia="Times New Roman" w:hAnsi="Calibri" w:cs="Times New Roman"/>
                <w:b/>
                <w:color w:val="FFFFFF" w:themeColor="background1"/>
                <w:sz w:val="20"/>
                <w:szCs w:val="20"/>
                <w:lang w:eastAsia="en-AU"/>
              </w:rPr>
              <w:t>0</w:t>
            </w:r>
            <w:r w:rsidRPr="001E037D">
              <w:rPr>
                <w:rFonts w:ascii="Calibri" w:eastAsia="Times New Roman" w:hAnsi="Calibri" w:cs="Times New Roman"/>
                <w:b/>
                <w:color w:val="FFFFFF" w:themeColor="background1"/>
                <w:sz w:val="20"/>
                <w:szCs w:val="20"/>
                <w:lang w:eastAsia="en-AU"/>
              </w:rPr>
              <w:t>00</w:t>
            </w:r>
          </w:p>
        </w:tc>
        <w:tc>
          <w:tcPr>
            <w:tcW w:w="1134" w:type="dxa"/>
            <w:tcBorders>
              <w:top w:val="single" w:sz="4" w:space="0" w:color="auto"/>
              <w:left w:val="nil"/>
              <w:bottom w:val="single" w:sz="4" w:space="0" w:color="auto"/>
              <w:right w:val="nil"/>
            </w:tcBorders>
            <w:shd w:val="clear" w:color="auto" w:fill="472D8C"/>
          </w:tcPr>
          <w:p w14:paraId="60A30EFA" w14:textId="77777777" w:rsidR="00654E5E" w:rsidRPr="001E037D" w:rsidRDefault="00654E5E" w:rsidP="00785F44">
            <w:pPr>
              <w:keepNext/>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2020-21</w:t>
            </w:r>
          </w:p>
          <w:p w14:paraId="6A8279EA" w14:textId="77777777" w:rsidR="00654E5E" w:rsidRPr="001E037D" w:rsidRDefault="00654E5E" w:rsidP="00785F44">
            <w:pPr>
              <w:keepNext/>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7949A320">
              <w:rPr>
                <w:rFonts w:ascii="Calibri" w:eastAsia="Times New Roman" w:hAnsi="Calibri" w:cs="Times New Roman"/>
                <w:b/>
                <w:bCs/>
                <w:color w:val="FFFFFF" w:themeColor="background1"/>
                <w:sz w:val="20"/>
                <w:szCs w:val="20"/>
                <w:lang w:eastAsia="en-AU"/>
              </w:rPr>
              <w:t>Actual</w:t>
            </w:r>
          </w:p>
          <w:p w14:paraId="2A8BF1D5" w14:textId="77777777" w:rsidR="00654E5E" w:rsidRPr="001E037D" w:rsidRDefault="00654E5E" w:rsidP="00785F44">
            <w:pPr>
              <w:keepNext/>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r>
      <w:tr w:rsidR="00654E5E" w:rsidRPr="001E037D" w14:paraId="179A4673" w14:textId="77777777" w:rsidTr="00785F44">
        <w:trPr>
          <w:cantSplit/>
          <w:trHeight w:val="227"/>
        </w:trPr>
        <w:tc>
          <w:tcPr>
            <w:tcW w:w="6706" w:type="dxa"/>
            <w:tcBorders>
              <w:top w:val="single" w:sz="4" w:space="0" w:color="auto"/>
            </w:tcBorders>
            <w:shd w:val="clear" w:color="auto" w:fill="auto"/>
            <w:vAlign w:val="center"/>
          </w:tcPr>
          <w:p w14:paraId="23D4C904"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More support for families and inclusion – Delivering the Family Safety Hub</w:t>
            </w:r>
          </w:p>
        </w:tc>
        <w:tc>
          <w:tcPr>
            <w:tcW w:w="1262" w:type="dxa"/>
            <w:tcBorders>
              <w:top w:val="single" w:sz="4" w:space="0" w:color="auto"/>
            </w:tcBorders>
            <w:shd w:val="clear" w:color="auto" w:fill="auto"/>
          </w:tcPr>
          <w:p w14:paraId="35305381"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1,333</w:t>
            </w:r>
          </w:p>
        </w:tc>
        <w:tc>
          <w:tcPr>
            <w:tcW w:w="1134" w:type="dxa"/>
            <w:tcBorders>
              <w:top w:val="single" w:sz="4" w:space="0" w:color="auto"/>
            </w:tcBorders>
            <w:shd w:val="clear" w:color="auto" w:fill="auto"/>
          </w:tcPr>
          <w:p w14:paraId="1A00466B"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1,333</w:t>
            </w:r>
          </w:p>
        </w:tc>
      </w:tr>
      <w:tr w:rsidR="00654E5E" w:rsidRPr="001E037D" w14:paraId="71762BBB" w14:textId="77777777" w:rsidTr="00785F44">
        <w:trPr>
          <w:cantSplit/>
          <w:trHeight w:val="227"/>
        </w:trPr>
        <w:tc>
          <w:tcPr>
            <w:tcW w:w="6706" w:type="dxa"/>
            <w:shd w:val="clear" w:color="auto" w:fill="auto"/>
            <w:vAlign w:val="center"/>
          </w:tcPr>
          <w:p w14:paraId="148D5982"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Additional resources for the Canberra Rape Crisis Centre</w:t>
            </w:r>
          </w:p>
        </w:tc>
        <w:tc>
          <w:tcPr>
            <w:tcW w:w="1262" w:type="dxa"/>
            <w:shd w:val="clear" w:color="auto" w:fill="auto"/>
          </w:tcPr>
          <w:p w14:paraId="0DAF9EC1"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111</w:t>
            </w:r>
          </w:p>
        </w:tc>
        <w:tc>
          <w:tcPr>
            <w:tcW w:w="1134" w:type="dxa"/>
            <w:shd w:val="clear" w:color="auto" w:fill="auto"/>
          </w:tcPr>
          <w:p w14:paraId="256A1361"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111</w:t>
            </w:r>
          </w:p>
        </w:tc>
      </w:tr>
      <w:tr w:rsidR="00654E5E" w:rsidRPr="001E037D" w14:paraId="78068678" w14:textId="77777777" w:rsidTr="00785F44">
        <w:trPr>
          <w:cantSplit/>
          <w:trHeight w:val="227"/>
        </w:trPr>
        <w:tc>
          <w:tcPr>
            <w:tcW w:w="6706" w:type="dxa"/>
            <w:shd w:val="clear" w:color="auto" w:fill="auto"/>
            <w:vAlign w:val="center"/>
          </w:tcPr>
          <w:p w14:paraId="5D788750"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Additional resources for the Domestic Violence Crisis Service</w:t>
            </w:r>
          </w:p>
        </w:tc>
        <w:tc>
          <w:tcPr>
            <w:tcW w:w="1262" w:type="dxa"/>
            <w:shd w:val="clear" w:color="auto" w:fill="auto"/>
          </w:tcPr>
          <w:p w14:paraId="73EBF4EE"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220</w:t>
            </w:r>
          </w:p>
        </w:tc>
        <w:tc>
          <w:tcPr>
            <w:tcW w:w="1134" w:type="dxa"/>
            <w:shd w:val="clear" w:color="auto" w:fill="auto"/>
          </w:tcPr>
          <w:p w14:paraId="3E204BBE"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220</w:t>
            </w:r>
          </w:p>
        </w:tc>
      </w:tr>
      <w:tr w:rsidR="00654E5E" w:rsidRPr="001E037D" w14:paraId="118E42D2" w14:textId="77777777" w:rsidTr="00785F44">
        <w:trPr>
          <w:cantSplit/>
          <w:trHeight w:val="227"/>
        </w:trPr>
        <w:tc>
          <w:tcPr>
            <w:tcW w:w="6706" w:type="dxa"/>
            <w:shd w:val="clear" w:color="auto" w:fill="auto"/>
            <w:vAlign w:val="center"/>
          </w:tcPr>
          <w:p w14:paraId="2D61B09E"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Early assistance for families at risk of violence (Room</w:t>
            </w:r>
            <w:r>
              <w:rPr>
                <w:rFonts w:ascii="Calibri" w:eastAsia="Times New Roman" w:hAnsi="Calibri" w:cs="Times New Roman"/>
                <w:bCs/>
                <w:sz w:val="20"/>
                <w:szCs w:val="20"/>
                <w:lang w:eastAsia="en-AU"/>
              </w:rPr>
              <w:t>4</w:t>
            </w:r>
            <w:r w:rsidRPr="001E037D">
              <w:rPr>
                <w:rFonts w:ascii="Calibri" w:eastAsia="Times New Roman" w:hAnsi="Calibri" w:cs="Times New Roman"/>
                <w:bCs/>
                <w:sz w:val="20"/>
                <w:szCs w:val="20"/>
                <w:lang w:eastAsia="en-AU"/>
              </w:rPr>
              <w:t>Change)</w:t>
            </w:r>
          </w:p>
        </w:tc>
        <w:tc>
          <w:tcPr>
            <w:tcW w:w="1262" w:type="dxa"/>
            <w:shd w:val="clear" w:color="auto" w:fill="auto"/>
          </w:tcPr>
          <w:p w14:paraId="17C15D2A"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1,209</w:t>
            </w:r>
          </w:p>
        </w:tc>
        <w:tc>
          <w:tcPr>
            <w:tcW w:w="1134" w:type="dxa"/>
            <w:shd w:val="clear" w:color="auto" w:fill="auto"/>
          </w:tcPr>
          <w:p w14:paraId="701FDDD6"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1,209</w:t>
            </w:r>
          </w:p>
        </w:tc>
      </w:tr>
      <w:tr w:rsidR="00654E5E" w:rsidRPr="001E037D" w14:paraId="706157A7" w14:textId="77777777" w:rsidTr="00785F44">
        <w:trPr>
          <w:cantSplit/>
          <w:trHeight w:val="227"/>
        </w:trPr>
        <w:tc>
          <w:tcPr>
            <w:tcW w:w="6706" w:type="dxa"/>
            <w:shd w:val="clear" w:color="auto" w:fill="auto"/>
            <w:vAlign w:val="center"/>
          </w:tcPr>
          <w:p w14:paraId="19A6314E"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Enhancing access to justice for non</w:t>
            </w:r>
            <w:r w:rsidRPr="001E037D">
              <w:rPr>
                <w:rFonts w:ascii="Calibri" w:eastAsia="Times New Roman" w:hAnsi="Calibri" w:cs="Times New Roman"/>
                <w:bCs/>
                <w:sz w:val="20"/>
                <w:szCs w:val="20"/>
                <w:lang w:eastAsia="en-AU"/>
              </w:rPr>
              <w:softHyphen/>
              <w:t>-English speakers</w:t>
            </w:r>
          </w:p>
        </w:tc>
        <w:tc>
          <w:tcPr>
            <w:tcW w:w="1262" w:type="dxa"/>
            <w:shd w:val="clear" w:color="auto" w:fill="auto"/>
          </w:tcPr>
          <w:p w14:paraId="17BE4DF6"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100</w:t>
            </w:r>
          </w:p>
        </w:tc>
        <w:tc>
          <w:tcPr>
            <w:tcW w:w="1134" w:type="dxa"/>
            <w:shd w:val="clear" w:color="auto" w:fill="auto"/>
          </w:tcPr>
          <w:p w14:paraId="7AC19AEC"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100</w:t>
            </w:r>
          </w:p>
        </w:tc>
      </w:tr>
      <w:tr w:rsidR="00654E5E" w:rsidRPr="001E037D" w14:paraId="1C85D2F1" w14:textId="77777777" w:rsidTr="00785F44">
        <w:trPr>
          <w:cantSplit/>
          <w:trHeight w:val="227"/>
        </w:trPr>
        <w:tc>
          <w:tcPr>
            <w:tcW w:w="6706" w:type="dxa"/>
            <w:shd w:val="clear" w:color="auto" w:fill="auto"/>
            <w:vAlign w:val="center"/>
          </w:tcPr>
          <w:p w14:paraId="616C8EB0"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Safer families team</w:t>
            </w:r>
          </w:p>
        </w:tc>
        <w:tc>
          <w:tcPr>
            <w:tcW w:w="1262" w:type="dxa"/>
            <w:shd w:val="clear" w:color="auto" w:fill="auto"/>
          </w:tcPr>
          <w:p w14:paraId="1CAADADE"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765</w:t>
            </w:r>
          </w:p>
        </w:tc>
        <w:tc>
          <w:tcPr>
            <w:tcW w:w="1134" w:type="dxa"/>
            <w:shd w:val="clear" w:color="auto" w:fill="auto"/>
          </w:tcPr>
          <w:p w14:paraId="619B43D3"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765</w:t>
            </w:r>
          </w:p>
        </w:tc>
      </w:tr>
      <w:tr w:rsidR="00654E5E" w:rsidRPr="001E037D" w14:paraId="6FB51989" w14:textId="77777777" w:rsidTr="00785F44">
        <w:trPr>
          <w:cantSplit/>
          <w:trHeight w:val="227"/>
        </w:trPr>
        <w:tc>
          <w:tcPr>
            <w:tcW w:w="6706" w:type="dxa"/>
            <w:shd w:val="clear" w:color="auto" w:fill="auto"/>
            <w:vAlign w:val="center"/>
          </w:tcPr>
          <w:p w14:paraId="54FA207F"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Reducing the risk of deaths from family violence</w:t>
            </w:r>
          </w:p>
        </w:tc>
        <w:tc>
          <w:tcPr>
            <w:tcW w:w="1262" w:type="dxa"/>
            <w:shd w:val="clear" w:color="auto" w:fill="auto"/>
          </w:tcPr>
          <w:p w14:paraId="1ABD83C7"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236</w:t>
            </w:r>
          </w:p>
        </w:tc>
        <w:tc>
          <w:tcPr>
            <w:tcW w:w="1134" w:type="dxa"/>
            <w:shd w:val="clear" w:color="auto" w:fill="auto"/>
          </w:tcPr>
          <w:p w14:paraId="73752263"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236</w:t>
            </w:r>
          </w:p>
        </w:tc>
      </w:tr>
      <w:tr w:rsidR="00654E5E" w:rsidRPr="001E037D" w14:paraId="7C569775" w14:textId="77777777" w:rsidTr="00785F44">
        <w:trPr>
          <w:cantSplit/>
          <w:trHeight w:val="227"/>
        </w:trPr>
        <w:tc>
          <w:tcPr>
            <w:tcW w:w="6706" w:type="dxa"/>
            <w:shd w:val="clear" w:color="auto" w:fill="auto"/>
            <w:vAlign w:val="center"/>
          </w:tcPr>
          <w:p w14:paraId="11A19A6D"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Delivering family-centred responses for Aboriginal and Torres Strait Islander families impacted by family violence</w:t>
            </w:r>
            <w:r w:rsidRPr="001E037D">
              <w:rPr>
                <w:rFonts w:ascii="Calibri" w:eastAsia="Times New Roman" w:hAnsi="Calibri" w:cs="Times New Roman"/>
                <w:bCs/>
                <w:sz w:val="20"/>
                <w:szCs w:val="20"/>
                <w:vertAlign w:val="superscript"/>
                <w:lang w:eastAsia="en-AU"/>
              </w:rPr>
              <w:t>1</w:t>
            </w:r>
          </w:p>
        </w:tc>
        <w:tc>
          <w:tcPr>
            <w:tcW w:w="1262" w:type="dxa"/>
            <w:shd w:val="clear" w:color="auto" w:fill="auto"/>
          </w:tcPr>
          <w:p w14:paraId="7FAE1299"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358</w:t>
            </w:r>
          </w:p>
        </w:tc>
        <w:tc>
          <w:tcPr>
            <w:tcW w:w="1134" w:type="dxa"/>
            <w:shd w:val="clear" w:color="auto" w:fill="auto"/>
          </w:tcPr>
          <w:p w14:paraId="540C70F7"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 xml:space="preserve"> 160</w:t>
            </w:r>
          </w:p>
        </w:tc>
      </w:tr>
      <w:tr w:rsidR="00654E5E" w:rsidRPr="001E037D" w14:paraId="68AF8161" w14:textId="77777777" w:rsidTr="00785F44">
        <w:trPr>
          <w:cantSplit/>
          <w:trHeight w:val="227"/>
        </w:trPr>
        <w:tc>
          <w:tcPr>
            <w:tcW w:w="6706" w:type="dxa"/>
            <w:shd w:val="clear" w:color="auto" w:fill="auto"/>
            <w:vAlign w:val="center"/>
          </w:tcPr>
          <w:p w14:paraId="20FD5AA4"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Support for women and children to leave violence</w:t>
            </w:r>
          </w:p>
        </w:tc>
        <w:tc>
          <w:tcPr>
            <w:tcW w:w="1262" w:type="dxa"/>
            <w:shd w:val="clear" w:color="auto" w:fill="auto"/>
          </w:tcPr>
          <w:p w14:paraId="328B183A"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103</w:t>
            </w:r>
          </w:p>
        </w:tc>
        <w:tc>
          <w:tcPr>
            <w:tcW w:w="1134" w:type="dxa"/>
            <w:shd w:val="clear" w:color="auto" w:fill="auto"/>
          </w:tcPr>
          <w:p w14:paraId="1D2D29F6"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103</w:t>
            </w:r>
          </w:p>
        </w:tc>
      </w:tr>
      <w:tr w:rsidR="00654E5E" w:rsidRPr="001E037D" w14:paraId="13BEFADF" w14:textId="77777777" w:rsidTr="00785F44">
        <w:trPr>
          <w:cantSplit/>
          <w:trHeight w:val="227"/>
        </w:trPr>
        <w:tc>
          <w:tcPr>
            <w:tcW w:w="6706" w:type="dxa"/>
            <w:shd w:val="clear" w:color="auto" w:fill="auto"/>
            <w:vAlign w:val="center"/>
          </w:tcPr>
          <w:p w14:paraId="30035D3A"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Training in domestic violence for frontline workers</w:t>
            </w:r>
            <w:r w:rsidRPr="001E037D">
              <w:rPr>
                <w:rFonts w:ascii="Calibri" w:eastAsia="Times New Roman" w:hAnsi="Calibri" w:cs="Times New Roman"/>
                <w:bCs/>
                <w:sz w:val="20"/>
                <w:szCs w:val="20"/>
                <w:vertAlign w:val="superscript"/>
                <w:lang w:eastAsia="en-AU"/>
              </w:rPr>
              <w:t>2</w:t>
            </w:r>
          </w:p>
        </w:tc>
        <w:tc>
          <w:tcPr>
            <w:tcW w:w="1262" w:type="dxa"/>
            <w:shd w:val="clear" w:color="auto" w:fill="auto"/>
          </w:tcPr>
          <w:p w14:paraId="0C1C3EA2"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1,000</w:t>
            </w:r>
          </w:p>
        </w:tc>
        <w:tc>
          <w:tcPr>
            <w:tcW w:w="1134" w:type="dxa"/>
            <w:shd w:val="clear" w:color="auto" w:fill="auto"/>
          </w:tcPr>
          <w:p w14:paraId="329B880C"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1,000</w:t>
            </w:r>
          </w:p>
        </w:tc>
      </w:tr>
      <w:tr w:rsidR="00654E5E" w:rsidRPr="001E037D" w14:paraId="17CC5E23" w14:textId="77777777" w:rsidTr="00785F44">
        <w:trPr>
          <w:cantSplit/>
          <w:trHeight w:val="227"/>
        </w:trPr>
        <w:tc>
          <w:tcPr>
            <w:tcW w:w="6706" w:type="dxa"/>
            <w:shd w:val="clear" w:color="auto" w:fill="auto"/>
            <w:vAlign w:val="center"/>
          </w:tcPr>
          <w:p w14:paraId="20AAED91"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Supporting new parents experiencing domestic and family violence</w:t>
            </w:r>
          </w:p>
        </w:tc>
        <w:tc>
          <w:tcPr>
            <w:tcW w:w="1262" w:type="dxa"/>
            <w:shd w:val="clear" w:color="auto" w:fill="auto"/>
          </w:tcPr>
          <w:p w14:paraId="5868A220"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739</w:t>
            </w:r>
          </w:p>
        </w:tc>
        <w:tc>
          <w:tcPr>
            <w:tcW w:w="1134" w:type="dxa"/>
            <w:shd w:val="clear" w:color="auto" w:fill="auto"/>
          </w:tcPr>
          <w:p w14:paraId="41208648"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739</w:t>
            </w:r>
          </w:p>
        </w:tc>
      </w:tr>
      <w:tr w:rsidR="00654E5E" w:rsidRPr="001E037D" w14:paraId="1C4922A9" w14:textId="77777777" w:rsidTr="00785F44">
        <w:trPr>
          <w:cantSplit/>
          <w:trHeight w:val="227"/>
        </w:trPr>
        <w:tc>
          <w:tcPr>
            <w:tcW w:w="6706" w:type="dxa"/>
            <w:shd w:val="clear" w:color="auto" w:fill="auto"/>
            <w:vAlign w:val="center"/>
          </w:tcPr>
          <w:p w14:paraId="1644205C"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Integrated Family Safety</w:t>
            </w:r>
          </w:p>
        </w:tc>
        <w:tc>
          <w:tcPr>
            <w:tcW w:w="1262" w:type="dxa"/>
            <w:shd w:val="clear" w:color="auto" w:fill="auto"/>
          </w:tcPr>
          <w:p w14:paraId="4E9A3360"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180</w:t>
            </w:r>
          </w:p>
        </w:tc>
        <w:tc>
          <w:tcPr>
            <w:tcW w:w="1134" w:type="dxa"/>
            <w:shd w:val="clear" w:color="auto" w:fill="auto"/>
          </w:tcPr>
          <w:p w14:paraId="0CB1CE6F"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180</w:t>
            </w:r>
          </w:p>
        </w:tc>
      </w:tr>
      <w:tr w:rsidR="00654E5E" w:rsidRPr="001E037D" w14:paraId="1829E90C" w14:textId="77777777" w:rsidTr="00785F44">
        <w:trPr>
          <w:cantSplit/>
          <w:trHeight w:val="227"/>
        </w:trPr>
        <w:tc>
          <w:tcPr>
            <w:tcW w:w="6706" w:type="dxa"/>
            <w:shd w:val="clear" w:color="auto" w:fill="auto"/>
            <w:vAlign w:val="center"/>
          </w:tcPr>
          <w:p w14:paraId="3CC378EC" w14:textId="77777777" w:rsidR="00654E5E" w:rsidRPr="001E037D" w:rsidRDefault="00654E5E" w:rsidP="00785F44">
            <w:pPr>
              <w:keepNext/>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Data System to support Death Review</w:t>
            </w:r>
            <w:r w:rsidRPr="001E037D">
              <w:rPr>
                <w:rFonts w:ascii="Calibri" w:eastAsia="Times New Roman" w:hAnsi="Calibri" w:cs="Times New Roman"/>
                <w:bCs/>
                <w:sz w:val="20"/>
                <w:szCs w:val="20"/>
                <w:vertAlign w:val="superscript"/>
                <w:lang w:eastAsia="en-AU"/>
              </w:rPr>
              <w:t>3</w:t>
            </w:r>
          </w:p>
        </w:tc>
        <w:tc>
          <w:tcPr>
            <w:tcW w:w="1262" w:type="dxa"/>
            <w:shd w:val="clear" w:color="auto" w:fill="auto"/>
          </w:tcPr>
          <w:p w14:paraId="3202D32C"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200</w:t>
            </w:r>
          </w:p>
        </w:tc>
        <w:tc>
          <w:tcPr>
            <w:tcW w:w="1134" w:type="dxa"/>
            <w:shd w:val="clear" w:color="auto" w:fill="auto"/>
          </w:tcPr>
          <w:p w14:paraId="316C05DE" w14:textId="77777777" w:rsidR="00654E5E" w:rsidRPr="001E037D" w:rsidRDefault="00654E5E" w:rsidP="00785F44">
            <w:pPr>
              <w:keepNext/>
              <w:spacing w:after="0" w:line="240" w:lineRule="auto"/>
              <w:ind w:left="63" w:hanging="63"/>
              <w:jc w:val="right"/>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w:t>
            </w:r>
          </w:p>
        </w:tc>
      </w:tr>
      <w:tr w:rsidR="00654E5E" w:rsidRPr="001E037D" w14:paraId="6603C503" w14:textId="77777777" w:rsidTr="00785F44">
        <w:trPr>
          <w:cantSplit/>
          <w:trHeight w:val="227"/>
        </w:trPr>
        <w:tc>
          <w:tcPr>
            <w:tcW w:w="6706" w:type="dxa"/>
            <w:tcBorders>
              <w:bottom w:val="single" w:sz="4" w:space="0" w:color="auto"/>
            </w:tcBorders>
            <w:shd w:val="clear" w:color="auto" w:fill="auto"/>
          </w:tcPr>
          <w:p w14:paraId="1ADE2B35" w14:textId="77777777" w:rsidR="00654E5E" w:rsidRPr="002F4E5F" w:rsidRDefault="00654E5E" w:rsidP="00785F44">
            <w:pPr>
              <w:keepNext/>
              <w:spacing w:after="0" w:line="240" w:lineRule="auto"/>
              <w:ind w:left="63" w:hanging="63"/>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Total</w:t>
            </w:r>
          </w:p>
        </w:tc>
        <w:tc>
          <w:tcPr>
            <w:tcW w:w="1262" w:type="dxa"/>
            <w:tcBorders>
              <w:bottom w:val="single" w:sz="4" w:space="0" w:color="auto"/>
            </w:tcBorders>
            <w:shd w:val="clear" w:color="auto" w:fill="auto"/>
          </w:tcPr>
          <w:p w14:paraId="582C4C6C" w14:textId="77777777" w:rsidR="00654E5E" w:rsidRPr="002F4E5F" w:rsidRDefault="00654E5E" w:rsidP="00785F44">
            <w:pPr>
              <w:keepNext/>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6,554</w:t>
            </w:r>
          </w:p>
        </w:tc>
        <w:tc>
          <w:tcPr>
            <w:tcW w:w="1134" w:type="dxa"/>
            <w:tcBorders>
              <w:bottom w:val="single" w:sz="4" w:space="0" w:color="auto"/>
            </w:tcBorders>
            <w:shd w:val="clear" w:color="auto" w:fill="auto"/>
          </w:tcPr>
          <w:p w14:paraId="367C9F9B" w14:textId="77777777" w:rsidR="00654E5E" w:rsidRPr="002F4E5F" w:rsidRDefault="00654E5E" w:rsidP="00785F44">
            <w:pPr>
              <w:keepNext/>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6,156</w:t>
            </w:r>
          </w:p>
        </w:tc>
      </w:tr>
      <w:tr w:rsidR="00654E5E" w:rsidRPr="001E037D" w14:paraId="38BBA76D" w14:textId="77777777" w:rsidTr="00785F44">
        <w:trPr>
          <w:cantSplit/>
          <w:trHeight w:val="227"/>
        </w:trPr>
        <w:tc>
          <w:tcPr>
            <w:tcW w:w="6706" w:type="dxa"/>
            <w:tcBorders>
              <w:top w:val="single" w:sz="4" w:space="0" w:color="auto"/>
              <w:bottom w:val="single" w:sz="4" w:space="0" w:color="auto"/>
            </w:tcBorders>
            <w:shd w:val="clear" w:color="auto" w:fill="auto"/>
          </w:tcPr>
          <w:p w14:paraId="39A9FDC6" w14:textId="77777777" w:rsidR="00654E5E" w:rsidRPr="002F4E5F" w:rsidRDefault="00654E5E" w:rsidP="00785F44">
            <w:pPr>
              <w:keepNext/>
              <w:spacing w:after="0" w:line="240" w:lineRule="auto"/>
              <w:ind w:left="63" w:hanging="63"/>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Safer Families Levy offset</w:t>
            </w:r>
          </w:p>
        </w:tc>
        <w:tc>
          <w:tcPr>
            <w:tcW w:w="1262" w:type="dxa"/>
            <w:tcBorders>
              <w:top w:val="single" w:sz="4" w:space="0" w:color="auto"/>
              <w:bottom w:val="single" w:sz="4" w:space="0" w:color="auto"/>
            </w:tcBorders>
            <w:shd w:val="clear" w:color="auto" w:fill="auto"/>
          </w:tcPr>
          <w:p w14:paraId="49796E2B" w14:textId="77777777" w:rsidR="00654E5E" w:rsidRPr="002F4E5F" w:rsidRDefault="00654E5E" w:rsidP="00785F44">
            <w:pPr>
              <w:keepNext/>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-5,000</w:t>
            </w:r>
          </w:p>
        </w:tc>
        <w:tc>
          <w:tcPr>
            <w:tcW w:w="1134" w:type="dxa"/>
            <w:tcBorders>
              <w:top w:val="single" w:sz="4" w:space="0" w:color="auto"/>
              <w:bottom w:val="single" w:sz="4" w:space="0" w:color="auto"/>
            </w:tcBorders>
            <w:shd w:val="clear" w:color="auto" w:fill="auto"/>
          </w:tcPr>
          <w:p w14:paraId="52844E46" w14:textId="77777777" w:rsidR="00654E5E" w:rsidRPr="002F4E5F" w:rsidRDefault="00654E5E" w:rsidP="00785F44">
            <w:pPr>
              <w:keepNext/>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-5,000</w:t>
            </w:r>
          </w:p>
        </w:tc>
      </w:tr>
    </w:tbl>
    <w:p w14:paraId="1212CBD4" w14:textId="77777777" w:rsidR="00654E5E" w:rsidRPr="001E037D" w:rsidRDefault="00654E5E" w:rsidP="00785F44">
      <w:pPr>
        <w:keepNext/>
        <w:spacing w:before="120" w:after="0" w:line="240" w:lineRule="auto"/>
        <w:rPr>
          <w:rFonts w:ascii="Calibri" w:eastAsia="Times New Roman" w:hAnsi="Calibri" w:cs="Times New Roman"/>
          <w:b/>
          <w:sz w:val="18"/>
          <w:szCs w:val="16"/>
          <w:lang w:val="x-none"/>
        </w:rPr>
      </w:pPr>
      <w:r w:rsidRPr="001E037D">
        <w:rPr>
          <w:rFonts w:ascii="Calibri" w:eastAsia="Times New Roman" w:hAnsi="Calibri" w:cs="Times New Roman"/>
          <w:b/>
          <w:sz w:val="18"/>
          <w:szCs w:val="16"/>
          <w:lang w:val="x-none"/>
        </w:rPr>
        <w:t xml:space="preserve">Notes: </w:t>
      </w:r>
    </w:p>
    <w:p w14:paraId="76224593" w14:textId="77777777" w:rsidR="00654E5E" w:rsidRPr="00654E5E" w:rsidRDefault="00654E5E" w:rsidP="00654E5E">
      <w:pPr>
        <w:pStyle w:val="BSnoteslist"/>
        <w:numPr>
          <w:ilvl w:val="0"/>
          <w:numId w:val="24"/>
        </w:numPr>
        <w:rPr>
          <w:lang w:eastAsia="en-AU"/>
        </w:rPr>
      </w:pPr>
      <w:r w:rsidRPr="00654E5E">
        <w:rPr>
          <w:lang w:eastAsia="en-AU"/>
        </w:rPr>
        <w:t>This initiative includes a reprofile of $198,000 from 2020-21 to 2021-22.</w:t>
      </w:r>
    </w:p>
    <w:p w14:paraId="1BD41622" w14:textId="77777777" w:rsidR="00654E5E" w:rsidRPr="00654E5E" w:rsidRDefault="00654E5E" w:rsidP="00654E5E">
      <w:pPr>
        <w:pStyle w:val="BSnoteslist"/>
        <w:rPr>
          <w:lang w:eastAsia="en-AU"/>
        </w:rPr>
      </w:pPr>
      <w:r w:rsidRPr="00654E5E">
        <w:rPr>
          <w:lang w:eastAsia="en-AU"/>
        </w:rPr>
        <w:t>This initiative includes a reprofile of $300,000 from 2019-20 to 2020-21.</w:t>
      </w:r>
    </w:p>
    <w:p w14:paraId="3261E866" w14:textId="77777777" w:rsidR="00654E5E" w:rsidRPr="001E037D" w:rsidRDefault="00654E5E" w:rsidP="00654E5E">
      <w:pPr>
        <w:numPr>
          <w:ilvl w:val="0"/>
          <w:numId w:val="20"/>
        </w:numPr>
        <w:spacing w:after="0" w:line="240" w:lineRule="auto"/>
        <w:rPr>
          <w:rFonts w:ascii="Calibri" w:eastAsia="Times New Roman" w:hAnsi="Calibri" w:cs="Times New Roman"/>
          <w:sz w:val="18"/>
          <w:szCs w:val="24"/>
          <w:lang w:val="x-none" w:eastAsia="en-AU"/>
        </w:rPr>
      </w:pPr>
      <w:r w:rsidRPr="001E037D">
        <w:rPr>
          <w:rFonts w:ascii="Calibri" w:eastAsia="Times New Roman" w:hAnsi="Calibri" w:cs="Times New Roman"/>
          <w:sz w:val="18"/>
          <w:szCs w:val="24"/>
          <w:lang w:eastAsia="en-AU"/>
        </w:rPr>
        <w:t>This initiative has been reprofiled from 2020-21 to 2021-22.</w:t>
      </w:r>
    </w:p>
    <w:p w14:paraId="711D66EB" w14:textId="77777777" w:rsidR="00654E5E" w:rsidRPr="001E037D" w:rsidRDefault="00654E5E" w:rsidP="00785F44">
      <w:pPr>
        <w:keepNext/>
        <w:keepLines/>
        <w:spacing w:before="240" w:after="120" w:line="240" w:lineRule="auto"/>
        <w:outlineLvl w:val="3"/>
        <w:rPr>
          <w:rFonts w:ascii="Calibri" w:eastAsiaTheme="majorEastAsia" w:hAnsi="Calibri" w:cstheme="majorBidi"/>
          <w:b/>
          <w:sz w:val="28"/>
          <w:szCs w:val="28"/>
        </w:rPr>
      </w:pPr>
      <w:r w:rsidRPr="7949A320">
        <w:rPr>
          <w:rFonts w:ascii="Calibri" w:eastAsiaTheme="majorEastAsia" w:hAnsi="Calibri" w:cstheme="majorBidi"/>
          <w:b/>
          <w:sz w:val="28"/>
          <w:szCs w:val="28"/>
        </w:rPr>
        <w:t xml:space="preserve">Priorities for 2021-22 </w:t>
      </w:r>
    </w:p>
    <w:p w14:paraId="10024BB9" w14:textId="77777777" w:rsidR="00654E5E" w:rsidRDefault="00654E5E" w:rsidP="00785F44">
      <w:pPr>
        <w:spacing w:line="240" w:lineRule="auto"/>
        <w:rPr>
          <w:sz w:val="24"/>
          <w:szCs w:val="24"/>
        </w:rPr>
      </w:pPr>
      <w:r w:rsidRPr="7949A320">
        <w:rPr>
          <w:sz w:val="24"/>
          <w:szCs w:val="24"/>
        </w:rPr>
        <w:t>The COVID-19 pandemic has had a significant impact on domestic and family violence</w:t>
      </w:r>
      <w:r w:rsidRPr="7949A320" w:rsidDel="00934EC0">
        <w:rPr>
          <w:sz w:val="24"/>
          <w:szCs w:val="24"/>
        </w:rPr>
        <w:t xml:space="preserve"> </w:t>
      </w:r>
      <w:r w:rsidRPr="7949A320">
        <w:rPr>
          <w:sz w:val="24"/>
          <w:szCs w:val="24"/>
        </w:rPr>
        <w:t>services in the ACT. The Government has responded through additional investments in domestic and family violence</w:t>
      </w:r>
      <w:r w:rsidRPr="7949A320" w:rsidDel="007429DB">
        <w:rPr>
          <w:sz w:val="24"/>
          <w:szCs w:val="24"/>
        </w:rPr>
        <w:t xml:space="preserve"> </w:t>
      </w:r>
      <w:r w:rsidRPr="7949A320">
        <w:rPr>
          <w:sz w:val="24"/>
          <w:szCs w:val="24"/>
        </w:rPr>
        <w:t xml:space="preserve">and </w:t>
      </w:r>
      <w:r>
        <w:rPr>
          <w:sz w:val="24"/>
          <w:szCs w:val="24"/>
        </w:rPr>
        <w:t xml:space="preserve">sexual assault </w:t>
      </w:r>
      <w:r w:rsidRPr="7949A320">
        <w:rPr>
          <w:sz w:val="24"/>
          <w:szCs w:val="24"/>
        </w:rPr>
        <w:t xml:space="preserve">crisis services to increase capacity of these frontline service providers to respond to demand. </w:t>
      </w:r>
    </w:p>
    <w:p w14:paraId="431F9F8B" w14:textId="77777777" w:rsidR="00654E5E" w:rsidRDefault="00654E5E" w:rsidP="00785F44">
      <w:pPr>
        <w:spacing w:line="240" w:lineRule="auto"/>
        <w:rPr>
          <w:sz w:val="24"/>
          <w:szCs w:val="24"/>
        </w:rPr>
      </w:pPr>
      <w:r w:rsidRPr="7949A320">
        <w:rPr>
          <w:sz w:val="24"/>
          <w:szCs w:val="24"/>
        </w:rPr>
        <w:t xml:space="preserve">Government and community agencies will continue to work together to ensure essential services are supporting families and keeping them safe during lockdowns and restrictions. The Co-ordinator General for Family Safety and the Victims of Crime Commissioner will continue to hold regular roundtables with sector agencies. The roundtables will be forums to jointly identify and prioritise issues and ensure planned and coordinated responses. </w:t>
      </w:r>
    </w:p>
    <w:p w14:paraId="2F387F33" w14:textId="77777777" w:rsidR="00654E5E" w:rsidRPr="001E037D" w:rsidRDefault="00654E5E" w:rsidP="00785F44">
      <w:pPr>
        <w:spacing w:line="240" w:lineRule="auto"/>
        <w:rPr>
          <w:rFonts w:ascii="Calibri" w:hAnsi="Calibri" w:cs="Calibri"/>
          <w:sz w:val="24"/>
          <w:szCs w:val="24"/>
        </w:rPr>
      </w:pPr>
      <w:r w:rsidRPr="001E037D">
        <w:rPr>
          <w:sz w:val="24"/>
          <w:szCs w:val="24"/>
        </w:rPr>
        <w:t xml:space="preserve">In 2021-22, we will continue to build on key achievements from 2020-21 to expand and strengthen a range of </w:t>
      </w:r>
      <w:r w:rsidRPr="001E037D">
        <w:rPr>
          <w:rFonts w:ascii="Calibri" w:hAnsi="Calibri" w:cs="Calibri"/>
          <w:sz w:val="24"/>
          <w:szCs w:val="24"/>
        </w:rPr>
        <w:t xml:space="preserve">initiatives that are having a real impact for people experiencing </w:t>
      </w:r>
      <w:r w:rsidRPr="7949A320">
        <w:rPr>
          <w:sz w:val="24"/>
          <w:szCs w:val="24"/>
        </w:rPr>
        <w:t>domestic and family violence</w:t>
      </w:r>
      <w:r w:rsidRPr="001E037D">
        <w:rPr>
          <w:rFonts w:ascii="Calibri" w:hAnsi="Calibri" w:cs="Calibri"/>
          <w:sz w:val="24"/>
          <w:szCs w:val="24"/>
        </w:rPr>
        <w:t>, including:</w:t>
      </w:r>
    </w:p>
    <w:p w14:paraId="257489FE" w14:textId="77777777" w:rsidR="00654E5E" w:rsidRPr="001E037D" w:rsidRDefault="00654E5E" w:rsidP="00654E5E">
      <w:pPr>
        <w:widowControl w:val="0"/>
        <w:numPr>
          <w:ilvl w:val="0"/>
          <w:numId w:val="21"/>
        </w:numPr>
        <w:spacing w:after="0" w:line="240" w:lineRule="auto"/>
        <w:contextualSpacing/>
        <w:rPr>
          <w:rFonts w:ascii="Calibri" w:eastAsia="Times New Roman" w:hAnsi="Calibri" w:cs="Calibri"/>
          <w:iCs/>
          <w:sz w:val="24"/>
          <w:szCs w:val="24"/>
          <w:lang w:val="en-US"/>
        </w:rPr>
      </w:pPr>
      <w:r w:rsidRPr="001E037D">
        <w:rPr>
          <w:rFonts w:ascii="Calibri" w:eastAsia="Times New Roman" w:hAnsi="Calibri" w:cs="Calibri"/>
          <w:iCs/>
          <w:sz w:val="24"/>
          <w:szCs w:val="24"/>
          <w:lang w:val="en-US"/>
        </w:rPr>
        <w:t xml:space="preserve">additional resourcing for the Health Justice Partnership so that pregnant women and new families at risk of domestic and family violence can continue to receive safe and confidential legal support in a hospital or healthcare setting; </w:t>
      </w:r>
    </w:p>
    <w:p w14:paraId="02DE8D2D" w14:textId="77777777" w:rsidR="00654E5E" w:rsidRPr="001E037D" w:rsidRDefault="00654E5E" w:rsidP="00654E5E">
      <w:pPr>
        <w:widowControl w:val="0"/>
        <w:numPr>
          <w:ilvl w:val="0"/>
          <w:numId w:val="21"/>
        </w:numPr>
        <w:spacing w:after="0" w:line="240" w:lineRule="auto"/>
        <w:contextualSpacing/>
        <w:rPr>
          <w:rFonts w:ascii="Calibri" w:eastAsia="Times New Roman" w:hAnsi="Calibri" w:cs="Calibri"/>
          <w:iCs/>
          <w:sz w:val="24"/>
          <w:szCs w:val="24"/>
          <w:lang w:val="en-US"/>
        </w:rPr>
      </w:pPr>
      <w:r w:rsidRPr="001E037D">
        <w:rPr>
          <w:rFonts w:ascii="Calibri" w:eastAsia="Times New Roman" w:hAnsi="Calibri" w:cs="Calibri"/>
          <w:iCs/>
          <w:sz w:val="24"/>
          <w:szCs w:val="24"/>
          <w:lang w:val="en-US"/>
        </w:rPr>
        <w:t>continuing the innovative FVSAP, to expand integrated case work capacity and coordinated effort to meet increased demand to support the needs of high-risk families;</w:t>
      </w:r>
    </w:p>
    <w:p w14:paraId="2EDA97CB" w14:textId="77777777" w:rsidR="00654E5E" w:rsidRPr="001E037D" w:rsidRDefault="00654E5E" w:rsidP="00654E5E">
      <w:pPr>
        <w:widowControl w:val="0"/>
        <w:numPr>
          <w:ilvl w:val="0"/>
          <w:numId w:val="21"/>
        </w:numPr>
        <w:spacing w:after="0" w:line="240" w:lineRule="auto"/>
        <w:contextualSpacing/>
        <w:rPr>
          <w:rFonts w:ascii="Calibri" w:eastAsia="Times New Roman" w:hAnsi="Calibri" w:cs="Calibri"/>
          <w:iCs/>
          <w:sz w:val="24"/>
          <w:szCs w:val="24"/>
          <w:lang w:val="en-US"/>
        </w:rPr>
      </w:pPr>
      <w:r w:rsidRPr="001E037D">
        <w:rPr>
          <w:rFonts w:ascii="Calibri" w:eastAsia="Times New Roman" w:hAnsi="Calibri" w:cs="Calibri"/>
          <w:iCs/>
          <w:sz w:val="24"/>
          <w:szCs w:val="24"/>
          <w:lang w:val="en-US"/>
        </w:rPr>
        <w:t>publication and rollout of the final ACT Domestic and Family Violence Risk Assessment and Management Framework and ongoing work to build and develop common tools and practices; and</w:t>
      </w:r>
    </w:p>
    <w:p w14:paraId="12FE132E" w14:textId="77777777" w:rsidR="00654E5E" w:rsidRPr="001E037D" w:rsidRDefault="00654E5E" w:rsidP="00654E5E">
      <w:pPr>
        <w:widowControl w:val="0"/>
        <w:numPr>
          <w:ilvl w:val="0"/>
          <w:numId w:val="21"/>
        </w:numPr>
        <w:spacing w:after="0" w:line="240" w:lineRule="auto"/>
        <w:contextualSpacing/>
        <w:rPr>
          <w:rFonts w:ascii="Calibri" w:eastAsia="Times New Roman" w:hAnsi="Calibri" w:cs="Calibri"/>
          <w:iCs/>
          <w:sz w:val="24"/>
          <w:szCs w:val="24"/>
          <w:lang w:val="en-US"/>
        </w:rPr>
      </w:pPr>
      <w:r w:rsidRPr="001E037D">
        <w:rPr>
          <w:rFonts w:ascii="Calibri" w:eastAsia="Times New Roman" w:hAnsi="Calibri" w:cs="Calibri"/>
          <w:iCs/>
          <w:sz w:val="24"/>
          <w:szCs w:val="24"/>
          <w:lang w:val="en-US"/>
        </w:rPr>
        <w:t>continuing to support frontline domestic violence and rape crisis services to address sustained demand.</w:t>
      </w:r>
    </w:p>
    <w:p w14:paraId="38327A51" w14:textId="77777777" w:rsidR="00654E5E" w:rsidRPr="001E037D" w:rsidRDefault="00654E5E" w:rsidP="00785F44">
      <w:pPr>
        <w:keepNext/>
        <w:keepLines/>
        <w:spacing w:line="240" w:lineRule="auto"/>
        <w:rPr>
          <w:b/>
          <w:sz w:val="24"/>
          <w:szCs w:val="24"/>
        </w:rPr>
      </w:pPr>
      <w:r w:rsidRPr="001E037D">
        <w:rPr>
          <w:sz w:val="24"/>
          <w:szCs w:val="24"/>
        </w:rPr>
        <w:lastRenderedPageBreak/>
        <w:t xml:space="preserve">In late 2021, the landmark Sexual Assault Prevention and Response Steering Committee will deliver its final report to the ACT Government outlining key recommendations to inform our whole-of-Territory response to sexual assault in our community. It is anticipated this </w:t>
      </w:r>
      <w:r>
        <w:rPr>
          <w:sz w:val="24"/>
          <w:szCs w:val="24"/>
        </w:rPr>
        <w:t>support</w:t>
      </w:r>
      <w:r w:rsidRPr="001E037D">
        <w:rPr>
          <w:sz w:val="24"/>
          <w:szCs w:val="24"/>
        </w:rPr>
        <w:t xml:space="preserve"> </w:t>
      </w:r>
      <w:r w:rsidRPr="001E037D">
        <w:rPr>
          <w:rFonts w:ascii="Calibri" w:hAnsi="Calibri" w:cs="Calibri"/>
          <w:sz w:val="24"/>
          <w:szCs w:val="24"/>
        </w:rPr>
        <w:t>coordinate</w:t>
      </w:r>
      <w:r>
        <w:rPr>
          <w:rFonts w:ascii="Calibri" w:hAnsi="Calibri" w:cs="Calibri"/>
          <w:sz w:val="24"/>
          <w:szCs w:val="24"/>
        </w:rPr>
        <w:t>d</w:t>
      </w:r>
      <w:r w:rsidRPr="001E037D">
        <w:rPr>
          <w:rFonts w:ascii="Calibri" w:hAnsi="Calibri" w:cs="Calibri"/>
          <w:sz w:val="24"/>
          <w:szCs w:val="24"/>
        </w:rPr>
        <w:t xml:space="preserve"> efforts across the community to develop effective, systemic, evidence</w:t>
      </w:r>
      <w:r>
        <w:rPr>
          <w:rFonts w:ascii="Calibri" w:hAnsi="Calibri" w:cs="Calibri"/>
          <w:sz w:val="24"/>
          <w:szCs w:val="24"/>
        </w:rPr>
        <w:noBreakHyphen/>
      </w:r>
      <w:r w:rsidRPr="001E037D">
        <w:rPr>
          <w:rFonts w:ascii="Calibri" w:hAnsi="Calibri" w:cs="Calibri"/>
          <w:sz w:val="24"/>
          <w:szCs w:val="24"/>
        </w:rPr>
        <w:t xml:space="preserve">based responses to the prevention, response and law reform relating to sexual assault in the ACT. </w:t>
      </w:r>
    </w:p>
    <w:p w14:paraId="038B4E85" w14:textId="77777777" w:rsidR="00654E5E" w:rsidRPr="001E037D" w:rsidRDefault="00654E5E" w:rsidP="00785F44">
      <w:pPr>
        <w:spacing w:line="240" w:lineRule="auto"/>
        <w:rPr>
          <w:b/>
          <w:bCs/>
          <w:sz w:val="24"/>
          <w:szCs w:val="24"/>
        </w:rPr>
      </w:pPr>
      <w:r w:rsidRPr="001E037D">
        <w:rPr>
          <w:bCs/>
          <w:sz w:val="24"/>
          <w:szCs w:val="24"/>
        </w:rPr>
        <w:t>Work to</w:t>
      </w:r>
      <w:r w:rsidRPr="001E037D">
        <w:rPr>
          <w:sz w:val="24"/>
          <w:szCs w:val="24"/>
        </w:rPr>
        <w:t xml:space="preserve"> establish the Domestic and Family Violence Death Review will continue in 2021, with the </w:t>
      </w:r>
      <w:r w:rsidRPr="001E037D">
        <w:rPr>
          <w:color w:val="000000" w:themeColor="text1"/>
          <w:sz w:val="24"/>
          <w:szCs w:val="24"/>
        </w:rPr>
        <w:t>legislative mechanism necessary to operate the death review expected to be established soon.</w:t>
      </w:r>
    </w:p>
    <w:p w14:paraId="124FF6AC" w14:textId="77777777" w:rsidR="00654E5E" w:rsidRPr="001E037D" w:rsidRDefault="00654E5E" w:rsidP="00785F44">
      <w:pPr>
        <w:spacing w:line="240" w:lineRule="auto"/>
        <w:rPr>
          <w:b/>
          <w:sz w:val="24"/>
          <w:szCs w:val="24"/>
        </w:rPr>
      </w:pPr>
      <w:r w:rsidRPr="001E037D">
        <w:rPr>
          <w:sz w:val="24"/>
          <w:szCs w:val="24"/>
        </w:rPr>
        <w:t xml:space="preserve">The ACT is strongly committed to continuing to work with Aboriginal and Torres Strait Islander communities to enable community-led solutions to family violence through the implementation of recommendations from the </w:t>
      </w:r>
      <w:r w:rsidRPr="00535030">
        <w:rPr>
          <w:i/>
          <w:iCs/>
          <w:sz w:val="24"/>
          <w:szCs w:val="24"/>
        </w:rPr>
        <w:t>‘We Don’t Shoot Our Wounded’</w:t>
      </w:r>
      <w:r w:rsidRPr="001E037D">
        <w:rPr>
          <w:sz w:val="24"/>
          <w:szCs w:val="24"/>
        </w:rPr>
        <w:t xml:space="preserve"> report. An updated report is due for release in 2021-22, which will inform the development of community-led responses to support families and address and prevent </w:t>
      </w:r>
      <w:r w:rsidRPr="7949A320">
        <w:rPr>
          <w:sz w:val="24"/>
          <w:szCs w:val="24"/>
        </w:rPr>
        <w:t>domestic and family violence</w:t>
      </w:r>
      <w:r w:rsidRPr="001E037D">
        <w:rPr>
          <w:sz w:val="24"/>
          <w:szCs w:val="24"/>
        </w:rPr>
        <w:t xml:space="preserve"> in the ACT Aboriginal and Torres Strait Islander community</w:t>
      </w:r>
      <w:r w:rsidRPr="001E037D">
        <w:rPr>
          <w:b/>
          <w:bCs/>
          <w:sz w:val="24"/>
          <w:szCs w:val="24"/>
        </w:rPr>
        <w:t xml:space="preserve">. </w:t>
      </w:r>
    </w:p>
    <w:p w14:paraId="20B6DA5C" w14:textId="77777777" w:rsidR="00654E5E" w:rsidRPr="001E037D" w:rsidRDefault="00654E5E" w:rsidP="00785F44">
      <w:pPr>
        <w:spacing w:line="240" w:lineRule="auto"/>
        <w:rPr>
          <w:sz w:val="24"/>
          <w:szCs w:val="24"/>
        </w:rPr>
      </w:pPr>
      <w:r>
        <w:rPr>
          <w:sz w:val="24"/>
          <w:szCs w:val="24"/>
        </w:rPr>
        <w:t xml:space="preserve">The </w:t>
      </w:r>
      <w:r w:rsidRPr="001E037D">
        <w:rPr>
          <w:sz w:val="24"/>
          <w:szCs w:val="24"/>
        </w:rPr>
        <w:t>Government</w:t>
      </w:r>
      <w:r>
        <w:rPr>
          <w:sz w:val="24"/>
          <w:szCs w:val="24"/>
        </w:rPr>
        <w:t xml:space="preserve"> will continue to deliver on its</w:t>
      </w:r>
      <w:r w:rsidRPr="001E037D">
        <w:rPr>
          <w:sz w:val="24"/>
          <w:szCs w:val="24"/>
        </w:rPr>
        <w:t xml:space="preserve"> commitment to providing child-centred responses to </w:t>
      </w:r>
      <w:r w:rsidRPr="7949A320">
        <w:rPr>
          <w:sz w:val="24"/>
          <w:szCs w:val="24"/>
        </w:rPr>
        <w:t>domestic and family violence</w:t>
      </w:r>
      <w:r w:rsidRPr="001E037D" w:rsidDel="001A3EB8">
        <w:rPr>
          <w:sz w:val="24"/>
          <w:szCs w:val="24"/>
        </w:rPr>
        <w:t xml:space="preserve"> </w:t>
      </w:r>
      <w:r>
        <w:rPr>
          <w:sz w:val="24"/>
          <w:szCs w:val="24"/>
        </w:rPr>
        <w:t>through f</w:t>
      </w:r>
      <w:r w:rsidRPr="001E037D">
        <w:rPr>
          <w:sz w:val="24"/>
          <w:szCs w:val="24"/>
        </w:rPr>
        <w:t xml:space="preserve">urther investment in a range of initiatives to support children and young people throughout 2021-22. </w:t>
      </w:r>
    </w:p>
    <w:p w14:paraId="21E3C5E7" w14:textId="77777777" w:rsidR="00654E5E" w:rsidRPr="001E037D" w:rsidRDefault="00654E5E" w:rsidP="00785F44">
      <w:pPr>
        <w:spacing w:line="240" w:lineRule="auto"/>
        <w:rPr>
          <w:rFonts w:ascii="Calibri" w:hAnsi="Calibri" w:cs="Calibri"/>
          <w:sz w:val="24"/>
          <w:szCs w:val="24"/>
        </w:rPr>
      </w:pPr>
      <w:r w:rsidRPr="001E037D">
        <w:rPr>
          <w:rFonts w:ascii="Calibri" w:hAnsi="Calibri" w:cs="Calibri"/>
          <w:sz w:val="24"/>
          <w:szCs w:val="24"/>
        </w:rPr>
        <w:t xml:space="preserve">As the current </w:t>
      </w:r>
      <w:r w:rsidRPr="001E037D">
        <w:rPr>
          <w:rFonts w:ascii="Calibri" w:hAnsi="Calibri" w:cs="Calibri"/>
          <w:i/>
          <w:iCs/>
          <w:sz w:val="24"/>
          <w:szCs w:val="24"/>
        </w:rPr>
        <w:t>National Plan to Reduce Violence Against Women and Their Children</w:t>
      </w:r>
      <w:r w:rsidRPr="001E037D">
        <w:rPr>
          <w:rFonts w:ascii="Calibri" w:hAnsi="Calibri" w:cs="Calibri"/>
          <w:sz w:val="24"/>
          <w:szCs w:val="24"/>
        </w:rPr>
        <w:t xml:space="preserve"> draws to a close in 2022, the Government will continue to work with the Commonwealth and our State and Territory partners to develop the next National Plan to reduce violence against women and make Australia safer for all. </w:t>
      </w:r>
    </w:p>
    <w:p w14:paraId="3A2BF786" w14:textId="77777777" w:rsidR="00654E5E" w:rsidRPr="001E037D" w:rsidRDefault="00654E5E" w:rsidP="00785F44">
      <w:pPr>
        <w:spacing w:line="240" w:lineRule="auto"/>
        <w:rPr>
          <w:sz w:val="24"/>
          <w:szCs w:val="24"/>
        </w:rPr>
      </w:pPr>
      <w:r w:rsidRPr="001E037D">
        <w:rPr>
          <w:sz w:val="24"/>
          <w:szCs w:val="24"/>
        </w:rPr>
        <w:t>The Government will also set out the ACT’s long-term commitment to creating a new culture of respectful behaviour in ACT workplaces by responding to the Australian Human Rights Commission’s Respect@Work Report to prevent and reduce sexual harassment in Australian workplaces.</w:t>
      </w:r>
    </w:p>
    <w:p w14:paraId="43C3A9E5" w14:textId="77777777" w:rsidR="00654E5E" w:rsidRPr="001E037D" w:rsidRDefault="00654E5E" w:rsidP="00785F44">
      <w:pPr>
        <w:spacing w:line="240" w:lineRule="auto"/>
        <w:rPr>
          <w:b/>
          <w:bCs/>
          <w:sz w:val="24"/>
          <w:szCs w:val="24"/>
        </w:rPr>
      </w:pPr>
      <w:r w:rsidRPr="001E037D">
        <w:rPr>
          <w:b/>
          <w:bCs/>
          <w:sz w:val="24"/>
          <w:szCs w:val="24"/>
        </w:rPr>
        <w:t>Beyond 2021-22</w:t>
      </w:r>
    </w:p>
    <w:p w14:paraId="44598457" w14:textId="77777777" w:rsidR="00654E5E" w:rsidRPr="001E037D" w:rsidRDefault="00654E5E" w:rsidP="00785F44">
      <w:pPr>
        <w:spacing w:line="240" w:lineRule="auto"/>
        <w:rPr>
          <w:sz w:val="24"/>
          <w:szCs w:val="24"/>
        </w:rPr>
      </w:pPr>
      <w:r w:rsidRPr="001E037D">
        <w:rPr>
          <w:sz w:val="24"/>
          <w:szCs w:val="24"/>
        </w:rPr>
        <w:t>The Government continues to ensure that Safer Families Levy funding is invested strategically and flexibly over time—making it possible to respond to emerging community need. Future funding may be used to support:</w:t>
      </w:r>
    </w:p>
    <w:p w14:paraId="3936E8C1" w14:textId="77777777" w:rsidR="00654E5E" w:rsidRPr="001E037D" w:rsidRDefault="00654E5E" w:rsidP="00654E5E">
      <w:pPr>
        <w:numPr>
          <w:ilvl w:val="0"/>
          <w:numId w:val="1"/>
        </w:numPr>
        <w:tabs>
          <w:tab w:val="left" w:pos="357"/>
        </w:tabs>
        <w:spacing w:after="120" w:line="240" w:lineRule="auto"/>
        <w:ind w:left="360"/>
        <w:rPr>
          <w:b/>
          <w:sz w:val="24"/>
          <w:szCs w:val="24"/>
        </w:rPr>
      </w:pPr>
      <w:r w:rsidRPr="7949A320">
        <w:rPr>
          <w:sz w:val="24"/>
          <w:szCs w:val="24"/>
        </w:rPr>
        <w:t>the implementation of recommendations from the Sexual Assault Prevention and Response Program to respond to sexual violence;</w:t>
      </w:r>
    </w:p>
    <w:p w14:paraId="0A8C0437" w14:textId="77777777" w:rsidR="00654E5E" w:rsidRPr="001E037D" w:rsidRDefault="00654E5E" w:rsidP="00654E5E">
      <w:pPr>
        <w:numPr>
          <w:ilvl w:val="0"/>
          <w:numId w:val="1"/>
        </w:numPr>
        <w:tabs>
          <w:tab w:val="left" w:pos="357"/>
        </w:tabs>
        <w:spacing w:after="120" w:line="240" w:lineRule="auto"/>
        <w:ind w:left="360"/>
        <w:rPr>
          <w:sz w:val="24"/>
          <w:szCs w:val="24"/>
        </w:rPr>
      </w:pPr>
      <w:r w:rsidRPr="7949A320">
        <w:rPr>
          <w:sz w:val="24"/>
          <w:szCs w:val="24"/>
        </w:rPr>
        <w:t>the Aboriginal and Torres Strait Islander community to lead and partner with us in the delivery of domestic and family violence</w:t>
      </w:r>
      <w:r w:rsidRPr="7949A320" w:rsidDel="001B0A98">
        <w:rPr>
          <w:sz w:val="24"/>
          <w:szCs w:val="24"/>
        </w:rPr>
        <w:t xml:space="preserve"> </w:t>
      </w:r>
      <w:r w:rsidRPr="7949A320">
        <w:rPr>
          <w:sz w:val="24"/>
          <w:szCs w:val="24"/>
        </w:rPr>
        <w:t>responses;</w:t>
      </w:r>
    </w:p>
    <w:p w14:paraId="388A6C20" w14:textId="77777777" w:rsidR="00654E5E" w:rsidRPr="001E037D" w:rsidRDefault="00654E5E" w:rsidP="00654E5E">
      <w:pPr>
        <w:numPr>
          <w:ilvl w:val="0"/>
          <w:numId w:val="1"/>
        </w:numPr>
        <w:tabs>
          <w:tab w:val="left" w:pos="357"/>
        </w:tabs>
        <w:spacing w:after="120" w:line="240" w:lineRule="auto"/>
        <w:ind w:left="360"/>
        <w:rPr>
          <w:b/>
          <w:sz w:val="24"/>
          <w:szCs w:val="24"/>
        </w:rPr>
      </w:pPr>
      <w:r w:rsidRPr="7949A320">
        <w:rPr>
          <w:sz w:val="24"/>
          <w:szCs w:val="24"/>
        </w:rPr>
        <w:t>the extension of the Room4Change program and other perpetrator programs to improve safety for people experiencing domestic and family violence;</w:t>
      </w:r>
    </w:p>
    <w:p w14:paraId="3162DFAB" w14:textId="77777777" w:rsidR="00654E5E" w:rsidRPr="001E037D" w:rsidRDefault="00654E5E" w:rsidP="00654E5E">
      <w:pPr>
        <w:numPr>
          <w:ilvl w:val="0"/>
          <w:numId w:val="1"/>
        </w:numPr>
        <w:tabs>
          <w:tab w:val="left" w:pos="357"/>
        </w:tabs>
        <w:spacing w:after="120" w:line="240" w:lineRule="auto"/>
        <w:ind w:left="360"/>
        <w:rPr>
          <w:b/>
          <w:sz w:val="24"/>
          <w:szCs w:val="24"/>
        </w:rPr>
      </w:pPr>
      <w:r w:rsidRPr="7949A320">
        <w:rPr>
          <w:sz w:val="24"/>
          <w:szCs w:val="24"/>
        </w:rPr>
        <w:t>the extension of training for frontline and sector workers</w:t>
      </w:r>
      <w:r w:rsidRPr="7949A320">
        <w:rPr>
          <w:b/>
          <w:sz w:val="24"/>
          <w:szCs w:val="24"/>
        </w:rPr>
        <w:t xml:space="preserve"> </w:t>
      </w:r>
      <w:r w:rsidRPr="7949A320">
        <w:rPr>
          <w:sz w:val="24"/>
          <w:szCs w:val="24"/>
        </w:rPr>
        <w:t>to respond to domestic and family violence; and</w:t>
      </w:r>
    </w:p>
    <w:p w14:paraId="392B6702" w14:textId="77777777" w:rsidR="00654E5E" w:rsidRPr="001E037D" w:rsidRDefault="00654E5E" w:rsidP="00654E5E">
      <w:pPr>
        <w:numPr>
          <w:ilvl w:val="0"/>
          <w:numId w:val="1"/>
        </w:numPr>
        <w:tabs>
          <w:tab w:val="left" w:pos="357"/>
        </w:tabs>
        <w:spacing w:after="120" w:line="240" w:lineRule="auto"/>
        <w:ind w:left="360"/>
        <w:rPr>
          <w:sz w:val="24"/>
          <w:szCs w:val="24"/>
        </w:rPr>
      </w:pPr>
      <w:r w:rsidRPr="7949A320">
        <w:rPr>
          <w:sz w:val="24"/>
          <w:szCs w:val="24"/>
        </w:rPr>
        <w:t>the delivery of the Family Violence Safety Action Pilot.</w:t>
      </w:r>
    </w:p>
    <w:p w14:paraId="511B80EE" w14:textId="77777777" w:rsidR="00654E5E" w:rsidRDefault="00654E5E">
      <w:pPr>
        <w:rPr>
          <w:b/>
          <w:bCs/>
          <w:color w:val="472D8C"/>
        </w:rPr>
      </w:pPr>
      <w:r>
        <w:rPr>
          <w:b/>
          <w:bCs/>
          <w:color w:val="472D8C"/>
        </w:rPr>
        <w:br w:type="page"/>
      </w:r>
    </w:p>
    <w:p w14:paraId="272E160F" w14:textId="77777777" w:rsidR="00654E5E" w:rsidRPr="002F4E5F" w:rsidRDefault="00654E5E" w:rsidP="00785F44">
      <w:pPr>
        <w:spacing w:before="120" w:after="120" w:line="240" w:lineRule="auto"/>
        <w:rPr>
          <w:b/>
          <w:bCs/>
          <w:color w:val="472D8C"/>
        </w:rPr>
      </w:pPr>
      <w:r w:rsidRPr="002F4E5F">
        <w:rPr>
          <w:b/>
          <w:bCs/>
          <w:color w:val="472D8C"/>
        </w:rPr>
        <w:lastRenderedPageBreak/>
        <w:t>Table H.2: Safer Families initiatives in the 2021-22 Budget</w:t>
      </w:r>
    </w:p>
    <w:tbl>
      <w:tblPr>
        <w:tblW w:w="9100" w:type="dxa"/>
        <w:jc w:val="center"/>
        <w:tblLayout w:type="fixed"/>
        <w:tblCellMar>
          <w:left w:w="30" w:type="dxa"/>
          <w:right w:w="30" w:type="dxa"/>
        </w:tblCellMar>
        <w:tblLook w:val="0000" w:firstRow="0" w:lastRow="0" w:firstColumn="0" w:lastColumn="0" w:noHBand="0" w:noVBand="0"/>
      </w:tblPr>
      <w:tblGrid>
        <w:gridCol w:w="4210"/>
        <w:gridCol w:w="974"/>
        <w:gridCol w:w="974"/>
        <w:gridCol w:w="974"/>
        <w:gridCol w:w="984"/>
        <w:gridCol w:w="984"/>
      </w:tblGrid>
      <w:tr w:rsidR="00654E5E" w:rsidRPr="001E037D" w14:paraId="0E60D754" w14:textId="77777777" w:rsidTr="00785F44">
        <w:trPr>
          <w:cantSplit/>
          <w:tblHeader/>
          <w:jc w:val="center"/>
        </w:trPr>
        <w:tc>
          <w:tcPr>
            <w:tcW w:w="4210" w:type="dxa"/>
            <w:tcBorders>
              <w:top w:val="single" w:sz="4" w:space="0" w:color="auto"/>
              <w:left w:val="nil"/>
              <w:bottom w:val="single" w:sz="4" w:space="0" w:color="auto"/>
              <w:right w:val="nil"/>
            </w:tcBorders>
            <w:shd w:val="clear" w:color="auto" w:fill="472D8C"/>
          </w:tcPr>
          <w:p w14:paraId="2E1110FF" w14:textId="77777777" w:rsidR="00654E5E" w:rsidRPr="001E037D" w:rsidRDefault="00654E5E" w:rsidP="00785F44">
            <w:pPr>
              <w:spacing w:after="0" w:line="240" w:lineRule="auto"/>
              <w:ind w:left="63" w:hanging="63"/>
              <w:rPr>
                <w:rFonts w:ascii="Calibri" w:eastAsia="Times New Roman" w:hAnsi="Calibri" w:cs="Times New Roman"/>
                <w:sz w:val="20"/>
                <w:szCs w:val="20"/>
                <w:lang w:eastAsia="en-AU"/>
              </w:rPr>
            </w:pPr>
          </w:p>
          <w:p w14:paraId="5FC5CE6B" w14:textId="77777777" w:rsidR="00654E5E" w:rsidRPr="001E037D" w:rsidRDefault="00654E5E" w:rsidP="00785F44">
            <w:pPr>
              <w:spacing w:after="0" w:line="240" w:lineRule="auto"/>
              <w:ind w:left="63" w:hanging="63"/>
              <w:rPr>
                <w:rFonts w:ascii="Calibri" w:eastAsia="Times New Roman" w:hAnsi="Calibri" w:cs="Times New Roman"/>
                <w:b/>
                <w:bCs/>
                <w:sz w:val="20"/>
                <w:szCs w:val="20"/>
                <w:lang w:eastAsia="en-AU"/>
              </w:rPr>
            </w:pPr>
            <w:r w:rsidRPr="001E037D">
              <w:rPr>
                <w:rFonts w:ascii="Calibri" w:eastAsia="Times New Roman" w:hAnsi="Calibri" w:cs="Times New Roman"/>
                <w:b/>
                <w:bCs/>
                <w:color w:val="FFFFFF" w:themeColor="background1"/>
                <w:sz w:val="20"/>
                <w:szCs w:val="20"/>
                <w:lang w:eastAsia="en-AU"/>
              </w:rPr>
              <w:t>Safer Families initiatives</w:t>
            </w:r>
          </w:p>
        </w:tc>
        <w:tc>
          <w:tcPr>
            <w:tcW w:w="974" w:type="dxa"/>
            <w:tcBorders>
              <w:top w:val="single" w:sz="4" w:space="0" w:color="auto"/>
              <w:left w:val="nil"/>
              <w:bottom w:val="single" w:sz="4" w:space="0" w:color="auto"/>
              <w:right w:val="nil"/>
            </w:tcBorders>
            <w:shd w:val="clear" w:color="auto" w:fill="472D8C"/>
          </w:tcPr>
          <w:p w14:paraId="428CB929"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2021-22</w:t>
            </w:r>
          </w:p>
          <w:p w14:paraId="2BA82F04"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Budget</w:t>
            </w:r>
          </w:p>
          <w:p w14:paraId="6E206D1D"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74" w:type="dxa"/>
            <w:tcBorders>
              <w:top w:val="single" w:sz="4" w:space="0" w:color="auto"/>
              <w:left w:val="nil"/>
              <w:bottom w:val="single" w:sz="4" w:space="0" w:color="auto"/>
              <w:right w:val="nil"/>
            </w:tcBorders>
            <w:shd w:val="clear" w:color="auto" w:fill="472D8C"/>
          </w:tcPr>
          <w:p w14:paraId="6D06E85E"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2022-23</w:t>
            </w:r>
          </w:p>
          <w:p w14:paraId="3D0D61A6"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4567EEC0"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74" w:type="dxa"/>
            <w:tcBorders>
              <w:top w:val="single" w:sz="4" w:space="0" w:color="auto"/>
              <w:left w:val="nil"/>
              <w:bottom w:val="single" w:sz="4" w:space="0" w:color="auto"/>
              <w:right w:val="nil"/>
            </w:tcBorders>
            <w:shd w:val="clear" w:color="auto" w:fill="472D8C"/>
          </w:tcPr>
          <w:p w14:paraId="3F3F2699"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2023-24</w:t>
            </w:r>
          </w:p>
          <w:p w14:paraId="74B8962B"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6865E09C"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84" w:type="dxa"/>
            <w:tcBorders>
              <w:top w:val="single" w:sz="4" w:space="0" w:color="auto"/>
              <w:left w:val="nil"/>
              <w:bottom w:val="single" w:sz="4" w:space="0" w:color="auto"/>
              <w:right w:val="nil"/>
            </w:tcBorders>
            <w:shd w:val="clear" w:color="auto" w:fill="472D8C"/>
          </w:tcPr>
          <w:p w14:paraId="2766BD94"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2024-25</w:t>
            </w:r>
          </w:p>
          <w:p w14:paraId="2B83A8BD"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74ED298F"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84" w:type="dxa"/>
            <w:tcBorders>
              <w:top w:val="single" w:sz="4" w:space="0" w:color="auto"/>
              <w:left w:val="nil"/>
              <w:bottom w:val="single" w:sz="4" w:space="0" w:color="auto"/>
              <w:right w:val="nil"/>
            </w:tcBorders>
            <w:shd w:val="clear" w:color="auto" w:fill="472D8C"/>
          </w:tcPr>
          <w:p w14:paraId="4960370E"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Total</w:t>
            </w:r>
          </w:p>
          <w:p w14:paraId="0B2CE157"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p>
          <w:p w14:paraId="53CD847F" w14:textId="77777777" w:rsidR="00654E5E" w:rsidRPr="001E037D" w:rsidRDefault="00654E5E" w:rsidP="00785F44">
            <w:pPr>
              <w:framePr w:wrap="around" w:vAnchor="text" w:hAnchor="text" w:y="1"/>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r>
      <w:tr w:rsidR="00654E5E" w:rsidRPr="001E037D" w14:paraId="38040988" w14:textId="77777777" w:rsidTr="00785F44">
        <w:trPr>
          <w:cantSplit/>
          <w:trHeight w:val="454"/>
          <w:jc w:val="center"/>
        </w:trPr>
        <w:tc>
          <w:tcPr>
            <w:tcW w:w="4210" w:type="dxa"/>
            <w:tcBorders>
              <w:top w:val="single" w:sz="4" w:space="0" w:color="auto"/>
              <w:left w:val="nil"/>
              <w:bottom w:val="nil"/>
              <w:right w:val="nil"/>
            </w:tcBorders>
            <w:shd w:val="clear" w:color="auto" w:fill="auto"/>
          </w:tcPr>
          <w:p w14:paraId="3431672A"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More support for families and inclusion – Delivering the Family Safety Hub</w:t>
            </w:r>
          </w:p>
        </w:tc>
        <w:tc>
          <w:tcPr>
            <w:tcW w:w="974" w:type="dxa"/>
            <w:tcBorders>
              <w:top w:val="single" w:sz="4" w:space="0" w:color="auto"/>
              <w:left w:val="nil"/>
              <w:bottom w:val="nil"/>
              <w:right w:val="nil"/>
            </w:tcBorders>
            <w:shd w:val="clear" w:color="auto" w:fill="auto"/>
          </w:tcPr>
          <w:p w14:paraId="664F923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1,591</w:t>
            </w:r>
          </w:p>
        </w:tc>
        <w:tc>
          <w:tcPr>
            <w:tcW w:w="974" w:type="dxa"/>
            <w:tcBorders>
              <w:top w:val="single" w:sz="4" w:space="0" w:color="auto"/>
              <w:left w:val="nil"/>
              <w:bottom w:val="nil"/>
              <w:right w:val="nil"/>
            </w:tcBorders>
            <w:shd w:val="clear" w:color="auto" w:fill="auto"/>
          </w:tcPr>
          <w:p w14:paraId="15A85D2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1,613</w:t>
            </w:r>
          </w:p>
        </w:tc>
        <w:tc>
          <w:tcPr>
            <w:tcW w:w="974" w:type="dxa"/>
            <w:tcBorders>
              <w:top w:val="single" w:sz="4" w:space="0" w:color="auto"/>
              <w:left w:val="nil"/>
              <w:bottom w:val="nil"/>
              <w:right w:val="nil"/>
            </w:tcBorders>
            <w:shd w:val="clear" w:color="auto" w:fill="auto"/>
          </w:tcPr>
          <w:p w14:paraId="7709BA7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1,639</w:t>
            </w:r>
          </w:p>
        </w:tc>
        <w:tc>
          <w:tcPr>
            <w:tcW w:w="984" w:type="dxa"/>
            <w:tcBorders>
              <w:top w:val="single" w:sz="4" w:space="0" w:color="auto"/>
              <w:left w:val="nil"/>
              <w:bottom w:val="nil"/>
              <w:right w:val="nil"/>
            </w:tcBorders>
            <w:shd w:val="clear" w:color="auto" w:fill="auto"/>
          </w:tcPr>
          <w:p w14:paraId="4B4259C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1,675</w:t>
            </w:r>
          </w:p>
        </w:tc>
        <w:tc>
          <w:tcPr>
            <w:tcW w:w="984" w:type="dxa"/>
            <w:tcBorders>
              <w:top w:val="single" w:sz="4" w:space="0" w:color="auto"/>
              <w:left w:val="nil"/>
              <w:bottom w:val="nil"/>
              <w:right w:val="nil"/>
            </w:tcBorders>
            <w:shd w:val="clear" w:color="auto" w:fill="auto"/>
          </w:tcPr>
          <w:p w14:paraId="4B7A907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6,518</w:t>
            </w:r>
          </w:p>
        </w:tc>
      </w:tr>
      <w:tr w:rsidR="00654E5E" w:rsidRPr="001E037D" w14:paraId="10671AE0" w14:textId="77777777" w:rsidTr="00785F44">
        <w:trPr>
          <w:cantSplit/>
          <w:trHeight w:val="454"/>
          <w:jc w:val="center"/>
        </w:trPr>
        <w:tc>
          <w:tcPr>
            <w:tcW w:w="4210" w:type="dxa"/>
            <w:tcBorders>
              <w:top w:val="nil"/>
              <w:left w:val="nil"/>
              <w:bottom w:val="nil"/>
              <w:right w:val="nil"/>
            </w:tcBorders>
            <w:shd w:val="clear" w:color="auto" w:fill="auto"/>
          </w:tcPr>
          <w:p w14:paraId="0DEE6F04"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Additional resources for the Canberra Rape Crisis Centre</w:t>
            </w:r>
          </w:p>
        </w:tc>
        <w:tc>
          <w:tcPr>
            <w:tcW w:w="974" w:type="dxa"/>
            <w:tcBorders>
              <w:top w:val="nil"/>
              <w:left w:val="nil"/>
              <w:bottom w:val="nil"/>
              <w:right w:val="nil"/>
            </w:tcBorders>
            <w:shd w:val="clear" w:color="auto" w:fill="auto"/>
          </w:tcPr>
          <w:p w14:paraId="0F25A04F"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11</w:t>
            </w:r>
            <w:r w:rsidRPr="001E037D">
              <w:rPr>
                <w:rFonts w:ascii="Calibri" w:eastAsia="Times New Roman" w:hAnsi="Calibri" w:cs="Times New Roman"/>
                <w:bCs/>
                <w:sz w:val="20"/>
                <w:szCs w:val="24"/>
                <w:lang w:val="en-US"/>
              </w:rPr>
              <w:t>4</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31839E7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11</w:t>
            </w:r>
            <w:r w:rsidRPr="001E037D">
              <w:rPr>
                <w:rFonts w:ascii="Calibri" w:eastAsia="Times New Roman" w:hAnsi="Calibri" w:cs="Times New Roman"/>
                <w:bCs/>
                <w:sz w:val="20"/>
                <w:szCs w:val="24"/>
                <w:lang w:val="en-US"/>
              </w:rPr>
              <w:t>7</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2163E63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w:t>
            </w:r>
            <w:r w:rsidRPr="001E037D">
              <w:rPr>
                <w:rFonts w:ascii="Calibri" w:eastAsia="Times New Roman" w:hAnsi="Calibri" w:cs="Times New Roman"/>
                <w:bCs/>
                <w:sz w:val="20"/>
                <w:szCs w:val="24"/>
                <w:lang w:val="en-US"/>
              </w:rPr>
              <w:t>20</w:t>
            </w:r>
            <w:r w:rsidRPr="001E037D">
              <w:rPr>
                <w:rFonts w:ascii="Calibri" w:eastAsia="Times New Roman" w:hAnsi="Calibri" w:cs="Times New Roman"/>
                <w:bCs/>
                <w:sz w:val="20"/>
                <w:szCs w:val="24"/>
                <w:lang w:val="x-none"/>
              </w:rPr>
              <w:t xml:space="preserve"> </w:t>
            </w:r>
          </w:p>
        </w:tc>
        <w:tc>
          <w:tcPr>
            <w:tcW w:w="984" w:type="dxa"/>
            <w:tcBorders>
              <w:top w:val="nil"/>
              <w:left w:val="nil"/>
              <w:bottom w:val="nil"/>
              <w:right w:val="nil"/>
            </w:tcBorders>
            <w:shd w:val="clear" w:color="auto" w:fill="auto"/>
          </w:tcPr>
          <w:p w14:paraId="1082DC4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12</w:t>
            </w:r>
            <w:r w:rsidRPr="001E037D">
              <w:rPr>
                <w:rFonts w:ascii="Calibri" w:eastAsia="Times New Roman" w:hAnsi="Calibri" w:cs="Times New Roman"/>
                <w:bCs/>
                <w:sz w:val="20"/>
                <w:szCs w:val="24"/>
                <w:lang w:val="en-US"/>
              </w:rPr>
              <w:t>3</w:t>
            </w:r>
          </w:p>
        </w:tc>
        <w:tc>
          <w:tcPr>
            <w:tcW w:w="984" w:type="dxa"/>
            <w:tcBorders>
              <w:top w:val="nil"/>
              <w:left w:val="nil"/>
              <w:bottom w:val="nil"/>
              <w:right w:val="nil"/>
            </w:tcBorders>
            <w:shd w:val="clear" w:color="auto" w:fill="auto"/>
          </w:tcPr>
          <w:p w14:paraId="0748D6D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w:t>
            </w:r>
            <w:r w:rsidRPr="001E037D">
              <w:rPr>
                <w:rFonts w:ascii="Calibri" w:eastAsia="Times New Roman" w:hAnsi="Calibri" w:cs="Times New Roman"/>
                <w:bCs/>
                <w:sz w:val="20"/>
                <w:szCs w:val="24"/>
                <w:lang w:val="en-US"/>
              </w:rPr>
              <w:t>74</w:t>
            </w:r>
          </w:p>
        </w:tc>
      </w:tr>
      <w:tr w:rsidR="00654E5E" w:rsidRPr="001E037D" w14:paraId="5CCC251A" w14:textId="77777777" w:rsidTr="00785F44">
        <w:trPr>
          <w:cantSplit/>
          <w:trHeight w:val="454"/>
          <w:jc w:val="center"/>
        </w:trPr>
        <w:tc>
          <w:tcPr>
            <w:tcW w:w="4210" w:type="dxa"/>
            <w:tcBorders>
              <w:top w:val="nil"/>
              <w:left w:val="nil"/>
              <w:bottom w:val="nil"/>
              <w:right w:val="nil"/>
            </w:tcBorders>
            <w:shd w:val="clear" w:color="auto" w:fill="auto"/>
          </w:tcPr>
          <w:p w14:paraId="5E7EC742"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Additional resources for the Domestic Violence Crisis Service</w:t>
            </w:r>
          </w:p>
        </w:tc>
        <w:tc>
          <w:tcPr>
            <w:tcW w:w="974" w:type="dxa"/>
            <w:tcBorders>
              <w:top w:val="nil"/>
              <w:left w:val="nil"/>
              <w:bottom w:val="nil"/>
              <w:right w:val="nil"/>
            </w:tcBorders>
            <w:shd w:val="clear" w:color="auto" w:fill="auto"/>
          </w:tcPr>
          <w:p w14:paraId="40AF1E8C"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22</w:t>
            </w:r>
            <w:r w:rsidRPr="001E037D">
              <w:rPr>
                <w:rFonts w:ascii="Calibri" w:eastAsia="Times New Roman" w:hAnsi="Calibri" w:cs="Times New Roman"/>
                <w:bCs/>
                <w:sz w:val="20"/>
                <w:szCs w:val="24"/>
                <w:lang w:val="en-US"/>
              </w:rPr>
              <w:t>6</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1933A61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232 </w:t>
            </w:r>
          </w:p>
        </w:tc>
        <w:tc>
          <w:tcPr>
            <w:tcW w:w="974" w:type="dxa"/>
            <w:tcBorders>
              <w:top w:val="nil"/>
              <w:left w:val="nil"/>
              <w:bottom w:val="nil"/>
              <w:right w:val="nil"/>
            </w:tcBorders>
            <w:shd w:val="clear" w:color="auto" w:fill="auto"/>
          </w:tcPr>
          <w:p w14:paraId="6D77BA4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238 </w:t>
            </w:r>
          </w:p>
        </w:tc>
        <w:tc>
          <w:tcPr>
            <w:tcW w:w="984" w:type="dxa"/>
            <w:tcBorders>
              <w:top w:val="nil"/>
              <w:left w:val="nil"/>
              <w:bottom w:val="nil"/>
              <w:right w:val="nil"/>
            </w:tcBorders>
            <w:shd w:val="clear" w:color="auto" w:fill="auto"/>
          </w:tcPr>
          <w:p w14:paraId="25318A7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w:t>
            </w:r>
            <w:r w:rsidRPr="001E037D">
              <w:rPr>
                <w:rFonts w:ascii="Calibri" w:eastAsia="Times New Roman" w:hAnsi="Calibri" w:cs="Times New Roman"/>
                <w:bCs/>
                <w:sz w:val="20"/>
                <w:szCs w:val="24"/>
                <w:lang w:val="en-US"/>
              </w:rPr>
              <w:t>43</w:t>
            </w:r>
          </w:p>
        </w:tc>
        <w:tc>
          <w:tcPr>
            <w:tcW w:w="984" w:type="dxa"/>
            <w:tcBorders>
              <w:top w:val="nil"/>
              <w:left w:val="nil"/>
              <w:bottom w:val="nil"/>
              <w:right w:val="nil"/>
            </w:tcBorders>
            <w:shd w:val="clear" w:color="auto" w:fill="auto"/>
          </w:tcPr>
          <w:p w14:paraId="789A917B"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939</w:t>
            </w:r>
          </w:p>
        </w:tc>
      </w:tr>
      <w:tr w:rsidR="00654E5E" w:rsidRPr="001E037D" w14:paraId="467DF9C0" w14:textId="77777777" w:rsidTr="00785F44">
        <w:trPr>
          <w:cantSplit/>
          <w:trHeight w:val="357"/>
          <w:jc w:val="center"/>
        </w:trPr>
        <w:tc>
          <w:tcPr>
            <w:tcW w:w="4210" w:type="dxa"/>
            <w:tcBorders>
              <w:top w:val="nil"/>
              <w:left w:val="nil"/>
              <w:bottom w:val="nil"/>
              <w:right w:val="nil"/>
            </w:tcBorders>
            <w:shd w:val="clear" w:color="auto" w:fill="auto"/>
          </w:tcPr>
          <w:p w14:paraId="1EB83562"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Extending the Room4Change program to help prevent family violence</w:t>
            </w:r>
          </w:p>
        </w:tc>
        <w:tc>
          <w:tcPr>
            <w:tcW w:w="974" w:type="dxa"/>
            <w:tcBorders>
              <w:top w:val="nil"/>
              <w:left w:val="nil"/>
              <w:bottom w:val="nil"/>
              <w:right w:val="nil"/>
            </w:tcBorders>
            <w:shd w:val="clear" w:color="auto" w:fill="auto"/>
          </w:tcPr>
          <w:p w14:paraId="1BE4A966"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1,2</w:t>
            </w:r>
            <w:r w:rsidRPr="001E037D">
              <w:rPr>
                <w:rFonts w:ascii="Calibri" w:eastAsia="Times New Roman" w:hAnsi="Calibri" w:cs="Times New Roman"/>
                <w:bCs/>
                <w:sz w:val="20"/>
                <w:szCs w:val="24"/>
                <w:lang w:val="en-US"/>
              </w:rPr>
              <w:t>29</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2E437BC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1,251 </w:t>
            </w:r>
          </w:p>
        </w:tc>
        <w:tc>
          <w:tcPr>
            <w:tcW w:w="974" w:type="dxa"/>
            <w:tcBorders>
              <w:top w:val="nil"/>
              <w:left w:val="nil"/>
              <w:bottom w:val="nil"/>
              <w:right w:val="nil"/>
            </w:tcBorders>
            <w:shd w:val="clear" w:color="auto" w:fill="auto"/>
          </w:tcPr>
          <w:p w14:paraId="6DEF82D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187A4E6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271E0A4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2,480</w:t>
            </w:r>
          </w:p>
        </w:tc>
      </w:tr>
      <w:tr w:rsidR="00654E5E" w:rsidRPr="001E037D" w14:paraId="093616DA" w14:textId="77777777" w:rsidTr="00785F44">
        <w:trPr>
          <w:cantSplit/>
          <w:trHeight w:val="454"/>
          <w:jc w:val="center"/>
        </w:trPr>
        <w:tc>
          <w:tcPr>
            <w:tcW w:w="4210" w:type="dxa"/>
            <w:tcBorders>
              <w:top w:val="nil"/>
              <w:left w:val="nil"/>
              <w:bottom w:val="nil"/>
              <w:right w:val="nil"/>
            </w:tcBorders>
            <w:shd w:val="clear" w:color="auto" w:fill="auto"/>
          </w:tcPr>
          <w:p w14:paraId="69E3030E"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Enhancing access to justice for non</w:t>
            </w:r>
            <w:r w:rsidRPr="001E037D">
              <w:rPr>
                <w:rFonts w:ascii="Calibri" w:eastAsia="Times New Roman" w:hAnsi="Calibri" w:cs="Times New Roman"/>
                <w:bCs/>
                <w:sz w:val="20"/>
                <w:szCs w:val="20"/>
                <w:lang w:eastAsia="en-AU"/>
              </w:rPr>
              <w:noBreakHyphen/>
              <w:t>English speakers</w:t>
            </w:r>
          </w:p>
        </w:tc>
        <w:tc>
          <w:tcPr>
            <w:tcW w:w="974" w:type="dxa"/>
            <w:tcBorders>
              <w:top w:val="nil"/>
              <w:left w:val="nil"/>
              <w:bottom w:val="nil"/>
              <w:right w:val="nil"/>
            </w:tcBorders>
            <w:shd w:val="clear" w:color="auto" w:fill="auto"/>
          </w:tcPr>
          <w:p w14:paraId="44F914C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74" w:type="dxa"/>
            <w:tcBorders>
              <w:top w:val="nil"/>
              <w:left w:val="nil"/>
              <w:bottom w:val="nil"/>
              <w:right w:val="nil"/>
            </w:tcBorders>
            <w:shd w:val="clear" w:color="auto" w:fill="auto"/>
          </w:tcPr>
          <w:p w14:paraId="229F6805"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74" w:type="dxa"/>
            <w:tcBorders>
              <w:top w:val="nil"/>
              <w:left w:val="nil"/>
              <w:bottom w:val="nil"/>
              <w:right w:val="nil"/>
            </w:tcBorders>
            <w:shd w:val="clear" w:color="auto" w:fill="auto"/>
          </w:tcPr>
          <w:p w14:paraId="58664B1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w:t>
            </w:r>
            <w:r w:rsidRPr="001E037D">
              <w:rPr>
                <w:rFonts w:ascii="Calibri" w:eastAsia="Times New Roman" w:hAnsi="Calibri" w:cs="Times New Roman"/>
                <w:bCs/>
                <w:sz w:val="20"/>
                <w:szCs w:val="24"/>
              </w:rPr>
              <w:t>0</w:t>
            </w:r>
          </w:p>
        </w:tc>
        <w:tc>
          <w:tcPr>
            <w:tcW w:w="984" w:type="dxa"/>
            <w:tcBorders>
              <w:top w:val="nil"/>
              <w:left w:val="nil"/>
              <w:bottom w:val="nil"/>
              <w:right w:val="nil"/>
            </w:tcBorders>
            <w:shd w:val="clear" w:color="auto" w:fill="auto"/>
          </w:tcPr>
          <w:p w14:paraId="675C02A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84" w:type="dxa"/>
            <w:tcBorders>
              <w:top w:val="nil"/>
              <w:left w:val="nil"/>
              <w:bottom w:val="nil"/>
              <w:right w:val="nil"/>
            </w:tcBorders>
            <w:shd w:val="clear" w:color="auto" w:fill="auto"/>
          </w:tcPr>
          <w:p w14:paraId="4FDDC0B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400</w:t>
            </w:r>
          </w:p>
        </w:tc>
      </w:tr>
      <w:tr w:rsidR="00654E5E" w:rsidRPr="001E037D" w14:paraId="5055016A" w14:textId="77777777" w:rsidTr="00785F44">
        <w:trPr>
          <w:cantSplit/>
          <w:trHeight w:val="91"/>
          <w:jc w:val="center"/>
        </w:trPr>
        <w:tc>
          <w:tcPr>
            <w:tcW w:w="4210" w:type="dxa"/>
            <w:tcBorders>
              <w:top w:val="nil"/>
              <w:left w:val="nil"/>
              <w:bottom w:val="nil"/>
              <w:right w:val="nil"/>
            </w:tcBorders>
            <w:shd w:val="clear" w:color="auto" w:fill="auto"/>
          </w:tcPr>
          <w:p w14:paraId="7B1766C8"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Safer families team</w:t>
            </w:r>
          </w:p>
        </w:tc>
        <w:tc>
          <w:tcPr>
            <w:tcW w:w="974" w:type="dxa"/>
            <w:tcBorders>
              <w:top w:val="nil"/>
              <w:left w:val="nil"/>
              <w:bottom w:val="nil"/>
              <w:right w:val="nil"/>
            </w:tcBorders>
            <w:shd w:val="clear" w:color="auto" w:fill="auto"/>
          </w:tcPr>
          <w:p w14:paraId="4BCF12B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784</w:t>
            </w:r>
          </w:p>
        </w:tc>
        <w:tc>
          <w:tcPr>
            <w:tcW w:w="974" w:type="dxa"/>
            <w:tcBorders>
              <w:top w:val="nil"/>
              <w:left w:val="nil"/>
              <w:bottom w:val="nil"/>
              <w:right w:val="nil"/>
            </w:tcBorders>
            <w:shd w:val="clear" w:color="auto" w:fill="auto"/>
          </w:tcPr>
          <w:p w14:paraId="620D233C"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804</w:t>
            </w:r>
          </w:p>
        </w:tc>
        <w:tc>
          <w:tcPr>
            <w:tcW w:w="974" w:type="dxa"/>
            <w:tcBorders>
              <w:top w:val="nil"/>
              <w:left w:val="nil"/>
              <w:bottom w:val="nil"/>
              <w:right w:val="nil"/>
            </w:tcBorders>
            <w:shd w:val="clear" w:color="auto" w:fill="auto"/>
          </w:tcPr>
          <w:p w14:paraId="2D0D9635"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824</w:t>
            </w:r>
          </w:p>
        </w:tc>
        <w:tc>
          <w:tcPr>
            <w:tcW w:w="984" w:type="dxa"/>
            <w:tcBorders>
              <w:top w:val="nil"/>
              <w:left w:val="nil"/>
              <w:bottom w:val="nil"/>
              <w:right w:val="nil"/>
            </w:tcBorders>
            <w:shd w:val="clear" w:color="auto" w:fill="auto"/>
          </w:tcPr>
          <w:p w14:paraId="7D4827D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841</w:t>
            </w:r>
          </w:p>
        </w:tc>
        <w:tc>
          <w:tcPr>
            <w:tcW w:w="984" w:type="dxa"/>
            <w:tcBorders>
              <w:top w:val="nil"/>
              <w:left w:val="nil"/>
              <w:bottom w:val="nil"/>
              <w:right w:val="nil"/>
            </w:tcBorders>
            <w:shd w:val="clear" w:color="auto" w:fill="auto"/>
          </w:tcPr>
          <w:p w14:paraId="542CA8CF"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3,253</w:t>
            </w:r>
          </w:p>
        </w:tc>
      </w:tr>
      <w:tr w:rsidR="00654E5E" w:rsidRPr="001E037D" w14:paraId="78C0FC28" w14:textId="77777777" w:rsidTr="00785F44">
        <w:trPr>
          <w:cantSplit/>
          <w:trHeight w:val="454"/>
          <w:jc w:val="center"/>
        </w:trPr>
        <w:tc>
          <w:tcPr>
            <w:tcW w:w="4210" w:type="dxa"/>
            <w:tcBorders>
              <w:top w:val="nil"/>
              <w:left w:val="nil"/>
              <w:bottom w:val="nil"/>
              <w:right w:val="nil"/>
            </w:tcBorders>
            <w:shd w:val="clear" w:color="auto" w:fill="auto"/>
          </w:tcPr>
          <w:p w14:paraId="68240EC8"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Reducing the risk of deaths from family violence</w:t>
            </w:r>
          </w:p>
        </w:tc>
        <w:tc>
          <w:tcPr>
            <w:tcW w:w="974" w:type="dxa"/>
            <w:tcBorders>
              <w:top w:val="nil"/>
              <w:left w:val="nil"/>
              <w:bottom w:val="nil"/>
              <w:right w:val="nil"/>
            </w:tcBorders>
            <w:shd w:val="clear" w:color="auto" w:fill="auto"/>
          </w:tcPr>
          <w:p w14:paraId="4A57EF3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 24</w:t>
            </w:r>
            <w:r w:rsidRPr="001E037D">
              <w:rPr>
                <w:rFonts w:ascii="Calibri" w:eastAsia="Times New Roman" w:hAnsi="Calibri" w:cs="Times New Roman"/>
                <w:bCs/>
                <w:sz w:val="20"/>
                <w:szCs w:val="24"/>
                <w:lang w:val="en-US"/>
              </w:rPr>
              <w:t>3</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2A81D62C"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 24</w:t>
            </w:r>
            <w:r w:rsidRPr="001E037D">
              <w:rPr>
                <w:rFonts w:ascii="Calibri" w:eastAsia="Times New Roman" w:hAnsi="Calibri" w:cs="Times New Roman"/>
                <w:bCs/>
                <w:sz w:val="20"/>
                <w:szCs w:val="24"/>
                <w:lang w:val="en-US"/>
              </w:rPr>
              <w:t>7</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520215BF"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w:t>
            </w:r>
            <w:r w:rsidRPr="001E037D">
              <w:rPr>
                <w:rFonts w:ascii="Calibri" w:eastAsia="Times New Roman" w:hAnsi="Calibri" w:cs="Times New Roman"/>
                <w:bCs/>
                <w:sz w:val="20"/>
                <w:szCs w:val="24"/>
                <w:lang w:val="en-US"/>
              </w:rPr>
              <w:t>49</w:t>
            </w:r>
          </w:p>
        </w:tc>
        <w:tc>
          <w:tcPr>
            <w:tcW w:w="984" w:type="dxa"/>
            <w:tcBorders>
              <w:top w:val="nil"/>
              <w:left w:val="nil"/>
              <w:bottom w:val="nil"/>
              <w:right w:val="nil"/>
            </w:tcBorders>
            <w:shd w:val="clear" w:color="auto" w:fill="auto"/>
          </w:tcPr>
          <w:p w14:paraId="35093055"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 2</w:t>
            </w:r>
            <w:r w:rsidRPr="001E037D">
              <w:rPr>
                <w:rFonts w:ascii="Calibri" w:eastAsia="Times New Roman" w:hAnsi="Calibri" w:cs="Times New Roman"/>
                <w:bCs/>
                <w:sz w:val="20"/>
                <w:szCs w:val="24"/>
                <w:lang w:val="en-US"/>
              </w:rPr>
              <w:t>51</w:t>
            </w:r>
            <w:r w:rsidRPr="001E037D">
              <w:rPr>
                <w:rFonts w:ascii="Calibri" w:eastAsia="Times New Roman" w:hAnsi="Calibri" w:cs="Times New Roman"/>
                <w:bCs/>
                <w:sz w:val="20"/>
                <w:szCs w:val="24"/>
                <w:lang w:val="x-none"/>
              </w:rPr>
              <w:t xml:space="preserve"> </w:t>
            </w:r>
          </w:p>
        </w:tc>
        <w:tc>
          <w:tcPr>
            <w:tcW w:w="984" w:type="dxa"/>
            <w:tcBorders>
              <w:top w:val="nil"/>
              <w:left w:val="nil"/>
              <w:bottom w:val="nil"/>
              <w:right w:val="nil"/>
            </w:tcBorders>
            <w:shd w:val="clear" w:color="auto" w:fill="auto"/>
          </w:tcPr>
          <w:p w14:paraId="3C8FEE9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9</w:t>
            </w:r>
            <w:r w:rsidRPr="001E037D">
              <w:rPr>
                <w:rFonts w:ascii="Calibri" w:eastAsia="Times New Roman" w:hAnsi="Calibri" w:cs="Times New Roman"/>
                <w:bCs/>
                <w:sz w:val="20"/>
                <w:szCs w:val="24"/>
                <w:lang w:val="en-US"/>
              </w:rPr>
              <w:t>9</w:t>
            </w:r>
            <w:r w:rsidRPr="001E037D">
              <w:rPr>
                <w:rFonts w:ascii="Calibri" w:eastAsia="Times New Roman" w:hAnsi="Calibri" w:cs="Times New Roman"/>
                <w:bCs/>
                <w:sz w:val="20"/>
                <w:szCs w:val="24"/>
                <w:lang w:val="x-none"/>
              </w:rPr>
              <w:t>0</w:t>
            </w:r>
          </w:p>
        </w:tc>
      </w:tr>
      <w:tr w:rsidR="00654E5E" w:rsidRPr="001E037D" w14:paraId="4BCF7639" w14:textId="77777777" w:rsidTr="00785F44">
        <w:trPr>
          <w:cantSplit/>
          <w:trHeight w:val="284"/>
          <w:jc w:val="center"/>
        </w:trPr>
        <w:tc>
          <w:tcPr>
            <w:tcW w:w="4210" w:type="dxa"/>
            <w:tcBorders>
              <w:top w:val="nil"/>
              <w:left w:val="nil"/>
              <w:bottom w:val="nil"/>
              <w:right w:val="nil"/>
            </w:tcBorders>
            <w:shd w:val="clear" w:color="auto" w:fill="auto"/>
          </w:tcPr>
          <w:p w14:paraId="1E967A8D"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Support for women and children to leave violence</w:t>
            </w:r>
            <w:r w:rsidRPr="001E037D">
              <w:rPr>
                <w:rFonts w:ascii="Calibri" w:eastAsia="Times New Roman" w:hAnsi="Calibri" w:cs="Times New Roman"/>
                <w:bCs/>
                <w:sz w:val="20"/>
                <w:szCs w:val="20"/>
                <w:vertAlign w:val="superscript"/>
                <w:lang w:eastAsia="en-AU"/>
              </w:rPr>
              <w:t>1, 7</w:t>
            </w:r>
          </w:p>
        </w:tc>
        <w:tc>
          <w:tcPr>
            <w:tcW w:w="974" w:type="dxa"/>
            <w:tcBorders>
              <w:top w:val="nil"/>
              <w:left w:val="nil"/>
              <w:bottom w:val="nil"/>
              <w:right w:val="nil"/>
            </w:tcBorders>
            <w:shd w:val="clear" w:color="auto" w:fill="auto"/>
          </w:tcPr>
          <w:p w14:paraId="0DE83BFB"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226</w:t>
            </w:r>
          </w:p>
        </w:tc>
        <w:tc>
          <w:tcPr>
            <w:tcW w:w="974" w:type="dxa"/>
            <w:tcBorders>
              <w:top w:val="nil"/>
              <w:left w:val="nil"/>
              <w:bottom w:val="nil"/>
              <w:right w:val="nil"/>
            </w:tcBorders>
            <w:shd w:val="clear" w:color="auto" w:fill="auto"/>
          </w:tcPr>
          <w:p w14:paraId="2151CDF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232</w:t>
            </w:r>
          </w:p>
        </w:tc>
        <w:tc>
          <w:tcPr>
            <w:tcW w:w="974" w:type="dxa"/>
            <w:tcBorders>
              <w:top w:val="nil"/>
              <w:left w:val="nil"/>
              <w:bottom w:val="nil"/>
              <w:right w:val="nil"/>
            </w:tcBorders>
            <w:shd w:val="clear" w:color="auto" w:fill="auto"/>
          </w:tcPr>
          <w:p w14:paraId="5A578F5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238</w:t>
            </w:r>
          </w:p>
        </w:tc>
        <w:tc>
          <w:tcPr>
            <w:tcW w:w="984" w:type="dxa"/>
            <w:tcBorders>
              <w:top w:val="nil"/>
              <w:left w:val="nil"/>
              <w:bottom w:val="nil"/>
              <w:right w:val="nil"/>
            </w:tcBorders>
            <w:shd w:val="clear" w:color="auto" w:fill="auto"/>
          </w:tcPr>
          <w:p w14:paraId="6C23CEA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244</w:t>
            </w:r>
          </w:p>
        </w:tc>
        <w:tc>
          <w:tcPr>
            <w:tcW w:w="984" w:type="dxa"/>
            <w:tcBorders>
              <w:top w:val="nil"/>
              <w:left w:val="nil"/>
              <w:bottom w:val="nil"/>
              <w:right w:val="nil"/>
            </w:tcBorders>
            <w:shd w:val="clear" w:color="auto" w:fill="auto"/>
          </w:tcPr>
          <w:p w14:paraId="34BCD8A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940</w:t>
            </w:r>
          </w:p>
        </w:tc>
      </w:tr>
      <w:tr w:rsidR="00654E5E" w:rsidRPr="001E037D" w14:paraId="7A0C71AA" w14:textId="77777777" w:rsidTr="00785F44">
        <w:trPr>
          <w:cantSplit/>
          <w:trHeight w:val="284"/>
          <w:jc w:val="center"/>
        </w:trPr>
        <w:tc>
          <w:tcPr>
            <w:tcW w:w="4210" w:type="dxa"/>
            <w:tcBorders>
              <w:top w:val="nil"/>
              <w:left w:val="nil"/>
              <w:bottom w:val="nil"/>
              <w:right w:val="nil"/>
            </w:tcBorders>
            <w:shd w:val="clear" w:color="auto" w:fill="auto"/>
          </w:tcPr>
          <w:p w14:paraId="70F74B76" w14:textId="77777777" w:rsidR="00654E5E" w:rsidRPr="001E037D" w:rsidRDefault="00654E5E" w:rsidP="00785F44">
            <w:pPr>
              <w:spacing w:after="0" w:line="240" w:lineRule="auto"/>
              <w:ind w:left="63" w:hanging="63"/>
              <w:rPr>
                <w:rFonts w:ascii="Calibri" w:eastAsia="Times New Roman" w:hAnsi="Calibri" w:cs="Times New Roman"/>
                <w:bCs/>
                <w:sz w:val="20"/>
                <w:szCs w:val="20"/>
                <w:vertAlign w:val="superscript"/>
                <w:lang w:eastAsia="en-AU"/>
              </w:rPr>
            </w:pPr>
            <w:r w:rsidRPr="001E037D">
              <w:rPr>
                <w:rFonts w:ascii="Calibri" w:eastAsia="Times New Roman" w:hAnsi="Calibri" w:cs="Times New Roman"/>
                <w:bCs/>
                <w:sz w:val="20"/>
                <w:szCs w:val="20"/>
                <w:lang w:eastAsia="en-AU"/>
              </w:rPr>
              <w:t>Safer Families – Training ACT Government frontline workers to respond to family violence</w:t>
            </w:r>
          </w:p>
        </w:tc>
        <w:tc>
          <w:tcPr>
            <w:tcW w:w="974" w:type="dxa"/>
            <w:tcBorders>
              <w:top w:val="nil"/>
              <w:left w:val="nil"/>
              <w:bottom w:val="nil"/>
              <w:right w:val="nil"/>
            </w:tcBorders>
            <w:shd w:val="clear" w:color="auto" w:fill="auto"/>
          </w:tcPr>
          <w:p w14:paraId="5A16D72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572 </w:t>
            </w:r>
          </w:p>
        </w:tc>
        <w:tc>
          <w:tcPr>
            <w:tcW w:w="974" w:type="dxa"/>
            <w:tcBorders>
              <w:top w:val="nil"/>
              <w:left w:val="nil"/>
              <w:bottom w:val="nil"/>
              <w:right w:val="nil"/>
            </w:tcBorders>
            <w:shd w:val="clear" w:color="auto" w:fill="auto"/>
          </w:tcPr>
          <w:p w14:paraId="394861DC"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567 </w:t>
            </w:r>
          </w:p>
        </w:tc>
        <w:tc>
          <w:tcPr>
            <w:tcW w:w="974" w:type="dxa"/>
            <w:tcBorders>
              <w:top w:val="nil"/>
              <w:left w:val="nil"/>
              <w:bottom w:val="nil"/>
              <w:right w:val="nil"/>
            </w:tcBorders>
            <w:shd w:val="clear" w:color="auto" w:fill="auto"/>
          </w:tcPr>
          <w:p w14:paraId="28DF1056"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10827DC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7920CAA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w:t>
            </w:r>
            <w:r w:rsidRPr="001E037D">
              <w:rPr>
                <w:rFonts w:ascii="Calibri" w:eastAsia="Times New Roman" w:hAnsi="Calibri" w:cs="Times New Roman"/>
                <w:bCs/>
                <w:sz w:val="20"/>
                <w:szCs w:val="24"/>
              </w:rPr>
              <w:t>,</w:t>
            </w:r>
            <w:r w:rsidRPr="001E037D">
              <w:rPr>
                <w:rFonts w:ascii="Calibri" w:eastAsia="Times New Roman" w:hAnsi="Calibri" w:cs="Times New Roman"/>
                <w:bCs/>
                <w:sz w:val="20"/>
                <w:szCs w:val="24"/>
                <w:lang w:val="x-none"/>
              </w:rPr>
              <w:t>139</w:t>
            </w:r>
          </w:p>
        </w:tc>
      </w:tr>
      <w:tr w:rsidR="00654E5E" w:rsidRPr="001E037D" w14:paraId="6CE32BE5" w14:textId="77777777" w:rsidTr="00785F44">
        <w:trPr>
          <w:cantSplit/>
          <w:trHeight w:val="284"/>
          <w:jc w:val="center"/>
        </w:trPr>
        <w:tc>
          <w:tcPr>
            <w:tcW w:w="4210" w:type="dxa"/>
            <w:tcBorders>
              <w:top w:val="nil"/>
              <w:left w:val="nil"/>
              <w:bottom w:val="nil"/>
              <w:right w:val="nil"/>
            </w:tcBorders>
            <w:shd w:val="clear" w:color="auto" w:fill="auto"/>
          </w:tcPr>
          <w:p w14:paraId="4A717BB8" w14:textId="77777777" w:rsidR="00654E5E" w:rsidRPr="001E037D" w:rsidRDefault="00654E5E" w:rsidP="00785F44">
            <w:pPr>
              <w:spacing w:after="0" w:line="240" w:lineRule="auto"/>
              <w:ind w:left="63" w:hanging="63"/>
              <w:rPr>
                <w:rFonts w:ascii="Calibri" w:eastAsia="Times New Roman" w:hAnsi="Calibri" w:cs="Times New Roman"/>
                <w:bCs/>
                <w:sz w:val="20"/>
                <w:szCs w:val="20"/>
                <w:vertAlign w:val="superscript"/>
                <w:lang w:eastAsia="en-AU"/>
              </w:rPr>
            </w:pPr>
            <w:r w:rsidRPr="001E037D">
              <w:rPr>
                <w:rFonts w:ascii="Calibri" w:eastAsia="Times New Roman" w:hAnsi="Calibri" w:cs="Times New Roman"/>
                <w:bCs/>
                <w:sz w:val="20"/>
                <w:szCs w:val="20"/>
                <w:lang w:eastAsia="en-AU"/>
              </w:rPr>
              <w:t>Safer Families – Integrated Family Safety Information Sharing and Risk Assessment</w:t>
            </w:r>
          </w:p>
        </w:tc>
        <w:tc>
          <w:tcPr>
            <w:tcW w:w="974" w:type="dxa"/>
            <w:tcBorders>
              <w:top w:val="nil"/>
              <w:left w:val="nil"/>
              <w:bottom w:val="nil"/>
              <w:right w:val="nil"/>
            </w:tcBorders>
            <w:shd w:val="clear" w:color="auto" w:fill="auto"/>
          </w:tcPr>
          <w:p w14:paraId="7EA4308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 xml:space="preserve">433 </w:t>
            </w:r>
          </w:p>
        </w:tc>
        <w:tc>
          <w:tcPr>
            <w:tcW w:w="974" w:type="dxa"/>
            <w:tcBorders>
              <w:top w:val="nil"/>
              <w:left w:val="nil"/>
              <w:bottom w:val="nil"/>
              <w:right w:val="nil"/>
            </w:tcBorders>
            <w:shd w:val="clear" w:color="auto" w:fill="auto"/>
          </w:tcPr>
          <w:p w14:paraId="7BE5F64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w:t>
            </w:r>
            <w:r w:rsidRPr="001E037D">
              <w:rPr>
                <w:rFonts w:ascii="Calibri" w:eastAsia="Times New Roman" w:hAnsi="Calibri" w:cs="Times New Roman"/>
                <w:bCs/>
                <w:sz w:val="20"/>
                <w:szCs w:val="24"/>
                <w:lang w:val="en-US"/>
              </w:rPr>
              <w:t>61</w:t>
            </w:r>
            <w:r w:rsidRPr="001E037D">
              <w:rPr>
                <w:rFonts w:ascii="Calibri" w:eastAsia="Times New Roman" w:hAnsi="Calibri" w:cs="Times New Roman"/>
                <w:bCs/>
                <w:sz w:val="20"/>
                <w:szCs w:val="24"/>
                <w:lang w:val="x-none"/>
              </w:rPr>
              <w:t xml:space="preserve"> </w:t>
            </w:r>
          </w:p>
        </w:tc>
        <w:tc>
          <w:tcPr>
            <w:tcW w:w="974" w:type="dxa"/>
            <w:tcBorders>
              <w:top w:val="nil"/>
              <w:left w:val="nil"/>
              <w:bottom w:val="nil"/>
              <w:right w:val="nil"/>
            </w:tcBorders>
            <w:shd w:val="clear" w:color="auto" w:fill="auto"/>
          </w:tcPr>
          <w:p w14:paraId="402679E1"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en-US"/>
              </w:rPr>
              <w:t>-</w:t>
            </w:r>
            <w:r w:rsidRPr="001E037D">
              <w:rPr>
                <w:rFonts w:ascii="Calibri" w:eastAsia="Times New Roman" w:hAnsi="Calibri" w:cs="Times New Roman"/>
                <w:bCs/>
                <w:sz w:val="20"/>
                <w:szCs w:val="24"/>
                <w:lang w:val="x-none"/>
              </w:rPr>
              <w:t xml:space="preserve">   </w:t>
            </w:r>
          </w:p>
        </w:tc>
        <w:tc>
          <w:tcPr>
            <w:tcW w:w="984" w:type="dxa"/>
            <w:tcBorders>
              <w:top w:val="nil"/>
              <w:left w:val="nil"/>
              <w:bottom w:val="nil"/>
              <w:right w:val="nil"/>
            </w:tcBorders>
            <w:shd w:val="clear" w:color="auto" w:fill="auto"/>
          </w:tcPr>
          <w:p w14:paraId="1F1E967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737F120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894</w:t>
            </w:r>
          </w:p>
        </w:tc>
      </w:tr>
      <w:tr w:rsidR="00654E5E" w:rsidRPr="001E037D" w14:paraId="20CA42CB" w14:textId="77777777" w:rsidTr="00785F44">
        <w:trPr>
          <w:cantSplit/>
          <w:trHeight w:val="284"/>
          <w:jc w:val="center"/>
        </w:trPr>
        <w:tc>
          <w:tcPr>
            <w:tcW w:w="4210" w:type="dxa"/>
            <w:tcBorders>
              <w:top w:val="nil"/>
              <w:left w:val="nil"/>
              <w:bottom w:val="nil"/>
              <w:right w:val="nil"/>
            </w:tcBorders>
            <w:shd w:val="clear" w:color="auto" w:fill="auto"/>
          </w:tcPr>
          <w:p w14:paraId="6217E78D"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Data System to support Death Review</w:t>
            </w:r>
            <w:r w:rsidRPr="001E037D">
              <w:rPr>
                <w:rFonts w:ascii="Calibri" w:eastAsia="Times New Roman" w:hAnsi="Calibri" w:cs="Times New Roman"/>
                <w:bCs/>
                <w:sz w:val="20"/>
                <w:szCs w:val="20"/>
                <w:vertAlign w:val="superscript"/>
                <w:lang w:eastAsia="en-AU"/>
              </w:rPr>
              <w:t>2</w:t>
            </w:r>
          </w:p>
        </w:tc>
        <w:tc>
          <w:tcPr>
            <w:tcW w:w="974" w:type="dxa"/>
            <w:tcBorders>
              <w:top w:val="nil"/>
              <w:left w:val="nil"/>
              <w:bottom w:val="nil"/>
              <w:right w:val="nil"/>
            </w:tcBorders>
            <w:shd w:val="clear" w:color="auto" w:fill="auto"/>
          </w:tcPr>
          <w:p w14:paraId="4A1AF3B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200</w:t>
            </w:r>
          </w:p>
        </w:tc>
        <w:tc>
          <w:tcPr>
            <w:tcW w:w="974" w:type="dxa"/>
            <w:tcBorders>
              <w:top w:val="nil"/>
              <w:left w:val="nil"/>
              <w:bottom w:val="nil"/>
              <w:right w:val="nil"/>
            </w:tcBorders>
            <w:shd w:val="clear" w:color="auto" w:fill="auto"/>
          </w:tcPr>
          <w:p w14:paraId="0703EDF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w:t>
            </w:r>
          </w:p>
        </w:tc>
        <w:tc>
          <w:tcPr>
            <w:tcW w:w="974" w:type="dxa"/>
            <w:tcBorders>
              <w:top w:val="nil"/>
              <w:left w:val="nil"/>
              <w:bottom w:val="nil"/>
              <w:right w:val="nil"/>
            </w:tcBorders>
            <w:shd w:val="clear" w:color="auto" w:fill="auto"/>
          </w:tcPr>
          <w:p w14:paraId="3CCC478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en-US"/>
              </w:rPr>
            </w:pPr>
            <w:r w:rsidRPr="001E037D">
              <w:rPr>
                <w:rFonts w:ascii="Calibri" w:eastAsia="Times New Roman" w:hAnsi="Calibri" w:cs="Times New Roman"/>
                <w:bCs/>
                <w:sz w:val="20"/>
                <w:szCs w:val="24"/>
                <w:lang w:val="en-US"/>
              </w:rPr>
              <w:t>-</w:t>
            </w:r>
          </w:p>
        </w:tc>
        <w:tc>
          <w:tcPr>
            <w:tcW w:w="984" w:type="dxa"/>
            <w:tcBorders>
              <w:top w:val="nil"/>
              <w:left w:val="nil"/>
              <w:bottom w:val="nil"/>
              <w:right w:val="nil"/>
            </w:tcBorders>
            <w:shd w:val="clear" w:color="auto" w:fill="auto"/>
          </w:tcPr>
          <w:p w14:paraId="03E13ED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w:t>
            </w:r>
          </w:p>
        </w:tc>
        <w:tc>
          <w:tcPr>
            <w:tcW w:w="984" w:type="dxa"/>
            <w:tcBorders>
              <w:top w:val="nil"/>
              <w:left w:val="nil"/>
              <w:bottom w:val="nil"/>
              <w:right w:val="nil"/>
            </w:tcBorders>
            <w:shd w:val="clear" w:color="auto" w:fill="auto"/>
          </w:tcPr>
          <w:p w14:paraId="7333AEE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200</w:t>
            </w:r>
          </w:p>
        </w:tc>
      </w:tr>
      <w:tr w:rsidR="00654E5E" w:rsidRPr="001E037D" w14:paraId="6AE4D45F" w14:textId="77777777" w:rsidTr="00785F44">
        <w:trPr>
          <w:cantSplit/>
          <w:trHeight w:val="284"/>
          <w:jc w:val="center"/>
        </w:trPr>
        <w:tc>
          <w:tcPr>
            <w:tcW w:w="4210" w:type="dxa"/>
            <w:tcBorders>
              <w:top w:val="nil"/>
              <w:left w:val="nil"/>
              <w:bottom w:val="nil"/>
              <w:right w:val="nil"/>
            </w:tcBorders>
            <w:shd w:val="clear" w:color="auto" w:fill="auto"/>
          </w:tcPr>
          <w:p w14:paraId="0A711BEC"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 xml:space="preserve">Safer Families – Strengthening </w:t>
            </w:r>
            <w:r w:rsidRPr="00EB7ACE">
              <w:rPr>
                <w:sz w:val="20"/>
                <w:szCs w:val="20"/>
              </w:rPr>
              <w:t>domestic and family violence</w:t>
            </w:r>
            <w:r w:rsidRPr="00E95F11">
              <w:rPr>
                <w:rFonts w:ascii="Calibri" w:eastAsia="Times New Roman" w:hAnsi="Calibri" w:cs="Times New Roman"/>
                <w:bCs/>
                <w:sz w:val="20"/>
                <w:szCs w:val="20"/>
                <w:lang w:eastAsia="en-AU"/>
              </w:rPr>
              <w:t xml:space="preserve"> </w:t>
            </w:r>
            <w:r w:rsidRPr="001E037D">
              <w:rPr>
                <w:rFonts w:ascii="Calibri" w:eastAsia="Times New Roman" w:hAnsi="Calibri" w:cs="Times New Roman"/>
                <w:bCs/>
                <w:sz w:val="20"/>
                <w:szCs w:val="20"/>
                <w:lang w:eastAsia="en-AU"/>
              </w:rPr>
              <w:t>responses for the Aboriginal and Torres Strait Islander Community</w:t>
            </w:r>
            <w:r w:rsidRPr="001E037D">
              <w:rPr>
                <w:rFonts w:ascii="Calibri" w:eastAsia="Times New Roman" w:hAnsi="Calibri" w:cs="Times New Roman"/>
                <w:bCs/>
                <w:sz w:val="20"/>
                <w:szCs w:val="20"/>
                <w:vertAlign w:val="superscript"/>
                <w:lang w:eastAsia="en-AU"/>
              </w:rPr>
              <w:t>1,3</w:t>
            </w:r>
          </w:p>
        </w:tc>
        <w:tc>
          <w:tcPr>
            <w:tcW w:w="974" w:type="dxa"/>
            <w:tcBorders>
              <w:top w:val="nil"/>
              <w:left w:val="nil"/>
              <w:bottom w:val="nil"/>
              <w:right w:val="nil"/>
            </w:tcBorders>
            <w:shd w:val="clear" w:color="auto" w:fill="auto"/>
          </w:tcPr>
          <w:p w14:paraId="3048ECB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315</w:t>
            </w:r>
          </w:p>
        </w:tc>
        <w:tc>
          <w:tcPr>
            <w:tcW w:w="974" w:type="dxa"/>
            <w:tcBorders>
              <w:top w:val="nil"/>
              <w:left w:val="nil"/>
              <w:bottom w:val="nil"/>
              <w:right w:val="nil"/>
            </w:tcBorders>
            <w:shd w:val="clear" w:color="auto" w:fill="auto"/>
          </w:tcPr>
          <w:p w14:paraId="78AE53B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7</w:t>
            </w:r>
            <w:r w:rsidRPr="001E037D">
              <w:rPr>
                <w:rFonts w:ascii="Calibri" w:eastAsia="Times New Roman" w:hAnsi="Calibri" w:cs="Times New Roman"/>
                <w:bCs/>
                <w:sz w:val="20"/>
                <w:szCs w:val="24"/>
              </w:rPr>
              <w:t>3</w:t>
            </w:r>
          </w:p>
        </w:tc>
        <w:tc>
          <w:tcPr>
            <w:tcW w:w="974" w:type="dxa"/>
            <w:tcBorders>
              <w:top w:val="nil"/>
              <w:left w:val="nil"/>
              <w:bottom w:val="nil"/>
              <w:right w:val="nil"/>
            </w:tcBorders>
            <w:shd w:val="clear" w:color="auto" w:fill="auto"/>
          </w:tcPr>
          <w:p w14:paraId="52CD8903" w14:textId="77777777" w:rsidR="00654E5E" w:rsidRPr="001E037D" w:rsidDel="00D95EF0"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320E1E85" w14:textId="77777777" w:rsidR="00654E5E" w:rsidRPr="001E037D" w:rsidDel="00E251A8"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w:t>
            </w:r>
          </w:p>
        </w:tc>
        <w:tc>
          <w:tcPr>
            <w:tcW w:w="984" w:type="dxa"/>
            <w:tcBorders>
              <w:top w:val="nil"/>
              <w:left w:val="nil"/>
              <w:bottom w:val="nil"/>
              <w:right w:val="nil"/>
            </w:tcBorders>
            <w:shd w:val="clear" w:color="auto" w:fill="auto"/>
          </w:tcPr>
          <w:p w14:paraId="62B5936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rPr>
              <w:t>388</w:t>
            </w:r>
          </w:p>
        </w:tc>
      </w:tr>
      <w:tr w:rsidR="00654E5E" w:rsidRPr="001E037D" w14:paraId="379A95C2" w14:textId="77777777" w:rsidTr="00785F44">
        <w:trPr>
          <w:cantSplit/>
          <w:trHeight w:val="284"/>
          <w:jc w:val="center"/>
        </w:trPr>
        <w:tc>
          <w:tcPr>
            <w:tcW w:w="4210" w:type="dxa"/>
            <w:tcBorders>
              <w:top w:val="nil"/>
              <w:left w:val="nil"/>
              <w:bottom w:val="nil"/>
              <w:right w:val="nil"/>
            </w:tcBorders>
            <w:shd w:val="clear" w:color="auto" w:fill="auto"/>
          </w:tcPr>
          <w:p w14:paraId="67B42750"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Strengthening Sexual Assault Prevention and Response</w:t>
            </w:r>
            <w:r w:rsidRPr="001E037D">
              <w:rPr>
                <w:rFonts w:ascii="Calibri" w:eastAsia="Times New Roman" w:hAnsi="Calibri" w:cs="Times New Roman"/>
                <w:bCs/>
                <w:sz w:val="20"/>
                <w:szCs w:val="20"/>
                <w:vertAlign w:val="superscript"/>
                <w:lang w:eastAsia="en-AU"/>
              </w:rPr>
              <w:t>1</w:t>
            </w:r>
          </w:p>
        </w:tc>
        <w:tc>
          <w:tcPr>
            <w:tcW w:w="974" w:type="dxa"/>
            <w:tcBorders>
              <w:top w:val="nil"/>
              <w:left w:val="nil"/>
              <w:bottom w:val="nil"/>
              <w:right w:val="nil"/>
            </w:tcBorders>
            <w:shd w:val="clear" w:color="auto" w:fill="auto"/>
          </w:tcPr>
          <w:p w14:paraId="055509FF"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80</w:t>
            </w:r>
          </w:p>
        </w:tc>
        <w:tc>
          <w:tcPr>
            <w:tcW w:w="974" w:type="dxa"/>
            <w:tcBorders>
              <w:top w:val="nil"/>
              <w:left w:val="nil"/>
              <w:bottom w:val="nil"/>
              <w:right w:val="nil"/>
            </w:tcBorders>
            <w:shd w:val="clear" w:color="auto" w:fill="auto"/>
          </w:tcPr>
          <w:p w14:paraId="2A6D3EA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2</w:t>
            </w:r>
            <w:r w:rsidRPr="001E037D">
              <w:rPr>
                <w:rFonts w:ascii="Calibri" w:eastAsia="Times New Roman" w:hAnsi="Calibri" w:cs="Times New Roman"/>
                <w:bCs/>
                <w:sz w:val="20"/>
                <w:szCs w:val="24"/>
              </w:rPr>
              <w:t>0</w:t>
            </w:r>
          </w:p>
        </w:tc>
        <w:tc>
          <w:tcPr>
            <w:tcW w:w="974" w:type="dxa"/>
            <w:tcBorders>
              <w:top w:val="nil"/>
              <w:left w:val="nil"/>
              <w:bottom w:val="nil"/>
              <w:right w:val="nil"/>
            </w:tcBorders>
            <w:shd w:val="clear" w:color="auto" w:fill="auto"/>
          </w:tcPr>
          <w:p w14:paraId="3C084270" w14:textId="77777777" w:rsidR="00654E5E" w:rsidRPr="001E037D" w:rsidDel="00D95EF0"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20</w:t>
            </w:r>
          </w:p>
        </w:tc>
        <w:tc>
          <w:tcPr>
            <w:tcW w:w="984" w:type="dxa"/>
            <w:tcBorders>
              <w:top w:val="nil"/>
              <w:left w:val="nil"/>
              <w:bottom w:val="nil"/>
              <w:right w:val="nil"/>
            </w:tcBorders>
            <w:shd w:val="clear" w:color="auto" w:fill="auto"/>
          </w:tcPr>
          <w:p w14:paraId="23E99303" w14:textId="77777777" w:rsidR="00654E5E" w:rsidRPr="001E037D" w:rsidDel="00E251A8"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20</w:t>
            </w:r>
          </w:p>
        </w:tc>
        <w:tc>
          <w:tcPr>
            <w:tcW w:w="984" w:type="dxa"/>
            <w:tcBorders>
              <w:top w:val="nil"/>
              <w:left w:val="nil"/>
              <w:bottom w:val="nil"/>
              <w:right w:val="nil"/>
            </w:tcBorders>
            <w:shd w:val="clear" w:color="auto" w:fill="auto"/>
          </w:tcPr>
          <w:p w14:paraId="52B9A92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14</w:t>
            </w:r>
            <w:r w:rsidRPr="001E037D">
              <w:rPr>
                <w:rFonts w:ascii="Calibri" w:eastAsia="Times New Roman" w:hAnsi="Calibri" w:cs="Times New Roman"/>
                <w:bCs/>
                <w:sz w:val="20"/>
                <w:szCs w:val="24"/>
              </w:rPr>
              <w:t>0</w:t>
            </w:r>
          </w:p>
        </w:tc>
      </w:tr>
      <w:tr w:rsidR="00654E5E" w:rsidRPr="001E037D" w14:paraId="2CAF4E00" w14:textId="77777777" w:rsidTr="00785F44">
        <w:trPr>
          <w:cantSplit/>
          <w:trHeight w:val="284"/>
          <w:jc w:val="center"/>
        </w:trPr>
        <w:tc>
          <w:tcPr>
            <w:tcW w:w="4210" w:type="dxa"/>
            <w:tcBorders>
              <w:top w:val="nil"/>
              <w:left w:val="nil"/>
              <w:bottom w:val="nil"/>
              <w:right w:val="nil"/>
            </w:tcBorders>
            <w:shd w:val="clear" w:color="auto" w:fill="auto"/>
          </w:tcPr>
          <w:p w14:paraId="406FF87C"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Family Violence Safety Action Pilot - Continuation</w:t>
            </w:r>
          </w:p>
        </w:tc>
        <w:tc>
          <w:tcPr>
            <w:tcW w:w="974" w:type="dxa"/>
            <w:tcBorders>
              <w:top w:val="nil"/>
              <w:left w:val="nil"/>
              <w:bottom w:val="nil"/>
              <w:right w:val="nil"/>
            </w:tcBorders>
            <w:shd w:val="clear" w:color="auto" w:fill="auto"/>
          </w:tcPr>
          <w:p w14:paraId="229C920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249</w:t>
            </w:r>
          </w:p>
        </w:tc>
        <w:tc>
          <w:tcPr>
            <w:tcW w:w="974" w:type="dxa"/>
            <w:tcBorders>
              <w:top w:val="nil"/>
              <w:left w:val="nil"/>
              <w:bottom w:val="nil"/>
              <w:right w:val="nil"/>
            </w:tcBorders>
            <w:shd w:val="clear" w:color="auto" w:fill="auto"/>
          </w:tcPr>
          <w:p w14:paraId="6B9BD0DD"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p>
        </w:tc>
        <w:tc>
          <w:tcPr>
            <w:tcW w:w="974" w:type="dxa"/>
            <w:tcBorders>
              <w:top w:val="nil"/>
              <w:left w:val="nil"/>
              <w:bottom w:val="nil"/>
              <w:right w:val="nil"/>
            </w:tcBorders>
            <w:shd w:val="clear" w:color="auto" w:fill="auto"/>
          </w:tcPr>
          <w:p w14:paraId="53A8ADD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p>
        </w:tc>
        <w:tc>
          <w:tcPr>
            <w:tcW w:w="984" w:type="dxa"/>
            <w:tcBorders>
              <w:top w:val="nil"/>
              <w:left w:val="nil"/>
              <w:bottom w:val="nil"/>
              <w:right w:val="nil"/>
            </w:tcBorders>
            <w:shd w:val="clear" w:color="auto" w:fill="auto"/>
          </w:tcPr>
          <w:p w14:paraId="0920E466"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p>
        </w:tc>
        <w:tc>
          <w:tcPr>
            <w:tcW w:w="984" w:type="dxa"/>
            <w:tcBorders>
              <w:top w:val="nil"/>
              <w:left w:val="nil"/>
              <w:bottom w:val="nil"/>
              <w:right w:val="nil"/>
            </w:tcBorders>
            <w:shd w:val="clear" w:color="auto" w:fill="auto"/>
          </w:tcPr>
          <w:p w14:paraId="4DE6DCB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249</w:t>
            </w:r>
          </w:p>
        </w:tc>
      </w:tr>
      <w:tr w:rsidR="00654E5E" w:rsidRPr="001E037D" w14:paraId="2694FB01" w14:textId="77777777" w:rsidTr="00785F44">
        <w:trPr>
          <w:cantSplit/>
          <w:trHeight w:val="284"/>
          <w:jc w:val="center"/>
        </w:trPr>
        <w:tc>
          <w:tcPr>
            <w:tcW w:w="4210" w:type="dxa"/>
            <w:tcBorders>
              <w:top w:val="nil"/>
              <w:left w:val="nil"/>
              <w:bottom w:val="nil"/>
              <w:right w:val="nil"/>
            </w:tcBorders>
            <w:shd w:val="clear" w:color="auto" w:fill="auto"/>
          </w:tcPr>
          <w:p w14:paraId="5C501BD5" w14:textId="77777777" w:rsidR="00654E5E" w:rsidRPr="001E037D" w:rsidRDefault="00654E5E" w:rsidP="00785F44">
            <w:pPr>
              <w:spacing w:after="0" w:line="240" w:lineRule="auto"/>
              <w:ind w:left="63" w:hanging="63"/>
              <w:rPr>
                <w:rFonts w:ascii="Calibri" w:eastAsia="Times New Roman" w:hAnsi="Calibri" w:cs="Times New Roman"/>
                <w:bCs/>
                <w:sz w:val="20"/>
                <w:szCs w:val="20"/>
                <w:vertAlign w:val="superscript"/>
                <w:lang w:eastAsia="en-AU"/>
              </w:rPr>
            </w:pPr>
            <w:r w:rsidRPr="001E037D">
              <w:rPr>
                <w:rFonts w:ascii="Calibri" w:eastAsia="Times New Roman" w:hAnsi="Calibri" w:cs="Times New Roman"/>
                <w:bCs/>
                <w:sz w:val="20"/>
                <w:szCs w:val="20"/>
                <w:lang w:eastAsia="en-AU"/>
              </w:rPr>
              <w:t xml:space="preserve">Safer Families – Critical </w:t>
            </w:r>
            <w:r w:rsidRPr="00F2760B">
              <w:rPr>
                <w:rFonts w:ascii="Calibri" w:eastAsia="Times New Roman" w:hAnsi="Calibri" w:cs="Times New Roman"/>
                <w:bCs/>
                <w:sz w:val="20"/>
                <w:szCs w:val="20"/>
                <w:lang w:eastAsia="en-AU"/>
              </w:rPr>
              <w:t>domestic and family violence</w:t>
            </w:r>
            <w:r w:rsidRPr="001E037D">
              <w:rPr>
                <w:rFonts w:ascii="Calibri" w:eastAsia="Times New Roman" w:hAnsi="Calibri" w:cs="Times New Roman"/>
                <w:bCs/>
                <w:sz w:val="20"/>
                <w:szCs w:val="20"/>
                <w:lang w:eastAsia="en-AU"/>
              </w:rPr>
              <w:t xml:space="preserve"> support in health and community settings</w:t>
            </w:r>
            <w:r w:rsidRPr="001E037D">
              <w:rPr>
                <w:rFonts w:ascii="Calibri" w:eastAsia="Times New Roman" w:hAnsi="Calibri" w:cs="Times New Roman"/>
                <w:bCs/>
                <w:sz w:val="20"/>
                <w:szCs w:val="20"/>
                <w:vertAlign w:val="superscript"/>
                <w:lang w:eastAsia="en-AU"/>
              </w:rPr>
              <w:t>1</w:t>
            </w:r>
          </w:p>
        </w:tc>
        <w:tc>
          <w:tcPr>
            <w:tcW w:w="974" w:type="dxa"/>
            <w:tcBorders>
              <w:top w:val="nil"/>
              <w:left w:val="nil"/>
              <w:bottom w:val="nil"/>
              <w:right w:val="nil"/>
            </w:tcBorders>
            <w:shd w:val="clear" w:color="auto" w:fill="auto"/>
          </w:tcPr>
          <w:p w14:paraId="08489F5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94</w:t>
            </w:r>
            <w:r w:rsidRPr="001E037D">
              <w:rPr>
                <w:rFonts w:ascii="Calibri" w:eastAsia="Times New Roman" w:hAnsi="Calibri" w:cs="Times New Roman"/>
                <w:bCs/>
                <w:sz w:val="20"/>
                <w:szCs w:val="24"/>
              </w:rPr>
              <w:t>0</w:t>
            </w:r>
          </w:p>
        </w:tc>
        <w:tc>
          <w:tcPr>
            <w:tcW w:w="974" w:type="dxa"/>
            <w:tcBorders>
              <w:top w:val="nil"/>
              <w:left w:val="nil"/>
              <w:bottom w:val="nil"/>
              <w:right w:val="nil"/>
            </w:tcBorders>
            <w:shd w:val="clear" w:color="auto" w:fill="auto"/>
          </w:tcPr>
          <w:p w14:paraId="651466E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97</w:t>
            </w:r>
            <w:r w:rsidRPr="001E037D">
              <w:rPr>
                <w:rFonts w:ascii="Calibri" w:eastAsia="Times New Roman" w:hAnsi="Calibri" w:cs="Times New Roman"/>
                <w:bCs/>
                <w:sz w:val="20"/>
                <w:szCs w:val="24"/>
              </w:rPr>
              <w:t>4</w:t>
            </w:r>
          </w:p>
        </w:tc>
        <w:tc>
          <w:tcPr>
            <w:tcW w:w="974" w:type="dxa"/>
            <w:tcBorders>
              <w:top w:val="nil"/>
              <w:left w:val="nil"/>
              <w:bottom w:val="nil"/>
              <w:right w:val="nil"/>
            </w:tcBorders>
            <w:shd w:val="clear" w:color="auto" w:fill="auto"/>
          </w:tcPr>
          <w:p w14:paraId="5ABB7CA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98</w:t>
            </w:r>
            <w:r w:rsidRPr="001E037D">
              <w:rPr>
                <w:rFonts w:ascii="Calibri" w:eastAsia="Times New Roman" w:hAnsi="Calibri" w:cs="Times New Roman"/>
                <w:bCs/>
                <w:sz w:val="20"/>
                <w:szCs w:val="24"/>
              </w:rPr>
              <w:t>1</w:t>
            </w:r>
          </w:p>
        </w:tc>
        <w:tc>
          <w:tcPr>
            <w:tcW w:w="984" w:type="dxa"/>
            <w:tcBorders>
              <w:top w:val="nil"/>
              <w:left w:val="nil"/>
              <w:bottom w:val="nil"/>
              <w:right w:val="nil"/>
            </w:tcBorders>
            <w:shd w:val="clear" w:color="auto" w:fill="auto"/>
          </w:tcPr>
          <w:p w14:paraId="65AA3EB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1,005</w:t>
            </w:r>
          </w:p>
        </w:tc>
        <w:tc>
          <w:tcPr>
            <w:tcW w:w="984" w:type="dxa"/>
            <w:tcBorders>
              <w:top w:val="nil"/>
              <w:left w:val="nil"/>
              <w:bottom w:val="nil"/>
              <w:right w:val="nil"/>
            </w:tcBorders>
            <w:shd w:val="clear" w:color="auto" w:fill="auto"/>
          </w:tcPr>
          <w:p w14:paraId="4F345B0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rPr>
            </w:pPr>
            <w:r w:rsidRPr="001E037D">
              <w:rPr>
                <w:rFonts w:ascii="Calibri" w:eastAsia="Times New Roman" w:hAnsi="Calibri" w:cs="Times New Roman"/>
                <w:bCs/>
                <w:sz w:val="20"/>
                <w:szCs w:val="24"/>
                <w:lang w:val="x-none"/>
              </w:rPr>
              <w:t>3,90</w:t>
            </w:r>
            <w:r w:rsidRPr="001E037D">
              <w:rPr>
                <w:rFonts w:ascii="Calibri" w:eastAsia="Times New Roman" w:hAnsi="Calibri" w:cs="Times New Roman"/>
                <w:bCs/>
                <w:sz w:val="20"/>
                <w:szCs w:val="24"/>
              </w:rPr>
              <w:t>0</w:t>
            </w:r>
          </w:p>
        </w:tc>
      </w:tr>
      <w:tr w:rsidR="00654E5E" w:rsidRPr="001E037D" w14:paraId="5C7935AD" w14:textId="77777777" w:rsidTr="00785F44">
        <w:trPr>
          <w:cantSplit/>
          <w:trHeight w:val="284"/>
          <w:jc w:val="center"/>
        </w:trPr>
        <w:tc>
          <w:tcPr>
            <w:tcW w:w="4210" w:type="dxa"/>
            <w:tcBorders>
              <w:top w:val="nil"/>
              <w:left w:val="nil"/>
              <w:bottom w:val="nil"/>
              <w:right w:val="nil"/>
            </w:tcBorders>
            <w:shd w:val="clear" w:color="auto" w:fill="auto"/>
          </w:tcPr>
          <w:p w14:paraId="3C6E1893"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Safer Families Collaboration Program</w:t>
            </w:r>
            <w:r w:rsidRPr="001E037D">
              <w:rPr>
                <w:rFonts w:ascii="Calibri" w:eastAsia="Times New Roman" w:hAnsi="Calibri" w:cs="Times New Roman"/>
                <w:bCs/>
                <w:sz w:val="20"/>
                <w:szCs w:val="20"/>
                <w:vertAlign w:val="superscript"/>
                <w:lang w:eastAsia="en-AU"/>
              </w:rPr>
              <w:t>4</w:t>
            </w:r>
          </w:p>
        </w:tc>
        <w:tc>
          <w:tcPr>
            <w:tcW w:w="974" w:type="dxa"/>
            <w:tcBorders>
              <w:top w:val="nil"/>
              <w:left w:val="nil"/>
              <w:bottom w:val="nil"/>
              <w:right w:val="nil"/>
            </w:tcBorders>
            <w:shd w:val="clear" w:color="auto" w:fill="auto"/>
          </w:tcPr>
          <w:p w14:paraId="66B1969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335</w:t>
            </w:r>
          </w:p>
        </w:tc>
        <w:tc>
          <w:tcPr>
            <w:tcW w:w="974" w:type="dxa"/>
            <w:tcBorders>
              <w:top w:val="nil"/>
              <w:left w:val="nil"/>
              <w:bottom w:val="nil"/>
              <w:right w:val="nil"/>
            </w:tcBorders>
            <w:shd w:val="clear" w:color="auto" w:fill="auto"/>
          </w:tcPr>
          <w:p w14:paraId="45EC15B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340</w:t>
            </w:r>
          </w:p>
        </w:tc>
        <w:tc>
          <w:tcPr>
            <w:tcW w:w="974" w:type="dxa"/>
            <w:tcBorders>
              <w:top w:val="nil"/>
              <w:left w:val="nil"/>
              <w:bottom w:val="nil"/>
              <w:right w:val="nil"/>
            </w:tcBorders>
            <w:shd w:val="clear" w:color="auto" w:fill="auto"/>
          </w:tcPr>
          <w:p w14:paraId="0D0A2A62"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346</w:t>
            </w:r>
          </w:p>
        </w:tc>
        <w:tc>
          <w:tcPr>
            <w:tcW w:w="984" w:type="dxa"/>
            <w:tcBorders>
              <w:top w:val="nil"/>
              <w:left w:val="nil"/>
              <w:bottom w:val="nil"/>
              <w:right w:val="nil"/>
            </w:tcBorders>
            <w:shd w:val="clear" w:color="auto" w:fill="auto"/>
          </w:tcPr>
          <w:p w14:paraId="5A08B2B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352</w:t>
            </w:r>
          </w:p>
        </w:tc>
        <w:tc>
          <w:tcPr>
            <w:tcW w:w="984" w:type="dxa"/>
            <w:tcBorders>
              <w:top w:val="nil"/>
              <w:left w:val="nil"/>
              <w:bottom w:val="nil"/>
              <w:right w:val="nil"/>
            </w:tcBorders>
            <w:shd w:val="clear" w:color="auto" w:fill="auto"/>
          </w:tcPr>
          <w:p w14:paraId="1ABCEA6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1,373</w:t>
            </w:r>
          </w:p>
        </w:tc>
      </w:tr>
      <w:tr w:rsidR="00654E5E" w:rsidRPr="001E037D" w14:paraId="1F7A2DF9" w14:textId="77777777" w:rsidTr="00785F44">
        <w:trPr>
          <w:cantSplit/>
          <w:trHeight w:val="555"/>
          <w:jc w:val="center"/>
        </w:trPr>
        <w:tc>
          <w:tcPr>
            <w:tcW w:w="4210" w:type="dxa"/>
            <w:tcBorders>
              <w:top w:val="nil"/>
              <w:left w:val="nil"/>
              <w:bottom w:val="nil"/>
              <w:right w:val="nil"/>
            </w:tcBorders>
            <w:shd w:val="clear" w:color="auto" w:fill="auto"/>
          </w:tcPr>
          <w:p w14:paraId="310D19E5"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Frontline domestic violence and rape crisis services</w:t>
            </w:r>
            <w:r w:rsidRPr="001E037D">
              <w:rPr>
                <w:rFonts w:ascii="Calibri" w:eastAsia="Times New Roman" w:hAnsi="Calibri" w:cs="Times New Roman"/>
                <w:bCs/>
                <w:sz w:val="20"/>
                <w:szCs w:val="20"/>
                <w:vertAlign w:val="superscript"/>
                <w:lang w:eastAsia="en-AU"/>
              </w:rPr>
              <w:t>5</w:t>
            </w:r>
          </w:p>
        </w:tc>
        <w:tc>
          <w:tcPr>
            <w:tcW w:w="974" w:type="dxa"/>
            <w:tcBorders>
              <w:top w:val="nil"/>
              <w:left w:val="nil"/>
              <w:bottom w:val="nil"/>
              <w:right w:val="nil"/>
            </w:tcBorders>
            <w:shd w:val="clear" w:color="auto" w:fill="auto"/>
          </w:tcPr>
          <w:p w14:paraId="5EA73D2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759</w:t>
            </w:r>
          </w:p>
        </w:tc>
        <w:tc>
          <w:tcPr>
            <w:tcW w:w="974" w:type="dxa"/>
            <w:tcBorders>
              <w:top w:val="nil"/>
              <w:left w:val="nil"/>
              <w:bottom w:val="nil"/>
              <w:right w:val="nil"/>
            </w:tcBorders>
            <w:shd w:val="clear" w:color="auto" w:fill="auto"/>
          </w:tcPr>
          <w:p w14:paraId="50E3097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458</w:t>
            </w:r>
          </w:p>
        </w:tc>
        <w:tc>
          <w:tcPr>
            <w:tcW w:w="974" w:type="dxa"/>
            <w:tcBorders>
              <w:top w:val="nil"/>
              <w:left w:val="nil"/>
              <w:bottom w:val="nil"/>
              <w:right w:val="nil"/>
            </w:tcBorders>
            <w:shd w:val="clear" w:color="auto" w:fill="auto"/>
          </w:tcPr>
          <w:p w14:paraId="30F00350"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465</w:t>
            </w:r>
          </w:p>
        </w:tc>
        <w:tc>
          <w:tcPr>
            <w:tcW w:w="984" w:type="dxa"/>
            <w:tcBorders>
              <w:top w:val="nil"/>
              <w:left w:val="nil"/>
              <w:bottom w:val="nil"/>
              <w:right w:val="nil"/>
            </w:tcBorders>
            <w:shd w:val="clear" w:color="auto" w:fill="auto"/>
          </w:tcPr>
          <w:p w14:paraId="02BBD40E"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476</w:t>
            </w:r>
          </w:p>
        </w:tc>
        <w:tc>
          <w:tcPr>
            <w:tcW w:w="984" w:type="dxa"/>
            <w:tcBorders>
              <w:top w:val="nil"/>
              <w:left w:val="nil"/>
              <w:bottom w:val="nil"/>
              <w:right w:val="nil"/>
            </w:tcBorders>
            <w:shd w:val="clear" w:color="auto" w:fill="auto"/>
          </w:tcPr>
          <w:p w14:paraId="7AC2D53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2,158</w:t>
            </w:r>
          </w:p>
        </w:tc>
      </w:tr>
      <w:tr w:rsidR="00654E5E" w:rsidRPr="001E037D" w14:paraId="70104606" w14:textId="77777777" w:rsidTr="00785F44">
        <w:trPr>
          <w:cantSplit/>
          <w:trHeight w:val="284"/>
          <w:jc w:val="center"/>
        </w:trPr>
        <w:tc>
          <w:tcPr>
            <w:tcW w:w="4210" w:type="dxa"/>
            <w:tcBorders>
              <w:top w:val="nil"/>
              <w:left w:val="nil"/>
              <w:bottom w:val="nil"/>
              <w:right w:val="nil"/>
            </w:tcBorders>
            <w:shd w:val="clear" w:color="auto" w:fill="auto"/>
          </w:tcPr>
          <w:p w14:paraId="2D425A3D"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 Women’s Safety Grants</w:t>
            </w:r>
          </w:p>
        </w:tc>
        <w:tc>
          <w:tcPr>
            <w:tcW w:w="974" w:type="dxa"/>
            <w:tcBorders>
              <w:top w:val="nil"/>
              <w:left w:val="nil"/>
              <w:bottom w:val="nil"/>
              <w:right w:val="nil"/>
            </w:tcBorders>
            <w:shd w:val="clear" w:color="auto" w:fill="auto"/>
          </w:tcPr>
          <w:p w14:paraId="658C9326"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74" w:type="dxa"/>
            <w:tcBorders>
              <w:top w:val="nil"/>
              <w:left w:val="nil"/>
              <w:bottom w:val="nil"/>
              <w:right w:val="nil"/>
            </w:tcBorders>
            <w:shd w:val="clear" w:color="auto" w:fill="auto"/>
          </w:tcPr>
          <w:p w14:paraId="5CF61376"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74" w:type="dxa"/>
            <w:tcBorders>
              <w:top w:val="nil"/>
              <w:left w:val="nil"/>
              <w:bottom w:val="nil"/>
              <w:right w:val="nil"/>
            </w:tcBorders>
            <w:shd w:val="clear" w:color="auto" w:fill="auto"/>
          </w:tcPr>
          <w:p w14:paraId="67557CF7"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84" w:type="dxa"/>
            <w:tcBorders>
              <w:top w:val="nil"/>
              <w:left w:val="nil"/>
              <w:bottom w:val="nil"/>
              <w:right w:val="nil"/>
            </w:tcBorders>
            <w:shd w:val="clear" w:color="auto" w:fill="auto"/>
          </w:tcPr>
          <w:p w14:paraId="55A80D89"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100</w:t>
            </w:r>
          </w:p>
        </w:tc>
        <w:tc>
          <w:tcPr>
            <w:tcW w:w="984" w:type="dxa"/>
            <w:tcBorders>
              <w:top w:val="nil"/>
              <w:left w:val="nil"/>
              <w:bottom w:val="nil"/>
              <w:right w:val="nil"/>
            </w:tcBorders>
            <w:shd w:val="clear" w:color="auto" w:fill="auto"/>
          </w:tcPr>
          <w:p w14:paraId="2B1C19A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400</w:t>
            </w:r>
          </w:p>
        </w:tc>
      </w:tr>
      <w:tr w:rsidR="00654E5E" w:rsidRPr="001E037D" w14:paraId="28AF752A" w14:textId="77777777" w:rsidTr="00785F44">
        <w:trPr>
          <w:cantSplit/>
          <w:trHeight w:val="284"/>
          <w:jc w:val="center"/>
        </w:trPr>
        <w:tc>
          <w:tcPr>
            <w:tcW w:w="4210" w:type="dxa"/>
            <w:tcBorders>
              <w:top w:val="nil"/>
              <w:left w:val="nil"/>
              <w:bottom w:val="single" w:sz="4" w:space="0" w:color="auto"/>
              <w:right w:val="nil"/>
            </w:tcBorders>
            <w:shd w:val="clear" w:color="auto" w:fill="auto"/>
          </w:tcPr>
          <w:p w14:paraId="3B5B3CC8"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Safer Families Levy – future priorities provision</w:t>
            </w:r>
            <w:r w:rsidRPr="001E037D">
              <w:rPr>
                <w:rFonts w:ascii="Calibri" w:eastAsia="Times New Roman" w:hAnsi="Calibri" w:cs="Times New Roman"/>
                <w:bCs/>
                <w:sz w:val="20"/>
                <w:szCs w:val="20"/>
                <w:vertAlign w:val="superscript"/>
                <w:lang w:eastAsia="en-AU"/>
              </w:rPr>
              <w:t>6</w:t>
            </w:r>
          </w:p>
        </w:tc>
        <w:tc>
          <w:tcPr>
            <w:tcW w:w="974" w:type="dxa"/>
            <w:tcBorders>
              <w:top w:val="nil"/>
              <w:left w:val="nil"/>
              <w:bottom w:val="single" w:sz="4" w:space="0" w:color="auto"/>
              <w:right w:val="nil"/>
            </w:tcBorders>
            <w:shd w:val="clear" w:color="auto" w:fill="auto"/>
            <w:vAlign w:val="bottom"/>
          </w:tcPr>
          <w:p w14:paraId="36378E03"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en-US"/>
              </w:rPr>
              <w:t>-</w:t>
            </w:r>
            <w:r w:rsidRPr="001E037D">
              <w:rPr>
                <w:rFonts w:ascii="Calibri" w:eastAsia="Times New Roman" w:hAnsi="Calibri" w:cs="Times New Roman"/>
                <w:bCs/>
                <w:sz w:val="20"/>
                <w:szCs w:val="24"/>
                <w:lang w:val="x-none"/>
              </w:rPr>
              <w:t xml:space="preserve">             </w:t>
            </w:r>
          </w:p>
        </w:tc>
        <w:tc>
          <w:tcPr>
            <w:tcW w:w="974" w:type="dxa"/>
            <w:tcBorders>
              <w:top w:val="nil"/>
              <w:left w:val="nil"/>
              <w:bottom w:val="single" w:sz="4" w:space="0" w:color="auto"/>
              <w:right w:val="nil"/>
            </w:tcBorders>
            <w:shd w:val="clear" w:color="auto" w:fill="auto"/>
            <w:vAlign w:val="bottom"/>
          </w:tcPr>
          <w:p w14:paraId="0C4FDC4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517</w:t>
            </w:r>
          </w:p>
        </w:tc>
        <w:tc>
          <w:tcPr>
            <w:tcW w:w="974" w:type="dxa"/>
            <w:tcBorders>
              <w:top w:val="nil"/>
              <w:left w:val="nil"/>
              <w:bottom w:val="single" w:sz="4" w:space="0" w:color="auto"/>
              <w:right w:val="nil"/>
            </w:tcBorders>
            <w:shd w:val="clear" w:color="auto" w:fill="auto"/>
            <w:vAlign w:val="bottom"/>
          </w:tcPr>
          <w:p w14:paraId="6EC1C1A4"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Pr>
                <w:rFonts w:ascii="Calibri" w:eastAsia="Times New Roman" w:hAnsi="Calibri" w:cs="Times New Roman"/>
                <w:bCs/>
                <w:sz w:val="20"/>
                <w:szCs w:val="24"/>
                <w:lang w:val="en-US"/>
              </w:rPr>
              <w:t>3,830</w:t>
            </w:r>
          </w:p>
        </w:tc>
        <w:tc>
          <w:tcPr>
            <w:tcW w:w="984" w:type="dxa"/>
            <w:tcBorders>
              <w:top w:val="nil"/>
              <w:left w:val="nil"/>
              <w:bottom w:val="single" w:sz="4" w:space="0" w:color="auto"/>
              <w:right w:val="nil"/>
            </w:tcBorders>
            <w:shd w:val="clear" w:color="auto" w:fill="auto"/>
            <w:vAlign w:val="bottom"/>
          </w:tcPr>
          <w:p w14:paraId="1A2E9F7A"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Pr>
                <w:rFonts w:ascii="Calibri" w:eastAsia="Times New Roman" w:hAnsi="Calibri" w:cs="Times New Roman"/>
                <w:bCs/>
                <w:sz w:val="20"/>
                <w:szCs w:val="24"/>
                <w:lang w:val="en-US"/>
              </w:rPr>
              <w:t>4,759</w:t>
            </w:r>
          </w:p>
        </w:tc>
        <w:tc>
          <w:tcPr>
            <w:tcW w:w="984" w:type="dxa"/>
            <w:tcBorders>
              <w:top w:val="nil"/>
              <w:left w:val="nil"/>
              <w:bottom w:val="single" w:sz="4" w:space="0" w:color="auto"/>
              <w:right w:val="nil"/>
            </w:tcBorders>
            <w:shd w:val="clear" w:color="auto" w:fill="auto"/>
            <w:vAlign w:val="bottom"/>
          </w:tcPr>
          <w:p w14:paraId="09A8B835" w14:textId="77777777" w:rsidR="00654E5E" w:rsidRPr="001E037D" w:rsidRDefault="00654E5E" w:rsidP="00785F44">
            <w:pPr>
              <w:spacing w:after="0" w:line="240" w:lineRule="auto"/>
              <w:ind w:left="63" w:hanging="63"/>
              <w:jc w:val="right"/>
              <w:rPr>
                <w:rFonts w:ascii="Calibri" w:eastAsia="Times New Roman" w:hAnsi="Calibri" w:cs="Times New Roman"/>
                <w:bCs/>
                <w:sz w:val="20"/>
                <w:szCs w:val="24"/>
                <w:lang w:val="x-none"/>
              </w:rPr>
            </w:pPr>
            <w:r w:rsidRPr="001E037D">
              <w:rPr>
                <w:rFonts w:ascii="Calibri" w:eastAsia="Times New Roman" w:hAnsi="Calibri" w:cs="Times New Roman"/>
                <w:bCs/>
                <w:sz w:val="20"/>
                <w:szCs w:val="24"/>
                <w:lang w:val="x-none"/>
              </w:rPr>
              <w:t>9,106</w:t>
            </w:r>
          </w:p>
        </w:tc>
      </w:tr>
      <w:tr w:rsidR="00654E5E" w:rsidRPr="0065075F" w14:paraId="0D2F0CFA" w14:textId="77777777" w:rsidTr="00785F44">
        <w:trPr>
          <w:cantSplit/>
          <w:trHeight w:val="284"/>
          <w:jc w:val="center"/>
        </w:trPr>
        <w:tc>
          <w:tcPr>
            <w:tcW w:w="4210" w:type="dxa"/>
            <w:tcBorders>
              <w:top w:val="single" w:sz="4" w:space="0" w:color="auto"/>
              <w:left w:val="nil"/>
              <w:bottom w:val="single" w:sz="4" w:space="0" w:color="auto"/>
              <w:right w:val="nil"/>
            </w:tcBorders>
            <w:shd w:val="clear" w:color="auto" w:fill="auto"/>
          </w:tcPr>
          <w:p w14:paraId="6E2E90AA" w14:textId="77777777" w:rsidR="00654E5E" w:rsidRPr="00EB7ACE" w:rsidRDefault="00654E5E" w:rsidP="00785F44">
            <w:pPr>
              <w:spacing w:after="0" w:line="240" w:lineRule="auto"/>
              <w:ind w:left="63" w:hanging="63"/>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Total</w:t>
            </w:r>
          </w:p>
        </w:tc>
        <w:tc>
          <w:tcPr>
            <w:tcW w:w="974" w:type="dxa"/>
            <w:tcBorders>
              <w:top w:val="single" w:sz="4" w:space="0" w:color="auto"/>
              <w:left w:val="nil"/>
              <w:bottom w:val="single" w:sz="4" w:space="0" w:color="auto"/>
              <w:right w:val="nil"/>
            </w:tcBorders>
            <w:shd w:val="clear" w:color="auto" w:fill="auto"/>
            <w:vAlign w:val="bottom"/>
          </w:tcPr>
          <w:p w14:paraId="0B70C3BF"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8,496</w:t>
            </w:r>
          </w:p>
        </w:tc>
        <w:tc>
          <w:tcPr>
            <w:tcW w:w="974" w:type="dxa"/>
            <w:tcBorders>
              <w:top w:val="single" w:sz="4" w:space="0" w:color="auto"/>
              <w:left w:val="nil"/>
              <w:bottom w:val="single" w:sz="4" w:space="0" w:color="auto"/>
              <w:right w:val="nil"/>
            </w:tcBorders>
            <w:shd w:val="clear" w:color="auto" w:fill="auto"/>
            <w:vAlign w:val="bottom"/>
          </w:tcPr>
          <w:p w14:paraId="00121EC7"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8,106</w:t>
            </w:r>
          </w:p>
        </w:tc>
        <w:tc>
          <w:tcPr>
            <w:tcW w:w="974" w:type="dxa"/>
            <w:tcBorders>
              <w:top w:val="single" w:sz="4" w:space="0" w:color="auto"/>
              <w:left w:val="nil"/>
              <w:bottom w:val="single" w:sz="4" w:space="0" w:color="auto"/>
              <w:right w:val="nil"/>
            </w:tcBorders>
            <w:shd w:val="clear" w:color="auto" w:fill="auto"/>
            <w:vAlign w:val="bottom"/>
          </w:tcPr>
          <w:p w14:paraId="52336819"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9,150</w:t>
            </w:r>
          </w:p>
        </w:tc>
        <w:tc>
          <w:tcPr>
            <w:tcW w:w="984" w:type="dxa"/>
            <w:tcBorders>
              <w:top w:val="single" w:sz="4" w:space="0" w:color="auto"/>
              <w:left w:val="nil"/>
              <w:bottom w:val="single" w:sz="4" w:space="0" w:color="auto"/>
              <w:right w:val="nil"/>
            </w:tcBorders>
            <w:shd w:val="clear" w:color="auto" w:fill="auto"/>
            <w:vAlign w:val="bottom"/>
          </w:tcPr>
          <w:p w14:paraId="192D5C94"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10,188</w:t>
            </w:r>
          </w:p>
        </w:tc>
        <w:tc>
          <w:tcPr>
            <w:tcW w:w="984" w:type="dxa"/>
            <w:tcBorders>
              <w:top w:val="single" w:sz="4" w:space="0" w:color="auto"/>
              <w:left w:val="nil"/>
              <w:bottom w:val="single" w:sz="4" w:space="0" w:color="auto"/>
              <w:right w:val="nil"/>
            </w:tcBorders>
            <w:shd w:val="clear" w:color="auto" w:fill="auto"/>
            <w:vAlign w:val="bottom"/>
          </w:tcPr>
          <w:p w14:paraId="7C45648A"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35,940</w:t>
            </w:r>
          </w:p>
        </w:tc>
      </w:tr>
      <w:tr w:rsidR="00654E5E" w:rsidRPr="0065075F" w14:paraId="0296E3E7" w14:textId="77777777" w:rsidTr="00785F44">
        <w:trPr>
          <w:cantSplit/>
          <w:trHeight w:val="284"/>
          <w:jc w:val="center"/>
        </w:trPr>
        <w:tc>
          <w:tcPr>
            <w:tcW w:w="4210" w:type="dxa"/>
            <w:tcBorders>
              <w:top w:val="single" w:sz="4" w:space="0" w:color="auto"/>
              <w:left w:val="nil"/>
              <w:bottom w:val="single" w:sz="4" w:space="0" w:color="auto"/>
              <w:right w:val="nil"/>
            </w:tcBorders>
            <w:shd w:val="clear" w:color="auto" w:fill="auto"/>
          </w:tcPr>
          <w:p w14:paraId="61119C9F" w14:textId="77777777" w:rsidR="00654E5E" w:rsidRPr="00EB7ACE" w:rsidRDefault="00654E5E" w:rsidP="00785F44">
            <w:pPr>
              <w:spacing w:after="0" w:line="240" w:lineRule="auto"/>
              <w:ind w:left="63" w:hanging="63"/>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Safer Families Levy offset</w:t>
            </w:r>
          </w:p>
        </w:tc>
        <w:tc>
          <w:tcPr>
            <w:tcW w:w="974" w:type="dxa"/>
            <w:tcBorders>
              <w:top w:val="single" w:sz="4" w:space="0" w:color="auto"/>
              <w:left w:val="nil"/>
              <w:bottom w:val="single" w:sz="4" w:space="0" w:color="auto"/>
              <w:right w:val="nil"/>
            </w:tcBorders>
            <w:shd w:val="clear" w:color="auto" w:fill="auto"/>
            <w:vAlign w:val="bottom"/>
          </w:tcPr>
          <w:p w14:paraId="7BB27CBD"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-6,150</w:t>
            </w:r>
          </w:p>
        </w:tc>
        <w:tc>
          <w:tcPr>
            <w:tcW w:w="974" w:type="dxa"/>
            <w:tcBorders>
              <w:top w:val="single" w:sz="4" w:space="0" w:color="auto"/>
              <w:left w:val="nil"/>
              <w:bottom w:val="single" w:sz="4" w:space="0" w:color="auto"/>
              <w:right w:val="nil"/>
            </w:tcBorders>
            <w:shd w:val="clear" w:color="auto" w:fill="auto"/>
            <w:vAlign w:val="bottom"/>
          </w:tcPr>
          <w:p w14:paraId="09685DF8"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-7,070</w:t>
            </w:r>
          </w:p>
        </w:tc>
        <w:tc>
          <w:tcPr>
            <w:tcW w:w="974" w:type="dxa"/>
            <w:tcBorders>
              <w:top w:val="single" w:sz="4" w:space="0" w:color="auto"/>
              <w:left w:val="nil"/>
              <w:bottom w:val="single" w:sz="4" w:space="0" w:color="auto"/>
              <w:right w:val="nil"/>
            </w:tcBorders>
            <w:shd w:val="clear" w:color="auto" w:fill="auto"/>
            <w:vAlign w:val="bottom"/>
          </w:tcPr>
          <w:p w14:paraId="03E99796"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-8,040</w:t>
            </w:r>
          </w:p>
        </w:tc>
        <w:tc>
          <w:tcPr>
            <w:tcW w:w="984" w:type="dxa"/>
            <w:tcBorders>
              <w:top w:val="single" w:sz="4" w:space="0" w:color="auto"/>
              <w:left w:val="nil"/>
              <w:bottom w:val="single" w:sz="4" w:space="0" w:color="auto"/>
              <w:right w:val="nil"/>
            </w:tcBorders>
            <w:shd w:val="clear" w:color="auto" w:fill="auto"/>
            <w:vAlign w:val="bottom"/>
          </w:tcPr>
          <w:p w14:paraId="33691A94"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-9,040</w:t>
            </w:r>
          </w:p>
        </w:tc>
        <w:tc>
          <w:tcPr>
            <w:tcW w:w="984" w:type="dxa"/>
            <w:tcBorders>
              <w:top w:val="single" w:sz="4" w:space="0" w:color="auto"/>
              <w:left w:val="nil"/>
              <w:bottom w:val="single" w:sz="4" w:space="0" w:color="auto"/>
              <w:right w:val="nil"/>
            </w:tcBorders>
            <w:shd w:val="clear" w:color="auto" w:fill="auto"/>
            <w:vAlign w:val="bottom"/>
          </w:tcPr>
          <w:p w14:paraId="622D655F" w14:textId="77777777" w:rsidR="00654E5E" w:rsidRPr="00EB7ACE"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EB7ACE">
              <w:rPr>
                <w:rFonts w:ascii="Calibri" w:eastAsia="Times New Roman" w:hAnsi="Calibri" w:cs="Times New Roman"/>
                <w:b/>
                <w:color w:val="472D8C"/>
                <w:sz w:val="20"/>
                <w:szCs w:val="20"/>
                <w:lang w:eastAsia="en-AU"/>
              </w:rPr>
              <w:t>-30,300</w:t>
            </w:r>
          </w:p>
        </w:tc>
      </w:tr>
    </w:tbl>
    <w:p w14:paraId="71B1C817" w14:textId="77777777" w:rsidR="00654E5E" w:rsidRPr="001E037D" w:rsidRDefault="00654E5E" w:rsidP="00785F44">
      <w:pPr>
        <w:spacing w:before="120" w:after="0" w:line="240" w:lineRule="auto"/>
        <w:rPr>
          <w:rFonts w:ascii="Calibri" w:eastAsia="Times New Roman" w:hAnsi="Calibri" w:cs="Times New Roman"/>
          <w:b/>
          <w:sz w:val="18"/>
          <w:szCs w:val="16"/>
          <w:lang w:val="x-none"/>
        </w:rPr>
      </w:pPr>
      <w:r w:rsidRPr="001E037D">
        <w:rPr>
          <w:rFonts w:ascii="Calibri" w:eastAsia="Times New Roman" w:hAnsi="Calibri" w:cs="Times New Roman"/>
          <w:b/>
          <w:sz w:val="18"/>
          <w:szCs w:val="16"/>
          <w:lang w:val="x-none"/>
        </w:rPr>
        <w:t>Note</w:t>
      </w:r>
      <w:r>
        <w:rPr>
          <w:rFonts w:ascii="Calibri" w:eastAsia="Times New Roman" w:hAnsi="Calibri" w:cs="Times New Roman"/>
          <w:b/>
          <w:sz w:val="18"/>
          <w:szCs w:val="16"/>
        </w:rPr>
        <w:t>s</w:t>
      </w:r>
      <w:r w:rsidRPr="001E037D">
        <w:rPr>
          <w:rFonts w:ascii="Calibri" w:eastAsia="Times New Roman" w:hAnsi="Calibri" w:cs="Times New Roman"/>
          <w:b/>
          <w:sz w:val="18"/>
          <w:szCs w:val="16"/>
          <w:lang w:val="x-none"/>
        </w:rPr>
        <w:t xml:space="preserve">: </w:t>
      </w:r>
    </w:p>
    <w:p w14:paraId="4C561CE2" w14:textId="77777777" w:rsidR="00654E5E" w:rsidRPr="007200F6" w:rsidRDefault="00654E5E" w:rsidP="007200F6">
      <w:pPr>
        <w:pStyle w:val="BNotelist"/>
        <w:keepNext w:val="0"/>
        <w:numPr>
          <w:ilvl w:val="0"/>
          <w:numId w:val="31"/>
        </w:numPr>
        <w:rPr>
          <w:bCs/>
          <w:szCs w:val="16"/>
        </w:rPr>
      </w:pPr>
      <w:r w:rsidRPr="007200F6">
        <w:rPr>
          <w:bCs/>
          <w:szCs w:val="16"/>
        </w:rPr>
        <w:t>The staffing costs associated with these initiatives are not funded by the Safer Families Levy. The total costs of these initiatives have been represented in Chapter 3.4.</w:t>
      </w:r>
    </w:p>
    <w:p w14:paraId="1E9EE4B1" w14:textId="77777777" w:rsidR="00654E5E" w:rsidRPr="001E037D" w:rsidRDefault="00654E5E" w:rsidP="00785F44">
      <w:pPr>
        <w:pStyle w:val="BNotelist"/>
        <w:keepNext w:val="0"/>
        <w:rPr>
          <w:bCs/>
          <w:szCs w:val="16"/>
        </w:rPr>
      </w:pPr>
      <w:r w:rsidRPr="001E037D">
        <w:rPr>
          <w:bCs/>
          <w:szCs w:val="16"/>
        </w:rPr>
        <w:t>This initiative includes $200,000 in 2021-22 that has been reprofiled from 2020-21.</w:t>
      </w:r>
    </w:p>
    <w:p w14:paraId="50B824EE" w14:textId="77777777" w:rsidR="00654E5E" w:rsidRPr="001E037D" w:rsidRDefault="00654E5E" w:rsidP="00785F44">
      <w:pPr>
        <w:pStyle w:val="BNotelist"/>
        <w:keepNext w:val="0"/>
        <w:rPr>
          <w:bCs/>
          <w:szCs w:val="16"/>
        </w:rPr>
      </w:pPr>
      <w:r w:rsidRPr="001E037D">
        <w:rPr>
          <w:bCs/>
          <w:szCs w:val="16"/>
        </w:rPr>
        <w:t>This includes a rollover of $198,000 from 2020-21. It combines the new initiative provided in 2021-22 Budget and the initiative from previous budget under the title “Safer Families – Delivering family-centred responses for Aboriginal and Torres Strait Islander families impacted by family violence”.</w:t>
      </w:r>
    </w:p>
    <w:p w14:paraId="436D9501" w14:textId="77777777" w:rsidR="00654E5E" w:rsidRPr="001E037D" w:rsidRDefault="00654E5E" w:rsidP="00785F44">
      <w:pPr>
        <w:pStyle w:val="BNotelist"/>
        <w:keepNext w:val="0"/>
        <w:rPr>
          <w:bCs/>
          <w:szCs w:val="16"/>
        </w:rPr>
      </w:pPr>
      <w:r w:rsidRPr="001E037D">
        <w:rPr>
          <w:bCs/>
          <w:szCs w:val="16"/>
        </w:rPr>
        <w:t>The funding in 2023-24 and 2024-25 has been provisioned subject to demand.</w:t>
      </w:r>
    </w:p>
    <w:p w14:paraId="5DFA1955" w14:textId="77777777" w:rsidR="00654E5E" w:rsidRPr="001E037D" w:rsidRDefault="00654E5E" w:rsidP="00785F44">
      <w:pPr>
        <w:pStyle w:val="BNotelist"/>
        <w:keepNext w:val="0"/>
        <w:rPr>
          <w:bCs/>
          <w:szCs w:val="16"/>
        </w:rPr>
      </w:pPr>
      <w:r w:rsidRPr="001E037D">
        <w:rPr>
          <w:bCs/>
          <w:szCs w:val="16"/>
        </w:rPr>
        <w:t>This initiative includes previously agreed provisioned funding of $1.680 million funded outside the Safer Families Levy.</w:t>
      </w:r>
    </w:p>
    <w:p w14:paraId="5EAAC724" w14:textId="77777777" w:rsidR="00654E5E" w:rsidRPr="001E037D" w:rsidRDefault="00654E5E" w:rsidP="00785F44">
      <w:pPr>
        <w:pStyle w:val="BNotelist"/>
        <w:keepNext w:val="0"/>
      </w:pPr>
      <w:r w:rsidRPr="7949A320">
        <w:t>The provision in 2021-22 has been used to fund new initiatives.</w:t>
      </w:r>
    </w:p>
    <w:p w14:paraId="58A6942E" w14:textId="53D6C08A" w:rsidR="00654E5E" w:rsidRPr="001E037D" w:rsidRDefault="00654E5E" w:rsidP="00785F44">
      <w:pPr>
        <w:pStyle w:val="BNotelist"/>
        <w:keepNext w:val="0"/>
        <w:rPr>
          <w:bCs/>
          <w:szCs w:val="16"/>
        </w:rPr>
      </w:pPr>
      <w:r w:rsidRPr="001E037D">
        <w:rPr>
          <w:bCs/>
          <w:szCs w:val="16"/>
        </w:rPr>
        <w:t>Funding for this initiative includes additional funding provided in the 2021-22 Budget for Private rental assistance for people experiencing domestic violence. For further information see Chapter 3.4</w:t>
      </w:r>
      <w:r w:rsidR="008B67DA">
        <w:rPr>
          <w:bCs/>
          <w:szCs w:val="16"/>
        </w:rPr>
        <w:t>.</w:t>
      </w:r>
    </w:p>
    <w:p w14:paraId="098F9C54" w14:textId="77777777" w:rsidR="00654E5E" w:rsidRPr="001E037D" w:rsidRDefault="00654E5E" w:rsidP="00785F44">
      <w:pPr>
        <w:keepNext/>
        <w:spacing w:before="240" w:after="200" w:line="240" w:lineRule="auto"/>
        <w:rPr>
          <w:b/>
          <w:color w:val="472D8C"/>
          <w:szCs w:val="18"/>
        </w:rPr>
      </w:pPr>
      <w:r w:rsidRPr="001E037D">
        <w:rPr>
          <w:b/>
          <w:color w:val="472D8C"/>
          <w:szCs w:val="18"/>
        </w:rPr>
        <w:lastRenderedPageBreak/>
        <w:t xml:space="preserve">Table H.3: Complementary initiatives </w:t>
      </w:r>
    </w:p>
    <w:tbl>
      <w:tblPr>
        <w:tblW w:w="9110" w:type="dxa"/>
        <w:jc w:val="center"/>
        <w:tblLayout w:type="fixed"/>
        <w:tblCellMar>
          <w:left w:w="30" w:type="dxa"/>
          <w:right w:w="30" w:type="dxa"/>
        </w:tblCellMar>
        <w:tblLook w:val="0000" w:firstRow="0" w:lastRow="0" w:firstColumn="0" w:lastColumn="0" w:noHBand="0" w:noVBand="0"/>
      </w:tblPr>
      <w:tblGrid>
        <w:gridCol w:w="4210"/>
        <w:gridCol w:w="974"/>
        <w:gridCol w:w="974"/>
        <w:gridCol w:w="862"/>
        <w:gridCol w:w="1106"/>
        <w:gridCol w:w="984"/>
      </w:tblGrid>
      <w:tr w:rsidR="00654E5E" w:rsidRPr="001E037D" w14:paraId="249688A6" w14:textId="77777777" w:rsidTr="00785F44">
        <w:trPr>
          <w:cantSplit/>
          <w:jc w:val="center"/>
        </w:trPr>
        <w:tc>
          <w:tcPr>
            <w:tcW w:w="4210" w:type="dxa"/>
            <w:tcBorders>
              <w:top w:val="single" w:sz="4" w:space="0" w:color="auto"/>
              <w:left w:val="nil"/>
              <w:bottom w:val="single" w:sz="4" w:space="0" w:color="auto"/>
              <w:right w:val="nil"/>
            </w:tcBorders>
            <w:shd w:val="clear" w:color="auto" w:fill="472D8C"/>
          </w:tcPr>
          <w:p w14:paraId="656D0068" w14:textId="77777777" w:rsidR="00654E5E" w:rsidRPr="002F4E5F" w:rsidRDefault="00654E5E" w:rsidP="00785F44">
            <w:pPr>
              <w:spacing w:after="0" w:line="240" w:lineRule="auto"/>
              <w:ind w:left="63" w:hanging="63"/>
              <w:rPr>
                <w:rFonts w:ascii="Calibri" w:eastAsia="Times New Roman" w:hAnsi="Calibri" w:cs="Times New Roman"/>
                <w:b/>
                <w:bCs/>
                <w:color w:val="FFFFFF" w:themeColor="background1"/>
                <w:sz w:val="20"/>
                <w:szCs w:val="20"/>
                <w:lang w:eastAsia="en-AU"/>
              </w:rPr>
            </w:pPr>
          </w:p>
          <w:p w14:paraId="21B570F9" w14:textId="77777777" w:rsidR="00654E5E" w:rsidRPr="001E037D" w:rsidRDefault="00654E5E" w:rsidP="00785F44">
            <w:pPr>
              <w:spacing w:after="0" w:line="240" w:lineRule="auto"/>
              <w:ind w:left="63" w:hanging="63"/>
              <w:rPr>
                <w:rFonts w:ascii="Calibri" w:eastAsia="Times New Roman" w:hAnsi="Calibri" w:cs="Times New Roman"/>
                <w:sz w:val="20"/>
                <w:szCs w:val="20"/>
                <w:lang w:eastAsia="en-AU"/>
              </w:rPr>
            </w:pPr>
            <w:r w:rsidRPr="002F4E5F">
              <w:rPr>
                <w:rFonts w:ascii="Calibri" w:eastAsia="Times New Roman" w:hAnsi="Calibri" w:cs="Times New Roman"/>
                <w:b/>
                <w:bCs/>
                <w:color w:val="FFFFFF" w:themeColor="background1"/>
                <w:sz w:val="20"/>
                <w:szCs w:val="20"/>
                <w:lang w:eastAsia="en-AU"/>
              </w:rPr>
              <w:t>Complementary Initiatives</w:t>
            </w:r>
          </w:p>
        </w:tc>
        <w:tc>
          <w:tcPr>
            <w:tcW w:w="974" w:type="dxa"/>
            <w:tcBorders>
              <w:top w:val="single" w:sz="4" w:space="0" w:color="auto"/>
              <w:left w:val="nil"/>
              <w:bottom w:val="single" w:sz="4" w:space="0" w:color="auto"/>
              <w:right w:val="nil"/>
            </w:tcBorders>
            <w:shd w:val="clear" w:color="auto" w:fill="472D8C"/>
          </w:tcPr>
          <w:p w14:paraId="48BBB61B"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2021-22</w:t>
            </w:r>
          </w:p>
          <w:p w14:paraId="644605BE"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Budget</w:t>
            </w:r>
          </w:p>
          <w:p w14:paraId="6D57455A"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74" w:type="dxa"/>
            <w:tcBorders>
              <w:top w:val="single" w:sz="4" w:space="0" w:color="auto"/>
              <w:left w:val="nil"/>
              <w:bottom w:val="single" w:sz="4" w:space="0" w:color="auto"/>
              <w:right w:val="nil"/>
            </w:tcBorders>
            <w:shd w:val="clear" w:color="auto" w:fill="472D8C"/>
          </w:tcPr>
          <w:p w14:paraId="480C8D26"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2022-23</w:t>
            </w:r>
          </w:p>
          <w:p w14:paraId="248FC399"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3A4F816D"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862" w:type="dxa"/>
            <w:tcBorders>
              <w:top w:val="single" w:sz="4" w:space="0" w:color="auto"/>
              <w:left w:val="nil"/>
              <w:bottom w:val="single" w:sz="4" w:space="0" w:color="auto"/>
              <w:right w:val="nil"/>
            </w:tcBorders>
            <w:shd w:val="clear" w:color="auto" w:fill="472D8C"/>
          </w:tcPr>
          <w:p w14:paraId="1724F8F5"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2023-24</w:t>
            </w:r>
          </w:p>
          <w:p w14:paraId="006F97FD"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5426753D"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1106" w:type="dxa"/>
            <w:tcBorders>
              <w:top w:val="single" w:sz="4" w:space="0" w:color="auto"/>
              <w:left w:val="nil"/>
              <w:bottom w:val="single" w:sz="4" w:space="0" w:color="auto"/>
              <w:right w:val="nil"/>
            </w:tcBorders>
            <w:shd w:val="clear" w:color="auto" w:fill="472D8C"/>
          </w:tcPr>
          <w:p w14:paraId="626C8511"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2024-25</w:t>
            </w:r>
          </w:p>
          <w:p w14:paraId="7839D5A8"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Estimate</w:t>
            </w:r>
          </w:p>
          <w:p w14:paraId="5DC6913B"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c>
          <w:tcPr>
            <w:tcW w:w="984" w:type="dxa"/>
            <w:tcBorders>
              <w:top w:val="single" w:sz="4" w:space="0" w:color="auto"/>
              <w:left w:val="nil"/>
              <w:bottom w:val="single" w:sz="4" w:space="0" w:color="auto"/>
              <w:right w:val="nil"/>
            </w:tcBorders>
            <w:shd w:val="clear" w:color="auto" w:fill="472D8C"/>
          </w:tcPr>
          <w:p w14:paraId="25BE605F"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Total</w:t>
            </w:r>
          </w:p>
          <w:p w14:paraId="1383F17C"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p>
          <w:p w14:paraId="47D3D4C6" w14:textId="77777777" w:rsidR="00654E5E" w:rsidRPr="001E037D" w:rsidRDefault="00654E5E" w:rsidP="00785F44">
            <w:pPr>
              <w:spacing w:after="0" w:line="240" w:lineRule="auto"/>
              <w:jc w:val="right"/>
              <w:rPr>
                <w:rFonts w:ascii="Calibri" w:eastAsia="Times New Roman" w:hAnsi="Calibri" w:cs="Times New Roman"/>
                <w:b/>
                <w:color w:val="FFFFFF" w:themeColor="background1"/>
                <w:sz w:val="20"/>
                <w:szCs w:val="20"/>
                <w:lang w:eastAsia="en-AU"/>
              </w:rPr>
            </w:pPr>
            <w:r w:rsidRPr="001E037D">
              <w:rPr>
                <w:rFonts w:ascii="Calibri" w:eastAsia="Times New Roman" w:hAnsi="Calibri" w:cs="Times New Roman"/>
                <w:b/>
                <w:color w:val="FFFFFF" w:themeColor="background1"/>
                <w:sz w:val="20"/>
                <w:szCs w:val="20"/>
                <w:lang w:eastAsia="en-AU"/>
              </w:rPr>
              <w:t>$’000</w:t>
            </w:r>
          </w:p>
        </w:tc>
      </w:tr>
      <w:tr w:rsidR="00654E5E" w:rsidRPr="001E037D" w14:paraId="586223B8" w14:textId="77777777" w:rsidTr="00785F44">
        <w:trPr>
          <w:cantSplit/>
          <w:trHeight w:val="402"/>
          <w:jc w:val="center"/>
        </w:trPr>
        <w:tc>
          <w:tcPr>
            <w:tcW w:w="4210" w:type="dxa"/>
            <w:tcBorders>
              <w:top w:val="single" w:sz="4" w:space="0" w:color="auto"/>
              <w:left w:val="nil"/>
              <w:bottom w:val="nil"/>
              <w:right w:val="nil"/>
            </w:tcBorders>
            <w:shd w:val="clear" w:color="auto" w:fill="auto"/>
          </w:tcPr>
          <w:p w14:paraId="3E04FE2E"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More support for families and inclusion – More frontline homelessness services</w:t>
            </w:r>
          </w:p>
        </w:tc>
        <w:tc>
          <w:tcPr>
            <w:tcW w:w="974" w:type="dxa"/>
            <w:tcBorders>
              <w:top w:val="single" w:sz="4" w:space="0" w:color="auto"/>
              <w:left w:val="nil"/>
              <w:bottom w:val="nil"/>
              <w:right w:val="nil"/>
            </w:tcBorders>
            <w:shd w:val="clear" w:color="auto" w:fill="auto"/>
          </w:tcPr>
          <w:p w14:paraId="6097F530" w14:textId="77777777" w:rsidR="00654E5E" w:rsidRPr="001E037D" w:rsidRDefault="00654E5E" w:rsidP="00785F44">
            <w:pPr>
              <w:ind w:firstLineChars="100" w:firstLine="200"/>
              <w:jc w:val="right"/>
              <w:rPr>
                <w:bCs/>
                <w:color w:val="000000"/>
                <w:sz w:val="20"/>
              </w:rPr>
            </w:pPr>
            <w:r w:rsidRPr="001E037D">
              <w:rPr>
                <w:bCs/>
                <w:color w:val="000000"/>
                <w:sz w:val="20"/>
              </w:rPr>
              <w:t>2,057</w:t>
            </w:r>
          </w:p>
        </w:tc>
        <w:tc>
          <w:tcPr>
            <w:tcW w:w="974" w:type="dxa"/>
            <w:tcBorders>
              <w:top w:val="single" w:sz="4" w:space="0" w:color="auto"/>
              <w:left w:val="nil"/>
              <w:bottom w:val="nil"/>
              <w:right w:val="nil"/>
            </w:tcBorders>
            <w:shd w:val="clear" w:color="auto" w:fill="auto"/>
          </w:tcPr>
          <w:p w14:paraId="40A62168" w14:textId="77777777" w:rsidR="00654E5E" w:rsidRPr="001E037D" w:rsidRDefault="00654E5E" w:rsidP="00785F44">
            <w:pPr>
              <w:ind w:firstLineChars="100" w:firstLine="200"/>
              <w:jc w:val="right"/>
              <w:rPr>
                <w:color w:val="000000"/>
                <w:sz w:val="20"/>
              </w:rPr>
            </w:pPr>
            <w:r w:rsidRPr="001E037D">
              <w:rPr>
                <w:color w:val="000000"/>
                <w:sz w:val="20"/>
              </w:rPr>
              <w:t>2,057</w:t>
            </w:r>
          </w:p>
        </w:tc>
        <w:tc>
          <w:tcPr>
            <w:tcW w:w="862" w:type="dxa"/>
            <w:tcBorders>
              <w:top w:val="single" w:sz="4" w:space="0" w:color="auto"/>
              <w:left w:val="nil"/>
              <w:bottom w:val="nil"/>
              <w:right w:val="nil"/>
            </w:tcBorders>
            <w:shd w:val="clear" w:color="auto" w:fill="auto"/>
          </w:tcPr>
          <w:p w14:paraId="405C6CFF" w14:textId="77777777" w:rsidR="00654E5E" w:rsidRPr="001E037D" w:rsidRDefault="00654E5E" w:rsidP="00785F44">
            <w:pPr>
              <w:ind w:firstLineChars="100" w:firstLine="200"/>
              <w:jc w:val="right"/>
              <w:rPr>
                <w:color w:val="000000"/>
                <w:sz w:val="20"/>
              </w:rPr>
            </w:pPr>
            <w:r w:rsidRPr="001E037D">
              <w:rPr>
                <w:color w:val="000000"/>
                <w:sz w:val="20"/>
              </w:rPr>
              <w:t>2,057</w:t>
            </w:r>
          </w:p>
        </w:tc>
        <w:tc>
          <w:tcPr>
            <w:tcW w:w="1106" w:type="dxa"/>
            <w:tcBorders>
              <w:top w:val="single" w:sz="4" w:space="0" w:color="auto"/>
              <w:left w:val="nil"/>
              <w:bottom w:val="nil"/>
              <w:right w:val="nil"/>
            </w:tcBorders>
          </w:tcPr>
          <w:p w14:paraId="34CE40CA" w14:textId="77777777" w:rsidR="00654E5E" w:rsidRPr="001E037D" w:rsidRDefault="00654E5E" w:rsidP="00785F44">
            <w:pPr>
              <w:jc w:val="right"/>
              <w:rPr>
                <w:color w:val="000000"/>
                <w:sz w:val="20"/>
              </w:rPr>
            </w:pPr>
            <w:r w:rsidRPr="001E037D">
              <w:rPr>
                <w:color w:val="000000"/>
                <w:sz w:val="20"/>
              </w:rPr>
              <w:t>2,057</w:t>
            </w:r>
          </w:p>
        </w:tc>
        <w:tc>
          <w:tcPr>
            <w:tcW w:w="984" w:type="dxa"/>
            <w:tcBorders>
              <w:top w:val="single" w:sz="4" w:space="0" w:color="auto"/>
              <w:left w:val="nil"/>
              <w:bottom w:val="nil"/>
              <w:right w:val="nil"/>
            </w:tcBorders>
            <w:shd w:val="clear" w:color="auto" w:fill="auto"/>
          </w:tcPr>
          <w:p w14:paraId="67984A2A" w14:textId="77777777" w:rsidR="00654E5E" w:rsidRPr="001E037D" w:rsidRDefault="00654E5E" w:rsidP="00785F44">
            <w:pPr>
              <w:jc w:val="right"/>
              <w:rPr>
                <w:color w:val="000000"/>
                <w:sz w:val="20"/>
              </w:rPr>
            </w:pPr>
            <w:r w:rsidRPr="001E037D">
              <w:rPr>
                <w:color w:val="000000"/>
                <w:sz w:val="20"/>
              </w:rPr>
              <w:t>8,228</w:t>
            </w:r>
          </w:p>
        </w:tc>
      </w:tr>
      <w:tr w:rsidR="00654E5E" w:rsidRPr="001E037D" w14:paraId="6FA8227C" w14:textId="77777777" w:rsidTr="00785F44">
        <w:trPr>
          <w:cantSplit/>
          <w:trHeight w:val="180"/>
          <w:jc w:val="center"/>
        </w:trPr>
        <w:tc>
          <w:tcPr>
            <w:tcW w:w="4210" w:type="dxa"/>
            <w:tcBorders>
              <w:top w:val="nil"/>
              <w:left w:val="nil"/>
              <w:bottom w:val="nil"/>
              <w:right w:val="nil"/>
            </w:tcBorders>
            <w:shd w:val="clear" w:color="auto" w:fill="auto"/>
          </w:tcPr>
          <w:p w14:paraId="48012A5A" w14:textId="77777777" w:rsidR="00654E5E" w:rsidRPr="001E037D" w:rsidRDefault="00654E5E" w:rsidP="00785F44">
            <w:pPr>
              <w:spacing w:after="0" w:line="240" w:lineRule="auto"/>
              <w:ind w:left="63" w:hanging="63"/>
              <w:rPr>
                <w:rFonts w:ascii="Calibri" w:eastAsia="Times New Roman" w:hAnsi="Calibri" w:cs="Times New Roman"/>
                <w:bCs/>
                <w:sz w:val="20"/>
                <w:szCs w:val="20"/>
                <w:lang w:eastAsia="en-AU"/>
              </w:rPr>
            </w:pPr>
            <w:r w:rsidRPr="001E037D">
              <w:rPr>
                <w:rFonts w:ascii="Calibri" w:eastAsia="Times New Roman" w:hAnsi="Calibri" w:cs="Times New Roman"/>
                <w:bCs/>
                <w:sz w:val="20"/>
                <w:szCs w:val="20"/>
                <w:lang w:eastAsia="en-AU"/>
              </w:rPr>
              <w:t xml:space="preserve">More support for families and inclusion – Strengthening the Reportable Conduct Scheme </w:t>
            </w:r>
          </w:p>
        </w:tc>
        <w:tc>
          <w:tcPr>
            <w:tcW w:w="974" w:type="dxa"/>
            <w:tcBorders>
              <w:top w:val="nil"/>
              <w:left w:val="nil"/>
              <w:right w:val="nil"/>
            </w:tcBorders>
            <w:shd w:val="clear" w:color="auto" w:fill="auto"/>
          </w:tcPr>
          <w:p w14:paraId="6FC296BC" w14:textId="77777777" w:rsidR="00654E5E" w:rsidRPr="001E037D" w:rsidRDefault="00654E5E" w:rsidP="00785F44">
            <w:pPr>
              <w:ind w:firstLineChars="100" w:firstLine="200"/>
              <w:jc w:val="right"/>
              <w:rPr>
                <w:bCs/>
                <w:color w:val="000000"/>
                <w:sz w:val="20"/>
              </w:rPr>
            </w:pPr>
            <w:r w:rsidRPr="001E037D">
              <w:rPr>
                <w:bCs/>
                <w:color w:val="000000"/>
                <w:sz w:val="20"/>
              </w:rPr>
              <w:t>589</w:t>
            </w:r>
          </w:p>
        </w:tc>
        <w:tc>
          <w:tcPr>
            <w:tcW w:w="974" w:type="dxa"/>
            <w:tcBorders>
              <w:top w:val="nil"/>
              <w:left w:val="nil"/>
              <w:right w:val="nil"/>
            </w:tcBorders>
            <w:shd w:val="clear" w:color="auto" w:fill="auto"/>
          </w:tcPr>
          <w:p w14:paraId="171D948C" w14:textId="77777777" w:rsidR="00654E5E" w:rsidRPr="001E037D" w:rsidRDefault="00654E5E" w:rsidP="00785F44">
            <w:pPr>
              <w:ind w:firstLineChars="100" w:firstLine="200"/>
              <w:jc w:val="right"/>
              <w:rPr>
                <w:color w:val="000000"/>
                <w:sz w:val="20"/>
              </w:rPr>
            </w:pPr>
            <w:r w:rsidRPr="001E037D">
              <w:rPr>
                <w:color w:val="000000"/>
                <w:sz w:val="20"/>
              </w:rPr>
              <w:t>604</w:t>
            </w:r>
          </w:p>
        </w:tc>
        <w:tc>
          <w:tcPr>
            <w:tcW w:w="862" w:type="dxa"/>
            <w:tcBorders>
              <w:top w:val="nil"/>
              <w:left w:val="nil"/>
              <w:right w:val="nil"/>
            </w:tcBorders>
            <w:shd w:val="clear" w:color="auto" w:fill="auto"/>
          </w:tcPr>
          <w:p w14:paraId="64D88836" w14:textId="77777777" w:rsidR="00654E5E" w:rsidRPr="001E037D" w:rsidRDefault="00654E5E" w:rsidP="00785F44">
            <w:pPr>
              <w:ind w:firstLineChars="100" w:firstLine="200"/>
              <w:jc w:val="right"/>
              <w:rPr>
                <w:color w:val="000000"/>
                <w:sz w:val="20"/>
              </w:rPr>
            </w:pPr>
            <w:r w:rsidRPr="001E037D">
              <w:rPr>
                <w:color w:val="000000"/>
                <w:sz w:val="20"/>
              </w:rPr>
              <w:t>619</w:t>
            </w:r>
          </w:p>
        </w:tc>
        <w:tc>
          <w:tcPr>
            <w:tcW w:w="1106" w:type="dxa"/>
            <w:tcBorders>
              <w:top w:val="nil"/>
              <w:left w:val="nil"/>
              <w:right w:val="nil"/>
            </w:tcBorders>
          </w:tcPr>
          <w:p w14:paraId="61EE7926" w14:textId="77777777" w:rsidR="00654E5E" w:rsidRPr="001E037D" w:rsidRDefault="00654E5E" w:rsidP="00785F44">
            <w:pPr>
              <w:jc w:val="right"/>
              <w:rPr>
                <w:color w:val="000000"/>
                <w:sz w:val="20"/>
              </w:rPr>
            </w:pPr>
            <w:r w:rsidRPr="001E037D">
              <w:rPr>
                <w:color w:val="000000"/>
                <w:sz w:val="20"/>
              </w:rPr>
              <w:t>619</w:t>
            </w:r>
          </w:p>
        </w:tc>
        <w:tc>
          <w:tcPr>
            <w:tcW w:w="984" w:type="dxa"/>
            <w:tcBorders>
              <w:top w:val="nil"/>
              <w:left w:val="nil"/>
              <w:right w:val="nil"/>
            </w:tcBorders>
            <w:shd w:val="clear" w:color="auto" w:fill="auto"/>
          </w:tcPr>
          <w:p w14:paraId="14AA9879" w14:textId="77777777" w:rsidR="00654E5E" w:rsidRPr="001E037D" w:rsidRDefault="00654E5E" w:rsidP="00785F44">
            <w:pPr>
              <w:jc w:val="right"/>
              <w:rPr>
                <w:color w:val="000000"/>
                <w:sz w:val="20"/>
              </w:rPr>
            </w:pPr>
            <w:r w:rsidRPr="001E037D">
              <w:rPr>
                <w:color w:val="000000"/>
                <w:sz w:val="20"/>
              </w:rPr>
              <w:t>2,431</w:t>
            </w:r>
          </w:p>
        </w:tc>
      </w:tr>
      <w:tr w:rsidR="00654E5E" w:rsidRPr="001E037D" w14:paraId="09F99AE3" w14:textId="77777777" w:rsidTr="00785F44">
        <w:trPr>
          <w:cantSplit/>
          <w:trHeight w:val="70"/>
          <w:jc w:val="center"/>
        </w:trPr>
        <w:tc>
          <w:tcPr>
            <w:tcW w:w="4210" w:type="dxa"/>
            <w:tcBorders>
              <w:bottom w:val="single" w:sz="4" w:space="0" w:color="auto"/>
            </w:tcBorders>
            <w:shd w:val="clear" w:color="auto" w:fill="auto"/>
          </w:tcPr>
          <w:p w14:paraId="203FE8A8" w14:textId="77777777" w:rsidR="00654E5E" w:rsidRPr="002F4E5F" w:rsidRDefault="00654E5E" w:rsidP="00785F44">
            <w:pPr>
              <w:spacing w:after="0" w:line="240" w:lineRule="auto"/>
              <w:ind w:left="63" w:hanging="63"/>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Total</w:t>
            </w:r>
          </w:p>
        </w:tc>
        <w:tc>
          <w:tcPr>
            <w:tcW w:w="974" w:type="dxa"/>
            <w:tcBorders>
              <w:top w:val="nil"/>
              <w:left w:val="nil"/>
              <w:bottom w:val="single" w:sz="4" w:space="0" w:color="auto"/>
              <w:right w:val="nil"/>
            </w:tcBorders>
            <w:shd w:val="clear" w:color="auto" w:fill="auto"/>
            <w:vAlign w:val="center"/>
          </w:tcPr>
          <w:p w14:paraId="4ECD4760" w14:textId="77777777" w:rsidR="00654E5E" w:rsidRPr="002F4E5F"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2,646</w:t>
            </w:r>
          </w:p>
        </w:tc>
        <w:tc>
          <w:tcPr>
            <w:tcW w:w="974" w:type="dxa"/>
            <w:tcBorders>
              <w:top w:val="nil"/>
              <w:left w:val="nil"/>
              <w:bottom w:val="single" w:sz="4" w:space="0" w:color="auto"/>
              <w:right w:val="nil"/>
            </w:tcBorders>
            <w:shd w:val="clear" w:color="auto" w:fill="auto"/>
            <w:vAlign w:val="center"/>
          </w:tcPr>
          <w:p w14:paraId="34381F9E" w14:textId="77777777" w:rsidR="00654E5E" w:rsidRPr="002F4E5F"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2,661</w:t>
            </w:r>
          </w:p>
        </w:tc>
        <w:tc>
          <w:tcPr>
            <w:tcW w:w="862" w:type="dxa"/>
            <w:tcBorders>
              <w:top w:val="nil"/>
              <w:left w:val="nil"/>
              <w:bottom w:val="single" w:sz="4" w:space="0" w:color="auto"/>
              <w:right w:val="nil"/>
            </w:tcBorders>
            <w:shd w:val="clear" w:color="auto" w:fill="auto"/>
          </w:tcPr>
          <w:p w14:paraId="6821BFE5" w14:textId="77777777" w:rsidR="00654E5E" w:rsidRPr="002F4E5F"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Pr>
                <w:rFonts w:ascii="Calibri" w:eastAsia="Times New Roman" w:hAnsi="Calibri" w:cs="Times New Roman"/>
                <w:b/>
                <w:color w:val="472D8C"/>
                <w:sz w:val="20"/>
                <w:szCs w:val="20"/>
                <w:lang w:eastAsia="en-AU"/>
              </w:rPr>
              <w:t>2,676</w:t>
            </w:r>
          </w:p>
        </w:tc>
        <w:tc>
          <w:tcPr>
            <w:tcW w:w="1106" w:type="dxa"/>
            <w:tcBorders>
              <w:top w:val="nil"/>
              <w:left w:val="nil"/>
              <w:bottom w:val="single" w:sz="4" w:space="0" w:color="auto"/>
              <w:right w:val="nil"/>
            </w:tcBorders>
          </w:tcPr>
          <w:p w14:paraId="71CBA9AD" w14:textId="77777777" w:rsidR="00654E5E" w:rsidRPr="002F4E5F"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2,676</w:t>
            </w:r>
          </w:p>
        </w:tc>
        <w:tc>
          <w:tcPr>
            <w:tcW w:w="984" w:type="dxa"/>
            <w:tcBorders>
              <w:top w:val="nil"/>
              <w:left w:val="nil"/>
              <w:bottom w:val="single" w:sz="4" w:space="0" w:color="auto"/>
              <w:right w:val="nil"/>
            </w:tcBorders>
            <w:shd w:val="clear" w:color="auto" w:fill="auto"/>
            <w:vAlign w:val="center"/>
          </w:tcPr>
          <w:p w14:paraId="2D394ADC" w14:textId="77777777" w:rsidR="00654E5E" w:rsidRPr="002F4E5F" w:rsidRDefault="00654E5E" w:rsidP="00785F44">
            <w:pPr>
              <w:spacing w:after="0" w:line="240" w:lineRule="auto"/>
              <w:ind w:left="63" w:hanging="63"/>
              <w:jc w:val="right"/>
              <w:rPr>
                <w:rFonts w:ascii="Calibri" w:eastAsia="Times New Roman" w:hAnsi="Calibri" w:cs="Times New Roman"/>
                <w:b/>
                <w:color w:val="472D8C"/>
                <w:sz w:val="20"/>
                <w:szCs w:val="20"/>
                <w:lang w:eastAsia="en-AU"/>
              </w:rPr>
            </w:pPr>
            <w:r w:rsidRPr="002F4E5F">
              <w:rPr>
                <w:rFonts w:ascii="Calibri" w:eastAsia="Times New Roman" w:hAnsi="Calibri" w:cs="Times New Roman"/>
                <w:b/>
                <w:color w:val="472D8C"/>
                <w:sz w:val="20"/>
                <w:szCs w:val="20"/>
                <w:lang w:eastAsia="en-AU"/>
              </w:rPr>
              <w:t>10,659</w:t>
            </w:r>
          </w:p>
        </w:tc>
      </w:tr>
    </w:tbl>
    <w:p w14:paraId="47B7BC73" w14:textId="77777777" w:rsidR="00654E5E" w:rsidRPr="00963C2D" w:rsidRDefault="00654E5E" w:rsidP="00785F44">
      <w:pPr>
        <w:pStyle w:val="Btabletextunbold"/>
      </w:pPr>
    </w:p>
    <w:p w14:paraId="0841ECA1" w14:textId="1E4B1AD9" w:rsidR="00D454C3" w:rsidRDefault="00D454C3"/>
    <w:p w14:paraId="42003DAE" w14:textId="09AD25B3" w:rsidR="00785F44" w:rsidRDefault="00785F44">
      <w:r>
        <w:br w:type="page"/>
      </w:r>
    </w:p>
    <w:p w14:paraId="528BF208" w14:textId="49E5B713" w:rsidR="00785F44" w:rsidRDefault="00785F44" w:rsidP="00785F44">
      <w:pPr>
        <w:tabs>
          <w:tab w:val="left" w:pos="1053"/>
        </w:tabs>
      </w:pPr>
      <w:r>
        <w:lastRenderedPageBreak/>
        <w:tab/>
      </w:r>
    </w:p>
    <w:p w14:paraId="6F290999" w14:textId="77777777" w:rsidR="00785F44" w:rsidRDefault="00785F44">
      <w:pPr>
        <w:sectPr w:rsidR="00785F44" w:rsidSect="00542DA2">
          <w:footerReference w:type="default" r:id="rId25"/>
          <w:pgSz w:w="11906" w:h="16838" w:code="9"/>
          <w:pgMar w:top="1151" w:right="1440" w:bottom="1729" w:left="1440" w:header="720" w:footer="720" w:gutter="0"/>
          <w:cols w:space="708"/>
          <w:docGrid w:linePitch="360"/>
        </w:sectPr>
      </w:pPr>
    </w:p>
    <w:p w14:paraId="16ECBC9D" w14:textId="77777777" w:rsidR="00785F44" w:rsidRDefault="00785F44" w:rsidP="00785F44">
      <w:pPr>
        <w:rPr>
          <w:rFonts w:ascii="Calibri" w:hAnsi="Calibri"/>
          <w:b/>
          <w:sz w:val="36"/>
        </w:rPr>
      </w:pPr>
    </w:p>
    <w:p w14:paraId="130C9773" w14:textId="77777777" w:rsidR="00785F44" w:rsidRDefault="00785F44" w:rsidP="00785F44">
      <w:pPr>
        <w:jc w:val="center"/>
        <w:rPr>
          <w:b/>
          <w:bCs/>
          <w:sz w:val="32"/>
          <w:szCs w:val="32"/>
        </w:rPr>
      </w:pPr>
    </w:p>
    <w:p w14:paraId="651AC408" w14:textId="47D04BC6" w:rsidR="00785F44" w:rsidRDefault="00785F44" w:rsidP="00785F44">
      <w:pPr>
        <w:jc w:val="center"/>
        <w:rPr>
          <w:b/>
          <w:bCs/>
          <w:sz w:val="32"/>
          <w:szCs w:val="32"/>
        </w:rPr>
      </w:pPr>
      <w:r w:rsidRPr="00A3203C">
        <w:rPr>
          <w:b/>
          <w:bCs/>
          <w:sz w:val="32"/>
          <w:szCs w:val="32"/>
        </w:rPr>
        <w:t xml:space="preserve">APPENDIX </w:t>
      </w:r>
      <w:r>
        <w:rPr>
          <w:b/>
          <w:bCs/>
          <w:sz w:val="32"/>
          <w:szCs w:val="32"/>
        </w:rPr>
        <w:t>I</w:t>
      </w:r>
    </w:p>
    <w:p w14:paraId="4EDF5C05" w14:textId="77777777" w:rsidR="00785F44" w:rsidRDefault="00785F44" w:rsidP="00785F44">
      <w:pPr>
        <w:jc w:val="center"/>
        <w:rPr>
          <w:b/>
          <w:bCs/>
          <w:sz w:val="32"/>
          <w:szCs w:val="32"/>
        </w:rPr>
      </w:pPr>
    </w:p>
    <w:p w14:paraId="69DA01FB" w14:textId="77777777" w:rsidR="00785F44" w:rsidRPr="00A3203C" w:rsidRDefault="00785F44" w:rsidP="00785F44">
      <w:pPr>
        <w:jc w:val="center"/>
        <w:rPr>
          <w:b/>
          <w:bCs/>
          <w:sz w:val="32"/>
          <w:szCs w:val="32"/>
        </w:rPr>
      </w:pPr>
    </w:p>
    <w:p w14:paraId="6B8AF60A" w14:textId="10364324" w:rsidR="00785F44" w:rsidRDefault="00785F44" w:rsidP="00785F44">
      <w:pPr>
        <w:jc w:val="center"/>
        <w:rPr>
          <w:b/>
          <w:bCs/>
          <w:sz w:val="32"/>
          <w:szCs w:val="32"/>
        </w:rPr>
      </w:pPr>
      <w:r>
        <w:rPr>
          <w:b/>
          <w:bCs/>
          <w:sz w:val="32"/>
          <w:szCs w:val="32"/>
        </w:rPr>
        <w:t>STATEMENT OF RISK</w:t>
      </w:r>
    </w:p>
    <w:p w14:paraId="4D0DC123" w14:textId="77777777" w:rsidR="00785F44" w:rsidRDefault="00785F44" w:rsidP="00785F44">
      <w:r>
        <w:br w:type="page"/>
      </w:r>
    </w:p>
    <w:p w14:paraId="76F6A069" w14:textId="77777777" w:rsidR="00785F44" w:rsidRDefault="00785F44">
      <w:pPr>
        <w:rPr>
          <w:rFonts w:ascii="Calibri" w:eastAsiaTheme="majorEastAsia" w:hAnsi="Calibri" w:cstheme="majorBidi"/>
          <w:b/>
          <w:caps/>
          <w:color w:val="472D8C"/>
          <w:sz w:val="36"/>
          <w:szCs w:val="26"/>
        </w:rPr>
      </w:pPr>
      <w:r>
        <w:lastRenderedPageBreak/>
        <w:br w:type="page"/>
      </w:r>
    </w:p>
    <w:p w14:paraId="0F1CAF78" w14:textId="77777777" w:rsidR="00054A2A" w:rsidRPr="00930757" w:rsidRDefault="00054A2A" w:rsidP="00C52D24">
      <w:pPr>
        <w:pStyle w:val="Heading2"/>
        <w:numPr>
          <w:ilvl w:val="0"/>
          <w:numId w:val="0"/>
        </w:numPr>
        <w:ind w:left="2127" w:hanging="2127"/>
      </w:pPr>
      <w:bookmarkStart w:id="11" w:name="_Toc84300604"/>
      <w:r>
        <w:lastRenderedPageBreak/>
        <w:t>Appendix I – Statement of Risk</w:t>
      </w:r>
      <w:bookmarkEnd w:id="11"/>
      <w:r>
        <w:t xml:space="preserve"> </w:t>
      </w:r>
    </w:p>
    <w:p w14:paraId="5A843C86" w14:textId="77777777" w:rsidR="00054A2A" w:rsidRPr="009F6656" w:rsidRDefault="00054A2A" w:rsidP="00C52D24">
      <w:pPr>
        <w:pStyle w:val="Bbodytext"/>
      </w:pPr>
      <w:r w:rsidRPr="009F6656">
        <w:t xml:space="preserve">Consistent with </w:t>
      </w:r>
      <w:r>
        <w:t>sub-</w:t>
      </w:r>
      <w:r w:rsidRPr="009F6656">
        <w:t>section 11</w:t>
      </w:r>
      <w:r>
        <w:t>(1)</w:t>
      </w:r>
      <w:r w:rsidRPr="009F6656">
        <w:t xml:space="preserve">(d) of the </w:t>
      </w:r>
      <w:r w:rsidRPr="009F6656">
        <w:rPr>
          <w:i/>
        </w:rPr>
        <w:t xml:space="preserve">Financial Management Act 1996 </w:t>
      </w:r>
      <w:r w:rsidRPr="009F6656">
        <w:t xml:space="preserve">(FMA), each budget update is required to provide a statement describing the risks – quantified if possible – that may affect the budget estimates. Details of economic and fiscal risks, and contingent liabilities, other commitments and outstanding claims liabilities were previously provided in Appendix </w:t>
      </w:r>
      <w:r>
        <w:t>I</w:t>
      </w:r>
      <w:r w:rsidRPr="009F6656">
        <w:t xml:space="preserve"> to the </w:t>
      </w:r>
      <w:r>
        <w:t xml:space="preserve">2020-21 Budget Outlook </w:t>
      </w:r>
      <w:r w:rsidRPr="009F6656">
        <w:t xml:space="preserve">(published on </w:t>
      </w:r>
      <w:r>
        <w:t>9 February</w:t>
      </w:r>
      <w:r w:rsidRPr="009F6656">
        <w:t xml:space="preserve"> 202</w:t>
      </w:r>
      <w:r>
        <w:t>1</w:t>
      </w:r>
      <w:r w:rsidRPr="009F6656">
        <w:t>).</w:t>
      </w:r>
    </w:p>
    <w:p w14:paraId="1E12C7C9" w14:textId="77777777" w:rsidR="00054A2A" w:rsidRPr="001D4402" w:rsidRDefault="00054A2A" w:rsidP="00C52D24">
      <w:pPr>
        <w:pStyle w:val="Bbodytext"/>
      </w:pPr>
      <w:r w:rsidRPr="009F6656">
        <w:t>The following risks have been identified at the time of publication of the 202</w:t>
      </w:r>
      <w:r>
        <w:t>1</w:t>
      </w:r>
      <w:r w:rsidRPr="009F6656">
        <w:noBreakHyphen/>
        <w:t>2</w:t>
      </w:r>
      <w:r>
        <w:t>2</w:t>
      </w:r>
      <w:r w:rsidRPr="009F6656">
        <w:t> Budget.</w:t>
      </w:r>
      <w:r w:rsidRPr="000E0A16">
        <w:t xml:space="preserve"> </w:t>
      </w:r>
    </w:p>
    <w:p w14:paraId="51871B19" w14:textId="77777777" w:rsidR="00054A2A" w:rsidRPr="001D4402" w:rsidRDefault="00054A2A" w:rsidP="00C52D24">
      <w:pPr>
        <w:pStyle w:val="Heading3"/>
        <w:rPr>
          <w:b w:val="0"/>
        </w:rPr>
      </w:pPr>
      <w:bookmarkStart w:id="12" w:name="_Toc63586774"/>
      <w:r w:rsidRPr="001D4402">
        <w:t>Economic Risks</w:t>
      </w:r>
      <w:bookmarkEnd w:id="12"/>
    </w:p>
    <w:p w14:paraId="472766F2" w14:textId="77777777" w:rsidR="00054A2A" w:rsidRDefault="00054A2A" w:rsidP="00C52D24">
      <w:pPr>
        <w:pStyle w:val="Bbodytext"/>
      </w:pPr>
      <w:r>
        <w:t xml:space="preserve">There remains significant uncertainty surrounding the ACT economic outlook, the national economy, and other economies across the globe as economic development continues to be driven by the evolution of the COVID-19 pandemic, particularly the emergence of more infectious strains such as the Delta variant. Possible longer lasting effects from the pandemic, including damage to supply chains and prolonged skills-mismatches, are unclear. </w:t>
      </w:r>
    </w:p>
    <w:p w14:paraId="4DA53C16" w14:textId="77777777" w:rsidR="00054A2A" w:rsidRDefault="00054A2A" w:rsidP="00C52D24">
      <w:pPr>
        <w:pStyle w:val="Bbodytext"/>
      </w:pPr>
      <w:r>
        <w:t>The risks to the ACT economy in the near term reflect increased uncertainty stemming from the Delta variant of coronavirus and potential emergence of other strains that could reduce the effectiveness of vaccines.</w:t>
      </w:r>
    </w:p>
    <w:p w14:paraId="56FF0097" w14:textId="77777777" w:rsidR="00054A2A" w:rsidRDefault="00054A2A" w:rsidP="00C52D24">
      <w:pPr>
        <w:pStyle w:val="Bbodytext"/>
      </w:pPr>
      <w:r>
        <w:t xml:space="preserve">The baseline economic outlook assumes that the fiscal supports and monetary policy measures limit the adverse economic impact of lockdowns over the September quarter 2021 and provide support for a stronger private sector recovery. As stimulus measures are withdrawn progressively, the gradual reopening of Australia’s domestic and international </w:t>
      </w:r>
      <w:r w:rsidRPr="00520C54">
        <w:t xml:space="preserve">borders from </w:t>
      </w:r>
      <w:r>
        <w:t>late</w:t>
      </w:r>
      <w:r w:rsidRPr="00520C54">
        <w:t xml:space="preserve"> 2021 will support improved confidence and economic activity. </w:t>
      </w:r>
      <w:r w:rsidRPr="00005ACE">
        <w:t xml:space="preserve">There is a risk that if stimulus is withdrawn too early, business and consumer confidence will be affected, </w:t>
      </w:r>
      <w:r>
        <w:t xml:space="preserve">disrupting </w:t>
      </w:r>
      <w:r w:rsidRPr="00005ACE">
        <w:t xml:space="preserve">the labour market and </w:t>
      </w:r>
      <w:r>
        <w:t xml:space="preserve">delaying </w:t>
      </w:r>
      <w:r w:rsidRPr="00005ACE">
        <w:t>economic recovery.</w:t>
      </w:r>
    </w:p>
    <w:p w14:paraId="0FC69094" w14:textId="77777777" w:rsidR="00054A2A" w:rsidRDefault="00054A2A" w:rsidP="00C52D24">
      <w:pPr>
        <w:pStyle w:val="Bbodytext"/>
      </w:pPr>
      <w:r>
        <w:t xml:space="preserve">If inflation is higher than expected and leads to a need for the Reserve Bank of Australia to begin interest rate increases earlier than anticipated, this could adversely affect growth and the ACT housing market. Australian households are carrying significant debt and any rise in interest rates could see households decide to consolidate their balance sheets. </w:t>
      </w:r>
    </w:p>
    <w:p w14:paraId="4FA52A92" w14:textId="77777777" w:rsidR="00054A2A" w:rsidRDefault="00054A2A" w:rsidP="00C52D24">
      <w:pPr>
        <w:pStyle w:val="Bbodytext"/>
      </w:pPr>
      <w:r>
        <w:t xml:space="preserve">In addition, the Council of Financial Regulators has indicated there are some potential medium-term risks to the economy if credit growth materially outpaces growth in household income for an extended period. The </w:t>
      </w:r>
      <w:r w:rsidRPr="00180C3E">
        <w:t>Australian Prudential Regulation Authority</w:t>
      </w:r>
      <w:r>
        <w:t xml:space="preserve"> is currently preparing an information paper on possible macroprudential measures to curb lending. Any such measures would impact on demand for credit and the housing market. </w:t>
      </w:r>
    </w:p>
    <w:p w14:paraId="0E5F14B5" w14:textId="77777777" w:rsidR="00054A2A" w:rsidRDefault="00054A2A" w:rsidP="00C52D24">
      <w:pPr>
        <w:pStyle w:val="Bbodytext"/>
      </w:pPr>
      <w:r>
        <w:t>A prolonged period of heightened uncertainty, low business confidence and low demand could dampen scope for business investment to recover. This could delay capital replacement or lead to an unwillingness to undertake the risks associated with beginning a major project or business venture, despite the historically low cash rate.</w:t>
      </w:r>
    </w:p>
    <w:p w14:paraId="70AA2C48" w14:textId="77777777" w:rsidR="00054A2A" w:rsidRDefault="00054A2A" w:rsidP="00C52D24">
      <w:pPr>
        <w:pStyle w:val="Bbodytext"/>
      </w:pPr>
      <w:r>
        <w:t xml:space="preserve">The Commonwealth decentralisation agenda outlined in the 2019-20 Commonwealth Budget to relocate more public sector jobs outside the ACT, including some from the Department of the Prime Minister and Cabinet, Indigenous Business Australia and Australian Financial Security Authority, remains a looming downside risk to the ACT’s economic outlook in the medium term. </w:t>
      </w:r>
    </w:p>
    <w:p w14:paraId="4B71BFC4" w14:textId="1331BFF0" w:rsidR="00054A2A" w:rsidRDefault="00054A2A" w:rsidP="00C52D24">
      <w:pPr>
        <w:pStyle w:val="Bbodytext"/>
      </w:pPr>
      <w:r>
        <w:lastRenderedPageBreak/>
        <w:t>In addition, any increase in the efficiency dividend for the Australian Public Service as the Commonwealth seeks to repair its fiscal position is a key medium-term downside risk to the ACT economy as 38.2 per cent of the Australian Public Service is in the Territory</w:t>
      </w:r>
      <w:r w:rsidR="00C01302">
        <w:t>.</w:t>
      </w:r>
      <w:r>
        <w:rPr>
          <w:rStyle w:val="FootnoteReference"/>
        </w:rPr>
        <w:footnoteReference w:id="1"/>
      </w:r>
      <w:r>
        <w:t xml:space="preserve"> </w:t>
      </w:r>
    </w:p>
    <w:p w14:paraId="65D6948C" w14:textId="77777777" w:rsidR="00054A2A" w:rsidRPr="001A3661" w:rsidRDefault="00054A2A" w:rsidP="00C52D24">
      <w:pPr>
        <w:pStyle w:val="Heading3"/>
      </w:pPr>
      <w:bookmarkStart w:id="13" w:name="_Toc63586775"/>
      <w:r w:rsidRPr="000E0A16">
        <w:t>Fiscal Risks</w:t>
      </w:r>
      <w:bookmarkEnd w:id="13"/>
    </w:p>
    <w:p w14:paraId="740DB099" w14:textId="77777777" w:rsidR="00054A2A" w:rsidRDefault="00054A2A" w:rsidP="00C52D24">
      <w:pPr>
        <w:pStyle w:val="Bbodytext"/>
      </w:pPr>
      <w:r w:rsidRPr="00654308">
        <w:t xml:space="preserve">The Government </w:t>
      </w:r>
      <w:r>
        <w:t xml:space="preserve">is committed to providing all eligible Canberrans with access to a safe and effective vaccination in conjunction with the Commonwealth Government and healthcare providers. This undertaking is reflected in the significant bolstering of health services in this budget, including the expansion of the </w:t>
      </w:r>
      <w:r w:rsidRPr="00E26EA9">
        <w:t>vaccination program across existing and additional clinics</w:t>
      </w:r>
      <w:r>
        <w:t xml:space="preserve">, for example, in response to additional dosage supply or updated advice from the </w:t>
      </w:r>
      <w:r w:rsidRPr="00FE091A">
        <w:t>Australian Technical Advisory Group on Immunisation</w:t>
      </w:r>
      <w:r>
        <w:t>.</w:t>
      </w:r>
    </w:p>
    <w:p w14:paraId="4C3CD372" w14:textId="77777777" w:rsidR="00054A2A" w:rsidRDefault="00054A2A" w:rsidP="00C52D24">
      <w:pPr>
        <w:pStyle w:val="Bbodytext"/>
      </w:pPr>
      <w:r>
        <w:t>T</w:t>
      </w:r>
      <w:r w:rsidRPr="00042E71">
        <w:t>he vaccination program</w:t>
      </w:r>
      <w:r>
        <w:t>, along with other health programs,</w:t>
      </w:r>
      <w:r w:rsidRPr="00042E71">
        <w:t xml:space="preserve"> </w:t>
      </w:r>
      <w:r>
        <w:t>is</w:t>
      </w:r>
      <w:r w:rsidRPr="00042E71">
        <w:t xml:space="preserve"> demand driven</w:t>
      </w:r>
      <w:r>
        <w:t>,</w:t>
      </w:r>
      <w:r w:rsidRPr="00042E71">
        <w:t xml:space="preserve"> and variation in vaccination</w:t>
      </w:r>
      <w:r>
        <w:t xml:space="preserve"> and other program</w:t>
      </w:r>
      <w:r w:rsidRPr="00042E71">
        <w:t xml:space="preserve"> take-up rates will impact </w:t>
      </w:r>
      <w:r>
        <w:t xml:space="preserve">their respective </w:t>
      </w:r>
      <w:r w:rsidRPr="00042E71">
        <w:t>cost</w:t>
      </w:r>
      <w:r>
        <w:t xml:space="preserve"> estimates</w:t>
      </w:r>
      <w:r w:rsidRPr="00042E71">
        <w:t xml:space="preserve"> within a given financial year. </w:t>
      </w:r>
      <w:r>
        <w:t>Similarly, many of the business and community support programs being provided are also demand driven and have been extended as necessary as conditions have evolved. As a result, expenditure estimates for the vaccination, other health programs and economic support measures in this budget may be higher or lower depending on the evolution of the pandemic and the demand for particular programs.</w:t>
      </w:r>
    </w:p>
    <w:p w14:paraId="54888B9D" w14:textId="77777777" w:rsidR="00054A2A" w:rsidRDefault="00054A2A" w:rsidP="00C52D24">
      <w:pPr>
        <w:pStyle w:val="Bbodytext"/>
      </w:pPr>
      <w:r>
        <w:t>In addition, other cost pressures may arise as we continue to respond to and recover from the pandemic and its economic and social impacts. The $50 million set aside in the COVID</w:t>
      </w:r>
      <w:r>
        <w:noBreakHyphen/>
        <w:t xml:space="preserve"> 19 Response Fund provides a buffer to address these risks.</w:t>
      </w:r>
    </w:p>
    <w:p w14:paraId="1560DFA7" w14:textId="77777777" w:rsidR="00054A2A" w:rsidRDefault="00054A2A" w:rsidP="00C52D24">
      <w:pPr>
        <w:pStyle w:val="Bbodytext"/>
      </w:pPr>
      <w:r>
        <w:t xml:space="preserve">The Territory’s lockdown is currently scheduled to continue until </w:t>
      </w:r>
      <w:r w:rsidRPr="00D120C9">
        <w:t>15 October 2021</w:t>
      </w:r>
      <w:r>
        <w:t xml:space="preserve">. Given COVID-19 will still be circulating in our community at this time, the Territory’s pathway forward will be focussed on continuing to increase our vaccination coverage, supporting the recovery from the pandemic, and addressing other elements of our health response such as additional mental health services. The easing of lockdown restrictions, as outlined in our Pathway Forward, will be gradual, balancing </w:t>
      </w:r>
      <w:r w:rsidRPr="00396E5D">
        <w:t>the risks posed by COVID-19</w:t>
      </w:r>
      <w:r>
        <w:t xml:space="preserve"> </w:t>
      </w:r>
      <w:r w:rsidRPr="00396E5D">
        <w:t xml:space="preserve">to </w:t>
      </w:r>
      <w:r>
        <w:t xml:space="preserve">our economic and social wellbeing while </w:t>
      </w:r>
      <w:r w:rsidRPr="00396E5D">
        <w:t>ensur</w:t>
      </w:r>
      <w:r>
        <w:t>ing</w:t>
      </w:r>
      <w:r w:rsidRPr="00396E5D">
        <w:t xml:space="preserve"> </w:t>
      </w:r>
      <w:r>
        <w:t>excessive pressure is not being placed on</w:t>
      </w:r>
      <w:r w:rsidRPr="00396E5D">
        <w:t xml:space="preserve"> our health system.</w:t>
      </w:r>
    </w:p>
    <w:p w14:paraId="4070C66F" w14:textId="77777777" w:rsidR="00054A2A" w:rsidRDefault="00054A2A" w:rsidP="00C52D24">
      <w:pPr>
        <w:pStyle w:val="Bbodytext"/>
      </w:pPr>
      <w:r>
        <w:t>As the percentage of our population that is fully vaccinated progresses beyond 80 and 90 per cent,</w:t>
      </w:r>
      <w:r w:rsidRPr="004D1946">
        <w:t xml:space="preserve"> an easing of</w:t>
      </w:r>
      <w:r w:rsidRPr="008B70E3">
        <w:t xml:space="preserve"> </w:t>
      </w:r>
      <w:r>
        <w:t>health restrictions will lessen current demands on our health system, and similarly the need for business and community support programs will progressively reduce. Additionally, this will see economic activity rebound and an increase in revenue generation (for example, through higher levels of payroll tax), although it is clear that risks remain as outlined below</w:t>
      </w:r>
      <w:r w:rsidRPr="00110401">
        <w:t>.</w:t>
      </w:r>
    </w:p>
    <w:p w14:paraId="41797614" w14:textId="77777777" w:rsidR="00054A2A" w:rsidRDefault="00054A2A" w:rsidP="00C52D24">
      <w:pPr>
        <w:pStyle w:val="Bbodytext"/>
      </w:pPr>
      <w:r>
        <w:t xml:space="preserve">If, as a result, expenses are lower and/or revenue higher than expected this would reduce the call on the COVID-19 Response Fund.   </w:t>
      </w:r>
    </w:p>
    <w:p w14:paraId="6BB3AA5D" w14:textId="77777777" w:rsidR="00054A2A" w:rsidRPr="00110401" w:rsidRDefault="00054A2A" w:rsidP="00C52D24">
      <w:pPr>
        <w:pStyle w:val="Heading3"/>
      </w:pPr>
      <w:r w:rsidRPr="000E0A16">
        <w:lastRenderedPageBreak/>
        <w:t>Revenue Risks</w:t>
      </w:r>
    </w:p>
    <w:p w14:paraId="669BAE77" w14:textId="77777777" w:rsidR="00054A2A" w:rsidRDefault="00054A2A" w:rsidP="00C52D24">
      <w:pPr>
        <w:pStyle w:val="Bbodytext"/>
      </w:pPr>
      <w:r w:rsidRPr="00B347E8">
        <w:t>As with</w:t>
      </w:r>
      <w:r w:rsidRPr="00B347E8" w:rsidDel="00087910">
        <w:t xml:space="preserve"> </w:t>
      </w:r>
      <w:r w:rsidRPr="00B347E8">
        <w:t>economic parameters, the key risk to the Territory’s forecast revenue is the outcomes from health responses, including the rapid and effective roll-out of vaccines and the effectiveness of responses to virus outbreaks.</w:t>
      </w:r>
    </w:p>
    <w:p w14:paraId="7D80EEA8" w14:textId="77777777" w:rsidR="00054A2A" w:rsidRDefault="00054A2A" w:rsidP="00C52D24">
      <w:pPr>
        <w:pStyle w:val="Bbodytext"/>
      </w:pPr>
      <w:r w:rsidRPr="000A1157">
        <w:t xml:space="preserve">With the outbreak of the Delta variant of COVID-19, it is difficult to assess the balance of risks considering the heightened uncertainty as restrictions are eased and </w:t>
      </w:r>
      <w:r>
        <w:t xml:space="preserve">the </w:t>
      </w:r>
      <w:r w:rsidRPr="000A1157">
        <w:t>virus continues to circulate. The upside scenario assumes that the current Delta outbreaks are contained quickly with minimal lockdowns and high vaccination rate across Australia reducing the pressure on hospital capacity as restrictions are eased. The downside scenario assumes that despite high vaccination rates, the spread of the virus puts pressure on hospital capacity, and consistent with the national plan some jurisdictions are required to impose strict health restrictions to limit the spread of the virus through to the end of 2021. This would see fewer opportunities for discretionary spending and concerns over employment prospects and income security would see households continue to increase saving and reduce their aggregate spending.</w:t>
      </w:r>
      <w:r>
        <w:t xml:space="preserve"> The revenue estimates for Residential Conveyance Duty and Payroll Tax are more sensitive to downside risks from population, GSP and wages outcomes.</w:t>
      </w:r>
    </w:p>
    <w:p w14:paraId="5650A4A8" w14:textId="77777777" w:rsidR="00054A2A" w:rsidRDefault="00054A2A" w:rsidP="00C52D24">
      <w:pPr>
        <w:pStyle w:val="Bbodytext"/>
      </w:pPr>
      <w:r w:rsidRPr="003322A1">
        <w:t>The Government has provided deferrals and rebates across a range of own-source revenue lines to provide cashflow support to households and businesses during the pandemic. There is a risk that a portion of the deferred amounts become unrecoverable as they fall due, as some businesses and households remain in financial hardship.</w:t>
      </w:r>
    </w:p>
    <w:p w14:paraId="6EC9A429" w14:textId="77777777" w:rsidR="00054A2A" w:rsidRPr="001D369C" w:rsidRDefault="00054A2A" w:rsidP="00C52D24">
      <w:pPr>
        <w:pStyle w:val="Heading4"/>
        <w:rPr>
          <w:b w:val="0"/>
        </w:rPr>
      </w:pPr>
      <w:r w:rsidRPr="001D369C">
        <w:t>Financial investment assets and liabilities</w:t>
      </w:r>
    </w:p>
    <w:p w14:paraId="48AB9EA6" w14:textId="77777777" w:rsidR="00054A2A" w:rsidRPr="004A2083" w:rsidRDefault="00054A2A" w:rsidP="00C52D24">
      <w:pPr>
        <w:pStyle w:val="Bbodytext"/>
      </w:pPr>
      <w:r w:rsidRPr="004A2083">
        <w:t xml:space="preserve">The outlook for investment returns continues to be challenging, with economic uncertainty and financial market volatility </w:t>
      </w:r>
      <w:r>
        <w:t xml:space="preserve">due to the ongoing global and domestic economic disruptions from </w:t>
      </w:r>
      <w:r w:rsidRPr="004A2083">
        <w:t>the COVID-19 pandemic.</w:t>
      </w:r>
    </w:p>
    <w:p w14:paraId="7AF2138D" w14:textId="77777777" w:rsidR="00054A2A" w:rsidRPr="004A2083" w:rsidRDefault="00054A2A" w:rsidP="00C52D24">
      <w:pPr>
        <w:pStyle w:val="Bbodytext"/>
      </w:pPr>
      <w:r w:rsidRPr="004A2083">
        <w:t xml:space="preserve">Any negative impacts to both future investment earnings and the </w:t>
      </w:r>
      <w:r>
        <w:t xml:space="preserve">superannuation </w:t>
      </w:r>
      <w:r w:rsidRPr="004A2083">
        <w:t xml:space="preserve">liability valuation will increase the likelihood that the timeframe to extinguish the Territory’s unfunded superannuation liability will </w:t>
      </w:r>
      <w:r>
        <w:t>need to be extended</w:t>
      </w:r>
      <w:r w:rsidRPr="004A2083">
        <w:t>.</w:t>
      </w:r>
    </w:p>
    <w:p w14:paraId="33E512D7" w14:textId="77777777" w:rsidR="00054A2A" w:rsidRDefault="00054A2A" w:rsidP="00C52D24">
      <w:pPr>
        <w:pStyle w:val="Bbodytext"/>
        <w:rPr>
          <w:rFonts w:ascii="Calibri" w:eastAsia="Calibri" w:hAnsi="Calibri" w:cs="Calibri"/>
          <w:color w:val="000000" w:themeColor="text1"/>
          <w:szCs w:val="24"/>
        </w:rPr>
      </w:pPr>
      <w:r w:rsidRPr="004A2083">
        <w:t xml:space="preserve">Any significant deterioration in global and Australian financial markets could present risks to the ability of the Territory to effectively access financial markets to </w:t>
      </w:r>
      <w:r>
        <w:t xml:space="preserve">raise new borrowing through the </w:t>
      </w:r>
      <w:r w:rsidRPr="004A2083">
        <w:t>issu</w:t>
      </w:r>
      <w:r>
        <w:t xml:space="preserve">ance of </w:t>
      </w:r>
      <w:r w:rsidRPr="004A2083">
        <w:t xml:space="preserve">new bonds. The Reserve Bank of Australia is continuing to implement a range of policy measures, including a program of bond purchases </w:t>
      </w:r>
      <w:r w:rsidRPr="004A2083">
        <w:rPr>
          <w:rFonts w:ascii="Calibri" w:eastAsia="Calibri" w:hAnsi="Calibri" w:cs="Calibri"/>
          <w:color w:val="000000" w:themeColor="text1"/>
          <w:szCs w:val="24"/>
        </w:rPr>
        <w:t>to support liquidity in Australian financial markets.</w:t>
      </w:r>
      <w:r>
        <w:rPr>
          <w:rFonts w:ascii="Calibri" w:eastAsia="Calibri" w:hAnsi="Calibri" w:cs="Calibri"/>
          <w:color w:val="000000" w:themeColor="text1"/>
          <w:szCs w:val="24"/>
        </w:rPr>
        <w:t xml:space="preserve"> At this stage, the Reserve Bank has indicated the bond purchase program will continue until at least 11 November 2021.</w:t>
      </w:r>
    </w:p>
    <w:p w14:paraId="76109D71" w14:textId="77777777" w:rsidR="00054A2A" w:rsidRPr="001D4402" w:rsidRDefault="00054A2A" w:rsidP="00C52D24">
      <w:pPr>
        <w:pStyle w:val="Heading4"/>
        <w:rPr>
          <w:b w:val="0"/>
          <w:highlight w:val="yellow"/>
        </w:rPr>
      </w:pPr>
      <w:r w:rsidRPr="000E0A16">
        <w:lastRenderedPageBreak/>
        <w:t>Enterprise Bargaining Negotiations</w:t>
      </w:r>
    </w:p>
    <w:p w14:paraId="7674E1FF" w14:textId="77777777" w:rsidR="00054A2A" w:rsidRDefault="00054A2A" w:rsidP="00C52D24">
      <w:pPr>
        <w:pStyle w:val="Bbodytext"/>
        <w:keepNext/>
        <w:keepLines/>
      </w:pPr>
      <w:r>
        <w:t>Employee expenses are the largest expense incurred by the Territory, and the majority of ACT Government directorate enterprise agreements are due to expire on 31 October 2021. COVID-19 pandemic restrictions, however, have impacted on the progress of negotiations, primarily as a result of both directorate representatives and union officials being heavily committed to staffing or member matters arising from the COVID-19 public health emergency.</w:t>
      </w:r>
    </w:p>
    <w:p w14:paraId="7D0EEDD7" w14:textId="77777777" w:rsidR="00054A2A" w:rsidRDefault="00054A2A" w:rsidP="00C52D24">
      <w:pPr>
        <w:pStyle w:val="Bbodytext"/>
      </w:pPr>
      <w:r>
        <w:t xml:space="preserve">Accordingly, for those agreements with an expiry date of 31 October 2021, the Government has elected to ‘roll over’ current arrangements until 31 October 2022, with largely no change (but incorporating indexation uplifts of a similar magnitude and timeframe to those applied currently). </w:t>
      </w:r>
    </w:p>
    <w:p w14:paraId="40C75B33" w14:textId="77777777" w:rsidR="00054A2A" w:rsidRDefault="00054A2A" w:rsidP="00C52D24">
      <w:pPr>
        <w:pStyle w:val="Bbodytext"/>
      </w:pPr>
      <w:r>
        <w:t>Following this initial extension, negotiation processes for future</w:t>
      </w:r>
      <w:r w:rsidRPr="009F4422">
        <w:t xml:space="preserve"> agreements</w:t>
      </w:r>
      <w:r>
        <w:t xml:space="preserve"> should return to more normal arrangements as pandemic conditions ease. As a future agreement will likely be resolved within the forward estimates period, it may </w:t>
      </w:r>
      <w:r w:rsidRPr="009F4422">
        <w:t>have the potential to impose increased financial pressure</w:t>
      </w:r>
      <w:r>
        <w:t>.</w:t>
      </w:r>
      <w:r w:rsidRPr="009F4422">
        <w:t xml:space="preserve"> </w:t>
      </w:r>
    </w:p>
    <w:p w14:paraId="3B028460" w14:textId="77777777" w:rsidR="00054A2A" w:rsidRPr="001D4402" w:rsidRDefault="00054A2A" w:rsidP="00C52D24">
      <w:pPr>
        <w:pStyle w:val="Heading4"/>
        <w:rPr>
          <w:b w:val="0"/>
          <w:highlight w:val="yellow"/>
        </w:rPr>
      </w:pPr>
      <w:bookmarkStart w:id="14" w:name="_Hlk83565795"/>
      <w:r w:rsidRPr="000E0A16">
        <w:t xml:space="preserve">ACT Early Childhood Strategy/Non-Government school funding </w:t>
      </w:r>
    </w:p>
    <w:p w14:paraId="6A9D3056" w14:textId="42FC292D" w:rsidR="00054A2A" w:rsidRPr="00110401" w:rsidRDefault="00054A2A" w:rsidP="00C52D24">
      <w:pPr>
        <w:pStyle w:val="Bbodytext"/>
      </w:pPr>
      <w:r w:rsidRPr="00110401">
        <w:t xml:space="preserve">The 2021-22 Budget estimates contain a provision of $29.7 million </w:t>
      </w:r>
      <w:r>
        <w:t>reflecting</w:t>
      </w:r>
      <w:r w:rsidRPr="00110401">
        <w:t xml:space="preserve"> the reinvestment of estimated savings associated with a reduction in the ACT Government’s share of non</w:t>
      </w:r>
      <w:r w:rsidRPr="00110401">
        <w:noBreakHyphen/>
        <w:t>government schools funding</w:t>
      </w:r>
      <w:r w:rsidR="003D3B00">
        <w:t>. This is</w:t>
      </w:r>
      <w:r w:rsidRPr="00110401">
        <w:t xml:space="preserve"> in accordance with the National School Reform Agreement, signed in December 2018, into the ACT Early Childhood Strategy. Under the revised model, the Commonwealth funding share of the School Resource Standard for non</w:t>
      </w:r>
      <w:r w:rsidRPr="00110401">
        <w:noBreakHyphen/>
        <w:t xml:space="preserve">government schools increases over time and the ACT Government’s share reduces. </w:t>
      </w:r>
      <w:r>
        <w:t>Any possible f</w:t>
      </w:r>
      <w:r w:rsidRPr="00110401">
        <w:t xml:space="preserve">urther Commonwealth changes to private school arrangements may mean the forecast savings </w:t>
      </w:r>
      <w:r>
        <w:t>are</w:t>
      </w:r>
      <w:r w:rsidRPr="00110401">
        <w:t xml:space="preserve"> not realised to the currently budgeted extent.</w:t>
      </w:r>
    </w:p>
    <w:bookmarkEnd w:id="14"/>
    <w:p w14:paraId="2B544ECD" w14:textId="77777777" w:rsidR="00054A2A" w:rsidRDefault="00054A2A" w:rsidP="00C52D24">
      <w:pPr>
        <w:pStyle w:val="Heading4"/>
        <w:rPr>
          <w:rFonts w:eastAsia="Calibri" w:cs="Calibri"/>
          <w:bCs/>
          <w:szCs w:val="28"/>
        </w:rPr>
      </w:pPr>
      <w:r w:rsidRPr="000E0A16">
        <w:rPr>
          <w:rFonts w:eastAsia="Calibri" w:cs="Calibri"/>
          <w:bCs/>
          <w:szCs w:val="28"/>
        </w:rPr>
        <w:t>Land Release Program</w:t>
      </w:r>
    </w:p>
    <w:p w14:paraId="5C5FD61A" w14:textId="77777777" w:rsidR="00054A2A" w:rsidRDefault="00054A2A" w:rsidP="00C52D24">
      <w:pPr>
        <w:pStyle w:val="Bbodytext"/>
        <w:rPr>
          <w:lang w:eastAsia="en-AU"/>
        </w:rPr>
      </w:pPr>
      <w:r w:rsidRPr="00F33A59">
        <w:t xml:space="preserve">The ACT Government’s </w:t>
      </w:r>
      <w:r>
        <w:t>L</w:t>
      </w:r>
      <w:r w:rsidRPr="00F33A59">
        <w:t xml:space="preserve">and </w:t>
      </w:r>
      <w:r>
        <w:t>R</w:t>
      </w:r>
      <w:r w:rsidRPr="00F33A59">
        <w:t xml:space="preserve">elease </w:t>
      </w:r>
      <w:r>
        <w:t>P</w:t>
      </w:r>
      <w:r w:rsidRPr="00F33A59">
        <w:t xml:space="preserve">rogram </w:t>
      </w:r>
      <w:r>
        <w:t>is</w:t>
      </w:r>
      <w:r w:rsidRPr="00F33A59">
        <w:t xml:space="preserve"> a source of revenue for the Territory</w:t>
      </w:r>
      <w:r>
        <w:t xml:space="preserve">. </w:t>
      </w:r>
      <w:r w:rsidRPr="39C47A14">
        <w:rPr>
          <w:lang w:eastAsia="en-AU"/>
        </w:rPr>
        <w:t xml:space="preserve">The program is susceptible to risks related to the capacity of the ACT residential property market to grow and sustain the sale of all released land at forecast prices. Lower than expected demand </w:t>
      </w:r>
      <w:r>
        <w:rPr>
          <w:lang w:eastAsia="en-AU"/>
        </w:rPr>
        <w:t>and/</w:t>
      </w:r>
      <w:r w:rsidRPr="39C47A14">
        <w:rPr>
          <w:lang w:eastAsia="en-AU"/>
        </w:rPr>
        <w:t>or sale prices would reduce revenue for the Government.</w:t>
      </w:r>
      <w:r>
        <w:rPr>
          <w:lang w:eastAsia="en-AU"/>
        </w:rPr>
        <w:t xml:space="preserve"> On the other hand, if the demand for land is higher than supply, then there may be upward pressure on prices which would see an increase to Government revenues, in the absence of a supply response.</w:t>
      </w:r>
    </w:p>
    <w:p w14:paraId="63A59629" w14:textId="77777777" w:rsidR="00054A2A" w:rsidRDefault="00054A2A" w:rsidP="00C52D24">
      <w:pPr>
        <w:rPr>
          <w:sz w:val="24"/>
          <w:szCs w:val="24"/>
        </w:rPr>
      </w:pPr>
      <w:r w:rsidRPr="00F33A59">
        <w:rPr>
          <w:sz w:val="24"/>
          <w:szCs w:val="24"/>
        </w:rPr>
        <w:t>Land releases in 2020-21 were well received by</w:t>
      </w:r>
      <w:r>
        <w:rPr>
          <w:sz w:val="24"/>
          <w:szCs w:val="24"/>
        </w:rPr>
        <w:t xml:space="preserve"> the market largely due to</w:t>
      </w:r>
      <w:r w:rsidRPr="00F33A59">
        <w:rPr>
          <w:sz w:val="24"/>
          <w:szCs w:val="24"/>
        </w:rPr>
        <w:t xml:space="preserve"> record low interest rates</w:t>
      </w:r>
      <w:r>
        <w:rPr>
          <w:sz w:val="24"/>
          <w:szCs w:val="24"/>
        </w:rPr>
        <w:t xml:space="preserve"> </w:t>
      </w:r>
      <w:r w:rsidRPr="00110401">
        <w:rPr>
          <w:sz w:val="24"/>
          <w:szCs w:val="24"/>
        </w:rPr>
        <w:t xml:space="preserve">and government incentives. </w:t>
      </w:r>
      <w:r>
        <w:rPr>
          <w:sz w:val="24"/>
          <w:szCs w:val="24"/>
        </w:rPr>
        <w:t xml:space="preserve">The </w:t>
      </w:r>
      <w:r w:rsidRPr="00F33A59">
        <w:rPr>
          <w:sz w:val="24"/>
          <w:szCs w:val="24"/>
        </w:rPr>
        <w:t xml:space="preserve">strong demand for land in the ACT </w:t>
      </w:r>
      <w:r>
        <w:rPr>
          <w:sz w:val="24"/>
          <w:szCs w:val="24"/>
        </w:rPr>
        <w:t xml:space="preserve">was met with stable land supply and substantial inventories being sold, with land release levels broadly in line with recent years. </w:t>
      </w:r>
    </w:p>
    <w:p w14:paraId="627E8041" w14:textId="77777777" w:rsidR="00054A2A" w:rsidRDefault="00054A2A" w:rsidP="003D3B00">
      <w:pPr>
        <w:keepNext/>
        <w:keepLines/>
        <w:rPr>
          <w:sz w:val="24"/>
          <w:szCs w:val="24"/>
        </w:rPr>
      </w:pPr>
      <w:r w:rsidRPr="00110401">
        <w:rPr>
          <w:sz w:val="24"/>
          <w:szCs w:val="24"/>
        </w:rPr>
        <w:lastRenderedPageBreak/>
        <w:t>In addition to market conditions, planning outcomes such as environmental approvals and community consultation can also impact available inventory and the timing of forecast releases. Other risks to the program include</w:t>
      </w:r>
      <w:r>
        <w:rPr>
          <w:sz w:val="24"/>
          <w:szCs w:val="24"/>
        </w:rPr>
        <w:t>:</w:t>
      </w:r>
      <w:r w:rsidRPr="00110401">
        <w:rPr>
          <w:sz w:val="24"/>
          <w:szCs w:val="24"/>
        </w:rPr>
        <w:t xml:space="preserve"> achieving statutory clearances</w:t>
      </w:r>
      <w:r>
        <w:rPr>
          <w:sz w:val="24"/>
          <w:szCs w:val="24"/>
        </w:rPr>
        <w:t>;</w:t>
      </w:r>
      <w:r w:rsidRPr="00110401">
        <w:rPr>
          <w:sz w:val="24"/>
          <w:szCs w:val="24"/>
        </w:rPr>
        <w:t xml:space="preserve"> the capacity of industry to deliver necessary infrastructure and estate works</w:t>
      </w:r>
      <w:r>
        <w:rPr>
          <w:sz w:val="24"/>
          <w:szCs w:val="24"/>
        </w:rPr>
        <w:t xml:space="preserve"> (exacerbated currently by more limited mobility of labour and materials resulting from lockdowns);</w:t>
      </w:r>
      <w:r w:rsidRPr="00110401">
        <w:rPr>
          <w:sz w:val="24"/>
          <w:szCs w:val="24"/>
        </w:rPr>
        <w:t xml:space="preserve"> slippage associated with environmental, commercial or other considerations</w:t>
      </w:r>
      <w:r>
        <w:rPr>
          <w:sz w:val="24"/>
          <w:szCs w:val="24"/>
        </w:rPr>
        <w:t xml:space="preserve">; and, to a lesser extent more recently, </w:t>
      </w:r>
      <w:r w:rsidRPr="00110401">
        <w:rPr>
          <w:sz w:val="24"/>
          <w:szCs w:val="24"/>
        </w:rPr>
        <w:t xml:space="preserve"> the capacity of the market to absorb the additional supply offered through urban renewal development and increased competition from private sector developments.</w:t>
      </w:r>
      <w:r>
        <w:rPr>
          <w:sz w:val="24"/>
          <w:szCs w:val="24"/>
        </w:rPr>
        <w:t xml:space="preserve"> </w:t>
      </w:r>
    </w:p>
    <w:p w14:paraId="2A0B23E4" w14:textId="77777777" w:rsidR="00054A2A" w:rsidRPr="00F33A59" w:rsidRDefault="00054A2A" w:rsidP="00C52D24">
      <w:pPr>
        <w:keepNext/>
        <w:keepLines/>
        <w:rPr>
          <w:b/>
          <w:sz w:val="24"/>
        </w:rPr>
      </w:pPr>
      <w:r>
        <w:rPr>
          <w:sz w:val="24"/>
          <w:szCs w:val="24"/>
        </w:rPr>
        <w:t xml:space="preserve">The 2021-22 Budget estimates reflect stable annual land sales revenue over the forward estimates period, underpinned by a steady schedule of releases to meet forecast demand, which may be affected by more moderate population growth. However, earlier opening of international borders could see stronger population growth. </w:t>
      </w:r>
      <w:r w:rsidRPr="00F33A59">
        <w:rPr>
          <w:sz w:val="24"/>
          <w:szCs w:val="24"/>
        </w:rPr>
        <w:t xml:space="preserve">     </w:t>
      </w:r>
    </w:p>
    <w:p w14:paraId="086CB959" w14:textId="77777777" w:rsidR="00054A2A" w:rsidRDefault="00054A2A" w:rsidP="00C52D24">
      <w:pPr>
        <w:pStyle w:val="Heading4"/>
        <w:rPr>
          <w:bCs/>
          <w:szCs w:val="28"/>
        </w:rPr>
      </w:pPr>
      <w:r w:rsidRPr="262FCE6B">
        <w:rPr>
          <w:bCs/>
          <w:szCs w:val="28"/>
        </w:rPr>
        <w:t xml:space="preserve">Large-scale Generation Certificates </w:t>
      </w:r>
    </w:p>
    <w:p w14:paraId="4E0F44CD" w14:textId="77777777" w:rsidR="00054A2A" w:rsidRDefault="00054A2A" w:rsidP="00C52D24">
      <w:pPr>
        <w:rPr>
          <w:sz w:val="24"/>
          <w:szCs w:val="24"/>
        </w:rPr>
      </w:pPr>
      <w:r w:rsidRPr="003A0578">
        <w:rPr>
          <w:sz w:val="24"/>
          <w:szCs w:val="24"/>
        </w:rPr>
        <w:t>The 2021-22 Budget reflects the expense and revenue components of Large-scale Generation Certificates (LGCs), which are credits received for the generation of renewable electricity under the Commonwealth Government’s large-scale renewable energy target. The ACT Government receives certificates from large-scale renewable electricity generation projects and surrenders them to meet the ACT’s 100 per cent renewable electricity target.</w:t>
      </w:r>
      <w:r>
        <w:rPr>
          <w:sz w:val="24"/>
          <w:szCs w:val="24"/>
        </w:rPr>
        <w:t xml:space="preserve"> Once the Government has the right to receive LGCs it must immediately recognise an expense and liability provision associated with their surrender, regardless of when the LGCs will be physically surrendered. This means that in any given financial year, generating and surrendering new LGCs has no impact on the Headline Net Operating Balance.</w:t>
      </w:r>
    </w:p>
    <w:p w14:paraId="3ACF5287" w14:textId="77777777" w:rsidR="00054A2A" w:rsidRPr="0017350C" w:rsidRDefault="00054A2A" w:rsidP="00C52D24">
      <w:pPr>
        <w:tabs>
          <w:tab w:val="left" w:pos="425"/>
        </w:tabs>
        <w:spacing w:before="240" w:line="276" w:lineRule="auto"/>
        <w:rPr>
          <w:sz w:val="24"/>
          <w:szCs w:val="24"/>
        </w:rPr>
      </w:pPr>
      <w:r w:rsidRPr="0017350C">
        <w:rPr>
          <w:sz w:val="24"/>
          <w:szCs w:val="24"/>
        </w:rPr>
        <w:t xml:space="preserve">Once created and recognised, LGCs are able to be sold, with price determined by the market. As such, the value of certificates is subject to price fluctuations arising from supply and demand. The size of the Government’s LGCs holdings is forecast to decline each year until new renewable electricity generators come online in 2023-24. </w:t>
      </w:r>
      <w:r>
        <w:rPr>
          <w:sz w:val="24"/>
          <w:szCs w:val="24"/>
        </w:rPr>
        <w:t>In addition</w:t>
      </w:r>
      <w:r w:rsidRPr="0017350C">
        <w:rPr>
          <w:sz w:val="24"/>
          <w:szCs w:val="24"/>
        </w:rPr>
        <w:t xml:space="preserve">, the value of LGCs </w:t>
      </w:r>
      <w:r>
        <w:rPr>
          <w:sz w:val="24"/>
          <w:szCs w:val="24"/>
        </w:rPr>
        <w:t>is</w:t>
      </w:r>
      <w:r w:rsidRPr="0017350C">
        <w:rPr>
          <w:sz w:val="24"/>
          <w:szCs w:val="24"/>
        </w:rPr>
        <w:t xml:space="preserve"> forecast to decline over time due to reducing forward prices for LGCs, which will also impact the value of LGCs held on the balance sheet</w:t>
      </w:r>
      <w:r>
        <w:rPr>
          <w:sz w:val="24"/>
          <w:szCs w:val="24"/>
        </w:rPr>
        <w:t xml:space="preserve"> and the liability provision to surrender</w:t>
      </w:r>
      <w:r w:rsidRPr="0017350C">
        <w:rPr>
          <w:sz w:val="24"/>
          <w:szCs w:val="24"/>
        </w:rPr>
        <w:t>.</w:t>
      </w:r>
    </w:p>
    <w:p w14:paraId="3E9DC7A8" w14:textId="77777777" w:rsidR="00054A2A" w:rsidRPr="001A3661" w:rsidRDefault="00054A2A" w:rsidP="00C52D24">
      <w:pPr>
        <w:pStyle w:val="Heading3"/>
      </w:pPr>
      <w:bookmarkStart w:id="15" w:name="_Toc63586776"/>
      <w:r w:rsidRPr="000E0A16">
        <w:t>Contingent Liabilities</w:t>
      </w:r>
      <w:bookmarkEnd w:id="15"/>
    </w:p>
    <w:p w14:paraId="46013DDD" w14:textId="77777777" w:rsidR="00054A2A" w:rsidRPr="00E5438F" w:rsidRDefault="00054A2A" w:rsidP="00C52D24">
      <w:pPr>
        <w:pStyle w:val="Bbodytext"/>
      </w:pPr>
      <w:r w:rsidRPr="00E5438F">
        <w:t xml:space="preserve">Contingent liabilities are liabilities that result from uncertain timing or amounts. They arise from past events that are not recognised because their outflow of economic benefit is not probable, or the liability cannot be measured reliably. Contingent liabilities can also occur when a liability </w:t>
      </w:r>
      <w:r>
        <w:t>depends</w:t>
      </w:r>
      <w:r w:rsidRPr="00E5438F">
        <w:t xml:space="preserve"> on the outcome of an event outside the Territory’s control, such as the outcome of a court case. </w:t>
      </w:r>
    </w:p>
    <w:p w14:paraId="38AF2C37" w14:textId="77777777" w:rsidR="00054A2A" w:rsidRPr="00EC1AEF" w:rsidRDefault="00054A2A" w:rsidP="00C52D24">
      <w:pPr>
        <w:pStyle w:val="Bbodytext"/>
      </w:pPr>
      <w:r w:rsidRPr="00E5438F">
        <w:t>The types of claims lodged against the Territory include property damage, contract disputes, economic loss, personal injury and tax-related claims. Details of the Territory’s contingent liabilities are identified in the ACT Government Consolidated Annual Financial Statements, which are available online.</w:t>
      </w:r>
      <w:r w:rsidRPr="00EC1AEF">
        <w:t xml:space="preserve"> </w:t>
      </w:r>
    </w:p>
    <w:p w14:paraId="33400728" w14:textId="77777777" w:rsidR="00054A2A" w:rsidRPr="001A3661" w:rsidRDefault="00054A2A" w:rsidP="00C52D24">
      <w:pPr>
        <w:pStyle w:val="Heading3"/>
      </w:pPr>
      <w:bookmarkStart w:id="16" w:name="_Toc63586777"/>
      <w:r w:rsidRPr="000E0A16">
        <w:lastRenderedPageBreak/>
        <w:t>Other Items</w:t>
      </w:r>
      <w:bookmarkEnd w:id="16"/>
    </w:p>
    <w:p w14:paraId="3A5F66D1" w14:textId="77777777" w:rsidR="00054A2A" w:rsidRPr="003B1E07" w:rsidRDefault="00054A2A" w:rsidP="00C52D24">
      <w:pPr>
        <w:pStyle w:val="Heading4"/>
      </w:pPr>
      <w:r w:rsidRPr="003B1E07">
        <w:t>Outstanding claims liability</w:t>
      </w:r>
    </w:p>
    <w:p w14:paraId="78F83F3B" w14:textId="77777777" w:rsidR="00054A2A" w:rsidRPr="003B1E07" w:rsidRDefault="00054A2A" w:rsidP="00C52D24">
      <w:pPr>
        <w:pStyle w:val="Bbodytext"/>
      </w:pPr>
      <w:r w:rsidRPr="003B1E07">
        <w:t xml:space="preserve">The value of insurance liabilities is the present value of the future claim for payments that have accrued at the calculation date. This approach is required under AASB 1023 </w:t>
      </w:r>
      <w:r w:rsidRPr="003B1E07">
        <w:rPr>
          <w:i/>
        </w:rPr>
        <w:t>General Insurance Contracts</w:t>
      </w:r>
      <w:r w:rsidRPr="003B1E07">
        <w:t>.</w:t>
      </w:r>
    </w:p>
    <w:p w14:paraId="669EBC6F" w14:textId="77777777" w:rsidR="00054A2A" w:rsidRPr="006D6B05" w:rsidRDefault="00054A2A" w:rsidP="00C52D24">
      <w:pPr>
        <w:pStyle w:val="Bbodytext"/>
        <w:keepLines/>
      </w:pPr>
      <w:r w:rsidRPr="003B1E07">
        <w:t>Accounting for insurance claims is complex and actuarial assumptions are required to estimate the ACT Insurance Authority’s obligations and claims expense. There is uncertainty in the estimate of the liability, and this can result in actuarial gains or losses when the claims experience differs from the estimates. The liabilities are discounted to allow for the time value of money as claims may be settled many years after the claim is incurred.</w:t>
      </w:r>
    </w:p>
    <w:p w14:paraId="72AFCDDB" w14:textId="77777777" w:rsidR="00054A2A" w:rsidRPr="000E0A16" w:rsidRDefault="00054A2A" w:rsidP="00C52D24">
      <w:pPr>
        <w:pStyle w:val="Heading4"/>
        <w:rPr>
          <w:b w:val="0"/>
          <w:iCs w:val="0"/>
        </w:rPr>
      </w:pPr>
      <w:r w:rsidRPr="000E0A16">
        <w:t>Sensitivity to discount rate</w:t>
      </w:r>
    </w:p>
    <w:p w14:paraId="5D793B19" w14:textId="77777777" w:rsidR="00054A2A" w:rsidRPr="00B96E7A" w:rsidRDefault="00054A2A" w:rsidP="00C52D24">
      <w:pPr>
        <w:pStyle w:val="Bbodytext"/>
      </w:pPr>
      <w:r w:rsidRPr="00B96E7A">
        <w:t xml:space="preserve">The outstanding claims liability is calculated by reference to expected future payments. These payments are discounted to adjust for the time value of money. AASB 1023 </w:t>
      </w:r>
      <w:r w:rsidRPr="00B96E7A">
        <w:rPr>
          <w:i/>
        </w:rPr>
        <w:t>General Insurance Contracts</w:t>
      </w:r>
      <w:r w:rsidRPr="00B96E7A">
        <w:t xml:space="preserve"> requires the outstanding claims liabilities to be valued using a ‘risk free’ rate of return, which is generally accepted to be the discount rate derived from market yields on Commonwealth Government Bonds. The discount rates adopted match the weighted term to maturity of insurance claims. The long</w:t>
      </w:r>
      <w:r w:rsidRPr="00B96E7A">
        <w:noBreakHyphen/>
        <w:t>term nature of the projected cash flows from the liability means that small changes in the discount rate adopted can lead to significant variations in the liability valuations and the claims expense.</w:t>
      </w:r>
    </w:p>
    <w:p w14:paraId="0EDD27B2" w14:textId="77777777" w:rsidR="00054A2A" w:rsidRPr="0090300D" w:rsidRDefault="00054A2A" w:rsidP="00C52D24">
      <w:pPr>
        <w:pStyle w:val="Bbodytext"/>
      </w:pPr>
      <w:r w:rsidRPr="00B96E7A">
        <w:t>The outstanding claims provision as at 30 June 2021 was $279.7 million net of Reinsurance Recoveries. Variations in the discount rate of +/- one percentage point result in an estimated change to the liability of between a $9.4 million decrease and a $4.9 million increase, equivalent to a change of between -3.4 per cent and 1.8 per cent.</w:t>
      </w:r>
    </w:p>
    <w:p w14:paraId="55488392" w14:textId="77777777" w:rsidR="00054A2A" w:rsidRPr="000E0A16" w:rsidRDefault="00054A2A" w:rsidP="00C52D24">
      <w:pPr>
        <w:pStyle w:val="Heading4"/>
        <w:rPr>
          <w:b w:val="0"/>
          <w:iCs w:val="0"/>
        </w:rPr>
      </w:pPr>
      <w:r w:rsidRPr="000E0A16">
        <w:t>Unfunded Default Insurance Fund</w:t>
      </w:r>
    </w:p>
    <w:p w14:paraId="59EC62D0" w14:textId="0EB29495" w:rsidR="00054A2A" w:rsidRPr="0011102C" w:rsidRDefault="00054A2A" w:rsidP="00C52D24">
      <w:pPr>
        <w:pStyle w:val="Bbodytext"/>
      </w:pPr>
      <w:r w:rsidRPr="0011102C">
        <w:t xml:space="preserve">The Default Insurance Fund (the Fund) is established under section 166 of the </w:t>
      </w:r>
      <w:r w:rsidRPr="0011102C">
        <w:rPr>
          <w:i/>
          <w:iCs/>
        </w:rPr>
        <w:t>Workers Compensation Act 1951</w:t>
      </w:r>
      <w:r>
        <w:rPr>
          <w:i/>
          <w:iCs/>
        </w:rPr>
        <w:t xml:space="preserve"> </w:t>
      </w:r>
      <w:r w:rsidRPr="009F62EF">
        <w:t xml:space="preserve">(the </w:t>
      </w:r>
      <w:r w:rsidR="003D3B00" w:rsidRPr="003D3B00">
        <w:t xml:space="preserve">Workers Compensation </w:t>
      </w:r>
      <w:r w:rsidRPr="009F62EF">
        <w:t>Act)</w:t>
      </w:r>
      <w:r w:rsidRPr="00535E26">
        <w:t>.</w:t>
      </w:r>
      <w:r w:rsidRPr="0011102C">
        <w:t xml:space="preserve"> Its purpose is to provide benefits for injured ACT workers whose employer did not hold a compulsory workers’ compensation policy or cannot provide the indemnity required under a compulsory workers’ compensation insurance policy. Since 1 July 2017, it also provides benefits to all workers making a claim for an imminently fatal asbestos related disease (IFARD). The monies needed to meet the cost of claims and other relevant Fund expenses are not guaranteed by the ACT Government; however, Part 8.2 of the </w:t>
      </w:r>
      <w:r w:rsidR="003D3B00" w:rsidRPr="003D3B00">
        <w:t xml:space="preserve">Workers Compensation </w:t>
      </w:r>
      <w:r w:rsidRPr="0011102C">
        <w:t>Act allows the Fund Manager to impose contributions and supplementary contributions on approved insurers and self</w:t>
      </w:r>
      <w:r w:rsidRPr="0011102C">
        <w:noBreakHyphen/>
        <w:t>insurers to meet these costs.</w:t>
      </w:r>
    </w:p>
    <w:p w14:paraId="5C97992E" w14:textId="77777777" w:rsidR="00054A2A" w:rsidRPr="0011102C" w:rsidRDefault="00054A2A" w:rsidP="00C52D24">
      <w:pPr>
        <w:pStyle w:val="Bbodytext"/>
      </w:pPr>
      <w:r w:rsidRPr="0011102C">
        <w:t>The Fund’s levy is estimated to meet the costs of all claims, including IFARD claims, anticipated to be made in the coming year. The calculation of the outstanding claims liability of the Fund includes a provision for all future estimated IFARD claims, regardless of when the claim may be made. This means that the funding position for IFARD claims is currently in deficit and will continue to be in deficit until the Fund’s total assets meets or exceeds the total amount of outstanding claims liabilities.</w:t>
      </w:r>
    </w:p>
    <w:p w14:paraId="3EDC6ED3" w14:textId="77777777" w:rsidR="00054A2A" w:rsidRPr="0011102C" w:rsidRDefault="00054A2A" w:rsidP="00C52D24">
      <w:pPr>
        <w:pStyle w:val="Bbodytext"/>
        <w:rPr>
          <w:b/>
        </w:rPr>
      </w:pPr>
      <w:r w:rsidRPr="0011102C">
        <w:lastRenderedPageBreak/>
        <w:t xml:space="preserve">The funding position for IFARD claims should improve significantly as levies are collected each year, since the cost of all future claims </w:t>
      </w:r>
      <w:r>
        <w:t>is</w:t>
      </w:r>
      <w:r w:rsidRPr="0011102C">
        <w:t xml:space="preserve"> already included within the liability. Based on the current claims cost, levy and inflation assumptions, it is projected that the IFARD liability will be fully funded between 2025 to 2027. If IFARD claims were to emerge at a higher rate than anticipated, or currently experienced, then the Fund would be in deficit for longer.</w:t>
      </w:r>
    </w:p>
    <w:p w14:paraId="097C00C2" w14:textId="3C6C2A01" w:rsidR="0011149A" w:rsidRDefault="00785F44">
      <w:r>
        <w:br w:type="page"/>
      </w:r>
      <w:r w:rsidR="0011149A">
        <w:lastRenderedPageBreak/>
        <w:br w:type="page"/>
      </w:r>
    </w:p>
    <w:p w14:paraId="1C942B80" w14:textId="77777777" w:rsidR="0011149A" w:rsidRDefault="0011149A">
      <w:pPr>
        <w:sectPr w:rsidR="0011149A" w:rsidSect="00542DA2">
          <w:footerReference w:type="default" r:id="rId26"/>
          <w:pgSz w:w="11906" w:h="16838" w:code="9"/>
          <w:pgMar w:top="1151" w:right="1440" w:bottom="1729" w:left="1440" w:header="720" w:footer="720" w:gutter="0"/>
          <w:cols w:space="708"/>
          <w:docGrid w:linePitch="360"/>
        </w:sectPr>
      </w:pPr>
    </w:p>
    <w:p w14:paraId="6B8C3E2A" w14:textId="77777777" w:rsidR="00785F44" w:rsidRDefault="00785F44"/>
    <w:p w14:paraId="0A21B33C" w14:textId="7451861F" w:rsidR="00785F44" w:rsidRDefault="00785F44" w:rsidP="00785F44">
      <w:pPr>
        <w:tabs>
          <w:tab w:val="left" w:pos="1053"/>
        </w:tabs>
      </w:pPr>
    </w:p>
    <w:p w14:paraId="1514C867" w14:textId="77777777" w:rsidR="00785F44" w:rsidRDefault="00785F44" w:rsidP="00785F44">
      <w:pPr>
        <w:rPr>
          <w:rFonts w:ascii="Calibri" w:hAnsi="Calibri"/>
          <w:b/>
          <w:sz w:val="36"/>
        </w:rPr>
      </w:pPr>
    </w:p>
    <w:p w14:paraId="5958C114" w14:textId="77777777" w:rsidR="00785F44" w:rsidRDefault="00785F44" w:rsidP="00785F44">
      <w:pPr>
        <w:jc w:val="center"/>
        <w:rPr>
          <w:b/>
          <w:bCs/>
          <w:sz w:val="32"/>
          <w:szCs w:val="32"/>
        </w:rPr>
      </w:pPr>
    </w:p>
    <w:p w14:paraId="3CF3F5CE" w14:textId="0A9925D0" w:rsidR="00785F44" w:rsidRDefault="00785F44" w:rsidP="00785F44">
      <w:pPr>
        <w:jc w:val="center"/>
        <w:rPr>
          <w:b/>
          <w:bCs/>
          <w:sz w:val="32"/>
          <w:szCs w:val="32"/>
        </w:rPr>
      </w:pPr>
      <w:r w:rsidRPr="00A3203C">
        <w:rPr>
          <w:b/>
          <w:bCs/>
          <w:sz w:val="32"/>
          <w:szCs w:val="32"/>
        </w:rPr>
        <w:t xml:space="preserve">APPENDIX </w:t>
      </w:r>
      <w:r w:rsidR="00C75674">
        <w:rPr>
          <w:b/>
          <w:bCs/>
          <w:sz w:val="32"/>
          <w:szCs w:val="32"/>
        </w:rPr>
        <w:t>J</w:t>
      </w:r>
    </w:p>
    <w:p w14:paraId="7629BBFF" w14:textId="77777777" w:rsidR="00785F44" w:rsidRDefault="00785F44" w:rsidP="00785F44">
      <w:pPr>
        <w:jc w:val="center"/>
        <w:rPr>
          <w:b/>
          <w:bCs/>
          <w:sz w:val="32"/>
          <w:szCs w:val="32"/>
        </w:rPr>
      </w:pPr>
    </w:p>
    <w:p w14:paraId="3A1E0F83" w14:textId="77777777" w:rsidR="00785F44" w:rsidRPr="00A3203C" w:rsidRDefault="00785F44" w:rsidP="00785F44">
      <w:pPr>
        <w:jc w:val="center"/>
        <w:rPr>
          <w:b/>
          <w:bCs/>
          <w:sz w:val="32"/>
          <w:szCs w:val="32"/>
        </w:rPr>
      </w:pPr>
    </w:p>
    <w:p w14:paraId="2E45E165" w14:textId="01064ECC" w:rsidR="00785F44" w:rsidRDefault="00785F44" w:rsidP="00785F44">
      <w:pPr>
        <w:jc w:val="center"/>
        <w:rPr>
          <w:b/>
          <w:bCs/>
          <w:sz w:val="32"/>
          <w:szCs w:val="32"/>
        </w:rPr>
      </w:pPr>
      <w:r>
        <w:rPr>
          <w:b/>
          <w:bCs/>
          <w:sz w:val="32"/>
          <w:szCs w:val="32"/>
        </w:rPr>
        <w:t>STATEMENT O</w:t>
      </w:r>
      <w:r w:rsidR="00C75674">
        <w:rPr>
          <w:b/>
          <w:bCs/>
          <w:sz w:val="32"/>
          <w:szCs w:val="32"/>
        </w:rPr>
        <w:t>F SENSITIVITY</w:t>
      </w:r>
    </w:p>
    <w:p w14:paraId="49E49A23" w14:textId="77777777" w:rsidR="00785F44" w:rsidRDefault="00785F44" w:rsidP="00785F44">
      <w:r>
        <w:br w:type="page"/>
      </w:r>
    </w:p>
    <w:p w14:paraId="447F3269" w14:textId="77777777" w:rsidR="00C75674" w:rsidRDefault="00C75674">
      <w:r>
        <w:lastRenderedPageBreak/>
        <w:br w:type="page"/>
      </w:r>
    </w:p>
    <w:p w14:paraId="0384195E" w14:textId="77777777" w:rsidR="00C75674" w:rsidRPr="00930757" w:rsidRDefault="00C75674" w:rsidP="00C52D24">
      <w:pPr>
        <w:pStyle w:val="Heading2"/>
        <w:numPr>
          <w:ilvl w:val="0"/>
          <w:numId w:val="0"/>
        </w:numPr>
        <w:ind w:left="2127" w:hanging="2127"/>
      </w:pPr>
      <w:bookmarkStart w:id="17" w:name="_Toc84300605"/>
      <w:r>
        <w:lastRenderedPageBreak/>
        <w:t>Appendix J – Statement of Sensitivity</w:t>
      </w:r>
      <w:bookmarkEnd w:id="17"/>
      <w:r>
        <w:t xml:space="preserve"> </w:t>
      </w:r>
    </w:p>
    <w:p w14:paraId="7DCDE00B" w14:textId="77777777" w:rsidR="00C75674" w:rsidRPr="009F74A5" w:rsidRDefault="00C75674" w:rsidP="00C52D24">
      <w:pPr>
        <w:pStyle w:val="Bbodytext"/>
      </w:pPr>
      <w:r w:rsidRPr="001828A2">
        <w:t>This statement of sensitivity is made pursuant to sub</w:t>
      </w:r>
      <w:r w:rsidRPr="001828A2">
        <w:noBreakHyphen/>
        <w:t xml:space="preserve">section 11(1)(c) of the </w:t>
      </w:r>
      <w:r w:rsidRPr="009F74A5">
        <w:rPr>
          <w:i/>
          <w:iCs/>
        </w:rPr>
        <w:t>Financial Management Act 1996</w:t>
      </w:r>
      <w:r w:rsidRPr="00E96FF7">
        <w:t>.</w:t>
      </w:r>
    </w:p>
    <w:p w14:paraId="5E190F57" w14:textId="77777777" w:rsidR="00C75674" w:rsidRPr="00C936A8" w:rsidRDefault="00C75674" w:rsidP="00C52D24">
      <w:pPr>
        <w:pStyle w:val="Heading3"/>
      </w:pPr>
      <w:r w:rsidRPr="00C936A8">
        <w:t>Sensitivity of Budget estimates</w:t>
      </w:r>
    </w:p>
    <w:p w14:paraId="026E5480" w14:textId="77777777" w:rsidR="00C75674" w:rsidRPr="000E4D9B" w:rsidRDefault="00C75674" w:rsidP="00C52D24">
      <w:pPr>
        <w:pStyle w:val="Bbodytext"/>
      </w:pPr>
      <w:r w:rsidRPr="000E4D9B">
        <w:t>The following sensitivity analysis has been applied to economic parameters used in the formulation of the forward estimates.</w:t>
      </w:r>
    </w:p>
    <w:p w14:paraId="5DAC6872" w14:textId="77777777" w:rsidR="00C75674" w:rsidRPr="000E4D9B" w:rsidRDefault="00C75674" w:rsidP="00C52D24">
      <w:pPr>
        <w:pStyle w:val="Bbodytext"/>
      </w:pPr>
      <w:r w:rsidRPr="000E4D9B">
        <w:t>Territory revenues are sensitive to changes in economic conditions, both in the ACT and nationally – for example, through Goods and Services Tax (GST) revenue.</w:t>
      </w:r>
    </w:p>
    <w:p w14:paraId="3A2FD53A" w14:textId="77777777" w:rsidR="00C75674" w:rsidRPr="008F0149" w:rsidRDefault="00C75674" w:rsidP="00C52D24">
      <w:pPr>
        <w:pStyle w:val="Bbodytext"/>
      </w:pPr>
      <w:r w:rsidRPr="000E4D9B">
        <w:t>Territory expenses are less sensitive to economic conditions. However, over time, changes in demographic variables may affect the demand for government services. In response, policy decisions may be taken to vary expenditure levels to accommodate the change in demand.</w:t>
      </w:r>
    </w:p>
    <w:p w14:paraId="5813ED8E" w14:textId="77777777" w:rsidR="00C75674" w:rsidRDefault="00C75674" w:rsidP="00C52D24">
      <w:pPr>
        <w:pStyle w:val="Heading3"/>
      </w:pPr>
      <w:r>
        <w:t>Sensitivity of economic assumptions</w:t>
      </w:r>
    </w:p>
    <w:p w14:paraId="0F8D5879" w14:textId="77777777" w:rsidR="00C75674" w:rsidRPr="00AB03D7" w:rsidRDefault="00C75674" w:rsidP="00C52D24">
      <w:pPr>
        <w:pStyle w:val="Bbodytext"/>
      </w:pPr>
      <w:r w:rsidRPr="00AB03D7">
        <w:t>As noted in Chapter 2</w:t>
      </w:r>
      <w:r>
        <w:t>.2</w:t>
      </w:r>
      <w:r w:rsidRPr="00AB03D7">
        <w:t xml:space="preserve">, while the </w:t>
      </w:r>
      <w:r>
        <w:t xml:space="preserve">ACT economy performed more strongly in 2020-21 than was expected at the time of the </w:t>
      </w:r>
      <w:r w:rsidRPr="00812777">
        <w:t>2020</w:t>
      </w:r>
      <w:r w:rsidRPr="00812777">
        <w:noBreakHyphen/>
        <w:t>21 Budget,</w:t>
      </w:r>
      <w:r w:rsidRPr="00AB03D7">
        <w:t xml:space="preserve"> </w:t>
      </w:r>
      <w:r>
        <w:rPr>
          <w:rStyle w:val="Calibri12"/>
        </w:rPr>
        <w:t xml:space="preserve">there remains significant uncertainty about the future evolution of COVID-19 and significant upside and downside risks to the economic outlook. For this reason, the updated economic forecasts for the ACT in table 2.2.1 reflect a baseline scenario based on the assumptions outlined in Box </w:t>
      </w:r>
      <w:r w:rsidRPr="00CA5ECE">
        <w:rPr>
          <w:rStyle w:val="Calibri12"/>
        </w:rPr>
        <w:t>2.</w:t>
      </w:r>
      <w:r>
        <w:rPr>
          <w:rStyle w:val="Calibri12"/>
        </w:rPr>
        <w:t>2</w:t>
      </w:r>
      <w:r w:rsidRPr="00CA5ECE">
        <w:rPr>
          <w:rStyle w:val="Calibri12"/>
        </w:rPr>
        <w:t>.1.</w:t>
      </w:r>
      <w:r w:rsidRPr="00274090">
        <w:rPr>
          <w:rStyle w:val="Calibri12"/>
        </w:rPr>
        <w:t xml:space="preserve"> </w:t>
      </w:r>
      <w:r w:rsidRPr="00967929">
        <w:rPr>
          <w:rStyle w:val="Calibri12"/>
        </w:rPr>
        <w:t xml:space="preserve">Alternative upside and downside scenarios are </w:t>
      </w:r>
      <w:r>
        <w:rPr>
          <w:rStyle w:val="Calibri12"/>
        </w:rPr>
        <w:t>also presented in the chapter to demonstrate</w:t>
      </w:r>
      <w:r w:rsidRPr="00967929">
        <w:rPr>
          <w:rStyle w:val="Calibri12"/>
        </w:rPr>
        <w:t xml:space="preserve"> </w:t>
      </w:r>
      <w:r>
        <w:rPr>
          <w:rStyle w:val="Calibri12"/>
        </w:rPr>
        <w:t xml:space="preserve">the level of uncertainty and </w:t>
      </w:r>
      <w:r w:rsidRPr="00967929">
        <w:rPr>
          <w:rStyle w:val="Calibri12"/>
        </w:rPr>
        <w:t>risk to the baseline forecasts</w:t>
      </w:r>
      <w:r>
        <w:rPr>
          <w:rStyle w:val="Calibri12"/>
        </w:rPr>
        <w:t xml:space="preserve">. </w:t>
      </w:r>
      <w:r w:rsidRPr="00274090">
        <w:rPr>
          <w:rStyle w:val="Calibri12"/>
        </w:rPr>
        <w:t>This</w:t>
      </w:r>
      <w:r w:rsidRPr="00967929">
        <w:rPr>
          <w:rStyle w:val="Calibri12"/>
        </w:rPr>
        <w:t xml:space="preserve"> approach is consistent with that </w:t>
      </w:r>
      <w:r>
        <w:rPr>
          <w:rStyle w:val="Calibri12"/>
        </w:rPr>
        <w:t>in</w:t>
      </w:r>
      <w:r w:rsidRPr="00967929">
        <w:rPr>
          <w:rStyle w:val="Calibri12"/>
        </w:rPr>
        <w:t xml:space="preserve"> the 2020</w:t>
      </w:r>
      <w:r>
        <w:rPr>
          <w:rStyle w:val="Calibri12"/>
        </w:rPr>
        <w:noBreakHyphen/>
      </w:r>
      <w:r w:rsidRPr="00967929">
        <w:rPr>
          <w:rStyle w:val="Calibri12"/>
        </w:rPr>
        <w:t>21 Budget</w:t>
      </w:r>
      <w:r>
        <w:rPr>
          <w:rStyle w:val="Calibri12"/>
        </w:rPr>
        <w:t xml:space="preserve"> and the August 2020 Economic and Fiscal Update</w:t>
      </w:r>
      <w:r w:rsidRPr="00967929">
        <w:rPr>
          <w:rStyle w:val="Calibri12"/>
        </w:rPr>
        <w:t xml:space="preserve">. </w:t>
      </w:r>
    </w:p>
    <w:p w14:paraId="3C87E569" w14:textId="77777777" w:rsidR="00C75674" w:rsidRPr="00AB03D7" w:rsidRDefault="00C75674" w:rsidP="00C52D24">
      <w:pPr>
        <w:pStyle w:val="Bbodytext"/>
      </w:pPr>
      <w:r w:rsidRPr="00AB03D7">
        <w:t xml:space="preserve">Revenue forecasts and projections are typically based on indexation of key economic parameters. The impact on key own-source taxation revenue lines </w:t>
      </w:r>
      <w:r>
        <w:t xml:space="preserve">and GST revenue grants </w:t>
      </w:r>
      <w:r w:rsidRPr="00AB03D7">
        <w:t xml:space="preserve">of the range of economic parameter outcomes based on the possible upside and downside scenarios is outlined in Chapter 3.5. </w:t>
      </w:r>
      <w:r w:rsidRPr="00766BF3">
        <w:t>For GST Revenue Grants forecasts and scenarios, changes in expected economic parameters at the national level have been taken into account.</w:t>
      </w:r>
    </w:p>
    <w:p w14:paraId="4478C39D" w14:textId="77777777" w:rsidR="00C75674" w:rsidRDefault="00C75674" w:rsidP="00C52D24">
      <w:pPr>
        <w:pStyle w:val="Bbodytext"/>
      </w:pPr>
      <w:r w:rsidRPr="00AB03D7">
        <w:t>In addition, as noted in Chapter 3.6, the GST revenue the ACT receives from the Commonwealth is affected by the size of the GST pool, our share of the national population and our GST relativity as determined by the Commonwealth Grants Commission. That section also estimates the effect of changes in the GST pool and our share of the national population on the GST revenue the ACT receives.</w:t>
      </w:r>
    </w:p>
    <w:p w14:paraId="67F52909" w14:textId="77777777" w:rsidR="00C75674" w:rsidRPr="00557F17" w:rsidRDefault="00C75674" w:rsidP="00C52D24">
      <w:pPr>
        <w:pStyle w:val="Heading4"/>
      </w:pPr>
      <w:r w:rsidRPr="00557F17">
        <w:t>Consumer Price Index</w:t>
      </w:r>
    </w:p>
    <w:p w14:paraId="433437A7" w14:textId="77777777" w:rsidR="00C75674" w:rsidRPr="004D5FC5" w:rsidRDefault="00C75674" w:rsidP="00C52D24">
      <w:pPr>
        <w:pStyle w:val="Bbodytext"/>
      </w:pPr>
      <w:r w:rsidRPr="004D5FC5">
        <w:t>A change in the Consumer Price Index will affect various revenue forecasts and the expenses of agencies.</w:t>
      </w:r>
    </w:p>
    <w:p w14:paraId="4547E566" w14:textId="77777777" w:rsidR="00C75674" w:rsidRPr="000240D5" w:rsidRDefault="00C75674" w:rsidP="00C52D24">
      <w:pPr>
        <w:pStyle w:val="Bbodytext"/>
      </w:pPr>
      <w:r w:rsidRPr="004D5FC5">
        <w:t>If the Consumer Price Index were to increase by 1 percentage point more than the forecast in each year of the budget period, sales of goods and services, Commonwealth Government grants and other revenue and expenses would increase by the amounts shown in Table J.</w:t>
      </w:r>
      <w:r w:rsidRPr="00205DBF">
        <w:t>1.</w:t>
      </w:r>
      <w:r w:rsidRPr="000240D5">
        <w:t xml:space="preserve"> </w:t>
      </w:r>
    </w:p>
    <w:p w14:paraId="72384AD3" w14:textId="77777777" w:rsidR="00C75674" w:rsidRPr="00F24A8A" w:rsidRDefault="00C75674" w:rsidP="00C52D24">
      <w:pPr>
        <w:pStyle w:val="Caption"/>
      </w:pPr>
      <w:r w:rsidRPr="00F24A8A">
        <w:lastRenderedPageBreak/>
        <w:t xml:space="preserve">Table </w:t>
      </w:r>
      <w:r>
        <w:t>J</w:t>
      </w:r>
      <w:r w:rsidRPr="00F24A8A">
        <w:t>.1: Impact of a 1 percentage point increase in C</w:t>
      </w:r>
      <w:r>
        <w:t xml:space="preserve">onsumer </w:t>
      </w:r>
      <w:r w:rsidRPr="00F24A8A">
        <w:t>P</w:t>
      </w:r>
      <w:r>
        <w:t xml:space="preserve">rice </w:t>
      </w:r>
      <w:r w:rsidRPr="00F24A8A">
        <w:t>I</w:t>
      </w:r>
      <w:r>
        <w:t>ndex</w:t>
      </w:r>
      <w:r w:rsidRPr="00F24A8A">
        <w:t xml:space="preserve"> on General Government Sector revenue and expenses</w:t>
      </w:r>
    </w:p>
    <w:tbl>
      <w:tblPr>
        <w:tblW w:w="9100" w:type="dxa"/>
        <w:jc w:val="center"/>
        <w:tblLayout w:type="fixed"/>
        <w:tblLook w:val="0000" w:firstRow="0" w:lastRow="0" w:firstColumn="0" w:lastColumn="0" w:noHBand="0" w:noVBand="0"/>
      </w:tblPr>
      <w:tblGrid>
        <w:gridCol w:w="4090"/>
        <w:gridCol w:w="1251"/>
        <w:gridCol w:w="1253"/>
        <w:gridCol w:w="1253"/>
        <w:gridCol w:w="1253"/>
      </w:tblGrid>
      <w:tr w:rsidR="00C75674" w:rsidRPr="000100AF" w14:paraId="0C7F93D2" w14:textId="77777777" w:rsidTr="00C52D24">
        <w:trPr>
          <w:trHeight w:val="227"/>
          <w:jc w:val="center"/>
        </w:trPr>
        <w:tc>
          <w:tcPr>
            <w:tcW w:w="4090" w:type="dxa"/>
            <w:tcBorders>
              <w:top w:val="single" w:sz="4" w:space="0" w:color="auto"/>
            </w:tcBorders>
            <w:shd w:val="clear" w:color="auto" w:fill="472D8C"/>
          </w:tcPr>
          <w:p w14:paraId="749B7982" w14:textId="77777777" w:rsidR="00C75674" w:rsidRPr="00581200" w:rsidRDefault="00C75674" w:rsidP="00C52D24">
            <w:pPr>
              <w:pStyle w:val="EmptyCell0"/>
              <w:rPr>
                <w:color w:val="FFFFFF" w:themeColor="background1"/>
              </w:rPr>
            </w:pPr>
            <w:r w:rsidRPr="00581200">
              <w:rPr>
                <w:color w:val="FFFFFF" w:themeColor="background1"/>
              </w:rPr>
              <w:t xml:space="preserve"> </w:t>
            </w:r>
          </w:p>
        </w:tc>
        <w:tc>
          <w:tcPr>
            <w:tcW w:w="1251" w:type="dxa"/>
            <w:tcBorders>
              <w:top w:val="single" w:sz="4" w:space="0" w:color="auto"/>
            </w:tcBorders>
            <w:shd w:val="clear" w:color="auto" w:fill="472D8C"/>
          </w:tcPr>
          <w:p w14:paraId="0B916FFC" w14:textId="77777777" w:rsidR="00C75674" w:rsidRPr="00581200" w:rsidRDefault="00C75674" w:rsidP="00C52D24">
            <w:pPr>
              <w:pStyle w:val="BStableheading"/>
              <w:framePr w:wrap="around"/>
              <w:rPr>
                <w:color w:val="FFFFFF" w:themeColor="background1"/>
              </w:rPr>
            </w:pPr>
            <w:r w:rsidRPr="00581200">
              <w:rPr>
                <w:color w:val="FFFFFF" w:themeColor="background1"/>
              </w:rPr>
              <w:t>202</w:t>
            </w:r>
            <w:r>
              <w:rPr>
                <w:color w:val="FFFFFF" w:themeColor="background1"/>
              </w:rPr>
              <w:t>1</w:t>
            </w:r>
            <w:r w:rsidRPr="00581200">
              <w:rPr>
                <w:color w:val="FFFFFF" w:themeColor="background1"/>
              </w:rPr>
              <w:t>-2</w:t>
            </w:r>
            <w:r>
              <w:rPr>
                <w:color w:val="FFFFFF" w:themeColor="background1"/>
              </w:rPr>
              <w:t>2</w:t>
            </w:r>
          </w:p>
          <w:p w14:paraId="6581BE7B" w14:textId="77777777" w:rsidR="00C75674" w:rsidRPr="00581200" w:rsidRDefault="00C75674" w:rsidP="00C52D24">
            <w:pPr>
              <w:pStyle w:val="BStableheading"/>
              <w:framePr w:wrap="around"/>
              <w:rPr>
                <w:color w:val="FFFFFF" w:themeColor="background1"/>
              </w:rPr>
            </w:pPr>
            <w:r w:rsidRPr="00581200">
              <w:rPr>
                <w:color w:val="FFFFFF" w:themeColor="background1"/>
              </w:rPr>
              <w:t>$’000</w:t>
            </w:r>
          </w:p>
        </w:tc>
        <w:tc>
          <w:tcPr>
            <w:tcW w:w="1253" w:type="dxa"/>
            <w:tcBorders>
              <w:top w:val="single" w:sz="4" w:space="0" w:color="auto"/>
            </w:tcBorders>
            <w:shd w:val="clear" w:color="auto" w:fill="472D8C"/>
          </w:tcPr>
          <w:p w14:paraId="3D756DC5" w14:textId="77777777" w:rsidR="00C75674" w:rsidRPr="00581200" w:rsidRDefault="00C75674" w:rsidP="00C52D24">
            <w:pPr>
              <w:pStyle w:val="BStableheading"/>
              <w:framePr w:wrap="around"/>
              <w:rPr>
                <w:color w:val="FFFFFF" w:themeColor="background1"/>
              </w:rPr>
            </w:pPr>
            <w:r w:rsidRPr="00581200">
              <w:rPr>
                <w:color w:val="FFFFFF" w:themeColor="background1"/>
              </w:rPr>
              <w:t>202</w:t>
            </w:r>
            <w:r>
              <w:rPr>
                <w:color w:val="FFFFFF" w:themeColor="background1"/>
              </w:rPr>
              <w:t>2</w:t>
            </w:r>
            <w:r w:rsidRPr="00581200">
              <w:rPr>
                <w:color w:val="FFFFFF" w:themeColor="background1"/>
              </w:rPr>
              <w:t>-2</w:t>
            </w:r>
            <w:r>
              <w:rPr>
                <w:color w:val="FFFFFF" w:themeColor="background1"/>
              </w:rPr>
              <w:t>3</w:t>
            </w:r>
          </w:p>
          <w:p w14:paraId="5D00E66C" w14:textId="77777777" w:rsidR="00C75674" w:rsidRPr="00581200" w:rsidRDefault="00C75674" w:rsidP="00C52D24">
            <w:pPr>
              <w:pStyle w:val="BStableheading"/>
              <w:framePr w:wrap="around"/>
              <w:rPr>
                <w:color w:val="FFFFFF" w:themeColor="background1"/>
              </w:rPr>
            </w:pPr>
            <w:r w:rsidRPr="00581200">
              <w:rPr>
                <w:color w:val="FFFFFF" w:themeColor="background1"/>
              </w:rPr>
              <w:t>$’000</w:t>
            </w:r>
          </w:p>
        </w:tc>
        <w:tc>
          <w:tcPr>
            <w:tcW w:w="1253" w:type="dxa"/>
            <w:tcBorders>
              <w:top w:val="single" w:sz="4" w:space="0" w:color="auto"/>
            </w:tcBorders>
            <w:shd w:val="clear" w:color="auto" w:fill="472D8C"/>
          </w:tcPr>
          <w:p w14:paraId="06949E7F" w14:textId="77777777" w:rsidR="00C75674" w:rsidRPr="00581200" w:rsidRDefault="00C75674" w:rsidP="00C52D24">
            <w:pPr>
              <w:pStyle w:val="BStableheading"/>
              <w:framePr w:wrap="around"/>
              <w:rPr>
                <w:color w:val="FFFFFF" w:themeColor="background1"/>
              </w:rPr>
            </w:pPr>
            <w:r w:rsidRPr="00581200">
              <w:rPr>
                <w:color w:val="FFFFFF" w:themeColor="background1"/>
              </w:rPr>
              <w:t>202</w:t>
            </w:r>
            <w:r>
              <w:rPr>
                <w:color w:val="FFFFFF" w:themeColor="background1"/>
              </w:rPr>
              <w:t>3</w:t>
            </w:r>
            <w:r w:rsidRPr="00581200">
              <w:rPr>
                <w:color w:val="FFFFFF" w:themeColor="background1"/>
              </w:rPr>
              <w:t>-2</w:t>
            </w:r>
            <w:r>
              <w:rPr>
                <w:color w:val="FFFFFF" w:themeColor="background1"/>
              </w:rPr>
              <w:t>4</w:t>
            </w:r>
          </w:p>
          <w:p w14:paraId="0E9118C6" w14:textId="77777777" w:rsidR="00C75674" w:rsidRPr="00581200" w:rsidRDefault="00C75674" w:rsidP="00C52D24">
            <w:pPr>
              <w:pStyle w:val="BStableheading"/>
              <w:framePr w:wrap="around"/>
              <w:rPr>
                <w:color w:val="FFFFFF" w:themeColor="background1"/>
              </w:rPr>
            </w:pPr>
            <w:r w:rsidRPr="00581200">
              <w:rPr>
                <w:color w:val="FFFFFF" w:themeColor="background1"/>
              </w:rPr>
              <w:t>$’000</w:t>
            </w:r>
          </w:p>
        </w:tc>
        <w:tc>
          <w:tcPr>
            <w:tcW w:w="1253" w:type="dxa"/>
            <w:tcBorders>
              <w:top w:val="single" w:sz="4" w:space="0" w:color="auto"/>
            </w:tcBorders>
            <w:shd w:val="clear" w:color="auto" w:fill="472D8C"/>
          </w:tcPr>
          <w:p w14:paraId="6F7024F7" w14:textId="77777777" w:rsidR="00C75674" w:rsidRPr="00581200" w:rsidRDefault="00C75674" w:rsidP="00C52D24">
            <w:pPr>
              <w:pStyle w:val="BStableheading"/>
              <w:framePr w:wrap="around"/>
              <w:rPr>
                <w:color w:val="FFFFFF" w:themeColor="background1"/>
              </w:rPr>
            </w:pPr>
            <w:r w:rsidRPr="00581200">
              <w:rPr>
                <w:color w:val="FFFFFF" w:themeColor="background1"/>
              </w:rPr>
              <w:t>202</w:t>
            </w:r>
            <w:r>
              <w:rPr>
                <w:color w:val="FFFFFF" w:themeColor="background1"/>
              </w:rPr>
              <w:t>4</w:t>
            </w:r>
            <w:r w:rsidRPr="00581200">
              <w:rPr>
                <w:color w:val="FFFFFF" w:themeColor="background1"/>
              </w:rPr>
              <w:t>-2</w:t>
            </w:r>
            <w:r>
              <w:rPr>
                <w:color w:val="FFFFFF" w:themeColor="background1"/>
              </w:rPr>
              <w:t>5</w:t>
            </w:r>
          </w:p>
          <w:p w14:paraId="3C470B0C" w14:textId="77777777" w:rsidR="00C75674" w:rsidRPr="00581200" w:rsidRDefault="00C75674" w:rsidP="00C52D24">
            <w:pPr>
              <w:pStyle w:val="BStableheading"/>
              <w:framePr w:wrap="around"/>
              <w:rPr>
                <w:color w:val="FFFFFF" w:themeColor="background1"/>
              </w:rPr>
            </w:pPr>
            <w:r w:rsidRPr="00581200">
              <w:rPr>
                <w:color w:val="FFFFFF" w:themeColor="background1"/>
              </w:rPr>
              <w:t>$’000</w:t>
            </w:r>
          </w:p>
        </w:tc>
      </w:tr>
      <w:tr w:rsidR="00C75674" w:rsidRPr="00707FE4" w14:paraId="07347665" w14:textId="77777777" w:rsidTr="00C52D24">
        <w:trPr>
          <w:trHeight w:val="227"/>
          <w:jc w:val="center"/>
        </w:trPr>
        <w:tc>
          <w:tcPr>
            <w:tcW w:w="4090" w:type="dxa"/>
            <w:tcBorders>
              <w:top w:val="single" w:sz="4" w:space="0" w:color="auto"/>
            </w:tcBorders>
          </w:tcPr>
          <w:p w14:paraId="15568535" w14:textId="77777777" w:rsidR="00C75674" w:rsidRPr="00707FE4" w:rsidRDefault="00C75674" w:rsidP="00C52D24">
            <w:pPr>
              <w:pStyle w:val="BStabletextbold"/>
            </w:pPr>
            <w:r w:rsidRPr="00707FE4">
              <w:t xml:space="preserve">Revenue </w:t>
            </w:r>
          </w:p>
        </w:tc>
        <w:tc>
          <w:tcPr>
            <w:tcW w:w="1251" w:type="dxa"/>
            <w:tcBorders>
              <w:top w:val="single" w:sz="4" w:space="0" w:color="auto"/>
            </w:tcBorders>
          </w:tcPr>
          <w:p w14:paraId="3340F249" w14:textId="77777777" w:rsidR="00C75674" w:rsidRPr="00707FE4" w:rsidRDefault="00C75674" w:rsidP="00C52D24">
            <w:pPr>
              <w:pStyle w:val="EmptyCell0"/>
            </w:pPr>
            <w:r w:rsidRPr="00707FE4">
              <w:t xml:space="preserve"> </w:t>
            </w:r>
          </w:p>
        </w:tc>
        <w:tc>
          <w:tcPr>
            <w:tcW w:w="1253" w:type="dxa"/>
            <w:tcBorders>
              <w:top w:val="single" w:sz="4" w:space="0" w:color="auto"/>
            </w:tcBorders>
          </w:tcPr>
          <w:p w14:paraId="5D9B9E8E" w14:textId="77777777" w:rsidR="00C75674" w:rsidRPr="00707FE4" w:rsidRDefault="00C75674" w:rsidP="00C52D24">
            <w:pPr>
              <w:pStyle w:val="EmptyCell0"/>
            </w:pPr>
            <w:r w:rsidRPr="00707FE4">
              <w:t xml:space="preserve"> </w:t>
            </w:r>
          </w:p>
        </w:tc>
        <w:tc>
          <w:tcPr>
            <w:tcW w:w="1253" w:type="dxa"/>
            <w:tcBorders>
              <w:top w:val="single" w:sz="4" w:space="0" w:color="auto"/>
            </w:tcBorders>
          </w:tcPr>
          <w:p w14:paraId="361E84BA" w14:textId="77777777" w:rsidR="00C75674" w:rsidRPr="00707FE4" w:rsidRDefault="00C75674" w:rsidP="00C52D24">
            <w:pPr>
              <w:pStyle w:val="EmptyCell0"/>
            </w:pPr>
            <w:r w:rsidRPr="00707FE4">
              <w:t xml:space="preserve"> </w:t>
            </w:r>
          </w:p>
        </w:tc>
        <w:tc>
          <w:tcPr>
            <w:tcW w:w="1253" w:type="dxa"/>
            <w:tcBorders>
              <w:top w:val="single" w:sz="4" w:space="0" w:color="auto"/>
            </w:tcBorders>
          </w:tcPr>
          <w:p w14:paraId="4BD6B6ED" w14:textId="77777777" w:rsidR="00C75674" w:rsidRPr="00707FE4" w:rsidRDefault="00C75674" w:rsidP="00C52D24">
            <w:pPr>
              <w:pStyle w:val="EmptyCell0"/>
            </w:pPr>
            <w:r w:rsidRPr="00707FE4">
              <w:t xml:space="preserve"> </w:t>
            </w:r>
          </w:p>
        </w:tc>
      </w:tr>
      <w:tr w:rsidR="00C75674" w:rsidRPr="00707FE4" w14:paraId="4A770F92" w14:textId="77777777" w:rsidTr="00C52D24">
        <w:trPr>
          <w:trHeight w:val="227"/>
          <w:jc w:val="center"/>
        </w:trPr>
        <w:tc>
          <w:tcPr>
            <w:tcW w:w="4090" w:type="dxa"/>
          </w:tcPr>
          <w:p w14:paraId="02AEC16F" w14:textId="77777777" w:rsidR="00C75674" w:rsidRPr="00707FE4" w:rsidRDefault="00C75674" w:rsidP="00C52D24">
            <w:pPr>
              <w:pStyle w:val="BStabletext"/>
              <w:rPr>
                <w:b/>
              </w:rPr>
            </w:pPr>
            <w:r w:rsidRPr="00707FE4">
              <w:t>Sales of goods and services, Commonwealth Government grants</w:t>
            </w:r>
            <w:r w:rsidRPr="00707FE4">
              <w:rPr>
                <w:vertAlign w:val="superscript"/>
              </w:rPr>
              <w:t>1</w:t>
            </w:r>
            <w:r w:rsidRPr="00707FE4">
              <w:t xml:space="preserve"> and other revenue</w:t>
            </w:r>
            <w:r w:rsidRPr="00707FE4">
              <w:rPr>
                <w:vertAlign w:val="superscript"/>
              </w:rPr>
              <w:t>2</w:t>
            </w:r>
          </w:p>
        </w:tc>
        <w:tc>
          <w:tcPr>
            <w:tcW w:w="1251" w:type="dxa"/>
          </w:tcPr>
          <w:p w14:paraId="053F7068" w14:textId="77777777" w:rsidR="00C75674" w:rsidRPr="00584AA9" w:rsidRDefault="00C75674" w:rsidP="00584AA9">
            <w:pPr>
              <w:pStyle w:val="BStablefiguresbold"/>
              <w:rPr>
                <w:b w:val="0"/>
              </w:rPr>
            </w:pPr>
            <w:r w:rsidRPr="00584AA9">
              <w:rPr>
                <w:b w:val="0"/>
              </w:rPr>
              <w:t>-</w:t>
            </w:r>
          </w:p>
        </w:tc>
        <w:tc>
          <w:tcPr>
            <w:tcW w:w="1253" w:type="dxa"/>
          </w:tcPr>
          <w:p w14:paraId="6DC7F848" w14:textId="77777777" w:rsidR="00C75674" w:rsidRPr="00584AA9" w:rsidRDefault="00C75674" w:rsidP="00584AA9">
            <w:pPr>
              <w:pStyle w:val="BStablefiguresbold"/>
              <w:rPr>
                <w:b w:val="0"/>
              </w:rPr>
            </w:pPr>
            <w:r w:rsidRPr="00584AA9">
              <w:rPr>
                <w:b w:val="0"/>
              </w:rPr>
              <w:t>14,960</w:t>
            </w:r>
          </w:p>
          <w:p w14:paraId="2B8CE353" w14:textId="77777777" w:rsidR="00C75674" w:rsidRPr="00584AA9" w:rsidRDefault="00C75674" w:rsidP="00584AA9">
            <w:pPr>
              <w:pStyle w:val="BStablefiguresbold"/>
              <w:rPr>
                <w:b w:val="0"/>
              </w:rPr>
            </w:pPr>
          </w:p>
        </w:tc>
        <w:tc>
          <w:tcPr>
            <w:tcW w:w="1253" w:type="dxa"/>
          </w:tcPr>
          <w:p w14:paraId="56F9B78D" w14:textId="77777777" w:rsidR="00C75674" w:rsidRPr="00584AA9" w:rsidRDefault="00C75674" w:rsidP="00584AA9">
            <w:pPr>
              <w:pStyle w:val="BStablefiguresbold"/>
              <w:rPr>
                <w:b w:val="0"/>
              </w:rPr>
            </w:pPr>
            <w:r w:rsidRPr="00584AA9" w:rsidDel="004A6C83">
              <w:rPr>
                <w:b w:val="0"/>
              </w:rPr>
              <w:t>31,</w:t>
            </w:r>
            <w:r w:rsidRPr="00584AA9">
              <w:rPr>
                <w:b w:val="0"/>
              </w:rPr>
              <w:t>421</w:t>
            </w:r>
          </w:p>
          <w:p w14:paraId="4503723E" w14:textId="77777777" w:rsidR="00C75674" w:rsidRPr="00584AA9" w:rsidRDefault="00C75674" w:rsidP="00584AA9">
            <w:pPr>
              <w:pStyle w:val="BStablefiguresbold"/>
              <w:rPr>
                <w:b w:val="0"/>
              </w:rPr>
            </w:pPr>
          </w:p>
        </w:tc>
        <w:tc>
          <w:tcPr>
            <w:tcW w:w="1253" w:type="dxa"/>
          </w:tcPr>
          <w:p w14:paraId="30427C15" w14:textId="77777777" w:rsidR="00C75674" w:rsidRPr="00584AA9" w:rsidRDefault="00C75674" w:rsidP="00584AA9">
            <w:pPr>
              <w:pStyle w:val="BStablefiguresbold"/>
              <w:rPr>
                <w:b w:val="0"/>
              </w:rPr>
            </w:pPr>
            <w:r w:rsidRPr="00584AA9">
              <w:rPr>
                <w:b w:val="0"/>
              </w:rPr>
              <w:t>46,595</w:t>
            </w:r>
          </w:p>
          <w:p w14:paraId="019EF704" w14:textId="77777777" w:rsidR="00C75674" w:rsidRPr="00584AA9" w:rsidRDefault="00C75674" w:rsidP="00584AA9">
            <w:pPr>
              <w:pStyle w:val="BStablefiguresbold"/>
              <w:rPr>
                <w:b w:val="0"/>
              </w:rPr>
            </w:pPr>
          </w:p>
        </w:tc>
      </w:tr>
      <w:tr w:rsidR="00C75674" w:rsidRPr="00707FE4" w14:paraId="6EEF75B2" w14:textId="77777777" w:rsidTr="00C52D24">
        <w:trPr>
          <w:trHeight w:val="227"/>
          <w:jc w:val="center"/>
        </w:trPr>
        <w:tc>
          <w:tcPr>
            <w:tcW w:w="4090" w:type="dxa"/>
            <w:tcBorders>
              <w:bottom w:val="single" w:sz="4" w:space="0" w:color="auto"/>
            </w:tcBorders>
          </w:tcPr>
          <w:p w14:paraId="549D39F1" w14:textId="77777777" w:rsidR="00C75674" w:rsidRPr="00707FE4" w:rsidRDefault="00C75674" w:rsidP="00C52D24">
            <w:pPr>
              <w:pStyle w:val="BStabletextbold"/>
              <w:rPr>
                <w:b w:val="0"/>
                <w:bCs w:val="0"/>
              </w:rPr>
            </w:pPr>
            <w:r w:rsidRPr="00707FE4">
              <w:rPr>
                <w:b w:val="0"/>
                <w:bCs w:val="0"/>
              </w:rPr>
              <w:t xml:space="preserve">Expenses </w:t>
            </w:r>
          </w:p>
        </w:tc>
        <w:tc>
          <w:tcPr>
            <w:tcW w:w="1251" w:type="dxa"/>
            <w:tcBorders>
              <w:bottom w:val="single" w:sz="4" w:space="0" w:color="auto"/>
            </w:tcBorders>
          </w:tcPr>
          <w:p w14:paraId="2EC4B90E" w14:textId="77777777" w:rsidR="00C75674" w:rsidRPr="00771607" w:rsidRDefault="00C75674" w:rsidP="00C52D24">
            <w:pPr>
              <w:pStyle w:val="BStablefiguresbold"/>
              <w:rPr>
                <w:b w:val="0"/>
              </w:rPr>
            </w:pPr>
            <w:r w:rsidRPr="00771607">
              <w:rPr>
                <w:b w:val="0"/>
              </w:rPr>
              <w:t>-</w:t>
            </w:r>
          </w:p>
        </w:tc>
        <w:tc>
          <w:tcPr>
            <w:tcW w:w="1253" w:type="dxa"/>
            <w:tcBorders>
              <w:bottom w:val="single" w:sz="4" w:space="0" w:color="auto"/>
            </w:tcBorders>
          </w:tcPr>
          <w:p w14:paraId="4BFC1425" w14:textId="77777777" w:rsidR="00C75674" w:rsidRPr="00771607" w:rsidRDefault="00C75674" w:rsidP="00C52D24">
            <w:pPr>
              <w:pStyle w:val="BStablefiguresbold"/>
              <w:rPr>
                <w:b w:val="0"/>
              </w:rPr>
            </w:pPr>
            <w:r w:rsidRPr="00771607">
              <w:rPr>
                <w:b w:val="0"/>
                <w:bCs/>
              </w:rPr>
              <w:t>36</w:t>
            </w:r>
            <w:r w:rsidRPr="00771607">
              <w:rPr>
                <w:b w:val="0"/>
              </w:rPr>
              <w:t>,864</w:t>
            </w:r>
          </w:p>
        </w:tc>
        <w:tc>
          <w:tcPr>
            <w:tcW w:w="1253" w:type="dxa"/>
            <w:tcBorders>
              <w:bottom w:val="single" w:sz="4" w:space="0" w:color="auto"/>
            </w:tcBorders>
          </w:tcPr>
          <w:p w14:paraId="209DA2EA" w14:textId="77777777" w:rsidR="00C75674" w:rsidRPr="00771607" w:rsidRDefault="00C75674" w:rsidP="00C52D24">
            <w:pPr>
              <w:pStyle w:val="BStablefiguresbold"/>
              <w:rPr>
                <w:b w:val="0"/>
              </w:rPr>
            </w:pPr>
            <w:r w:rsidRPr="00771607">
              <w:rPr>
                <w:b w:val="0"/>
                <w:bCs/>
              </w:rPr>
              <w:t>74</w:t>
            </w:r>
            <w:r w:rsidRPr="00771607">
              <w:rPr>
                <w:b w:val="0"/>
              </w:rPr>
              <w:t>,599</w:t>
            </w:r>
          </w:p>
        </w:tc>
        <w:tc>
          <w:tcPr>
            <w:tcW w:w="1253" w:type="dxa"/>
            <w:tcBorders>
              <w:bottom w:val="single" w:sz="4" w:space="0" w:color="auto"/>
            </w:tcBorders>
          </w:tcPr>
          <w:p w14:paraId="5A7FABD2" w14:textId="77777777" w:rsidR="00C75674" w:rsidRPr="00771607" w:rsidRDefault="00C75674" w:rsidP="00C52D24">
            <w:pPr>
              <w:pStyle w:val="BStablefiguresbold"/>
              <w:rPr>
                <w:b w:val="0"/>
              </w:rPr>
            </w:pPr>
            <w:r w:rsidRPr="00771607">
              <w:rPr>
                <w:b w:val="0"/>
                <w:bCs/>
              </w:rPr>
              <w:t>115,599</w:t>
            </w:r>
          </w:p>
        </w:tc>
      </w:tr>
    </w:tbl>
    <w:p w14:paraId="738328C5" w14:textId="77777777" w:rsidR="00C75674" w:rsidRPr="008F1C28" w:rsidRDefault="00C75674" w:rsidP="00C52D24">
      <w:pPr>
        <w:pStyle w:val="BSnote"/>
      </w:pPr>
      <w:r w:rsidRPr="00707FE4">
        <w:t>Notes:</w:t>
      </w:r>
    </w:p>
    <w:p w14:paraId="09BFF831" w14:textId="77777777" w:rsidR="00C75674" w:rsidRPr="00707FE4" w:rsidRDefault="00C75674" w:rsidP="00584AA9">
      <w:pPr>
        <w:pStyle w:val="BSnoteslist"/>
        <w:numPr>
          <w:ilvl w:val="0"/>
          <w:numId w:val="28"/>
        </w:numPr>
      </w:pPr>
      <w:r w:rsidRPr="00707FE4">
        <w:t>Refers to Specific Purpose Payments only.</w:t>
      </w:r>
    </w:p>
    <w:p w14:paraId="24A13590" w14:textId="77777777" w:rsidR="00C75674" w:rsidRPr="00707FE4" w:rsidRDefault="00C75674" w:rsidP="00C75674">
      <w:pPr>
        <w:pStyle w:val="BSnoteslist"/>
        <w:numPr>
          <w:ilvl w:val="0"/>
          <w:numId w:val="19"/>
        </w:numPr>
      </w:pPr>
      <w:r w:rsidRPr="00707FE4">
        <w:t xml:space="preserve">Other revenue includes fines, superannuation contribution, rents and commutation, contributions and other miscellaneous revenue. </w:t>
      </w:r>
    </w:p>
    <w:p w14:paraId="57908CE8" w14:textId="77777777" w:rsidR="00C75674" w:rsidRPr="00603958" w:rsidRDefault="00C75674" w:rsidP="00C52D24">
      <w:pPr>
        <w:pStyle w:val="Heading4"/>
      </w:pPr>
      <w:r w:rsidRPr="00603958">
        <w:t>Wage Price Index</w:t>
      </w:r>
    </w:p>
    <w:p w14:paraId="5F7A97F1" w14:textId="77777777" w:rsidR="00C75674" w:rsidRPr="003F051D" w:rsidRDefault="00C75674" w:rsidP="00115452">
      <w:pPr>
        <w:pStyle w:val="Bbodytext"/>
      </w:pPr>
      <w:r w:rsidRPr="004D5FC5">
        <w:t xml:space="preserve">Various fees are indexed </w:t>
      </w:r>
      <w:r>
        <w:t>by</w:t>
      </w:r>
      <w:r w:rsidRPr="004D5FC5">
        <w:t xml:space="preserve"> the Wage Price Index. If this were to increase by 1 percentage point more than the forecast in each year of the budget period, forecast sales of goods and services and other revenue would increase by the amounts shown in Table J.2.</w:t>
      </w:r>
    </w:p>
    <w:p w14:paraId="7D23D575" w14:textId="77777777" w:rsidR="00C75674" w:rsidRPr="00F24A8A" w:rsidRDefault="00C75674" w:rsidP="00C52D24">
      <w:pPr>
        <w:pStyle w:val="Caption"/>
      </w:pPr>
      <w:r w:rsidRPr="00F24A8A">
        <w:t xml:space="preserve">Table </w:t>
      </w:r>
      <w:r>
        <w:t>J</w:t>
      </w:r>
      <w:r w:rsidRPr="00F24A8A">
        <w:t>.2: Impact of a 1 percentage point increase in W</w:t>
      </w:r>
      <w:r>
        <w:t xml:space="preserve">age </w:t>
      </w:r>
      <w:r w:rsidRPr="00F24A8A">
        <w:t>P</w:t>
      </w:r>
      <w:r>
        <w:t xml:space="preserve">rice </w:t>
      </w:r>
      <w:r w:rsidRPr="00F24A8A">
        <w:t>I</w:t>
      </w:r>
      <w:r>
        <w:t>ndex</w:t>
      </w:r>
      <w:r w:rsidRPr="00F24A8A">
        <w:t xml:space="preserve"> on G</w:t>
      </w:r>
      <w:r>
        <w:t xml:space="preserve">eneral </w:t>
      </w:r>
      <w:r w:rsidRPr="00F24A8A">
        <w:t>G</w:t>
      </w:r>
      <w:r>
        <w:t xml:space="preserve">overnment </w:t>
      </w:r>
      <w:r w:rsidRPr="00F24A8A">
        <w:t>S</w:t>
      </w:r>
      <w:r>
        <w:t>ector</w:t>
      </w:r>
      <w:r w:rsidRPr="00F24A8A">
        <w:t xml:space="preserve"> revenue</w:t>
      </w:r>
    </w:p>
    <w:tbl>
      <w:tblPr>
        <w:tblW w:w="9100" w:type="dxa"/>
        <w:jc w:val="center"/>
        <w:tblLayout w:type="fixed"/>
        <w:tblCellMar>
          <w:left w:w="10" w:type="dxa"/>
          <w:right w:w="10" w:type="dxa"/>
        </w:tblCellMar>
        <w:tblLook w:val="0000" w:firstRow="0" w:lastRow="0" w:firstColumn="0" w:lastColumn="0" w:noHBand="0" w:noVBand="0"/>
      </w:tblPr>
      <w:tblGrid>
        <w:gridCol w:w="4172"/>
        <w:gridCol w:w="1232"/>
        <w:gridCol w:w="1232"/>
        <w:gridCol w:w="1232"/>
        <w:gridCol w:w="1232"/>
      </w:tblGrid>
      <w:tr w:rsidR="00C75674" w:rsidRPr="000B6EEB" w14:paraId="77FFA8E6" w14:textId="77777777" w:rsidTr="00C52D24">
        <w:trPr>
          <w:jc w:val="center"/>
        </w:trPr>
        <w:tc>
          <w:tcPr>
            <w:tcW w:w="4172" w:type="dxa"/>
            <w:tcBorders>
              <w:top w:val="single" w:sz="4" w:space="0" w:color="auto"/>
            </w:tcBorders>
            <w:shd w:val="clear" w:color="auto" w:fill="472D8C"/>
          </w:tcPr>
          <w:p w14:paraId="62C0F2B2" w14:textId="77777777" w:rsidR="00C75674" w:rsidRPr="00581200" w:rsidRDefault="00C75674" w:rsidP="00C52D24">
            <w:pPr>
              <w:pStyle w:val="EmptyCell0"/>
              <w:ind w:left="57" w:right="57"/>
              <w:rPr>
                <w:color w:val="FFFFFF" w:themeColor="background1"/>
              </w:rPr>
            </w:pPr>
            <w:r w:rsidRPr="00581200">
              <w:rPr>
                <w:color w:val="FFFFFF" w:themeColor="background1"/>
              </w:rPr>
              <w:t xml:space="preserve"> </w:t>
            </w:r>
          </w:p>
        </w:tc>
        <w:tc>
          <w:tcPr>
            <w:tcW w:w="1232" w:type="dxa"/>
            <w:tcBorders>
              <w:top w:val="single" w:sz="4" w:space="0" w:color="auto"/>
            </w:tcBorders>
            <w:shd w:val="clear" w:color="auto" w:fill="472D8C"/>
          </w:tcPr>
          <w:p w14:paraId="1F2B86FC" w14:textId="77777777" w:rsidR="00C75674" w:rsidRPr="00581200" w:rsidRDefault="00C75674" w:rsidP="00C52D24">
            <w:pPr>
              <w:pStyle w:val="BStableheading"/>
              <w:framePr w:wrap="auto" w:vAnchor="margin" w:yAlign="inline"/>
              <w:rPr>
                <w:color w:val="FFFFFF" w:themeColor="background1"/>
              </w:rPr>
            </w:pPr>
            <w:r w:rsidRPr="00581200">
              <w:rPr>
                <w:color w:val="FFFFFF" w:themeColor="background1"/>
              </w:rPr>
              <w:t>202</w:t>
            </w:r>
            <w:r>
              <w:rPr>
                <w:color w:val="FFFFFF" w:themeColor="background1"/>
              </w:rPr>
              <w:t>1</w:t>
            </w:r>
            <w:r w:rsidRPr="00581200">
              <w:rPr>
                <w:color w:val="FFFFFF" w:themeColor="background1"/>
              </w:rPr>
              <w:t>-2</w:t>
            </w:r>
            <w:r>
              <w:rPr>
                <w:color w:val="FFFFFF" w:themeColor="background1"/>
              </w:rPr>
              <w:t>2</w:t>
            </w:r>
          </w:p>
          <w:p w14:paraId="63E62FBC" w14:textId="77777777" w:rsidR="00C75674" w:rsidRPr="00581200" w:rsidRDefault="00C75674" w:rsidP="00C52D24">
            <w:pPr>
              <w:pStyle w:val="BStableheading"/>
              <w:framePr w:wrap="auto" w:vAnchor="margin" w:yAlign="inline"/>
              <w:ind w:left="57" w:right="57"/>
              <w:rPr>
                <w:color w:val="FFFFFF" w:themeColor="background1"/>
              </w:rPr>
            </w:pPr>
            <w:r w:rsidRPr="00581200">
              <w:rPr>
                <w:color w:val="FFFFFF" w:themeColor="background1"/>
              </w:rPr>
              <w:t>$’000</w:t>
            </w:r>
          </w:p>
        </w:tc>
        <w:tc>
          <w:tcPr>
            <w:tcW w:w="1232" w:type="dxa"/>
            <w:tcBorders>
              <w:top w:val="single" w:sz="4" w:space="0" w:color="auto"/>
            </w:tcBorders>
            <w:shd w:val="clear" w:color="auto" w:fill="472D8C"/>
          </w:tcPr>
          <w:p w14:paraId="10C2365C" w14:textId="77777777" w:rsidR="00C75674" w:rsidRPr="00581200" w:rsidRDefault="00C75674" w:rsidP="00C52D24">
            <w:pPr>
              <w:pStyle w:val="BStableheading"/>
              <w:framePr w:wrap="auto" w:vAnchor="margin" w:yAlign="inline"/>
              <w:rPr>
                <w:color w:val="FFFFFF" w:themeColor="background1"/>
              </w:rPr>
            </w:pPr>
            <w:r w:rsidRPr="00581200">
              <w:rPr>
                <w:color w:val="FFFFFF" w:themeColor="background1"/>
              </w:rPr>
              <w:t>202</w:t>
            </w:r>
            <w:r>
              <w:rPr>
                <w:color w:val="FFFFFF" w:themeColor="background1"/>
              </w:rPr>
              <w:t>2</w:t>
            </w:r>
            <w:r w:rsidRPr="00581200">
              <w:rPr>
                <w:color w:val="FFFFFF" w:themeColor="background1"/>
              </w:rPr>
              <w:t>-2</w:t>
            </w:r>
            <w:r>
              <w:rPr>
                <w:color w:val="FFFFFF" w:themeColor="background1"/>
              </w:rPr>
              <w:t>3</w:t>
            </w:r>
          </w:p>
          <w:p w14:paraId="05AC32F4" w14:textId="77777777" w:rsidR="00C75674" w:rsidRPr="00581200" w:rsidRDefault="00C75674" w:rsidP="00C52D24">
            <w:pPr>
              <w:pStyle w:val="BStableheading"/>
              <w:framePr w:wrap="auto" w:vAnchor="margin" w:yAlign="inline"/>
              <w:ind w:left="57" w:right="57"/>
              <w:rPr>
                <w:color w:val="FFFFFF" w:themeColor="background1"/>
              </w:rPr>
            </w:pPr>
            <w:r w:rsidRPr="00581200">
              <w:rPr>
                <w:color w:val="FFFFFF" w:themeColor="background1"/>
              </w:rPr>
              <w:t>$’000</w:t>
            </w:r>
          </w:p>
        </w:tc>
        <w:tc>
          <w:tcPr>
            <w:tcW w:w="1232" w:type="dxa"/>
            <w:tcBorders>
              <w:top w:val="single" w:sz="4" w:space="0" w:color="auto"/>
            </w:tcBorders>
            <w:shd w:val="clear" w:color="auto" w:fill="472D8C"/>
          </w:tcPr>
          <w:p w14:paraId="3A2B71B7" w14:textId="77777777" w:rsidR="00C75674" w:rsidRPr="00581200" w:rsidRDefault="00C75674" w:rsidP="00C52D24">
            <w:pPr>
              <w:pStyle w:val="BStableheading"/>
              <w:framePr w:wrap="auto" w:vAnchor="margin" w:yAlign="inline"/>
              <w:rPr>
                <w:color w:val="FFFFFF" w:themeColor="background1"/>
              </w:rPr>
            </w:pPr>
            <w:r w:rsidRPr="00581200">
              <w:rPr>
                <w:color w:val="FFFFFF" w:themeColor="background1"/>
              </w:rPr>
              <w:t>202</w:t>
            </w:r>
            <w:r>
              <w:rPr>
                <w:color w:val="FFFFFF" w:themeColor="background1"/>
              </w:rPr>
              <w:t>3</w:t>
            </w:r>
            <w:r w:rsidRPr="00581200">
              <w:rPr>
                <w:color w:val="FFFFFF" w:themeColor="background1"/>
              </w:rPr>
              <w:t>-2</w:t>
            </w:r>
            <w:r>
              <w:rPr>
                <w:color w:val="FFFFFF" w:themeColor="background1"/>
              </w:rPr>
              <w:t>4</w:t>
            </w:r>
          </w:p>
          <w:p w14:paraId="2FB6405D" w14:textId="77777777" w:rsidR="00C75674" w:rsidRPr="00581200" w:rsidRDefault="00C75674" w:rsidP="00C52D24">
            <w:pPr>
              <w:pStyle w:val="BStableheading"/>
              <w:framePr w:wrap="auto" w:vAnchor="margin" w:yAlign="inline"/>
              <w:ind w:left="57" w:right="57"/>
              <w:rPr>
                <w:color w:val="FFFFFF" w:themeColor="background1"/>
              </w:rPr>
            </w:pPr>
            <w:r w:rsidRPr="00581200">
              <w:rPr>
                <w:color w:val="FFFFFF" w:themeColor="background1"/>
              </w:rPr>
              <w:t>$’000</w:t>
            </w:r>
          </w:p>
        </w:tc>
        <w:tc>
          <w:tcPr>
            <w:tcW w:w="1232" w:type="dxa"/>
            <w:tcBorders>
              <w:top w:val="single" w:sz="4" w:space="0" w:color="auto"/>
            </w:tcBorders>
            <w:shd w:val="clear" w:color="auto" w:fill="472D8C"/>
          </w:tcPr>
          <w:p w14:paraId="7DD0032D" w14:textId="77777777" w:rsidR="00C75674" w:rsidRPr="00581200" w:rsidRDefault="00C75674" w:rsidP="00C52D24">
            <w:pPr>
              <w:pStyle w:val="BStableheading"/>
              <w:framePr w:wrap="auto" w:vAnchor="margin" w:yAlign="inline"/>
              <w:rPr>
                <w:color w:val="FFFFFF" w:themeColor="background1"/>
              </w:rPr>
            </w:pPr>
            <w:r w:rsidRPr="00581200">
              <w:rPr>
                <w:color w:val="FFFFFF" w:themeColor="background1"/>
              </w:rPr>
              <w:t>202</w:t>
            </w:r>
            <w:r>
              <w:rPr>
                <w:color w:val="FFFFFF" w:themeColor="background1"/>
              </w:rPr>
              <w:t>4</w:t>
            </w:r>
            <w:r w:rsidRPr="00581200">
              <w:rPr>
                <w:color w:val="FFFFFF" w:themeColor="background1"/>
              </w:rPr>
              <w:t>-2</w:t>
            </w:r>
            <w:r>
              <w:rPr>
                <w:color w:val="FFFFFF" w:themeColor="background1"/>
              </w:rPr>
              <w:t>5</w:t>
            </w:r>
          </w:p>
          <w:p w14:paraId="3016DBEC" w14:textId="77777777" w:rsidR="00C75674" w:rsidRPr="00581200" w:rsidRDefault="00C75674" w:rsidP="00C52D24">
            <w:pPr>
              <w:pStyle w:val="BStableheading"/>
              <w:framePr w:wrap="auto" w:vAnchor="margin" w:yAlign="inline"/>
              <w:ind w:left="57" w:right="57"/>
              <w:rPr>
                <w:color w:val="FFFFFF" w:themeColor="background1"/>
              </w:rPr>
            </w:pPr>
            <w:r w:rsidRPr="00581200">
              <w:rPr>
                <w:color w:val="FFFFFF" w:themeColor="background1"/>
              </w:rPr>
              <w:t>$’000</w:t>
            </w:r>
          </w:p>
        </w:tc>
      </w:tr>
      <w:tr w:rsidR="00C75674" w:rsidRPr="00E30669" w14:paraId="2CAF2E0C" w14:textId="77777777" w:rsidTr="00C52D24">
        <w:trPr>
          <w:jc w:val="center"/>
        </w:trPr>
        <w:tc>
          <w:tcPr>
            <w:tcW w:w="4172" w:type="dxa"/>
            <w:tcBorders>
              <w:top w:val="single" w:sz="4" w:space="0" w:color="auto"/>
            </w:tcBorders>
          </w:tcPr>
          <w:p w14:paraId="25FF7A4A" w14:textId="77777777" w:rsidR="00C75674" w:rsidRPr="00E30669" w:rsidRDefault="00C75674" w:rsidP="00C52D24">
            <w:pPr>
              <w:pStyle w:val="BStabletextbold"/>
              <w:ind w:left="57" w:right="57"/>
            </w:pPr>
            <w:r w:rsidRPr="00E30669">
              <w:t xml:space="preserve">Revenue </w:t>
            </w:r>
          </w:p>
        </w:tc>
        <w:tc>
          <w:tcPr>
            <w:tcW w:w="1232" w:type="dxa"/>
            <w:tcBorders>
              <w:top w:val="single" w:sz="4" w:space="0" w:color="auto"/>
            </w:tcBorders>
          </w:tcPr>
          <w:p w14:paraId="550330BD" w14:textId="77777777" w:rsidR="00C75674" w:rsidRPr="00E30669" w:rsidRDefault="00C75674" w:rsidP="00C52D24">
            <w:pPr>
              <w:pStyle w:val="EmptyCell0"/>
              <w:ind w:left="57" w:right="57"/>
            </w:pPr>
            <w:r w:rsidRPr="00E30669">
              <w:t xml:space="preserve"> </w:t>
            </w:r>
          </w:p>
        </w:tc>
        <w:tc>
          <w:tcPr>
            <w:tcW w:w="1232" w:type="dxa"/>
            <w:tcBorders>
              <w:top w:val="single" w:sz="4" w:space="0" w:color="auto"/>
            </w:tcBorders>
          </w:tcPr>
          <w:p w14:paraId="7671A3EA" w14:textId="77777777" w:rsidR="00C75674" w:rsidRPr="00E30669" w:rsidRDefault="00C75674" w:rsidP="00C52D24">
            <w:pPr>
              <w:pStyle w:val="EmptyCell0"/>
              <w:ind w:left="57" w:right="57"/>
            </w:pPr>
            <w:r w:rsidRPr="00E30669">
              <w:t xml:space="preserve"> </w:t>
            </w:r>
          </w:p>
        </w:tc>
        <w:tc>
          <w:tcPr>
            <w:tcW w:w="1232" w:type="dxa"/>
            <w:tcBorders>
              <w:top w:val="single" w:sz="4" w:space="0" w:color="auto"/>
            </w:tcBorders>
          </w:tcPr>
          <w:p w14:paraId="00AA3F5F" w14:textId="77777777" w:rsidR="00C75674" w:rsidRPr="00E30669" w:rsidRDefault="00C75674" w:rsidP="00C52D24">
            <w:pPr>
              <w:pStyle w:val="EmptyCell0"/>
              <w:ind w:left="57" w:right="57"/>
            </w:pPr>
            <w:r w:rsidRPr="00E30669">
              <w:t xml:space="preserve"> </w:t>
            </w:r>
          </w:p>
        </w:tc>
        <w:tc>
          <w:tcPr>
            <w:tcW w:w="1232" w:type="dxa"/>
            <w:tcBorders>
              <w:top w:val="single" w:sz="4" w:space="0" w:color="auto"/>
            </w:tcBorders>
          </w:tcPr>
          <w:p w14:paraId="1E4DE0A0" w14:textId="77777777" w:rsidR="00C75674" w:rsidRPr="00E30669" w:rsidRDefault="00C75674" w:rsidP="00C52D24">
            <w:pPr>
              <w:pStyle w:val="EmptyCell0"/>
              <w:ind w:left="57" w:right="57"/>
            </w:pPr>
            <w:r w:rsidRPr="00E30669">
              <w:t xml:space="preserve"> </w:t>
            </w:r>
          </w:p>
        </w:tc>
      </w:tr>
      <w:tr w:rsidR="00C75674" w:rsidRPr="00E30669" w14:paraId="62BE7533" w14:textId="77777777" w:rsidTr="00C52D24">
        <w:trPr>
          <w:jc w:val="center"/>
        </w:trPr>
        <w:tc>
          <w:tcPr>
            <w:tcW w:w="4172" w:type="dxa"/>
            <w:tcBorders>
              <w:bottom w:val="single" w:sz="4" w:space="0" w:color="auto"/>
            </w:tcBorders>
          </w:tcPr>
          <w:p w14:paraId="5786521F" w14:textId="77777777" w:rsidR="00C75674" w:rsidRPr="00581200" w:rsidRDefault="00C75674" w:rsidP="00C52D24">
            <w:pPr>
              <w:pStyle w:val="BStabletext"/>
              <w:ind w:left="57" w:right="57"/>
              <w:rPr>
                <w:highlight w:val="yellow"/>
              </w:rPr>
            </w:pPr>
            <w:r w:rsidRPr="00707FE4">
              <w:t>Sales of goods and services and other revenue</w:t>
            </w:r>
            <w:r w:rsidRPr="00707FE4">
              <w:rPr>
                <w:vertAlign w:val="superscript"/>
              </w:rPr>
              <w:t>1</w:t>
            </w:r>
          </w:p>
        </w:tc>
        <w:tc>
          <w:tcPr>
            <w:tcW w:w="1232" w:type="dxa"/>
            <w:tcBorders>
              <w:bottom w:val="single" w:sz="4" w:space="0" w:color="auto"/>
            </w:tcBorders>
          </w:tcPr>
          <w:p w14:paraId="57094398" w14:textId="77777777" w:rsidR="00C75674" w:rsidRPr="00584AA9" w:rsidRDefault="00C75674" w:rsidP="00584AA9">
            <w:pPr>
              <w:pStyle w:val="BStablefiguresbold"/>
              <w:rPr>
                <w:b w:val="0"/>
              </w:rPr>
            </w:pPr>
            <w:r w:rsidRPr="00584AA9">
              <w:rPr>
                <w:b w:val="0"/>
              </w:rPr>
              <w:t>-</w:t>
            </w:r>
          </w:p>
        </w:tc>
        <w:tc>
          <w:tcPr>
            <w:tcW w:w="1232" w:type="dxa"/>
            <w:tcBorders>
              <w:bottom w:val="single" w:sz="4" w:space="0" w:color="auto"/>
            </w:tcBorders>
          </w:tcPr>
          <w:p w14:paraId="1972F596" w14:textId="77777777" w:rsidR="00C75674" w:rsidRPr="00584AA9" w:rsidRDefault="00C75674" w:rsidP="00584AA9">
            <w:pPr>
              <w:pStyle w:val="BStablefiguresbold"/>
              <w:rPr>
                <w:b w:val="0"/>
              </w:rPr>
            </w:pPr>
            <w:r w:rsidRPr="00584AA9">
              <w:rPr>
                <w:b w:val="0"/>
              </w:rPr>
              <w:t>6,170</w:t>
            </w:r>
          </w:p>
        </w:tc>
        <w:tc>
          <w:tcPr>
            <w:tcW w:w="1232" w:type="dxa"/>
            <w:tcBorders>
              <w:bottom w:val="single" w:sz="4" w:space="0" w:color="auto"/>
            </w:tcBorders>
          </w:tcPr>
          <w:p w14:paraId="6A444D63" w14:textId="77777777" w:rsidR="00C75674" w:rsidRPr="00584AA9" w:rsidRDefault="00C75674" w:rsidP="00584AA9">
            <w:pPr>
              <w:pStyle w:val="BStablefiguresbold"/>
              <w:rPr>
                <w:b w:val="0"/>
              </w:rPr>
            </w:pPr>
            <w:r w:rsidRPr="00584AA9">
              <w:rPr>
                <w:b w:val="0"/>
              </w:rPr>
              <w:t>12,698</w:t>
            </w:r>
          </w:p>
        </w:tc>
        <w:tc>
          <w:tcPr>
            <w:tcW w:w="1232" w:type="dxa"/>
            <w:tcBorders>
              <w:bottom w:val="single" w:sz="4" w:space="0" w:color="auto"/>
            </w:tcBorders>
          </w:tcPr>
          <w:p w14:paraId="5959BD42" w14:textId="77777777" w:rsidR="00C75674" w:rsidRPr="00584AA9" w:rsidRDefault="00C75674" w:rsidP="00584AA9">
            <w:pPr>
              <w:pStyle w:val="BStablefiguresbold"/>
              <w:rPr>
                <w:b w:val="0"/>
              </w:rPr>
            </w:pPr>
            <w:r w:rsidRPr="00584AA9">
              <w:rPr>
                <w:b w:val="0"/>
              </w:rPr>
              <w:t>19,413</w:t>
            </w:r>
          </w:p>
        </w:tc>
      </w:tr>
    </w:tbl>
    <w:p w14:paraId="3FA318C4" w14:textId="77777777" w:rsidR="00C75674" w:rsidRPr="00BC6076" w:rsidRDefault="00C75674" w:rsidP="00C52D24">
      <w:pPr>
        <w:pStyle w:val="BSnote"/>
      </w:pPr>
      <w:r w:rsidRPr="00BC6076">
        <w:t>Note:</w:t>
      </w:r>
    </w:p>
    <w:p w14:paraId="6EF9FEFA" w14:textId="77777777" w:rsidR="00C75674" w:rsidRPr="00707FE4" w:rsidRDefault="00C75674" w:rsidP="00584AA9">
      <w:pPr>
        <w:pStyle w:val="BSnoteslist"/>
        <w:numPr>
          <w:ilvl w:val="0"/>
          <w:numId w:val="29"/>
        </w:numPr>
      </w:pPr>
      <w:r w:rsidRPr="00707FE4">
        <w:t xml:space="preserve">Other revenue includes fines, superannuation contribution, rents and commutation, contributions and other miscellaneous revenue. </w:t>
      </w:r>
    </w:p>
    <w:p w14:paraId="07B7AC9E" w14:textId="77777777" w:rsidR="00C75674" w:rsidRPr="00707FE4" w:rsidRDefault="00C75674" w:rsidP="00C52D24">
      <w:pPr>
        <w:pStyle w:val="Heading4"/>
      </w:pPr>
      <w:r w:rsidRPr="00707FE4">
        <w:t>Interest</w:t>
      </w:r>
    </w:p>
    <w:p w14:paraId="2C65DD2D" w14:textId="77777777" w:rsidR="00C75674" w:rsidRPr="00FC72A2" w:rsidRDefault="00C75674" w:rsidP="00C52D24">
      <w:pPr>
        <w:pStyle w:val="Bbodytext"/>
      </w:pPr>
      <w:r w:rsidRPr="00707FE4">
        <w:t xml:space="preserve">Interest </w:t>
      </w:r>
      <w:r>
        <w:t xml:space="preserve">receipts </w:t>
      </w:r>
      <w:r w:rsidRPr="00707FE4">
        <w:t>from cash holdings are affected by interest rate variations. If the interest rate was 0.25 per cent higher or lower than assumed in the budget estimates, forecast interest revenue would increase or decrease by the amounts shown in Table J.3.</w:t>
      </w:r>
    </w:p>
    <w:p w14:paraId="5AE2CE87" w14:textId="77777777" w:rsidR="00C75674" w:rsidRPr="00FC72A2" w:rsidRDefault="00C75674" w:rsidP="00C52D24">
      <w:pPr>
        <w:pStyle w:val="Caption"/>
      </w:pPr>
      <w:r w:rsidRPr="00E96FF7">
        <w:t xml:space="preserve">Table </w:t>
      </w:r>
      <w:r w:rsidRPr="00C936A8">
        <w:t>J.3: Impact of a 0.25 percentage point increase or decrease in the cash at bank interest earning rate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27"/>
        <w:gridCol w:w="1576"/>
        <w:gridCol w:w="1576"/>
        <w:gridCol w:w="1576"/>
        <w:gridCol w:w="1571"/>
      </w:tblGrid>
      <w:tr w:rsidR="00C75674" w:rsidRPr="00EB1775" w14:paraId="592F3B7A" w14:textId="77777777" w:rsidTr="00C52D24">
        <w:trPr>
          <w:trHeight w:val="156"/>
        </w:trPr>
        <w:tc>
          <w:tcPr>
            <w:tcW w:w="1511" w:type="pct"/>
            <w:tcBorders>
              <w:top w:val="single" w:sz="4" w:space="0" w:color="auto"/>
            </w:tcBorders>
            <w:shd w:val="clear" w:color="auto" w:fill="472D8C"/>
          </w:tcPr>
          <w:p w14:paraId="4A1A0050" w14:textId="77777777" w:rsidR="00C75674" w:rsidRPr="00581200" w:rsidRDefault="00C75674" w:rsidP="00C52D24">
            <w:pPr>
              <w:widowControl w:val="0"/>
              <w:rPr>
                <w:rFonts w:cs="Calibri"/>
                <w:b/>
                <w:color w:val="FFFFFF" w:themeColor="background1"/>
                <w:sz w:val="20"/>
              </w:rPr>
            </w:pPr>
          </w:p>
        </w:tc>
        <w:tc>
          <w:tcPr>
            <w:tcW w:w="873" w:type="pct"/>
            <w:tcBorders>
              <w:top w:val="single" w:sz="4" w:space="0" w:color="auto"/>
              <w:bottom w:val="single" w:sz="4" w:space="0" w:color="auto"/>
            </w:tcBorders>
            <w:shd w:val="clear" w:color="auto" w:fill="472D8C"/>
          </w:tcPr>
          <w:p w14:paraId="628ACCC9" w14:textId="77777777" w:rsidR="00C75674" w:rsidRPr="00E36C76" w:rsidRDefault="00C75674" w:rsidP="00C52D24">
            <w:pPr>
              <w:pStyle w:val="BStableheading"/>
              <w:framePr w:wrap="around"/>
              <w:rPr>
                <w:color w:val="FFFFFF" w:themeColor="background1"/>
              </w:rPr>
            </w:pPr>
            <w:r w:rsidRPr="00E36C76">
              <w:rPr>
                <w:color w:val="FFFFFF" w:themeColor="background1"/>
              </w:rPr>
              <w:t>2021-22</w:t>
            </w:r>
          </w:p>
          <w:p w14:paraId="01DF1F0E" w14:textId="77777777" w:rsidR="00C75674" w:rsidRPr="00E36C76" w:rsidRDefault="00C75674" w:rsidP="00C52D24">
            <w:pPr>
              <w:pStyle w:val="BStableheading"/>
              <w:framePr w:wrap="around"/>
              <w:rPr>
                <w:color w:val="FFFFFF" w:themeColor="background1"/>
              </w:rPr>
            </w:pPr>
            <w:r w:rsidRPr="00E36C76">
              <w:rPr>
                <w:color w:val="FFFFFF" w:themeColor="background1"/>
              </w:rPr>
              <w:t>$’000</w:t>
            </w:r>
          </w:p>
        </w:tc>
        <w:tc>
          <w:tcPr>
            <w:tcW w:w="873" w:type="pct"/>
            <w:tcBorders>
              <w:top w:val="single" w:sz="4" w:space="0" w:color="auto"/>
              <w:bottom w:val="single" w:sz="4" w:space="0" w:color="auto"/>
            </w:tcBorders>
            <w:shd w:val="clear" w:color="auto" w:fill="472D8C"/>
          </w:tcPr>
          <w:p w14:paraId="67B6FC01" w14:textId="77777777" w:rsidR="00C75674" w:rsidRPr="00E36C76" w:rsidRDefault="00C75674" w:rsidP="00C52D24">
            <w:pPr>
              <w:pStyle w:val="BStableheading"/>
              <w:framePr w:wrap="around"/>
              <w:rPr>
                <w:color w:val="FFFFFF" w:themeColor="background1"/>
              </w:rPr>
            </w:pPr>
            <w:r w:rsidRPr="00E36C76">
              <w:rPr>
                <w:color w:val="FFFFFF" w:themeColor="background1"/>
              </w:rPr>
              <w:t>2022-23</w:t>
            </w:r>
          </w:p>
          <w:p w14:paraId="71EE9ABD" w14:textId="77777777" w:rsidR="00C75674" w:rsidRPr="00E36C76" w:rsidRDefault="00C75674" w:rsidP="00C52D24">
            <w:pPr>
              <w:pStyle w:val="BStableheading"/>
              <w:framePr w:wrap="around"/>
              <w:rPr>
                <w:color w:val="FFFFFF" w:themeColor="background1"/>
              </w:rPr>
            </w:pPr>
            <w:r w:rsidRPr="00E36C76">
              <w:rPr>
                <w:color w:val="FFFFFF" w:themeColor="background1"/>
              </w:rPr>
              <w:t>$’000</w:t>
            </w:r>
          </w:p>
        </w:tc>
        <w:tc>
          <w:tcPr>
            <w:tcW w:w="873" w:type="pct"/>
            <w:tcBorders>
              <w:top w:val="single" w:sz="4" w:space="0" w:color="auto"/>
              <w:bottom w:val="single" w:sz="4" w:space="0" w:color="auto"/>
            </w:tcBorders>
            <w:shd w:val="clear" w:color="auto" w:fill="472D8C"/>
          </w:tcPr>
          <w:p w14:paraId="69B33679" w14:textId="77777777" w:rsidR="00C75674" w:rsidRPr="00E36C76" w:rsidRDefault="00C75674" w:rsidP="00C52D24">
            <w:pPr>
              <w:pStyle w:val="BStableheading"/>
              <w:framePr w:wrap="around"/>
              <w:rPr>
                <w:color w:val="FFFFFF" w:themeColor="background1"/>
              </w:rPr>
            </w:pPr>
            <w:r w:rsidRPr="00E36C76">
              <w:rPr>
                <w:color w:val="FFFFFF" w:themeColor="background1"/>
              </w:rPr>
              <w:t>2023-24</w:t>
            </w:r>
          </w:p>
          <w:p w14:paraId="1B3DBCDD" w14:textId="77777777" w:rsidR="00C75674" w:rsidRPr="00E36C76" w:rsidRDefault="00C75674" w:rsidP="00C52D24">
            <w:pPr>
              <w:pStyle w:val="BStableheading"/>
              <w:framePr w:wrap="around"/>
              <w:rPr>
                <w:color w:val="FFFFFF" w:themeColor="background1"/>
              </w:rPr>
            </w:pPr>
            <w:r w:rsidRPr="00E36C76">
              <w:rPr>
                <w:color w:val="FFFFFF" w:themeColor="background1"/>
              </w:rPr>
              <w:t>$’000</w:t>
            </w:r>
          </w:p>
        </w:tc>
        <w:tc>
          <w:tcPr>
            <w:tcW w:w="870" w:type="pct"/>
            <w:tcBorders>
              <w:top w:val="single" w:sz="4" w:space="0" w:color="auto"/>
              <w:bottom w:val="single" w:sz="4" w:space="0" w:color="auto"/>
            </w:tcBorders>
            <w:shd w:val="clear" w:color="auto" w:fill="472D8C"/>
          </w:tcPr>
          <w:p w14:paraId="2A833C42" w14:textId="77777777" w:rsidR="00C75674" w:rsidRPr="00E36C76" w:rsidRDefault="00C75674" w:rsidP="00C52D24">
            <w:pPr>
              <w:pStyle w:val="BStableheading"/>
              <w:framePr w:wrap="around"/>
              <w:rPr>
                <w:color w:val="FFFFFF" w:themeColor="background1"/>
              </w:rPr>
            </w:pPr>
            <w:r w:rsidRPr="00E36C76">
              <w:rPr>
                <w:color w:val="FFFFFF" w:themeColor="background1"/>
              </w:rPr>
              <w:t>2024-25</w:t>
            </w:r>
          </w:p>
          <w:p w14:paraId="07AB7EE1" w14:textId="77777777" w:rsidR="00C75674" w:rsidRPr="00E36C76" w:rsidRDefault="00C75674" w:rsidP="00C52D24">
            <w:pPr>
              <w:pStyle w:val="BStableheading"/>
              <w:framePr w:wrap="around"/>
              <w:rPr>
                <w:color w:val="FFFFFF" w:themeColor="background1"/>
              </w:rPr>
            </w:pPr>
            <w:r w:rsidRPr="00E36C76">
              <w:rPr>
                <w:color w:val="FFFFFF" w:themeColor="background1"/>
              </w:rPr>
              <w:t>$’000</w:t>
            </w:r>
          </w:p>
        </w:tc>
      </w:tr>
      <w:tr w:rsidR="00C75674" w:rsidRPr="00EB1775" w14:paraId="008BD414" w14:textId="77777777" w:rsidTr="00C52D24">
        <w:trPr>
          <w:trHeight w:val="270"/>
        </w:trPr>
        <w:tc>
          <w:tcPr>
            <w:tcW w:w="1511" w:type="pct"/>
            <w:tcBorders>
              <w:top w:val="single" w:sz="4" w:space="0" w:color="auto"/>
              <w:bottom w:val="single" w:sz="4" w:space="0" w:color="auto"/>
            </w:tcBorders>
          </w:tcPr>
          <w:p w14:paraId="0409AAF0" w14:textId="77777777" w:rsidR="00C75674" w:rsidRPr="00EB1775" w:rsidRDefault="00C75674" w:rsidP="00C52D24">
            <w:pPr>
              <w:widowControl w:val="0"/>
              <w:spacing w:after="0" w:line="240" w:lineRule="auto"/>
              <w:ind w:left="227" w:hanging="227"/>
              <w:rPr>
                <w:rFonts w:ascii="Calibri" w:hAnsi="Calibri"/>
                <w:sz w:val="20"/>
              </w:rPr>
            </w:pPr>
            <w:r>
              <w:rPr>
                <w:rFonts w:ascii="Calibri" w:hAnsi="Calibri"/>
                <w:sz w:val="20"/>
              </w:rPr>
              <w:t>Cash at bank interest receipts</w:t>
            </w:r>
          </w:p>
        </w:tc>
        <w:tc>
          <w:tcPr>
            <w:tcW w:w="873" w:type="pct"/>
            <w:tcBorders>
              <w:top w:val="single" w:sz="4" w:space="0" w:color="auto"/>
              <w:bottom w:val="single" w:sz="4" w:space="0" w:color="auto"/>
            </w:tcBorders>
          </w:tcPr>
          <w:p w14:paraId="01EF7715" w14:textId="77777777" w:rsidR="00C75674" w:rsidRPr="00771607" w:rsidRDefault="00C75674" w:rsidP="00C52D24">
            <w:pPr>
              <w:widowControl w:val="0"/>
              <w:spacing w:after="0" w:line="240" w:lineRule="auto"/>
              <w:ind w:left="227" w:hanging="227"/>
              <w:jc w:val="right"/>
              <w:rPr>
                <w:rFonts w:ascii="Calibri" w:hAnsi="Calibri"/>
                <w:sz w:val="20"/>
              </w:rPr>
            </w:pPr>
            <w:r w:rsidRPr="00771607">
              <w:rPr>
                <w:rFonts w:ascii="Calibri" w:hAnsi="Calibri"/>
                <w:sz w:val="20"/>
              </w:rPr>
              <w:t>+/-5,513</w:t>
            </w:r>
          </w:p>
        </w:tc>
        <w:tc>
          <w:tcPr>
            <w:tcW w:w="873" w:type="pct"/>
            <w:tcBorders>
              <w:top w:val="single" w:sz="4" w:space="0" w:color="auto"/>
              <w:bottom w:val="single" w:sz="4" w:space="0" w:color="auto"/>
            </w:tcBorders>
            <w:shd w:val="clear" w:color="auto" w:fill="auto"/>
          </w:tcPr>
          <w:p w14:paraId="5AB81574" w14:textId="77777777" w:rsidR="00C75674" w:rsidRPr="00771607" w:rsidRDefault="00C75674" w:rsidP="00C52D24">
            <w:pPr>
              <w:widowControl w:val="0"/>
              <w:spacing w:after="0" w:line="240" w:lineRule="auto"/>
              <w:ind w:left="227" w:hanging="227"/>
              <w:jc w:val="right"/>
              <w:rPr>
                <w:rFonts w:ascii="Calibri" w:hAnsi="Calibri"/>
                <w:sz w:val="20"/>
                <w:szCs w:val="20"/>
              </w:rPr>
            </w:pPr>
            <w:r w:rsidRPr="00771607">
              <w:rPr>
                <w:rFonts w:ascii="Calibri" w:hAnsi="Calibri"/>
                <w:sz w:val="20"/>
                <w:szCs w:val="20"/>
              </w:rPr>
              <w:t>+/-4,714</w:t>
            </w:r>
          </w:p>
        </w:tc>
        <w:tc>
          <w:tcPr>
            <w:tcW w:w="873" w:type="pct"/>
            <w:tcBorders>
              <w:top w:val="single" w:sz="4" w:space="0" w:color="auto"/>
              <w:bottom w:val="single" w:sz="4" w:space="0" w:color="auto"/>
            </w:tcBorders>
          </w:tcPr>
          <w:p w14:paraId="631BDF27" w14:textId="77777777" w:rsidR="00C75674" w:rsidRPr="00771607" w:rsidRDefault="00C75674" w:rsidP="00C52D24">
            <w:pPr>
              <w:widowControl w:val="0"/>
              <w:spacing w:after="0" w:line="240" w:lineRule="auto"/>
              <w:ind w:left="227" w:hanging="227"/>
              <w:jc w:val="right"/>
              <w:rPr>
                <w:rFonts w:ascii="Calibri" w:hAnsi="Calibri"/>
                <w:sz w:val="20"/>
                <w:szCs w:val="20"/>
              </w:rPr>
            </w:pPr>
            <w:r w:rsidRPr="00771607">
              <w:rPr>
                <w:rFonts w:ascii="Calibri" w:hAnsi="Calibri"/>
                <w:sz w:val="20"/>
                <w:szCs w:val="20"/>
              </w:rPr>
              <w:t>+/-4,694</w:t>
            </w:r>
          </w:p>
        </w:tc>
        <w:tc>
          <w:tcPr>
            <w:tcW w:w="870" w:type="pct"/>
            <w:tcBorders>
              <w:top w:val="single" w:sz="4" w:space="0" w:color="auto"/>
              <w:bottom w:val="single" w:sz="4" w:space="0" w:color="auto"/>
            </w:tcBorders>
            <w:shd w:val="clear" w:color="auto" w:fill="auto"/>
          </w:tcPr>
          <w:p w14:paraId="3F4CCE1C" w14:textId="77777777" w:rsidR="00C75674" w:rsidRPr="00771607" w:rsidRDefault="00C75674" w:rsidP="00C52D24">
            <w:pPr>
              <w:widowControl w:val="0"/>
              <w:spacing w:after="0" w:line="240" w:lineRule="auto"/>
              <w:ind w:left="227" w:hanging="227"/>
              <w:jc w:val="right"/>
              <w:rPr>
                <w:rFonts w:ascii="Calibri" w:hAnsi="Calibri"/>
                <w:sz w:val="20"/>
                <w:szCs w:val="20"/>
              </w:rPr>
            </w:pPr>
            <w:r w:rsidRPr="00771607">
              <w:rPr>
                <w:rFonts w:ascii="Calibri" w:hAnsi="Calibri"/>
                <w:sz w:val="20"/>
                <w:szCs w:val="20"/>
              </w:rPr>
              <w:t>+/-4,833</w:t>
            </w:r>
          </w:p>
        </w:tc>
      </w:tr>
    </w:tbl>
    <w:p w14:paraId="0F53B6D2" w14:textId="77777777" w:rsidR="00C75674" w:rsidRPr="00C936A8" w:rsidRDefault="00C75674" w:rsidP="00C52D24">
      <w:pPr>
        <w:pStyle w:val="Bbodytext"/>
        <w:widowControl w:val="0"/>
        <w:spacing w:before="240"/>
      </w:pPr>
      <w:r w:rsidRPr="00707FE4">
        <w:t xml:space="preserve">Interest </w:t>
      </w:r>
      <w:r>
        <w:t>expenses</w:t>
      </w:r>
      <w:r w:rsidRPr="00707FE4">
        <w:t xml:space="preserve"> are </w:t>
      </w:r>
      <w:r>
        <w:t xml:space="preserve">also </w:t>
      </w:r>
      <w:r w:rsidRPr="00707FE4">
        <w:t xml:space="preserve">affected by interest rate variations. If the interest rate </w:t>
      </w:r>
      <w:r>
        <w:t xml:space="preserve">assumed for variable rate borrowing exposures and projected new borrowings </w:t>
      </w:r>
      <w:r w:rsidRPr="00707FE4">
        <w:t xml:space="preserve">was 0.25 per cent higher or lower than assumed in the budget estimates, forecast interest </w:t>
      </w:r>
      <w:r>
        <w:t>expenses</w:t>
      </w:r>
      <w:r w:rsidRPr="00707FE4">
        <w:t xml:space="preserve"> would increase or decrease by the amounts </w:t>
      </w:r>
      <w:r w:rsidRPr="00FE6B41">
        <w:t>shown in Table J.4.</w:t>
      </w:r>
    </w:p>
    <w:p w14:paraId="19994892" w14:textId="77777777" w:rsidR="00C75674" w:rsidRPr="00EF1C73" w:rsidRDefault="00C75674" w:rsidP="00C52D24">
      <w:pPr>
        <w:pStyle w:val="Caption"/>
      </w:pPr>
      <w:r w:rsidRPr="00E96FF7">
        <w:lastRenderedPageBreak/>
        <w:t xml:space="preserve">Table </w:t>
      </w:r>
      <w:r w:rsidRPr="00C936A8">
        <w:t xml:space="preserve">J.4: Impact of a 0.25 percentage </w:t>
      </w:r>
      <w:r w:rsidRPr="002B0D4C">
        <w:t>point</w:t>
      </w:r>
      <w:r w:rsidRPr="00C936A8">
        <w:t xml:space="preserve"> increase or decrease in the borrowing interest rate assumptions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66"/>
        <w:gridCol w:w="1542"/>
        <w:gridCol w:w="1542"/>
        <w:gridCol w:w="1542"/>
        <w:gridCol w:w="1534"/>
      </w:tblGrid>
      <w:tr w:rsidR="00C75674" w:rsidRPr="00EB1775" w14:paraId="77CA18EC" w14:textId="77777777" w:rsidTr="00C52D24">
        <w:trPr>
          <w:trHeight w:val="270"/>
        </w:trPr>
        <w:tc>
          <w:tcPr>
            <w:tcW w:w="1588" w:type="pct"/>
            <w:tcBorders>
              <w:top w:val="single" w:sz="4" w:space="0" w:color="auto"/>
              <w:bottom w:val="single" w:sz="4" w:space="0" w:color="auto"/>
            </w:tcBorders>
            <w:shd w:val="clear" w:color="auto" w:fill="472D8C"/>
          </w:tcPr>
          <w:p w14:paraId="2881C373" w14:textId="77777777" w:rsidR="00C75674" w:rsidRPr="00581200" w:rsidRDefault="00C75674" w:rsidP="00C52D24">
            <w:pPr>
              <w:keepNext/>
              <w:keepLines/>
              <w:spacing w:after="0" w:line="240" w:lineRule="auto"/>
              <w:ind w:left="227" w:hanging="227"/>
              <w:rPr>
                <w:rFonts w:ascii="Calibri" w:hAnsi="Calibri"/>
                <w:color w:val="FFFFFF" w:themeColor="background1"/>
                <w:sz w:val="20"/>
              </w:rPr>
            </w:pPr>
          </w:p>
        </w:tc>
        <w:tc>
          <w:tcPr>
            <w:tcW w:w="854" w:type="pct"/>
            <w:tcBorders>
              <w:top w:val="single" w:sz="4" w:space="0" w:color="auto"/>
              <w:bottom w:val="single" w:sz="4" w:space="0" w:color="auto"/>
            </w:tcBorders>
            <w:shd w:val="clear" w:color="auto" w:fill="472D8C"/>
          </w:tcPr>
          <w:p w14:paraId="1533C9AA" w14:textId="77777777" w:rsidR="00C75674" w:rsidRPr="00A13E11" w:rsidRDefault="00C75674" w:rsidP="00C52D24">
            <w:pPr>
              <w:pStyle w:val="BStableheading"/>
              <w:framePr w:wrap="around"/>
              <w:rPr>
                <w:color w:val="FFFFFF" w:themeColor="background1"/>
              </w:rPr>
            </w:pPr>
            <w:r w:rsidRPr="00A13E11">
              <w:rPr>
                <w:color w:val="FFFFFF" w:themeColor="background1"/>
              </w:rPr>
              <w:t>2021-22</w:t>
            </w:r>
          </w:p>
          <w:p w14:paraId="7ECC4766"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54" w:type="pct"/>
            <w:tcBorders>
              <w:top w:val="single" w:sz="4" w:space="0" w:color="auto"/>
              <w:bottom w:val="single" w:sz="4" w:space="0" w:color="auto"/>
            </w:tcBorders>
            <w:shd w:val="clear" w:color="auto" w:fill="472D8C"/>
          </w:tcPr>
          <w:p w14:paraId="7DDC04EE" w14:textId="77777777" w:rsidR="00C75674" w:rsidRPr="00A13E11" w:rsidRDefault="00C75674" w:rsidP="00C52D24">
            <w:pPr>
              <w:pStyle w:val="BStableheading"/>
              <w:framePr w:wrap="around"/>
              <w:rPr>
                <w:color w:val="FFFFFF" w:themeColor="background1"/>
              </w:rPr>
            </w:pPr>
            <w:r w:rsidRPr="00A13E11">
              <w:rPr>
                <w:color w:val="FFFFFF" w:themeColor="background1"/>
              </w:rPr>
              <w:t>2022-23</w:t>
            </w:r>
          </w:p>
          <w:p w14:paraId="7CB62434"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54" w:type="pct"/>
            <w:tcBorders>
              <w:top w:val="single" w:sz="4" w:space="0" w:color="auto"/>
              <w:bottom w:val="single" w:sz="4" w:space="0" w:color="auto"/>
            </w:tcBorders>
            <w:shd w:val="clear" w:color="auto" w:fill="472D8C"/>
          </w:tcPr>
          <w:p w14:paraId="7297E7EF" w14:textId="77777777" w:rsidR="00C75674" w:rsidRPr="00A13E11" w:rsidRDefault="00C75674" w:rsidP="00C52D24">
            <w:pPr>
              <w:pStyle w:val="BStableheading"/>
              <w:framePr w:wrap="around"/>
              <w:rPr>
                <w:color w:val="FFFFFF" w:themeColor="background1"/>
              </w:rPr>
            </w:pPr>
            <w:r w:rsidRPr="00A13E11">
              <w:rPr>
                <w:color w:val="FFFFFF" w:themeColor="background1"/>
              </w:rPr>
              <w:t>2023-24</w:t>
            </w:r>
          </w:p>
          <w:p w14:paraId="48A99E34"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50" w:type="pct"/>
            <w:tcBorders>
              <w:top w:val="single" w:sz="4" w:space="0" w:color="auto"/>
              <w:bottom w:val="single" w:sz="4" w:space="0" w:color="auto"/>
            </w:tcBorders>
            <w:shd w:val="clear" w:color="auto" w:fill="472D8C"/>
          </w:tcPr>
          <w:p w14:paraId="2E271DC3" w14:textId="77777777" w:rsidR="00C75674" w:rsidRPr="00A13E11" w:rsidRDefault="00C75674" w:rsidP="00C52D24">
            <w:pPr>
              <w:pStyle w:val="BStableheading"/>
              <w:framePr w:wrap="around"/>
              <w:rPr>
                <w:color w:val="FFFFFF" w:themeColor="background1"/>
              </w:rPr>
            </w:pPr>
            <w:r w:rsidRPr="00A13E11">
              <w:rPr>
                <w:color w:val="FFFFFF" w:themeColor="background1"/>
              </w:rPr>
              <w:t>2024-25</w:t>
            </w:r>
          </w:p>
          <w:p w14:paraId="2DAD98C2"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r>
      <w:tr w:rsidR="00C75674" w:rsidRPr="00EB1775" w14:paraId="7F16FB6A" w14:textId="77777777" w:rsidTr="00C52D24">
        <w:trPr>
          <w:trHeight w:val="270"/>
        </w:trPr>
        <w:tc>
          <w:tcPr>
            <w:tcW w:w="1588" w:type="pct"/>
            <w:tcBorders>
              <w:top w:val="single" w:sz="4" w:space="0" w:color="auto"/>
              <w:bottom w:val="single" w:sz="4" w:space="0" w:color="auto"/>
            </w:tcBorders>
          </w:tcPr>
          <w:p w14:paraId="1F2B1CC2" w14:textId="77777777" w:rsidR="00C75674" w:rsidRPr="00771607" w:rsidRDefault="00C75674" w:rsidP="00C52D24">
            <w:pPr>
              <w:keepNext/>
              <w:keepLines/>
              <w:spacing w:after="0" w:line="240" w:lineRule="auto"/>
              <w:ind w:left="227" w:hanging="227"/>
              <w:rPr>
                <w:rFonts w:ascii="Calibri" w:hAnsi="Calibri"/>
                <w:sz w:val="20"/>
              </w:rPr>
            </w:pPr>
            <w:r w:rsidRPr="009B4E42">
              <w:rPr>
                <w:rFonts w:ascii="Calibri" w:hAnsi="Calibri"/>
                <w:sz w:val="20"/>
              </w:rPr>
              <w:t>Borrowing interest expense</w:t>
            </w:r>
          </w:p>
        </w:tc>
        <w:tc>
          <w:tcPr>
            <w:tcW w:w="854" w:type="pct"/>
            <w:tcBorders>
              <w:top w:val="single" w:sz="4" w:space="0" w:color="auto"/>
              <w:bottom w:val="single" w:sz="4" w:space="0" w:color="auto"/>
            </w:tcBorders>
          </w:tcPr>
          <w:p w14:paraId="53FAFE3D" w14:textId="77777777" w:rsidR="00C75674" w:rsidRPr="00771607" w:rsidRDefault="00C75674" w:rsidP="00C52D24">
            <w:pPr>
              <w:keepNext/>
              <w:keepLines/>
              <w:spacing w:after="0" w:line="240" w:lineRule="auto"/>
              <w:ind w:left="227" w:hanging="227"/>
              <w:jc w:val="right"/>
              <w:rPr>
                <w:rFonts w:ascii="Calibri" w:hAnsi="Calibri"/>
                <w:sz w:val="20"/>
              </w:rPr>
            </w:pPr>
            <w:r w:rsidRPr="00771607">
              <w:rPr>
                <w:rFonts w:ascii="Calibri" w:hAnsi="Calibri"/>
                <w:sz w:val="20"/>
              </w:rPr>
              <w:t>+/-4,157</w:t>
            </w:r>
          </w:p>
        </w:tc>
        <w:tc>
          <w:tcPr>
            <w:tcW w:w="854" w:type="pct"/>
            <w:tcBorders>
              <w:top w:val="single" w:sz="4" w:space="0" w:color="auto"/>
              <w:bottom w:val="single" w:sz="4" w:space="0" w:color="auto"/>
            </w:tcBorders>
            <w:shd w:val="clear" w:color="auto" w:fill="auto"/>
          </w:tcPr>
          <w:p w14:paraId="5EF85A1A" w14:textId="77777777" w:rsidR="00C75674" w:rsidRPr="00771607" w:rsidRDefault="00C75674" w:rsidP="00C52D24">
            <w:pPr>
              <w:keepNext/>
              <w:keepLines/>
              <w:spacing w:after="0" w:line="240" w:lineRule="auto"/>
              <w:ind w:left="227" w:hanging="227"/>
              <w:jc w:val="right"/>
              <w:rPr>
                <w:rFonts w:ascii="Calibri" w:hAnsi="Calibri"/>
                <w:sz w:val="20"/>
                <w:szCs w:val="20"/>
              </w:rPr>
            </w:pPr>
            <w:r w:rsidRPr="00771607">
              <w:rPr>
                <w:rFonts w:ascii="Calibri" w:hAnsi="Calibri"/>
                <w:sz w:val="20"/>
                <w:szCs w:val="20"/>
              </w:rPr>
              <w:t>+/-10,244</w:t>
            </w:r>
          </w:p>
        </w:tc>
        <w:tc>
          <w:tcPr>
            <w:tcW w:w="854" w:type="pct"/>
            <w:tcBorders>
              <w:top w:val="single" w:sz="4" w:space="0" w:color="auto"/>
              <w:bottom w:val="single" w:sz="4" w:space="0" w:color="auto"/>
            </w:tcBorders>
          </w:tcPr>
          <w:p w14:paraId="78A57F84" w14:textId="77777777" w:rsidR="00C75674" w:rsidRPr="00771607" w:rsidRDefault="00C75674" w:rsidP="00C52D24">
            <w:pPr>
              <w:keepNext/>
              <w:keepLines/>
              <w:spacing w:after="0" w:line="240" w:lineRule="auto"/>
              <w:ind w:left="227" w:hanging="227"/>
              <w:jc w:val="right"/>
              <w:rPr>
                <w:rFonts w:ascii="Calibri" w:hAnsi="Calibri"/>
                <w:sz w:val="20"/>
                <w:szCs w:val="20"/>
              </w:rPr>
            </w:pPr>
            <w:r w:rsidRPr="00771607">
              <w:rPr>
                <w:rFonts w:ascii="Calibri" w:hAnsi="Calibri"/>
                <w:sz w:val="20"/>
                <w:szCs w:val="20"/>
              </w:rPr>
              <w:t>+/-15,743</w:t>
            </w:r>
          </w:p>
        </w:tc>
        <w:tc>
          <w:tcPr>
            <w:tcW w:w="850" w:type="pct"/>
            <w:tcBorders>
              <w:top w:val="single" w:sz="4" w:space="0" w:color="auto"/>
              <w:bottom w:val="single" w:sz="4" w:space="0" w:color="auto"/>
            </w:tcBorders>
            <w:shd w:val="clear" w:color="auto" w:fill="auto"/>
          </w:tcPr>
          <w:p w14:paraId="0019F6A0" w14:textId="77777777" w:rsidR="00C75674" w:rsidRPr="00771607" w:rsidRDefault="00C75674" w:rsidP="00C52D24">
            <w:pPr>
              <w:keepNext/>
              <w:keepLines/>
              <w:spacing w:after="0" w:line="240" w:lineRule="auto"/>
              <w:ind w:left="227" w:hanging="227"/>
              <w:jc w:val="right"/>
              <w:rPr>
                <w:rFonts w:ascii="Calibri" w:hAnsi="Calibri"/>
                <w:sz w:val="20"/>
                <w:szCs w:val="20"/>
              </w:rPr>
            </w:pPr>
            <w:r w:rsidRPr="00771607">
              <w:rPr>
                <w:rFonts w:ascii="Calibri" w:hAnsi="Calibri"/>
                <w:sz w:val="20"/>
                <w:szCs w:val="20"/>
              </w:rPr>
              <w:t>+/-21,255</w:t>
            </w:r>
          </w:p>
        </w:tc>
      </w:tr>
    </w:tbl>
    <w:p w14:paraId="2FB8008E" w14:textId="77777777" w:rsidR="00C75674" w:rsidRDefault="00C75674" w:rsidP="00C52D24">
      <w:pPr>
        <w:pStyle w:val="Heading4"/>
      </w:pPr>
      <w:r>
        <w:t>Investment return objective</w:t>
      </w:r>
    </w:p>
    <w:p w14:paraId="40FA1031" w14:textId="77777777" w:rsidR="00C75674" w:rsidRPr="007E01EE" w:rsidRDefault="00C75674" w:rsidP="00C52D24">
      <w:pPr>
        <w:pStyle w:val="Bbodytext"/>
      </w:pPr>
      <w:r w:rsidRPr="007427C3">
        <w:t xml:space="preserve">Table J.5 outlines the impact on the investment earnings estimates of the Superannuation Provision Account from a 1 percentage point </w:t>
      </w:r>
      <w:r>
        <w:t xml:space="preserve">increase or </w:t>
      </w:r>
      <w:r w:rsidRPr="007427C3">
        <w:t>decrease in the investment return objective.</w:t>
      </w:r>
    </w:p>
    <w:p w14:paraId="544C0203" w14:textId="77777777" w:rsidR="00C75674" w:rsidRPr="00EF1C73" w:rsidRDefault="00C75674" w:rsidP="00C52D24">
      <w:pPr>
        <w:pStyle w:val="Caption"/>
      </w:pPr>
      <w:r w:rsidRPr="00E96FF7">
        <w:t>Table J.5</w:t>
      </w:r>
      <w:r w:rsidRPr="00C936A8">
        <w:t>: Impact of a 1 percentage point decrease in the investment return objective</w:t>
      </w:r>
      <w:r w:rsidRPr="00EB1775">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468"/>
        <w:gridCol w:w="1576"/>
        <w:gridCol w:w="1576"/>
        <w:gridCol w:w="1571"/>
      </w:tblGrid>
      <w:tr w:rsidR="00C75674" w:rsidRPr="00EB1775" w14:paraId="71081288" w14:textId="77777777" w:rsidTr="00C52D24">
        <w:trPr>
          <w:trHeight w:val="177"/>
        </w:trPr>
        <w:tc>
          <w:tcPr>
            <w:tcW w:w="1570" w:type="pct"/>
            <w:tcBorders>
              <w:top w:val="single" w:sz="4" w:space="0" w:color="auto"/>
              <w:bottom w:val="single" w:sz="4" w:space="0" w:color="auto"/>
            </w:tcBorders>
            <w:shd w:val="clear" w:color="auto" w:fill="472D8C"/>
          </w:tcPr>
          <w:p w14:paraId="02F6219B" w14:textId="77777777" w:rsidR="00C75674" w:rsidRPr="00581200" w:rsidRDefault="00C75674" w:rsidP="00C52D24">
            <w:pPr>
              <w:keepNext/>
              <w:widowControl w:val="0"/>
              <w:spacing w:after="0" w:line="240" w:lineRule="auto"/>
              <w:ind w:left="227" w:hanging="227"/>
              <w:rPr>
                <w:rFonts w:ascii="Calibri" w:hAnsi="Calibri"/>
                <w:color w:val="FFFFFF" w:themeColor="background1"/>
                <w:sz w:val="20"/>
              </w:rPr>
            </w:pPr>
          </w:p>
        </w:tc>
        <w:tc>
          <w:tcPr>
            <w:tcW w:w="813" w:type="pct"/>
            <w:tcBorders>
              <w:top w:val="single" w:sz="4" w:space="0" w:color="auto"/>
              <w:bottom w:val="single" w:sz="4" w:space="0" w:color="auto"/>
            </w:tcBorders>
            <w:shd w:val="clear" w:color="auto" w:fill="472D8C"/>
          </w:tcPr>
          <w:p w14:paraId="3773FC18" w14:textId="77777777" w:rsidR="00C75674" w:rsidRPr="00A13E11" w:rsidRDefault="00C75674" w:rsidP="00C52D24">
            <w:pPr>
              <w:pStyle w:val="BStableheading"/>
              <w:framePr w:wrap="around"/>
              <w:rPr>
                <w:color w:val="FFFFFF" w:themeColor="background1"/>
              </w:rPr>
            </w:pPr>
            <w:r w:rsidRPr="00A13E11">
              <w:rPr>
                <w:color w:val="FFFFFF" w:themeColor="background1"/>
              </w:rPr>
              <w:t>2021-22</w:t>
            </w:r>
          </w:p>
          <w:p w14:paraId="779AF4D1"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73" w:type="pct"/>
            <w:tcBorders>
              <w:top w:val="single" w:sz="4" w:space="0" w:color="auto"/>
              <w:bottom w:val="single" w:sz="4" w:space="0" w:color="auto"/>
            </w:tcBorders>
            <w:shd w:val="clear" w:color="auto" w:fill="472D8C"/>
          </w:tcPr>
          <w:p w14:paraId="0EAEED71" w14:textId="77777777" w:rsidR="00C75674" w:rsidRPr="00A13E11" w:rsidRDefault="00C75674" w:rsidP="00C52D24">
            <w:pPr>
              <w:pStyle w:val="BStableheading"/>
              <w:framePr w:wrap="around"/>
              <w:rPr>
                <w:color w:val="FFFFFF" w:themeColor="background1"/>
              </w:rPr>
            </w:pPr>
            <w:r w:rsidRPr="00A13E11">
              <w:rPr>
                <w:color w:val="FFFFFF" w:themeColor="background1"/>
              </w:rPr>
              <w:t>2022-23</w:t>
            </w:r>
          </w:p>
          <w:p w14:paraId="67D7B0BC"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73" w:type="pct"/>
            <w:tcBorders>
              <w:top w:val="single" w:sz="4" w:space="0" w:color="auto"/>
              <w:bottom w:val="single" w:sz="4" w:space="0" w:color="auto"/>
            </w:tcBorders>
            <w:shd w:val="clear" w:color="auto" w:fill="472D8C"/>
          </w:tcPr>
          <w:p w14:paraId="58A40E56" w14:textId="77777777" w:rsidR="00C75674" w:rsidRPr="00A13E11" w:rsidRDefault="00C75674" w:rsidP="00C52D24">
            <w:pPr>
              <w:pStyle w:val="BStableheading"/>
              <w:framePr w:wrap="around"/>
              <w:rPr>
                <w:color w:val="FFFFFF" w:themeColor="background1"/>
              </w:rPr>
            </w:pPr>
            <w:r w:rsidRPr="00A13E11">
              <w:rPr>
                <w:color w:val="FFFFFF" w:themeColor="background1"/>
              </w:rPr>
              <w:t>2023-24</w:t>
            </w:r>
          </w:p>
          <w:p w14:paraId="28C6E49E"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c>
          <w:tcPr>
            <w:tcW w:w="870" w:type="pct"/>
            <w:tcBorders>
              <w:top w:val="single" w:sz="4" w:space="0" w:color="auto"/>
              <w:bottom w:val="single" w:sz="4" w:space="0" w:color="auto"/>
            </w:tcBorders>
            <w:shd w:val="clear" w:color="auto" w:fill="472D8C"/>
          </w:tcPr>
          <w:p w14:paraId="713D4009" w14:textId="77777777" w:rsidR="00C75674" w:rsidRPr="00A13E11" w:rsidRDefault="00C75674" w:rsidP="00C52D24">
            <w:pPr>
              <w:pStyle w:val="BStableheading"/>
              <w:framePr w:wrap="around"/>
              <w:rPr>
                <w:color w:val="FFFFFF" w:themeColor="background1"/>
              </w:rPr>
            </w:pPr>
            <w:r w:rsidRPr="00A13E11">
              <w:rPr>
                <w:color w:val="FFFFFF" w:themeColor="background1"/>
              </w:rPr>
              <w:t>2024-25</w:t>
            </w:r>
          </w:p>
          <w:p w14:paraId="55CE93C7" w14:textId="77777777" w:rsidR="00C75674" w:rsidRPr="00A13E11" w:rsidRDefault="00C75674" w:rsidP="00C52D24">
            <w:pPr>
              <w:pStyle w:val="BStableheading"/>
              <w:framePr w:wrap="around"/>
              <w:rPr>
                <w:color w:val="FFFFFF" w:themeColor="background1"/>
              </w:rPr>
            </w:pPr>
            <w:r w:rsidRPr="00A13E11">
              <w:rPr>
                <w:color w:val="FFFFFF" w:themeColor="background1"/>
              </w:rPr>
              <w:t>$’000</w:t>
            </w:r>
          </w:p>
        </w:tc>
      </w:tr>
      <w:tr w:rsidR="00C75674" w:rsidRPr="00EB1775" w14:paraId="026E3413" w14:textId="77777777" w:rsidTr="00C52D24">
        <w:trPr>
          <w:trHeight w:val="177"/>
        </w:trPr>
        <w:tc>
          <w:tcPr>
            <w:tcW w:w="1570" w:type="pct"/>
            <w:tcBorders>
              <w:top w:val="single" w:sz="4" w:space="0" w:color="auto"/>
              <w:bottom w:val="single" w:sz="4" w:space="0" w:color="auto"/>
            </w:tcBorders>
          </w:tcPr>
          <w:p w14:paraId="5DBBD20E" w14:textId="77777777" w:rsidR="00C75674" w:rsidRPr="00EB1775" w:rsidRDefault="00C75674" w:rsidP="00C52D24">
            <w:pPr>
              <w:keepNext/>
              <w:widowControl w:val="0"/>
              <w:spacing w:after="0" w:line="240" w:lineRule="auto"/>
              <w:ind w:left="227" w:hanging="227"/>
              <w:rPr>
                <w:rFonts w:ascii="Calibri" w:hAnsi="Calibri"/>
                <w:sz w:val="20"/>
              </w:rPr>
            </w:pPr>
            <w:r w:rsidRPr="00EB1775">
              <w:rPr>
                <w:rFonts w:ascii="Calibri" w:hAnsi="Calibri"/>
                <w:sz w:val="20"/>
              </w:rPr>
              <w:t xml:space="preserve">Investment </w:t>
            </w:r>
            <w:r>
              <w:rPr>
                <w:rFonts w:ascii="Calibri" w:hAnsi="Calibri"/>
                <w:sz w:val="20"/>
              </w:rPr>
              <w:t>e</w:t>
            </w:r>
            <w:r w:rsidRPr="00EB1775">
              <w:rPr>
                <w:rFonts w:ascii="Calibri" w:hAnsi="Calibri"/>
                <w:sz w:val="20"/>
              </w:rPr>
              <w:t>arnings</w:t>
            </w:r>
          </w:p>
        </w:tc>
        <w:tc>
          <w:tcPr>
            <w:tcW w:w="813" w:type="pct"/>
            <w:tcBorders>
              <w:top w:val="single" w:sz="4" w:space="0" w:color="auto"/>
              <w:bottom w:val="single" w:sz="4" w:space="0" w:color="auto"/>
            </w:tcBorders>
          </w:tcPr>
          <w:p w14:paraId="09765D99" w14:textId="77777777" w:rsidR="00C75674" w:rsidRPr="007427C3" w:rsidRDefault="00C75674" w:rsidP="00C52D24">
            <w:pPr>
              <w:keepNext/>
              <w:widowControl w:val="0"/>
              <w:spacing w:after="0" w:line="240" w:lineRule="auto"/>
              <w:ind w:left="227" w:hanging="227"/>
              <w:jc w:val="right"/>
              <w:rPr>
                <w:rFonts w:ascii="Calibri" w:hAnsi="Calibri"/>
                <w:sz w:val="20"/>
              </w:rPr>
            </w:pPr>
            <w:r>
              <w:rPr>
                <w:rFonts w:ascii="Calibri" w:hAnsi="Calibri"/>
                <w:sz w:val="20"/>
              </w:rPr>
              <w:t>+/</w:t>
            </w:r>
            <w:r w:rsidRPr="007427C3">
              <w:rPr>
                <w:rFonts w:ascii="Calibri" w:hAnsi="Calibri"/>
                <w:sz w:val="20"/>
              </w:rPr>
              <w:t>-</w:t>
            </w:r>
            <w:r>
              <w:rPr>
                <w:rFonts w:ascii="Calibri" w:hAnsi="Calibri"/>
                <w:sz w:val="20"/>
              </w:rPr>
              <w:t>50</w:t>
            </w:r>
            <w:r w:rsidRPr="007427C3">
              <w:rPr>
                <w:rFonts w:ascii="Calibri" w:hAnsi="Calibri"/>
                <w:sz w:val="20"/>
              </w:rPr>
              <w:t>,</w:t>
            </w:r>
            <w:r>
              <w:rPr>
                <w:rFonts w:ascii="Calibri" w:hAnsi="Calibri"/>
                <w:sz w:val="20"/>
              </w:rPr>
              <w:t>330</w:t>
            </w:r>
          </w:p>
        </w:tc>
        <w:tc>
          <w:tcPr>
            <w:tcW w:w="873" w:type="pct"/>
            <w:tcBorders>
              <w:top w:val="single" w:sz="4" w:space="0" w:color="auto"/>
              <w:bottom w:val="single" w:sz="4" w:space="0" w:color="auto"/>
            </w:tcBorders>
            <w:shd w:val="clear" w:color="auto" w:fill="auto"/>
          </w:tcPr>
          <w:p w14:paraId="1CF16963" w14:textId="77777777" w:rsidR="00C75674" w:rsidRPr="007427C3" w:rsidRDefault="00C75674" w:rsidP="00C52D24">
            <w:pPr>
              <w:keepNext/>
              <w:widowControl w:val="0"/>
              <w:spacing w:after="0" w:line="240" w:lineRule="auto"/>
              <w:ind w:left="227" w:hanging="227"/>
              <w:jc w:val="right"/>
              <w:rPr>
                <w:rFonts w:ascii="Calibri" w:hAnsi="Calibri"/>
                <w:sz w:val="20"/>
                <w:szCs w:val="20"/>
              </w:rPr>
            </w:pPr>
            <w:r>
              <w:rPr>
                <w:rFonts w:ascii="Calibri" w:hAnsi="Calibri"/>
                <w:sz w:val="20"/>
                <w:szCs w:val="20"/>
              </w:rPr>
              <w:t>+/</w:t>
            </w:r>
            <w:r w:rsidRPr="007427C3">
              <w:rPr>
                <w:rFonts w:ascii="Calibri" w:hAnsi="Calibri"/>
                <w:sz w:val="20"/>
                <w:szCs w:val="20"/>
              </w:rPr>
              <w:t>-</w:t>
            </w:r>
            <w:r>
              <w:rPr>
                <w:rFonts w:ascii="Calibri" w:hAnsi="Calibri"/>
                <w:sz w:val="20"/>
                <w:szCs w:val="20"/>
              </w:rPr>
              <w:t>56</w:t>
            </w:r>
            <w:r w:rsidRPr="007427C3">
              <w:rPr>
                <w:rFonts w:ascii="Calibri" w:hAnsi="Calibri"/>
                <w:sz w:val="20"/>
                <w:szCs w:val="20"/>
              </w:rPr>
              <w:t>,</w:t>
            </w:r>
            <w:r>
              <w:rPr>
                <w:rFonts w:ascii="Calibri" w:hAnsi="Calibri"/>
                <w:sz w:val="20"/>
                <w:szCs w:val="20"/>
              </w:rPr>
              <w:t>989</w:t>
            </w:r>
          </w:p>
        </w:tc>
        <w:tc>
          <w:tcPr>
            <w:tcW w:w="873" w:type="pct"/>
            <w:tcBorders>
              <w:top w:val="single" w:sz="4" w:space="0" w:color="auto"/>
              <w:bottom w:val="single" w:sz="4" w:space="0" w:color="auto"/>
            </w:tcBorders>
          </w:tcPr>
          <w:p w14:paraId="7464B448" w14:textId="77777777" w:rsidR="00C75674" w:rsidRPr="007427C3" w:rsidRDefault="00C75674" w:rsidP="00C52D24">
            <w:pPr>
              <w:keepNext/>
              <w:widowControl w:val="0"/>
              <w:spacing w:after="0" w:line="240" w:lineRule="auto"/>
              <w:ind w:left="227" w:hanging="227"/>
              <w:jc w:val="right"/>
              <w:rPr>
                <w:rFonts w:ascii="Calibri" w:hAnsi="Calibri"/>
                <w:sz w:val="20"/>
                <w:szCs w:val="20"/>
              </w:rPr>
            </w:pPr>
            <w:r>
              <w:rPr>
                <w:rFonts w:ascii="Calibri" w:hAnsi="Calibri"/>
                <w:sz w:val="20"/>
                <w:szCs w:val="20"/>
              </w:rPr>
              <w:t>+/</w:t>
            </w:r>
            <w:r w:rsidRPr="007427C3">
              <w:rPr>
                <w:rFonts w:ascii="Calibri" w:hAnsi="Calibri"/>
                <w:sz w:val="20"/>
                <w:szCs w:val="20"/>
              </w:rPr>
              <w:t>-</w:t>
            </w:r>
            <w:r>
              <w:rPr>
                <w:rFonts w:ascii="Calibri" w:hAnsi="Calibri"/>
                <w:sz w:val="20"/>
                <w:szCs w:val="20"/>
              </w:rPr>
              <w:t>64</w:t>
            </w:r>
            <w:r w:rsidRPr="007427C3">
              <w:rPr>
                <w:rFonts w:ascii="Calibri" w:hAnsi="Calibri"/>
                <w:sz w:val="20"/>
                <w:szCs w:val="20"/>
              </w:rPr>
              <w:t>,</w:t>
            </w:r>
            <w:r>
              <w:rPr>
                <w:rFonts w:ascii="Calibri" w:hAnsi="Calibri"/>
                <w:sz w:val="20"/>
                <w:szCs w:val="20"/>
              </w:rPr>
              <w:t>311</w:t>
            </w:r>
          </w:p>
        </w:tc>
        <w:tc>
          <w:tcPr>
            <w:tcW w:w="870" w:type="pct"/>
            <w:tcBorders>
              <w:top w:val="single" w:sz="4" w:space="0" w:color="auto"/>
              <w:bottom w:val="single" w:sz="4" w:space="0" w:color="auto"/>
            </w:tcBorders>
            <w:shd w:val="clear" w:color="auto" w:fill="auto"/>
          </w:tcPr>
          <w:p w14:paraId="56652CA2" w14:textId="77777777" w:rsidR="00C75674" w:rsidRPr="007427C3" w:rsidRDefault="00C75674" w:rsidP="00C52D24">
            <w:pPr>
              <w:keepNext/>
              <w:widowControl w:val="0"/>
              <w:spacing w:after="0" w:line="240" w:lineRule="auto"/>
              <w:ind w:left="227" w:hanging="227"/>
              <w:jc w:val="right"/>
              <w:rPr>
                <w:rFonts w:ascii="Calibri" w:hAnsi="Calibri"/>
                <w:sz w:val="20"/>
                <w:szCs w:val="20"/>
              </w:rPr>
            </w:pPr>
            <w:r>
              <w:rPr>
                <w:rFonts w:ascii="Calibri" w:hAnsi="Calibri"/>
                <w:sz w:val="20"/>
                <w:szCs w:val="20"/>
              </w:rPr>
              <w:t>+/</w:t>
            </w:r>
            <w:r w:rsidRPr="007427C3">
              <w:rPr>
                <w:rFonts w:ascii="Calibri" w:hAnsi="Calibri"/>
                <w:sz w:val="20"/>
                <w:szCs w:val="20"/>
              </w:rPr>
              <w:t>-</w:t>
            </w:r>
            <w:r>
              <w:rPr>
                <w:rFonts w:ascii="Calibri" w:hAnsi="Calibri"/>
                <w:sz w:val="20"/>
                <w:szCs w:val="20"/>
              </w:rPr>
              <w:t>72</w:t>
            </w:r>
            <w:r w:rsidRPr="007427C3">
              <w:rPr>
                <w:rFonts w:ascii="Calibri" w:hAnsi="Calibri"/>
                <w:sz w:val="20"/>
                <w:szCs w:val="20"/>
              </w:rPr>
              <w:t>,</w:t>
            </w:r>
            <w:r>
              <w:rPr>
                <w:rFonts w:ascii="Calibri" w:hAnsi="Calibri"/>
                <w:sz w:val="20"/>
                <w:szCs w:val="20"/>
              </w:rPr>
              <w:t>356</w:t>
            </w:r>
          </w:p>
        </w:tc>
      </w:tr>
    </w:tbl>
    <w:p w14:paraId="58D05B9F" w14:textId="77777777" w:rsidR="00C75674" w:rsidRDefault="00C75674" w:rsidP="00C52D24">
      <w:pPr>
        <w:pStyle w:val="Heading4"/>
      </w:pPr>
      <w:r>
        <w:t>Defined benefit superannuation liability</w:t>
      </w:r>
    </w:p>
    <w:p w14:paraId="4C57CEBC" w14:textId="77777777" w:rsidR="00C75674" w:rsidRPr="00C936A8" w:rsidRDefault="00C75674" w:rsidP="00C52D24">
      <w:pPr>
        <w:pStyle w:val="Bbodytext"/>
      </w:pPr>
      <w:r w:rsidRPr="00D72BC7">
        <w:t>Table J.6 outlines the impact on the Commonwealth defined benefit superannuation liability valuation and the superannuation liability expense from a 1 </w:t>
      </w:r>
      <w:r>
        <w:t>percentage</w:t>
      </w:r>
      <w:r w:rsidRPr="00D72BC7">
        <w:t xml:space="preserve"> point decrease in the discount rate assumption from the long-term budget assumption of </w:t>
      </w:r>
      <w:r>
        <w:t>4</w:t>
      </w:r>
      <w:r w:rsidRPr="00D72BC7">
        <w:t> per cent.</w:t>
      </w:r>
    </w:p>
    <w:p w14:paraId="5FA2E952" w14:textId="77777777" w:rsidR="00C75674" w:rsidRPr="00EF1C73" w:rsidRDefault="00C75674" w:rsidP="00C52D24">
      <w:pPr>
        <w:pStyle w:val="Caption"/>
      </w:pPr>
      <w:r w:rsidRPr="00E96FF7">
        <w:t xml:space="preserve">Table </w:t>
      </w:r>
      <w:r w:rsidRPr="00C936A8">
        <w:t xml:space="preserve">J.6: </w:t>
      </w:r>
      <w:r>
        <w:t>I</w:t>
      </w:r>
      <w:r w:rsidRPr="00C936A8">
        <w:t>mpact of a 1 perc</w:t>
      </w:r>
      <w:r w:rsidRPr="00EB1775">
        <w:t xml:space="preserve">entage point decrease in the </w:t>
      </w:r>
      <w:r w:rsidRPr="00EF1C73">
        <w:t>discount rate assumption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27"/>
        <w:gridCol w:w="1576"/>
        <w:gridCol w:w="1576"/>
        <w:gridCol w:w="1576"/>
        <w:gridCol w:w="1571"/>
      </w:tblGrid>
      <w:tr w:rsidR="00C75674" w:rsidRPr="00581200" w14:paraId="5A79FF46" w14:textId="77777777" w:rsidTr="00C52D24">
        <w:trPr>
          <w:trHeight w:val="270"/>
        </w:trPr>
        <w:tc>
          <w:tcPr>
            <w:tcW w:w="1511" w:type="pct"/>
            <w:tcBorders>
              <w:top w:val="single" w:sz="4" w:space="0" w:color="auto"/>
              <w:bottom w:val="nil"/>
            </w:tcBorders>
            <w:shd w:val="clear" w:color="auto" w:fill="472D8C"/>
          </w:tcPr>
          <w:p w14:paraId="07DDE5A1" w14:textId="77777777" w:rsidR="00C75674" w:rsidRPr="00581200" w:rsidRDefault="00C75674" w:rsidP="00C52D24">
            <w:pPr>
              <w:spacing w:after="0" w:line="240" w:lineRule="auto"/>
              <w:ind w:left="227" w:hanging="227"/>
              <w:rPr>
                <w:rFonts w:ascii="Calibri" w:hAnsi="Calibri"/>
                <w:color w:val="FFFFFF" w:themeColor="background1"/>
                <w:sz w:val="20"/>
                <w:highlight w:val="yellow"/>
              </w:rPr>
            </w:pPr>
          </w:p>
        </w:tc>
        <w:tc>
          <w:tcPr>
            <w:tcW w:w="873" w:type="pct"/>
            <w:tcBorders>
              <w:top w:val="single" w:sz="4" w:space="0" w:color="auto"/>
              <w:bottom w:val="nil"/>
            </w:tcBorders>
            <w:shd w:val="clear" w:color="auto" w:fill="472D8C"/>
          </w:tcPr>
          <w:p w14:paraId="66BF081C" w14:textId="77777777" w:rsidR="00C75674" w:rsidRPr="002A20E6" w:rsidRDefault="00C75674" w:rsidP="00C52D24">
            <w:pPr>
              <w:pStyle w:val="BStableheading"/>
              <w:framePr w:wrap="around"/>
              <w:rPr>
                <w:color w:val="FFFFFF" w:themeColor="background1"/>
              </w:rPr>
            </w:pPr>
            <w:r w:rsidRPr="002A20E6">
              <w:rPr>
                <w:color w:val="FFFFFF" w:themeColor="background1"/>
              </w:rPr>
              <w:t>2021-22</w:t>
            </w:r>
          </w:p>
          <w:p w14:paraId="49A703F8" w14:textId="77777777" w:rsidR="00C75674" w:rsidRPr="002A20E6" w:rsidRDefault="00C75674" w:rsidP="00C52D24">
            <w:pPr>
              <w:pStyle w:val="BStableheading"/>
              <w:framePr w:wrap="around"/>
              <w:rPr>
                <w:color w:val="FFFFFF" w:themeColor="background1"/>
              </w:rPr>
            </w:pPr>
            <w:r w:rsidRPr="002A20E6">
              <w:rPr>
                <w:color w:val="FFFFFF" w:themeColor="background1"/>
              </w:rPr>
              <w:t>$’000</w:t>
            </w:r>
          </w:p>
        </w:tc>
        <w:tc>
          <w:tcPr>
            <w:tcW w:w="873" w:type="pct"/>
            <w:tcBorders>
              <w:top w:val="single" w:sz="4" w:space="0" w:color="auto"/>
              <w:bottom w:val="nil"/>
            </w:tcBorders>
            <w:shd w:val="clear" w:color="auto" w:fill="472D8C"/>
          </w:tcPr>
          <w:p w14:paraId="27502D38" w14:textId="77777777" w:rsidR="00C75674" w:rsidRPr="002A20E6" w:rsidRDefault="00C75674" w:rsidP="00C52D24">
            <w:pPr>
              <w:pStyle w:val="BStableheading"/>
              <w:framePr w:wrap="around"/>
              <w:rPr>
                <w:color w:val="FFFFFF" w:themeColor="background1"/>
              </w:rPr>
            </w:pPr>
            <w:r w:rsidRPr="002A20E6">
              <w:rPr>
                <w:color w:val="FFFFFF" w:themeColor="background1"/>
              </w:rPr>
              <w:t>2022-23</w:t>
            </w:r>
          </w:p>
          <w:p w14:paraId="49E374F1" w14:textId="77777777" w:rsidR="00C75674" w:rsidRPr="002A20E6" w:rsidRDefault="00C75674" w:rsidP="00C52D24">
            <w:pPr>
              <w:pStyle w:val="BStableheading"/>
              <w:framePr w:wrap="around"/>
              <w:rPr>
                <w:color w:val="FFFFFF" w:themeColor="background1"/>
              </w:rPr>
            </w:pPr>
            <w:r w:rsidRPr="002A20E6">
              <w:rPr>
                <w:color w:val="FFFFFF" w:themeColor="background1"/>
              </w:rPr>
              <w:t>$’000</w:t>
            </w:r>
          </w:p>
        </w:tc>
        <w:tc>
          <w:tcPr>
            <w:tcW w:w="873" w:type="pct"/>
            <w:tcBorders>
              <w:top w:val="single" w:sz="4" w:space="0" w:color="auto"/>
              <w:bottom w:val="nil"/>
            </w:tcBorders>
            <w:shd w:val="clear" w:color="auto" w:fill="472D8C"/>
          </w:tcPr>
          <w:p w14:paraId="360A12D9" w14:textId="77777777" w:rsidR="00C75674" w:rsidRPr="002A20E6" w:rsidRDefault="00C75674" w:rsidP="00C52D24">
            <w:pPr>
              <w:pStyle w:val="BStableheading"/>
              <w:framePr w:wrap="around"/>
              <w:rPr>
                <w:color w:val="FFFFFF" w:themeColor="background1"/>
              </w:rPr>
            </w:pPr>
            <w:r w:rsidRPr="002A20E6">
              <w:rPr>
                <w:color w:val="FFFFFF" w:themeColor="background1"/>
              </w:rPr>
              <w:t>2023-24</w:t>
            </w:r>
          </w:p>
          <w:p w14:paraId="3B81EBBE" w14:textId="77777777" w:rsidR="00C75674" w:rsidRPr="002A20E6" w:rsidRDefault="00C75674" w:rsidP="00C52D24">
            <w:pPr>
              <w:pStyle w:val="BStableheading"/>
              <w:framePr w:wrap="around"/>
              <w:rPr>
                <w:color w:val="FFFFFF" w:themeColor="background1"/>
              </w:rPr>
            </w:pPr>
            <w:r w:rsidRPr="002A20E6">
              <w:rPr>
                <w:color w:val="FFFFFF" w:themeColor="background1"/>
              </w:rPr>
              <w:t>$’000</w:t>
            </w:r>
          </w:p>
        </w:tc>
        <w:tc>
          <w:tcPr>
            <w:tcW w:w="870" w:type="pct"/>
            <w:tcBorders>
              <w:top w:val="single" w:sz="4" w:space="0" w:color="auto"/>
              <w:bottom w:val="nil"/>
            </w:tcBorders>
            <w:shd w:val="clear" w:color="auto" w:fill="472D8C"/>
          </w:tcPr>
          <w:p w14:paraId="023DBADC" w14:textId="77777777" w:rsidR="00C75674" w:rsidRPr="002A20E6" w:rsidRDefault="00C75674" w:rsidP="00C52D24">
            <w:pPr>
              <w:pStyle w:val="BStableheading"/>
              <w:framePr w:wrap="around"/>
              <w:rPr>
                <w:color w:val="FFFFFF" w:themeColor="background1"/>
              </w:rPr>
            </w:pPr>
            <w:r w:rsidRPr="002A20E6">
              <w:rPr>
                <w:color w:val="FFFFFF" w:themeColor="background1"/>
              </w:rPr>
              <w:t>2024-25</w:t>
            </w:r>
          </w:p>
          <w:p w14:paraId="15362D71" w14:textId="77777777" w:rsidR="00C75674" w:rsidRPr="002A20E6" w:rsidRDefault="00C75674" w:rsidP="00C52D24">
            <w:pPr>
              <w:pStyle w:val="BStableheading"/>
              <w:framePr w:wrap="around"/>
              <w:rPr>
                <w:color w:val="FFFFFF" w:themeColor="background1"/>
              </w:rPr>
            </w:pPr>
            <w:r w:rsidRPr="002A20E6">
              <w:rPr>
                <w:color w:val="FFFFFF" w:themeColor="background1"/>
              </w:rPr>
              <w:t>$’000</w:t>
            </w:r>
          </w:p>
        </w:tc>
      </w:tr>
      <w:tr w:rsidR="00C75674" w:rsidRPr="00EB1775" w14:paraId="3BED0C6E" w14:textId="77777777" w:rsidTr="00C52D24">
        <w:trPr>
          <w:trHeight w:val="270"/>
        </w:trPr>
        <w:tc>
          <w:tcPr>
            <w:tcW w:w="1511" w:type="pct"/>
            <w:tcBorders>
              <w:top w:val="single" w:sz="4" w:space="0" w:color="auto"/>
              <w:bottom w:val="nil"/>
            </w:tcBorders>
          </w:tcPr>
          <w:p w14:paraId="15430C41" w14:textId="77777777" w:rsidR="00C75674" w:rsidRPr="00EB1775" w:rsidRDefault="00C75674" w:rsidP="00C52D24">
            <w:pPr>
              <w:spacing w:after="0" w:line="240" w:lineRule="auto"/>
              <w:ind w:left="227" w:hanging="227"/>
              <w:rPr>
                <w:rFonts w:ascii="Calibri" w:hAnsi="Calibri"/>
                <w:sz w:val="20"/>
              </w:rPr>
            </w:pPr>
            <w:r w:rsidRPr="00EB1775">
              <w:rPr>
                <w:rFonts w:ascii="Calibri" w:hAnsi="Calibri"/>
                <w:sz w:val="20"/>
              </w:rPr>
              <w:t>Superannuation liability</w:t>
            </w:r>
          </w:p>
        </w:tc>
        <w:tc>
          <w:tcPr>
            <w:tcW w:w="873" w:type="pct"/>
            <w:tcBorders>
              <w:top w:val="single" w:sz="4" w:space="0" w:color="auto"/>
              <w:bottom w:val="nil"/>
            </w:tcBorders>
          </w:tcPr>
          <w:p w14:paraId="4839DBB3"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903</w:t>
            </w:r>
            <w:r w:rsidRPr="00D72BC7">
              <w:rPr>
                <w:rFonts w:ascii="Calibri" w:hAnsi="Calibri"/>
                <w:sz w:val="20"/>
              </w:rPr>
              <w:t>,</w:t>
            </w:r>
            <w:r>
              <w:rPr>
                <w:rFonts w:ascii="Calibri" w:hAnsi="Calibri"/>
                <w:sz w:val="20"/>
              </w:rPr>
              <w:t>717</w:t>
            </w:r>
          </w:p>
        </w:tc>
        <w:tc>
          <w:tcPr>
            <w:tcW w:w="873" w:type="pct"/>
            <w:tcBorders>
              <w:top w:val="single" w:sz="4" w:space="0" w:color="auto"/>
              <w:bottom w:val="nil"/>
            </w:tcBorders>
            <w:shd w:val="clear" w:color="auto" w:fill="auto"/>
          </w:tcPr>
          <w:p w14:paraId="6EAE43CE"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914</w:t>
            </w:r>
            <w:r w:rsidRPr="00D72BC7">
              <w:rPr>
                <w:rFonts w:ascii="Calibri" w:hAnsi="Calibri"/>
                <w:sz w:val="20"/>
              </w:rPr>
              <w:t>,</w:t>
            </w:r>
            <w:r>
              <w:rPr>
                <w:rFonts w:ascii="Calibri" w:hAnsi="Calibri"/>
                <w:sz w:val="20"/>
              </w:rPr>
              <w:t>157</w:t>
            </w:r>
          </w:p>
        </w:tc>
        <w:tc>
          <w:tcPr>
            <w:tcW w:w="873" w:type="pct"/>
            <w:tcBorders>
              <w:top w:val="single" w:sz="4" w:space="0" w:color="auto"/>
              <w:bottom w:val="nil"/>
            </w:tcBorders>
          </w:tcPr>
          <w:p w14:paraId="2E6C379D"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918</w:t>
            </w:r>
            <w:r w:rsidRPr="00D72BC7">
              <w:rPr>
                <w:rFonts w:ascii="Calibri" w:hAnsi="Calibri"/>
                <w:sz w:val="20"/>
              </w:rPr>
              <w:t>,</w:t>
            </w:r>
            <w:r>
              <w:rPr>
                <w:rFonts w:ascii="Calibri" w:hAnsi="Calibri"/>
                <w:sz w:val="20"/>
              </w:rPr>
              <w:t>795</w:t>
            </w:r>
          </w:p>
        </w:tc>
        <w:tc>
          <w:tcPr>
            <w:tcW w:w="870" w:type="pct"/>
            <w:tcBorders>
              <w:top w:val="single" w:sz="4" w:space="0" w:color="auto"/>
              <w:bottom w:val="nil"/>
            </w:tcBorders>
            <w:shd w:val="clear" w:color="auto" w:fill="auto"/>
          </w:tcPr>
          <w:p w14:paraId="089E4C98"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917</w:t>
            </w:r>
            <w:r w:rsidRPr="00D72BC7">
              <w:rPr>
                <w:rFonts w:ascii="Calibri" w:hAnsi="Calibri"/>
                <w:sz w:val="20"/>
              </w:rPr>
              <w:t>,</w:t>
            </w:r>
            <w:r>
              <w:rPr>
                <w:rFonts w:ascii="Calibri" w:hAnsi="Calibri"/>
                <w:sz w:val="20"/>
              </w:rPr>
              <w:t>812</w:t>
            </w:r>
          </w:p>
        </w:tc>
      </w:tr>
      <w:tr w:rsidR="00C75674" w:rsidRPr="00EB1775" w14:paraId="6CCA0A77" w14:textId="77777777" w:rsidTr="00C52D24">
        <w:trPr>
          <w:trHeight w:val="270"/>
        </w:trPr>
        <w:tc>
          <w:tcPr>
            <w:tcW w:w="1511" w:type="pct"/>
            <w:tcBorders>
              <w:top w:val="nil"/>
              <w:bottom w:val="single" w:sz="4" w:space="0" w:color="auto"/>
            </w:tcBorders>
          </w:tcPr>
          <w:p w14:paraId="1002AE0F" w14:textId="77777777" w:rsidR="00C75674" w:rsidRPr="00EB1775" w:rsidRDefault="00C75674" w:rsidP="00C52D24">
            <w:pPr>
              <w:spacing w:after="0" w:line="240" w:lineRule="auto"/>
              <w:ind w:left="227" w:hanging="227"/>
              <w:rPr>
                <w:rFonts w:ascii="Calibri" w:hAnsi="Calibri"/>
                <w:sz w:val="20"/>
              </w:rPr>
            </w:pPr>
            <w:r w:rsidRPr="00EB1775">
              <w:rPr>
                <w:rFonts w:ascii="Calibri" w:hAnsi="Calibri"/>
                <w:sz w:val="20"/>
              </w:rPr>
              <w:t>Superannuation expense</w:t>
            </w:r>
          </w:p>
        </w:tc>
        <w:tc>
          <w:tcPr>
            <w:tcW w:w="873" w:type="pct"/>
            <w:tcBorders>
              <w:top w:val="nil"/>
              <w:bottom w:val="single" w:sz="4" w:space="0" w:color="auto"/>
            </w:tcBorders>
          </w:tcPr>
          <w:p w14:paraId="51DC1D9C"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6</w:t>
            </w:r>
            <w:r w:rsidRPr="00D72BC7">
              <w:rPr>
                <w:rFonts w:ascii="Calibri" w:hAnsi="Calibri"/>
                <w:sz w:val="20"/>
              </w:rPr>
              <w:t>,</w:t>
            </w:r>
            <w:r>
              <w:rPr>
                <w:rFonts w:ascii="Calibri" w:hAnsi="Calibri"/>
                <w:sz w:val="20"/>
              </w:rPr>
              <w:t>607</w:t>
            </w:r>
          </w:p>
        </w:tc>
        <w:tc>
          <w:tcPr>
            <w:tcW w:w="873" w:type="pct"/>
            <w:tcBorders>
              <w:top w:val="nil"/>
              <w:bottom w:val="single" w:sz="4" w:space="0" w:color="auto"/>
            </w:tcBorders>
            <w:shd w:val="clear" w:color="auto" w:fill="auto"/>
          </w:tcPr>
          <w:p w14:paraId="0468D14D" w14:textId="77777777" w:rsidR="00C75674" w:rsidRPr="00D72BC7" w:rsidRDefault="00C75674" w:rsidP="00C52D24">
            <w:pPr>
              <w:spacing w:after="0" w:line="240" w:lineRule="auto"/>
              <w:ind w:left="227" w:hanging="227"/>
              <w:jc w:val="right"/>
              <w:rPr>
                <w:rFonts w:ascii="Calibri" w:hAnsi="Calibri"/>
                <w:sz w:val="20"/>
              </w:rPr>
            </w:pPr>
            <w:r w:rsidRPr="00D72BC7">
              <w:rPr>
                <w:rFonts w:ascii="Calibri" w:hAnsi="Calibri"/>
                <w:sz w:val="20"/>
              </w:rPr>
              <w:t>1</w:t>
            </w:r>
            <w:r>
              <w:rPr>
                <w:rFonts w:ascii="Calibri" w:hAnsi="Calibri"/>
                <w:sz w:val="20"/>
              </w:rPr>
              <w:t>0</w:t>
            </w:r>
            <w:r w:rsidRPr="00D72BC7">
              <w:rPr>
                <w:rFonts w:ascii="Calibri" w:hAnsi="Calibri"/>
                <w:sz w:val="20"/>
              </w:rPr>
              <w:t>,</w:t>
            </w:r>
            <w:r>
              <w:rPr>
                <w:rFonts w:ascii="Calibri" w:hAnsi="Calibri"/>
                <w:sz w:val="20"/>
              </w:rPr>
              <w:t>593</w:t>
            </w:r>
          </w:p>
        </w:tc>
        <w:tc>
          <w:tcPr>
            <w:tcW w:w="873" w:type="pct"/>
            <w:tcBorders>
              <w:top w:val="nil"/>
              <w:bottom w:val="single" w:sz="4" w:space="0" w:color="auto"/>
            </w:tcBorders>
          </w:tcPr>
          <w:p w14:paraId="44323277" w14:textId="77777777" w:rsidR="00C75674" w:rsidRPr="00D72BC7" w:rsidRDefault="00C75674" w:rsidP="00C52D24">
            <w:pPr>
              <w:spacing w:after="0" w:line="240" w:lineRule="auto"/>
              <w:ind w:left="227" w:hanging="227"/>
              <w:jc w:val="right"/>
              <w:rPr>
                <w:rFonts w:ascii="Calibri" w:hAnsi="Calibri"/>
                <w:sz w:val="20"/>
              </w:rPr>
            </w:pPr>
            <w:r>
              <w:rPr>
                <w:rFonts w:ascii="Calibri" w:hAnsi="Calibri"/>
                <w:sz w:val="20"/>
              </w:rPr>
              <w:t>4</w:t>
            </w:r>
            <w:r w:rsidRPr="00D72BC7">
              <w:rPr>
                <w:rFonts w:ascii="Calibri" w:hAnsi="Calibri"/>
                <w:sz w:val="20"/>
              </w:rPr>
              <w:t>,</w:t>
            </w:r>
            <w:r>
              <w:rPr>
                <w:rFonts w:ascii="Calibri" w:hAnsi="Calibri"/>
                <w:sz w:val="20"/>
              </w:rPr>
              <w:t>962</w:t>
            </w:r>
          </w:p>
        </w:tc>
        <w:tc>
          <w:tcPr>
            <w:tcW w:w="870" w:type="pct"/>
            <w:tcBorders>
              <w:top w:val="nil"/>
              <w:bottom w:val="single" w:sz="4" w:space="0" w:color="auto"/>
            </w:tcBorders>
            <w:shd w:val="clear" w:color="auto" w:fill="auto"/>
          </w:tcPr>
          <w:p w14:paraId="54C6E19C" w14:textId="77777777" w:rsidR="00C75674" w:rsidRPr="00D72BC7" w:rsidRDefault="00C75674" w:rsidP="00C52D24">
            <w:pPr>
              <w:spacing w:after="0" w:line="240" w:lineRule="auto"/>
              <w:ind w:left="227" w:hanging="227"/>
              <w:jc w:val="right"/>
              <w:rPr>
                <w:rFonts w:ascii="Calibri" w:hAnsi="Calibri"/>
                <w:sz w:val="20"/>
              </w:rPr>
            </w:pPr>
            <w:r>
              <w:rPr>
                <w:rFonts w:ascii="Calibri" w:hAnsi="Calibri"/>
                <w:sz w:val="20"/>
              </w:rPr>
              <w:t>-445</w:t>
            </w:r>
          </w:p>
        </w:tc>
      </w:tr>
    </w:tbl>
    <w:p w14:paraId="1E006D8B" w14:textId="77777777" w:rsidR="00C75674" w:rsidRPr="00963C2D" w:rsidRDefault="00C75674" w:rsidP="00C52D24">
      <w:pPr>
        <w:pStyle w:val="Btabletextunbold"/>
      </w:pPr>
    </w:p>
    <w:p w14:paraId="769351F6" w14:textId="08411996" w:rsidR="00785F44" w:rsidRDefault="00785F44">
      <w:r>
        <w:br w:type="page"/>
      </w:r>
    </w:p>
    <w:p w14:paraId="26E48C55" w14:textId="77777777" w:rsidR="00C75674" w:rsidRDefault="00C75674" w:rsidP="00785F44">
      <w:pPr>
        <w:tabs>
          <w:tab w:val="left" w:pos="1053"/>
        </w:tabs>
        <w:sectPr w:rsidR="00C75674" w:rsidSect="00542DA2">
          <w:footerReference w:type="default" r:id="rId27"/>
          <w:pgSz w:w="11906" w:h="16838" w:code="9"/>
          <w:pgMar w:top="1151" w:right="1440" w:bottom="1729" w:left="1440" w:header="720" w:footer="720" w:gutter="0"/>
          <w:cols w:space="708"/>
          <w:docGrid w:linePitch="360"/>
        </w:sectPr>
      </w:pPr>
    </w:p>
    <w:p w14:paraId="21FA324B" w14:textId="77777777" w:rsidR="00B71828" w:rsidRDefault="00B71828" w:rsidP="00785F44">
      <w:pPr>
        <w:tabs>
          <w:tab w:val="left" w:pos="1053"/>
        </w:tabs>
        <w:sectPr w:rsidR="00B71828" w:rsidSect="00542DA2">
          <w:pgSz w:w="11906" w:h="16838" w:code="9"/>
          <w:pgMar w:top="1151" w:right="1440" w:bottom="1729" w:left="1440" w:header="720" w:footer="720" w:gutter="0"/>
          <w:cols w:space="708"/>
          <w:docGrid w:linePitch="360"/>
        </w:sectPr>
      </w:pPr>
    </w:p>
    <w:p w14:paraId="276CA38E" w14:textId="77777777" w:rsidR="00B71828" w:rsidRDefault="00B71828" w:rsidP="00B71828">
      <w:pPr>
        <w:rPr>
          <w:rFonts w:ascii="Calibri" w:hAnsi="Calibri"/>
          <w:b/>
          <w:sz w:val="36"/>
        </w:rPr>
      </w:pPr>
    </w:p>
    <w:p w14:paraId="0DCB52F5" w14:textId="77777777" w:rsidR="00B71828" w:rsidRDefault="00B71828" w:rsidP="00B71828">
      <w:pPr>
        <w:jc w:val="center"/>
        <w:rPr>
          <w:b/>
          <w:bCs/>
          <w:sz w:val="32"/>
          <w:szCs w:val="32"/>
        </w:rPr>
      </w:pPr>
    </w:p>
    <w:p w14:paraId="4C3A48B6" w14:textId="230D9CAD" w:rsidR="00B71828" w:rsidRDefault="00B71828" w:rsidP="00B71828">
      <w:pPr>
        <w:jc w:val="center"/>
        <w:rPr>
          <w:b/>
          <w:bCs/>
          <w:sz w:val="32"/>
          <w:szCs w:val="32"/>
        </w:rPr>
      </w:pPr>
      <w:r w:rsidRPr="00A3203C">
        <w:rPr>
          <w:b/>
          <w:bCs/>
          <w:sz w:val="32"/>
          <w:szCs w:val="32"/>
        </w:rPr>
        <w:t xml:space="preserve">APPENDIX </w:t>
      </w:r>
      <w:r>
        <w:rPr>
          <w:b/>
          <w:bCs/>
          <w:sz w:val="32"/>
          <w:szCs w:val="32"/>
        </w:rPr>
        <w:t>K</w:t>
      </w:r>
    </w:p>
    <w:p w14:paraId="7304416F" w14:textId="77777777" w:rsidR="00B71828" w:rsidRDefault="00B71828" w:rsidP="00B71828">
      <w:pPr>
        <w:jc w:val="center"/>
        <w:rPr>
          <w:b/>
          <w:bCs/>
          <w:sz w:val="32"/>
          <w:szCs w:val="32"/>
        </w:rPr>
      </w:pPr>
    </w:p>
    <w:p w14:paraId="054F3EEE" w14:textId="77777777" w:rsidR="00B71828" w:rsidRPr="00A3203C" w:rsidRDefault="00B71828" w:rsidP="00B71828">
      <w:pPr>
        <w:jc w:val="center"/>
        <w:rPr>
          <w:b/>
          <w:bCs/>
          <w:sz w:val="32"/>
          <w:szCs w:val="32"/>
        </w:rPr>
      </w:pPr>
    </w:p>
    <w:p w14:paraId="4C2DF0D3" w14:textId="0A6C0F74" w:rsidR="00B71828" w:rsidRDefault="00B71828" w:rsidP="00B71828">
      <w:pPr>
        <w:jc w:val="center"/>
        <w:rPr>
          <w:b/>
          <w:bCs/>
          <w:sz w:val="32"/>
          <w:szCs w:val="32"/>
        </w:rPr>
      </w:pPr>
      <w:r>
        <w:rPr>
          <w:b/>
          <w:bCs/>
          <w:sz w:val="32"/>
          <w:szCs w:val="32"/>
        </w:rPr>
        <w:t>WHOLE OF GOVERNMENT STAFFING</w:t>
      </w:r>
    </w:p>
    <w:p w14:paraId="197CA99E" w14:textId="77777777" w:rsidR="00B71828" w:rsidRDefault="00B71828" w:rsidP="00B71828">
      <w:r>
        <w:br w:type="page"/>
      </w:r>
    </w:p>
    <w:p w14:paraId="0831A9F3" w14:textId="6E998252" w:rsidR="00B71828" w:rsidRDefault="00B71828">
      <w:r>
        <w:lastRenderedPageBreak/>
        <w:br w:type="page"/>
      </w:r>
    </w:p>
    <w:p w14:paraId="44CC669B" w14:textId="0A15FEAD" w:rsidR="00B71828" w:rsidRPr="00930757" w:rsidRDefault="00B71828" w:rsidP="00C52D24">
      <w:pPr>
        <w:pStyle w:val="Heading2"/>
        <w:numPr>
          <w:ilvl w:val="0"/>
          <w:numId w:val="0"/>
        </w:numPr>
        <w:ind w:left="2127" w:hanging="2127"/>
      </w:pPr>
      <w:bookmarkStart w:id="18" w:name="_Toc84300606"/>
      <w:r>
        <w:lastRenderedPageBreak/>
        <w:t xml:space="preserve">Appendix K – Whole of </w:t>
      </w:r>
      <w:r w:rsidR="00054A2A">
        <w:t>G</w:t>
      </w:r>
      <w:r>
        <w:t>overnment Staffing</w:t>
      </w:r>
      <w:bookmarkEnd w:id="18"/>
      <w:r>
        <w:t xml:space="preserve"> </w:t>
      </w:r>
    </w:p>
    <w:p w14:paraId="708921D9" w14:textId="77777777" w:rsidR="00B71828" w:rsidRPr="00961750" w:rsidRDefault="00B71828" w:rsidP="00C52D24">
      <w:pPr>
        <w:pStyle w:val="Bbodytext"/>
      </w:pPr>
      <w:r w:rsidRPr="00094813">
        <w:t>Table K.1</w:t>
      </w:r>
      <w:r w:rsidRPr="00961750">
        <w:t xml:space="preserve"> below lists the number of</w:t>
      </w:r>
      <w:r>
        <w:t xml:space="preserve"> f</w:t>
      </w:r>
      <w:r w:rsidRPr="00961750">
        <w:t>ull-</w:t>
      </w:r>
      <w:r>
        <w:t>t</w:t>
      </w:r>
      <w:r w:rsidRPr="00961750">
        <w:t xml:space="preserve">ime </w:t>
      </w:r>
      <w:r>
        <w:t>e</w:t>
      </w:r>
      <w:r w:rsidRPr="00961750">
        <w:t>quivalent</w:t>
      </w:r>
      <w:r>
        <w:t xml:space="preserve"> staff</w:t>
      </w:r>
      <w:r w:rsidRPr="00961750">
        <w:t xml:space="preserve"> (FTEs)</w:t>
      </w:r>
      <w:r>
        <w:t xml:space="preserve"> in the ACT Government.</w:t>
      </w:r>
    </w:p>
    <w:p w14:paraId="57E46975" w14:textId="77777777" w:rsidR="00B71828" w:rsidRPr="00961750" w:rsidRDefault="00B71828" w:rsidP="00C52D24">
      <w:pPr>
        <w:pStyle w:val="Caption"/>
      </w:pPr>
      <w:r w:rsidRPr="00961750">
        <w:t xml:space="preserve">Table </w:t>
      </w:r>
      <w:r w:rsidRPr="00094813">
        <w:t>K.1:</w:t>
      </w:r>
      <w:r w:rsidRPr="00961750">
        <w:t xml:space="preserve"> Whole of Government </w:t>
      </w:r>
      <w:r>
        <w:t>staffing m</w:t>
      </w:r>
      <w:r w:rsidRPr="00961750">
        <w:t xml:space="preserve">ovements – </w:t>
      </w:r>
      <w:r>
        <w:t>2021-22</w:t>
      </w:r>
      <w:r w:rsidRPr="00961750">
        <w:t xml:space="preserve"> Budget</w:t>
      </w:r>
    </w:p>
    <w:tbl>
      <w:tblPr>
        <w:tblW w:w="5020" w:type="pct"/>
        <w:tblLayout w:type="fixed"/>
        <w:tblLook w:val="04A0" w:firstRow="1" w:lastRow="0" w:firstColumn="1" w:lastColumn="0" w:noHBand="0" w:noVBand="1"/>
      </w:tblPr>
      <w:tblGrid>
        <w:gridCol w:w="4761"/>
        <w:gridCol w:w="1078"/>
        <w:gridCol w:w="1077"/>
        <w:gridCol w:w="1077"/>
        <w:gridCol w:w="1069"/>
      </w:tblGrid>
      <w:tr w:rsidR="00B71828" w:rsidRPr="00264C7E" w14:paraId="1930E0EE" w14:textId="77777777" w:rsidTr="00C52D24">
        <w:trPr>
          <w:trHeight w:val="240"/>
        </w:trPr>
        <w:tc>
          <w:tcPr>
            <w:tcW w:w="2627" w:type="pct"/>
            <w:tcBorders>
              <w:top w:val="single" w:sz="8" w:space="0" w:color="auto"/>
              <w:left w:val="nil"/>
              <w:bottom w:val="single" w:sz="8" w:space="0" w:color="auto"/>
              <w:right w:val="nil"/>
            </w:tcBorders>
            <w:shd w:val="clear" w:color="auto" w:fill="472D8C"/>
            <w:hideMark/>
          </w:tcPr>
          <w:p w14:paraId="70AE8F6F" w14:textId="77777777" w:rsidR="00B71828" w:rsidRPr="000D21D8" w:rsidRDefault="00B71828" w:rsidP="00C52D24">
            <w:pPr>
              <w:pStyle w:val="EmptyCell0"/>
              <w:rPr>
                <w:color w:val="FFFFFF" w:themeColor="background1"/>
                <w:lang w:eastAsia="en-AU"/>
              </w:rPr>
            </w:pPr>
            <w:r w:rsidRPr="000D21D8">
              <w:rPr>
                <w:color w:val="FFFFFF" w:themeColor="background1"/>
                <w:lang w:eastAsia="en-AU"/>
              </w:rPr>
              <w:t> </w:t>
            </w:r>
          </w:p>
        </w:tc>
        <w:tc>
          <w:tcPr>
            <w:tcW w:w="595" w:type="pct"/>
            <w:tcBorders>
              <w:top w:val="single" w:sz="8" w:space="0" w:color="auto"/>
              <w:left w:val="nil"/>
              <w:bottom w:val="single" w:sz="8" w:space="0" w:color="auto"/>
              <w:right w:val="nil"/>
            </w:tcBorders>
            <w:shd w:val="clear" w:color="auto" w:fill="472D8C"/>
            <w:hideMark/>
          </w:tcPr>
          <w:p w14:paraId="73C17EAC"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2019-20</w:t>
            </w:r>
          </w:p>
          <w:p w14:paraId="6125754F" w14:textId="77777777" w:rsidR="00B71828" w:rsidRPr="000D21D8" w:rsidRDefault="00B71828" w:rsidP="00C52D24">
            <w:pPr>
              <w:spacing w:after="0"/>
              <w:jc w:val="right"/>
              <w:rPr>
                <w:b/>
                <w:bCs/>
                <w:color w:val="FFFFFF" w:themeColor="background1"/>
                <w:sz w:val="20"/>
                <w:lang w:eastAsia="en-AU"/>
              </w:rPr>
            </w:pPr>
            <w:r w:rsidRPr="000D21D8">
              <w:rPr>
                <w:b/>
                <w:bCs/>
                <w:color w:val="FFFFFF" w:themeColor="background1"/>
                <w:sz w:val="20"/>
                <w:lang w:eastAsia="en-AU"/>
              </w:rPr>
              <w:t>Actual Outcome</w:t>
            </w:r>
          </w:p>
        </w:tc>
        <w:tc>
          <w:tcPr>
            <w:tcW w:w="594" w:type="pct"/>
            <w:tcBorders>
              <w:top w:val="single" w:sz="8" w:space="0" w:color="auto"/>
              <w:left w:val="nil"/>
              <w:bottom w:val="single" w:sz="8" w:space="0" w:color="auto"/>
              <w:right w:val="nil"/>
            </w:tcBorders>
            <w:shd w:val="clear" w:color="auto" w:fill="472D8C"/>
            <w:hideMark/>
          </w:tcPr>
          <w:p w14:paraId="75123608"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2020-21</w:t>
            </w:r>
          </w:p>
          <w:p w14:paraId="56AFC50B" w14:textId="77777777" w:rsidR="00B71828" w:rsidRPr="000D21D8" w:rsidRDefault="00B71828" w:rsidP="00C52D24">
            <w:pPr>
              <w:spacing w:after="0"/>
              <w:jc w:val="right"/>
              <w:rPr>
                <w:b/>
                <w:bCs/>
                <w:color w:val="FFFFFF" w:themeColor="background1"/>
                <w:sz w:val="20"/>
                <w:lang w:eastAsia="en-AU"/>
              </w:rPr>
            </w:pPr>
            <w:r w:rsidRPr="000D21D8">
              <w:rPr>
                <w:b/>
                <w:bCs/>
                <w:color w:val="FFFFFF" w:themeColor="background1"/>
                <w:sz w:val="20"/>
                <w:lang w:eastAsia="en-AU"/>
              </w:rPr>
              <w:t>Budget</w:t>
            </w:r>
          </w:p>
        </w:tc>
        <w:tc>
          <w:tcPr>
            <w:tcW w:w="594" w:type="pct"/>
            <w:tcBorders>
              <w:top w:val="single" w:sz="8" w:space="0" w:color="auto"/>
              <w:left w:val="nil"/>
              <w:bottom w:val="single" w:sz="8" w:space="0" w:color="auto"/>
              <w:right w:val="nil"/>
            </w:tcBorders>
            <w:shd w:val="clear" w:color="auto" w:fill="472D8C"/>
            <w:hideMark/>
          </w:tcPr>
          <w:p w14:paraId="302725D1"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2020-21</w:t>
            </w:r>
          </w:p>
          <w:p w14:paraId="68E28F33"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Interim</w:t>
            </w:r>
          </w:p>
          <w:p w14:paraId="569C9448"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O</w:t>
            </w:r>
            <w:r w:rsidRPr="000D21D8">
              <w:rPr>
                <w:b/>
                <w:bCs/>
                <w:color w:val="FFFFFF" w:themeColor="background1"/>
                <w:sz w:val="20"/>
                <w:lang w:eastAsia="en-AU"/>
              </w:rPr>
              <w:t>utcome</w:t>
            </w:r>
          </w:p>
        </w:tc>
        <w:tc>
          <w:tcPr>
            <w:tcW w:w="590" w:type="pct"/>
            <w:tcBorders>
              <w:top w:val="single" w:sz="8" w:space="0" w:color="auto"/>
              <w:left w:val="nil"/>
              <w:bottom w:val="single" w:sz="8" w:space="0" w:color="auto"/>
              <w:right w:val="nil"/>
            </w:tcBorders>
            <w:shd w:val="clear" w:color="auto" w:fill="472D8C"/>
            <w:hideMark/>
          </w:tcPr>
          <w:p w14:paraId="4FF1788E" w14:textId="77777777" w:rsidR="00B71828" w:rsidRPr="000D21D8" w:rsidRDefault="00B71828" w:rsidP="00C52D24">
            <w:pPr>
              <w:spacing w:after="0"/>
              <w:jc w:val="right"/>
              <w:rPr>
                <w:b/>
                <w:bCs/>
                <w:color w:val="FFFFFF" w:themeColor="background1"/>
                <w:sz w:val="20"/>
                <w:lang w:eastAsia="en-AU"/>
              </w:rPr>
            </w:pPr>
            <w:r>
              <w:rPr>
                <w:b/>
                <w:bCs/>
                <w:color w:val="FFFFFF" w:themeColor="background1"/>
                <w:sz w:val="20"/>
                <w:lang w:eastAsia="en-AU"/>
              </w:rPr>
              <w:t>2021-22</w:t>
            </w:r>
          </w:p>
          <w:p w14:paraId="7DAAB6B9" w14:textId="77777777" w:rsidR="00B71828" w:rsidRPr="000D21D8" w:rsidRDefault="00B71828" w:rsidP="00C52D24">
            <w:pPr>
              <w:spacing w:after="0"/>
              <w:jc w:val="right"/>
              <w:rPr>
                <w:b/>
                <w:bCs/>
                <w:color w:val="FFFFFF" w:themeColor="background1"/>
                <w:sz w:val="20"/>
                <w:highlight w:val="yellow"/>
                <w:lang w:eastAsia="en-AU"/>
              </w:rPr>
            </w:pPr>
            <w:r w:rsidRPr="000D21D8">
              <w:rPr>
                <w:b/>
                <w:bCs/>
                <w:color w:val="FFFFFF" w:themeColor="background1"/>
                <w:sz w:val="20"/>
                <w:lang w:eastAsia="en-AU"/>
              </w:rPr>
              <w:t>Budget</w:t>
            </w:r>
          </w:p>
        </w:tc>
      </w:tr>
      <w:tr w:rsidR="00B71828" w:rsidRPr="00264C7E" w14:paraId="44B6173C" w14:textId="77777777" w:rsidTr="00C52D24">
        <w:trPr>
          <w:trHeight w:val="240"/>
        </w:trPr>
        <w:tc>
          <w:tcPr>
            <w:tcW w:w="2627" w:type="pct"/>
            <w:tcBorders>
              <w:top w:val="single" w:sz="8" w:space="0" w:color="auto"/>
              <w:left w:val="nil"/>
              <w:right w:val="nil"/>
            </w:tcBorders>
            <w:shd w:val="clear" w:color="auto" w:fill="auto"/>
            <w:vAlign w:val="center"/>
            <w:hideMark/>
          </w:tcPr>
          <w:p w14:paraId="0331B88C" w14:textId="77777777" w:rsidR="00B71828" w:rsidRPr="00264C7E" w:rsidRDefault="00B71828" w:rsidP="00C52D24">
            <w:pPr>
              <w:spacing w:after="0"/>
              <w:rPr>
                <w:b/>
                <w:bCs/>
                <w:color w:val="000000"/>
                <w:sz w:val="20"/>
                <w:lang w:eastAsia="en-AU"/>
              </w:rPr>
            </w:pPr>
            <w:r w:rsidRPr="00264C7E">
              <w:rPr>
                <w:b/>
                <w:bCs/>
                <w:color w:val="000000"/>
                <w:sz w:val="20"/>
                <w:lang w:eastAsia="en-AU"/>
              </w:rPr>
              <w:t>Directorate/Agency</w:t>
            </w:r>
          </w:p>
        </w:tc>
        <w:tc>
          <w:tcPr>
            <w:tcW w:w="595" w:type="pct"/>
            <w:tcBorders>
              <w:top w:val="single" w:sz="8" w:space="0" w:color="auto"/>
              <w:left w:val="nil"/>
              <w:right w:val="nil"/>
            </w:tcBorders>
            <w:shd w:val="clear" w:color="auto" w:fill="auto"/>
            <w:vAlign w:val="center"/>
            <w:hideMark/>
          </w:tcPr>
          <w:p w14:paraId="25817B2C" w14:textId="77777777" w:rsidR="00B71828" w:rsidRPr="00264C7E" w:rsidRDefault="00B71828" w:rsidP="00C52D24">
            <w:pPr>
              <w:spacing w:after="0"/>
              <w:jc w:val="right"/>
              <w:rPr>
                <w:color w:val="FFFFFF"/>
                <w:sz w:val="12"/>
                <w:szCs w:val="12"/>
                <w:lang w:eastAsia="en-AU"/>
              </w:rPr>
            </w:pPr>
            <w:r w:rsidRPr="00264C7E">
              <w:rPr>
                <w:color w:val="FFFFFF"/>
                <w:sz w:val="12"/>
                <w:szCs w:val="12"/>
                <w:lang w:eastAsia="en-AU"/>
              </w:rPr>
              <w:t xml:space="preserve"> </w:t>
            </w:r>
          </w:p>
        </w:tc>
        <w:tc>
          <w:tcPr>
            <w:tcW w:w="594" w:type="pct"/>
            <w:tcBorders>
              <w:top w:val="single" w:sz="8" w:space="0" w:color="auto"/>
              <w:left w:val="nil"/>
              <w:right w:val="nil"/>
            </w:tcBorders>
            <w:shd w:val="clear" w:color="auto" w:fill="auto"/>
            <w:vAlign w:val="center"/>
            <w:hideMark/>
          </w:tcPr>
          <w:p w14:paraId="735F162F" w14:textId="77777777" w:rsidR="00B71828" w:rsidRPr="00264C7E" w:rsidRDefault="00B71828" w:rsidP="00C52D24">
            <w:pPr>
              <w:spacing w:after="0"/>
              <w:jc w:val="right"/>
              <w:rPr>
                <w:color w:val="FFFFFF"/>
                <w:sz w:val="12"/>
                <w:szCs w:val="12"/>
                <w:lang w:eastAsia="en-AU"/>
              </w:rPr>
            </w:pPr>
            <w:r w:rsidRPr="00264C7E">
              <w:rPr>
                <w:color w:val="FFFFFF"/>
                <w:sz w:val="12"/>
                <w:szCs w:val="12"/>
                <w:lang w:eastAsia="en-AU"/>
              </w:rPr>
              <w:t xml:space="preserve"> </w:t>
            </w:r>
          </w:p>
        </w:tc>
        <w:tc>
          <w:tcPr>
            <w:tcW w:w="594" w:type="pct"/>
            <w:tcBorders>
              <w:top w:val="single" w:sz="8" w:space="0" w:color="auto"/>
              <w:left w:val="nil"/>
              <w:right w:val="nil"/>
            </w:tcBorders>
            <w:shd w:val="clear" w:color="auto" w:fill="auto"/>
            <w:vAlign w:val="center"/>
            <w:hideMark/>
          </w:tcPr>
          <w:p w14:paraId="21E2F9B2" w14:textId="77777777" w:rsidR="00B71828" w:rsidRPr="00264C7E" w:rsidRDefault="00B71828" w:rsidP="00C52D24">
            <w:pPr>
              <w:spacing w:after="0"/>
              <w:jc w:val="right"/>
              <w:rPr>
                <w:color w:val="FFFFFF"/>
                <w:sz w:val="12"/>
                <w:szCs w:val="12"/>
                <w:lang w:eastAsia="en-AU"/>
              </w:rPr>
            </w:pPr>
            <w:r w:rsidRPr="00264C7E">
              <w:rPr>
                <w:color w:val="FFFFFF"/>
                <w:sz w:val="12"/>
                <w:szCs w:val="12"/>
                <w:lang w:eastAsia="en-AU"/>
              </w:rPr>
              <w:t xml:space="preserve"> </w:t>
            </w:r>
          </w:p>
        </w:tc>
        <w:tc>
          <w:tcPr>
            <w:tcW w:w="590" w:type="pct"/>
            <w:tcBorders>
              <w:top w:val="single" w:sz="8" w:space="0" w:color="auto"/>
              <w:left w:val="nil"/>
              <w:right w:val="nil"/>
            </w:tcBorders>
            <w:shd w:val="clear" w:color="auto" w:fill="auto"/>
            <w:vAlign w:val="center"/>
            <w:hideMark/>
          </w:tcPr>
          <w:p w14:paraId="1B91D571" w14:textId="77777777" w:rsidR="00B71828" w:rsidRPr="00264C7E" w:rsidRDefault="00B71828" w:rsidP="00C52D24">
            <w:pPr>
              <w:spacing w:after="0"/>
              <w:jc w:val="right"/>
              <w:rPr>
                <w:color w:val="FFFFFF"/>
                <w:sz w:val="12"/>
                <w:szCs w:val="12"/>
                <w:lang w:eastAsia="en-AU"/>
              </w:rPr>
            </w:pPr>
            <w:r w:rsidRPr="00264C7E">
              <w:rPr>
                <w:color w:val="FFFFFF"/>
                <w:sz w:val="12"/>
                <w:szCs w:val="12"/>
                <w:lang w:eastAsia="en-AU"/>
              </w:rPr>
              <w:t xml:space="preserve"> </w:t>
            </w:r>
          </w:p>
        </w:tc>
      </w:tr>
      <w:tr w:rsidR="00B71828" w:rsidRPr="00285370" w14:paraId="1FEB8771" w14:textId="77777777" w:rsidTr="00C52D24">
        <w:trPr>
          <w:trHeight w:val="20"/>
        </w:trPr>
        <w:tc>
          <w:tcPr>
            <w:tcW w:w="2627" w:type="pct"/>
            <w:shd w:val="clear" w:color="auto" w:fill="auto"/>
          </w:tcPr>
          <w:p w14:paraId="18A621B4" w14:textId="77777777" w:rsidR="00B71828" w:rsidRPr="00425967" w:rsidRDefault="00B71828" w:rsidP="00C52D24">
            <w:pPr>
              <w:pStyle w:val="Btabletextunbold"/>
              <w:rPr>
                <w:lang w:eastAsia="en-AU"/>
              </w:rPr>
            </w:pPr>
            <w:r w:rsidRPr="00425967">
              <w:rPr>
                <w:lang w:eastAsia="en-AU"/>
              </w:rPr>
              <w:t>ACT Electoral Commission</w:t>
            </w:r>
          </w:p>
        </w:tc>
        <w:tc>
          <w:tcPr>
            <w:tcW w:w="595" w:type="pct"/>
            <w:tcBorders>
              <w:top w:val="nil"/>
              <w:left w:val="nil"/>
              <w:bottom w:val="nil"/>
              <w:right w:val="nil"/>
            </w:tcBorders>
            <w:shd w:val="clear" w:color="auto" w:fill="auto"/>
          </w:tcPr>
          <w:p w14:paraId="3867C61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18</w:t>
            </w:r>
          </w:p>
        </w:tc>
        <w:tc>
          <w:tcPr>
            <w:tcW w:w="594" w:type="pct"/>
            <w:tcBorders>
              <w:top w:val="nil"/>
              <w:left w:val="nil"/>
              <w:bottom w:val="nil"/>
              <w:right w:val="nil"/>
            </w:tcBorders>
            <w:shd w:val="clear" w:color="auto" w:fill="auto"/>
          </w:tcPr>
          <w:p w14:paraId="00282A92"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w:t>
            </w:r>
          </w:p>
        </w:tc>
        <w:tc>
          <w:tcPr>
            <w:tcW w:w="594" w:type="pct"/>
            <w:tcBorders>
              <w:top w:val="nil"/>
              <w:left w:val="nil"/>
              <w:bottom w:val="nil"/>
              <w:right w:val="nil"/>
            </w:tcBorders>
            <w:shd w:val="clear" w:color="auto" w:fill="auto"/>
          </w:tcPr>
          <w:p w14:paraId="1FF5C2F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15</w:t>
            </w:r>
          </w:p>
        </w:tc>
        <w:tc>
          <w:tcPr>
            <w:tcW w:w="590" w:type="pct"/>
            <w:tcBorders>
              <w:top w:val="nil"/>
              <w:left w:val="nil"/>
              <w:bottom w:val="nil"/>
              <w:right w:val="nil"/>
            </w:tcBorders>
            <w:shd w:val="clear" w:color="auto" w:fill="auto"/>
          </w:tcPr>
          <w:p w14:paraId="32451962"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11</w:t>
            </w:r>
          </w:p>
        </w:tc>
      </w:tr>
      <w:tr w:rsidR="00B71828" w:rsidRPr="00285370" w14:paraId="7D63E1DC" w14:textId="77777777" w:rsidTr="00C52D24">
        <w:trPr>
          <w:trHeight w:val="20"/>
        </w:trPr>
        <w:tc>
          <w:tcPr>
            <w:tcW w:w="2627" w:type="pct"/>
            <w:shd w:val="clear" w:color="auto" w:fill="auto"/>
          </w:tcPr>
          <w:p w14:paraId="29B7AE6D" w14:textId="77777777" w:rsidR="00B71828" w:rsidRPr="00425967" w:rsidRDefault="00B71828" w:rsidP="00C52D24">
            <w:pPr>
              <w:pStyle w:val="Btabletextunbold"/>
              <w:rPr>
                <w:lang w:eastAsia="en-AU"/>
              </w:rPr>
            </w:pPr>
            <w:r w:rsidRPr="00425967">
              <w:rPr>
                <w:lang w:eastAsia="en-AU"/>
              </w:rPr>
              <w:t>ACT Executive</w:t>
            </w:r>
          </w:p>
        </w:tc>
        <w:tc>
          <w:tcPr>
            <w:tcW w:w="595" w:type="pct"/>
            <w:tcBorders>
              <w:top w:val="nil"/>
              <w:left w:val="nil"/>
              <w:bottom w:val="nil"/>
              <w:right w:val="nil"/>
            </w:tcBorders>
            <w:shd w:val="clear" w:color="auto" w:fill="auto"/>
          </w:tcPr>
          <w:p w14:paraId="06AB642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65</w:t>
            </w:r>
          </w:p>
        </w:tc>
        <w:tc>
          <w:tcPr>
            <w:tcW w:w="594" w:type="pct"/>
            <w:tcBorders>
              <w:top w:val="nil"/>
              <w:left w:val="nil"/>
              <w:bottom w:val="nil"/>
              <w:right w:val="nil"/>
            </w:tcBorders>
            <w:shd w:val="clear" w:color="auto" w:fill="auto"/>
          </w:tcPr>
          <w:p w14:paraId="782E6D8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w:t>
            </w:r>
          </w:p>
        </w:tc>
        <w:tc>
          <w:tcPr>
            <w:tcW w:w="594" w:type="pct"/>
            <w:tcBorders>
              <w:top w:val="nil"/>
              <w:left w:val="nil"/>
              <w:bottom w:val="nil"/>
              <w:right w:val="nil"/>
            </w:tcBorders>
            <w:shd w:val="clear" w:color="auto" w:fill="auto"/>
          </w:tcPr>
          <w:p w14:paraId="282DD9A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w:t>
            </w:r>
          </w:p>
        </w:tc>
        <w:tc>
          <w:tcPr>
            <w:tcW w:w="590" w:type="pct"/>
            <w:tcBorders>
              <w:top w:val="nil"/>
              <w:left w:val="nil"/>
              <w:bottom w:val="nil"/>
              <w:right w:val="nil"/>
            </w:tcBorders>
            <w:shd w:val="clear" w:color="auto" w:fill="auto"/>
          </w:tcPr>
          <w:p w14:paraId="0204635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72</w:t>
            </w:r>
          </w:p>
        </w:tc>
      </w:tr>
      <w:tr w:rsidR="00B71828" w:rsidRPr="00285370" w14:paraId="7084A2E5" w14:textId="77777777" w:rsidTr="00C52D24">
        <w:trPr>
          <w:trHeight w:val="20"/>
        </w:trPr>
        <w:tc>
          <w:tcPr>
            <w:tcW w:w="2627" w:type="pct"/>
            <w:shd w:val="clear" w:color="auto" w:fill="auto"/>
          </w:tcPr>
          <w:p w14:paraId="7BDCAC48" w14:textId="77777777" w:rsidR="00B71828" w:rsidRPr="00425967" w:rsidRDefault="00B71828" w:rsidP="00C52D24">
            <w:pPr>
              <w:pStyle w:val="Btabletextunbold"/>
              <w:rPr>
                <w:lang w:eastAsia="en-AU"/>
              </w:rPr>
            </w:pPr>
            <w:r w:rsidRPr="00425967">
              <w:rPr>
                <w:lang w:eastAsia="en-AU"/>
              </w:rPr>
              <w:t>ACT Health Directorate</w:t>
            </w:r>
          </w:p>
        </w:tc>
        <w:tc>
          <w:tcPr>
            <w:tcW w:w="595" w:type="pct"/>
            <w:tcBorders>
              <w:top w:val="nil"/>
              <w:left w:val="nil"/>
              <w:bottom w:val="nil"/>
              <w:right w:val="nil"/>
            </w:tcBorders>
            <w:shd w:val="clear" w:color="auto" w:fill="auto"/>
          </w:tcPr>
          <w:p w14:paraId="5BCA448F"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613</w:t>
            </w:r>
          </w:p>
        </w:tc>
        <w:tc>
          <w:tcPr>
            <w:tcW w:w="594" w:type="pct"/>
            <w:tcBorders>
              <w:top w:val="nil"/>
              <w:left w:val="nil"/>
              <w:bottom w:val="nil"/>
              <w:right w:val="nil"/>
            </w:tcBorders>
            <w:shd w:val="clear" w:color="auto" w:fill="auto"/>
          </w:tcPr>
          <w:p w14:paraId="79B50C45"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683</w:t>
            </w:r>
          </w:p>
        </w:tc>
        <w:tc>
          <w:tcPr>
            <w:tcW w:w="594" w:type="pct"/>
            <w:tcBorders>
              <w:top w:val="nil"/>
              <w:left w:val="nil"/>
              <w:bottom w:val="nil"/>
              <w:right w:val="nil"/>
            </w:tcBorders>
            <w:shd w:val="clear" w:color="auto" w:fill="auto"/>
          </w:tcPr>
          <w:p w14:paraId="31A4A99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807</w:t>
            </w:r>
          </w:p>
        </w:tc>
        <w:tc>
          <w:tcPr>
            <w:tcW w:w="590" w:type="pct"/>
            <w:tcBorders>
              <w:top w:val="nil"/>
              <w:left w:val="nil"/>
              <w:bottom w:val="nil"/>
              <w:right w:val="nil"/>
            </w:tcBorders>
            <w:shd w:val="clear" w:color="auto" w:fill="auto"/>
          </w:tcPr>
          <w:p w14:paraId="150B609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829</w:t>
            </w:r>
          </w:p>
        </w:tc>
      </w:tr>
      <w:tr w:rsidR="00B71828" w:rsidRPr="00285370" w14:paraId="21CF2044" w14:textId="77777777" w:rsidTr="00C52D24">
        <w:trPr>
          <w:trHeight w:val="147"/>
        </w:trPr>
        <w:tc>
          <w:tcPr>
            <w:tcW w:w="2627" w:type="pct"/>
            <w:shd w:val="clear" w:color="auto" w:fill="auto"/>
          </w:tcPr>
          <w:p w14:paraId="2B6A0D93" w14:textId="77777777" w:rsidR="00B71828" w:rsidRPr="00425967" w:rsidRDefault="00B71828" w:rsidP="00C52D24">
            <w:pPr>
              <w:pStyle w:val="Btabletextunbold"/>
              <w:rPr>
                <w:lang w:eastAsia="en-AU"/>
              </w:rPr>
            </w:pPr>
            <w:r w:rsidRPr="00425967">
              <w:rPr>
                <w:lang w:eastAsia="en-AU"/>
              </w:rPr>
              <w:t>ACT Insurance Authority</w:t>
            </w:r>
          </w:p>
        </w:tc>
        <w:tc>
          <w:tcPr>
            <w:tcW w:w="595" w:type="pct"/>
            <w:tcBorders>
              <w:top w:val="nil"/>
              <w:left w:val="nil"/>
              <w:bottom w:val="nil"/>
              <w:right w:val="nil"/>
            </w:tcBorders>
            <w:shd w:val="clear" w:color="auto" w:fill="auto"/>
          </w:tcPr>
          <w:p w14:paraId="1E9786E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19</w:t>
            </w:r>
          </w:p>
        </w:tc>
        <w:tc>
          <w:tcPr>
            <w:tcW w:w="594" w:type="pct"/>
            <w:tcBorders>
              <w:top w:val="nil"/>
              <w:left w:val="nil"/>
              <w:bottom w:val="nil"/>
              <w:right w:val="nil"/>
            </w:tcBorders>
            <w:shd w:val="clear" w:color="auto" w:fill="auto"/>
          </w:tcPr>
          <w:p w14:paraId="361F6F9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21</w:t>
            </w:r>
          </w:p>
        </w:tc>
        <w:tc>
          <w:tcPr>
            <w:tcW w:w="594" w:type="pct"/>
            <w:tcBorders>
              <w:top w:val="nil"/>
              <w:left w:val="nil"/>
              <w:bottom w:val="nil"/>
              <w:right w:val="nil"/>
            </w:tcBorders>
            <w:shd w:val="clear" w:color="auto" w:fill="auto"/>
          </w:tcPr>
          <w:p w14:paraId="6F07B5C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21</w:t>
            </w:r>
            <w:r>
              <w:rPr>
                <w:color w:val="000000"/>
                <w:sz w:val="20"/>
                <w:lang w:eastAsia="en-AU"/>
              </w:rPr>
              <w:t>^</w:t>
            </w:r>
          </w:p>
        </w:tc>
        <w:tc>
          <w:tcPr>
            <w:tcW w:w="590" w:type="pct"/>
            <w:tcBorders>
              <w:top w:val="nil"/>
              <w:left w:val="nil"/>
              <w:bottom w:val="nil"/>
              <w:right w:val="nil"/>
            </w:tcBorders>
            <w:shd w:val="clear" w:color="auto" w:fill="auto"/>
          </w:tcPr>
          <w:p w14:paraId="15D4DA8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31</w:t>
            </w:r>
          </w:p>
        </w:tc>
      </w:tr>
      <w:tr w:rsidR="00B71828" w:rsidRPr="00285370" w14:paraId="2B7434FE" w14:textId="77777777" w:rsidTr="00C52D24">
        <w:trPr>
          <w:trHeight w:val="20"/>
        </w:trPr>
        <w:tc>
          <w:tcPr>
            <w:tcW w:w="2627" w:type="pct"/>
            <w:shd w:val="clear" w:color="auto" w:fill="auto"/>
          </w:tcPr>
          <w:p w14:paraId="22159A49" w14:textId="77777777" w:rsidR="00B71828" w:rsidRPr="00425967" w:rsidRDefault="00B71828" w:rsidP="00C52D24">
            <w:pPr>
              <w:pStyle w:val="Btabletextunbold"/>
              <w:rPr>
                <w:lang w:eastAsia="en-AU"/>
              </w:rPr>
            </w:pPr>
            <w:r w:rsidRPr="00425967">
              <w:rPr>
                <w:lang w:eastAsia="en-AU"/>
              </w:rPr>
              <w:t>ACT Integrity Commission</w:t>
            </w:r>
          </w:p>
        </w:tc>
        <w:tc>
          <w:tcPr>
            <w:tcW w:w="595" w:type="pct"/>
            <w:tcBorders>
              <w:top w:val="nil"/>
              <w:left w:val="nil"/>
              <w:bottom w:val="nil"/>
              <w:right w:val="nil"/>
            </w:tcBorders>
            <w:shd w:val="clear" w:color="auto" w:fill="auto"/>
          </w:tcPr>
          <w:p w14:paraId="31CCA43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8</w:t>
            </w:r>
          </w:p>
        </w:tc>
        <w:tc>
          <w:tcPr>
            <w:tcW w:w="594" w:type="pct"/>
            <w:tcBorders>
              <w:top w:val="nil"/>
              <w:left w:val="nil"/>
              <w:bottom w:val="nil"/>
              <w:right w:val="nil"/>
            </w:tcBorders>
            <w:shd w:val="clear" w:color="auto" w:fill="auto"/>
          </w:tcPr>
          <w:p w14:paraId="12C550B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13</w:t>
            </w:r>
          </w:p>
        </w:tc>
        <w:tc>
          <w:tcPr>
            <w:tcW w:w="594" w:type="pct"/>
            <w:tcBorders>
              <w:top w:val="nil"/>
              <w:left w:val="nil"/>
              <w:bottom w:val="nil"/>
              <w:right w:val="nil"/>
            </w:tcBorders>
            <w:shd w:val="clear" w:color="auto" w:fill="auto"/>
          </w:tcPr>
          <w:p w14:paraId="36B72C51"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17</w:t>
            </w:r>
          </w:p>
        </w:tc>
        <w:tc>
          <w:tcPr>
            <w:tcW w:w="590" w:type="pct"/>
            <w:tcBorders>
              <w:top w:val="nil"/>
              <w:left w:val="nil"/>
              <w:bottom w:val="nil"/>
              <w:right w:val="nil"/>
            </w:tcBorders>
            <w:shd w:val="clear" w:color="auto" w:fill="auto"/>
          </w:tcPr>
          <w:p w14:paraId="2C2BE81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w:t>
            </w:r>
          </w:p>
        </w:tc>
      </w:tr>
      <w:tr w:rsidR="00B71828" w:rsidRPr="00285370" w14:paraId="6C71EC97" w14:textId="77777777" w:rsidTr="00C52D24">
        <w:trPr>
          <w:trHeight w:val="20"/>
        </w:trPr>
        <w:tc>
          <w:tcPr>
            <w:tcW w:w="2627" w:type="pct"/>
            <w:shd w:val="clear" w:color="auto" w:fill="auto"/>
          </w:tcPr>
          <w:p w14:paraId="2421BE4E" w14:textId="77777777" w:rsidR="00B71828" w:rsidRPr="00425967" w:rsidRDefault="00B71828" w:rsidP="00C52D24">
            <w:pPr>
              <w:pStyle w:val="Btabletextunbold"/>
              <w:rPr>
                <w:lang w:eastAsia="en-AU"/>
              </w:rPr>
            </w:pPr>
            <w:r w:rsidRPr="00425967">
              <w:rPr>
                <w:lang w:eastAsia="en-AU"/>
              </w:rPr>
              <w:t>Auditor-General</w:t>
            </w:r>
          </w:p>
        </w:tc>
        <w:tc>
          <w:tcPr>
            <w:tcW w:w="595" w:type="pct"/>
            <w:tcBorders>
              <w:top w:val="nil"/>
              <w:left w:val="nil"/>
              <w:bottom w:val="nil"/>
              <w:right w:val="nil"/>
            </w:tcBorders>
            <w:shd w:val="clear" w:color="auto" w:fill="auto"/>
          </w:tcPr>
          <w:p w14:paraId="3D8E7B7F"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44</w:t>
            </w:r>
          </w:p>
        </w:tc>
        <w:tc>
          <w:tcPr>
            <w:tcW w:w="594" w:type="pct"/>
            <w:tcBorders>
              <w:top w:val="nil"/>
              <w:left w:val="nil"/>
              <w:bottom w:val="nil"/>
              <w:right w:val="nil"/>
            </w:tcBorders>
            <w:shd w:val="clear" w:color="auto" w:fill="auto"/>
          </w:tcPr>
          <w:p w14:paraId="1E2483B7"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44</w:t>
            </w:r>
          </w:p>
        </w:tc>
        <w:tc>
          <w:tcPr>
            <w:tcW w:w="594" w:type="pct"/>
            <w:tcBorders>
              <w:top w:val="nil"/>
              <w:left w:val="nil"/>
              <w:bottom w:val="nil"/>
              <w:right w:val="nil"/>
            </w:tcBorders>
            <w:shd w:val="clear" w:color="auto" w:fill="auto"/>
          </w:tcPr>
          <w:p w14:paraId="79DDCF61"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45</w:t>
            </w:r>
          </w:p>
        </w:tc>
        <w:tc>
          <w:tcPr>
            <w:tcW w:w="590" w:type="pct"/>
            <w:tcBorders>
              <w:top w:val="nil"/>
              <w:left w:val="nil"/>
              <w:bottom w:val="nil"/>
              <w:right w:val="nil"/>
            </w:tcBorders>
            <w:shd w:val="clear" w:color="auto" w:fill="auto"/>
          </w:tcPr>
          <w:p w14:paraId="4D69BC8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45</w:t>
            </w:r>
          </w:p>
        </w:tc>
      </w:tr>
      <w:tr w:rsidR="00B71828" w:rsidRPr="00285370" w14:paraId="7E94DD55" w14:textId="77777777" w:rsidTr="00C52D24">
        <w:trPr>
          <w:trHeight w:val="20"/>
        </w:trPr>
        <w:tc>
          <w:tcPr>
            <w:tcW w:w="2627" w:type="pct"/>
            <w:shd w:val="clear" w:color="auto" w:fill="auto"/>
          </w:tcPr>
          <w:p w14:paraId="698E587C" w14:textId="77777777" w:rsidR="00B71828" w:rsidRPr="00425967" w:rsidRDefault="00B71828" w:rsidP="00C52D24">
            <w:pPr>
              <w:pStyle w:val="Btabletextunbold"/>
              <w:rPr>
                <w:lang w:eastAsia="en-AU"/>
              </w:rPr>
            </w:pPr>
            <w:r w:rsidRPr="00425967">
              <w:rPr>
                <w:lang w:eastAsia="en-AU"/>
              </w:rPr>
              <w:t>Canberra Health Services</w:t>
            </w:r>
          </w:p>
        </w:tc>
        <w:tc>
          <w:tcPr>
            <w:tcW w:w="595" w:type="pct"/>
            <w:tcBorders>
              <w:top w:val="nil"/>
              <w:left w:val="nil"/>
              <w:bottom w:val="nil"/>
              <w:right w:val="nil"/>
            </w:tcBorders>
            <w:shd w:val="clear" w:color="auto" w:fill="auto"/>
          </w:tcPr>
          <w:p w14:paraId="14E5822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6,667</w:t>
            </w:r>
          </w:p>
        </w:tc>
        <w:tc>
          <w:tcPr>
            <w:tcW w:w="594" w:type="pct"/>
            <w:tcBorders>
              <w:top w:val="nil"/>
              <w:left w:val="nil"/>
              <w:bottom w:val="nil"/>
              <w:right w:val="nil"/>
            </w:tcBorders>
            <w:shd w:val="clear" w:color="auto" w:fill="auto"/>
          </w:tcPr>
          <w:p w14:paraId="43BF351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6,752</w:t>
            </w:r>
          </w:p>
        </w:tc>
        <w:tc>
          <w:tcPr>
            <w:tcW w:w="594" w:type="pct"/>
            <w:tcBorders>
              <w:top w:val="nil"/>
              <w:left w:val="nil"/>
              <w:bottom w:val="nil"/>
              <w:right w:val="nil"/>
            </w:tcBorders>
            <w:shd w:val="clear" w:color="auto" w:fill="auto"/>
          </w:tcPr>
          <w:p w14:paraId="19637C4F"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6,888</w:t>
            </w:r>
          </w:p>
        </w:tc>
        <w:tc>
          <w:tcPr>
            <w:tcW w:w="590" w:type="pct"/>
            <w:tcBorders>
              <w:top w:val="nil"/>
              <w:left w:val="nil"/>
              <w:bottom w:val="nil"/>
              <w:right w:val="nil"/>
            </w:tcBorders>
            <w:shd w:val="clear" w:color="auto" w:fill="auto"/>
          </w:tcPr>
          <w:p w14:paraId="18A49FD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7,127</w:t>
            </w:r>
          </w:p>
        </w:tc>
      </w:tr>
      <w:tr w:rsidR="00B71828" w:rsidRPr="00285370" w14:paraId="31FD07B3" w14:textId="77777777" w:rsidTr="00C52D24">
        <w:trPr>
          <w:trHeight w:val="20"/>
        </w:trPr>
        <w:tc>
          <w:tcPr>
            <w:tcW w:w="2627" w:type="pct"/>
            <w:shd w:val="clear" w:color="auto" w:fill="auto"/>
          </w:tcPr>
          <w:p w14:paraId="2FFC0B1A" w14:textId="77777777" w:rsidR="00B71828" w:rsidRPr="00425967" w:rsidRDefault="00B71828" w:rsidP="00C52D24">
            <w:pPr>
              <w:pStyle w:val="Btabletextunbold"/>
              <w:rPr>
                <w:lang w:eastAsia="en-AU"/>
              </w:rPr>
            </w:pPr>
            <w:r w:rsidRPr="00425967">
              <w:rPr>
                <w:lang w:eastAsia="en-AU"/>
              </w:rPr>
              <w:t>Canberra Institute of Technology</w:t>
            </w:r>
          </w:p>
        </w:tc>
        <w:tc>
          <w:tcPr>
            <w:tcW w:w="595" w:type="pct"/>
            <w:tcBorders>
              <w:top w:val="nil"/>
              <w:left w:val="nil"/>
              <w:bottom w:val="nil"/>
              <w:right w:val="nil"/>
            </w:tcBorders>
            <w:shd w:val="clear" w:color="auto" w:fill="auto"/>
          </w:tcPr>
          <w:p w14:paraId="7342BCC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658</w:t>
            </w:r>
          </w:p>
        </w:tc>
        <w:tc>
          <w:tcPr>
            <w:tcW w:w="594" w:type="pct"/>
            <w:tcBorders>
              <w:top w:val="nil"/>
              <w:left w:val="nil"/>
              <w:bottom w:val="nil"/>
              <w:right w:val="nil"/>
            </w:tcBorders>
            <w:shd w:val="clear" w:color="auto" w:fill="auto"/>
          </w:tcPr>
          <w:p w14:paraId="62514AC7"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705</w:t>
            </w:r>
          </w:p>
        </w:tc>
        <w:tc>
          <w:tcPr>
            <w:tcW w:w="594" w:type="pct"/>
            <w:tcBorders>
              <w:top w:val="nil"/>
              <w:left w:val="nil"/>
              <w:bottom w:val="nil"/>
              <w:right w:val="nil"/>
            </w:tcBorders>
            <w:shd w:val="clear" w:color="auto" w:fill="auto"/>
          </w:tcPr>
          <w:p w14:paraId="63AE938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668</w:t>
            </w:r>
          </w:p>
        </w:tc>
        <w:tc>
          <w:tcPr>
            <w:tcW w:w="590" w:type="pct"/>
            <w:tcBorders>
              <w:top w:val="nil"/>
              <w:left w:val="nil"/>
              <w:bottom w:val="nil"/>
              <w:right w:val="nil"/>
            </w:tcBorders>
            <w:shd w:val="clear" w:color="auto" w:fill="auto"/>
          </w:tcPr>
          <w:p w14:paraId="3B5E76B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675</w:t>
            </w:r>
          </w:p>
        </w:tc>
      </w:tr>
      <w:tr w:rsidR="00B71828" w:rsidRPr="00285370" w14:paraId="48B4591F" w14:textId="77777777" w:rsidTr="00C52D24">
        <w:trPr>
          <w:trHeight w:val="20"/>
        </w:trPr>
        <w:tc>
          <w:tcPr>
            <w:tcW w:w="2627" w:type="pct"/>
            <w:shd w:val="clear" w:color="auto" w:fill="auto"/>
          </w:tcPr>
          <w:p w14:paraId="531D20DD" w14:textId="77777777" w:rsidR="00B71828" w:rsidRPr="00425967" w:rsidRDefault="00B71828" w:rsidP="00C52D24">
            <w:pPr>
              <w:pStyle w:val="Btabletextunbold"/>
              <w:rPr>
                <w:lang w:eastAsia="en-AU"/>
              </w:rPr>
            </w:pPr>
            <w:r w:rsidRPr="00425967">
              <w:rPr>
                <w:lang w:eastAsia="en-AU"/>
              </w:rPr>
              <w:t>Cemeteries and Crematoria Authority</w:t>
            </w:r>
          </w:p>
        </w:tc>
        <w:tc>
          <w:tcPr>
            <w:tcW w:w="595" w:type="pct"/>
            <w:tcBorders>
              <w:top w:val="nil"/>
              <w:left w:val="nil"/>
              <w:bottom w:val="nil"/>
              <w:right w:val="nil"/>
            </w:tcBorders>
            <w:shd w:val="clear" w:color="auto" w:fill="auto"/>
          </w:tcPr>
          <w:p w14:paraId="1F829907"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15</w:t>
            </w:r>
          </w:p>
        </w:tc>
        <w:tc>
          <w:tcPr>
            <w:tcW w:w="594" w:type="pct"/>
            <w:tcBorders>
              <w:top w:val="nil"/>
              <w:left w:val="nil"/>
              <w:bottom w:val="nil"/>
              <w:right w:val="nil"/>
            </w:tcBorders>
            <w:shd w:val="clear" w:color="auto" w:fill="auto"/>
          </w:tcPr>
          <w:p w14:paraId="703553B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w:t>
            </w:r>
          </w:p>
        </w:tc>
        <w:tc>
          <w:tcPr>
            <w:tcW w:w="594" w:type="pct"/>
            <w:tcBorders>
              <w:top w:val="nil"/>
              <w:left w:val="nil"/>
              <w:bottom w:val="nil"/>
              <w:right w:val="nil"/>
            </w:tcBorders>
            <w:shd w:val="clear" w:color="auto" w:fill="auto"/>
          </w:tcPr>
          <w:p w14:paraId="48DA94B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17</w:t>
            </w:r>
          </w:p>
        </w:tc>
        <w:tc>
          <w:tcPr>
            <w:tcW w:w="590" w:type="pct"/>
            <w:tcBorders>
              <w:top w:val="nil"/>
              <w:left w:val="nil"/>
              <w:bottom w:val="nil"/>
              <w:right w:val="nil"/>
            </w:tcBorders>
            <w:shd w:val="clear" w:color="auto" w:fill="auto"/>
          </w:tcPr>
          <w:p w14:paraId="0486F6B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w:t>
            </w:r>
          </w:p>
        </w:tc>
      </w:tr>
      <w:tr w:rsidR="00B71828" w:rsidRPr="00285370" w14:paraId="1411E8F6" w14:textId="77777777" w:rsidTr="00C52D24">
        <w:trPr>
          <w:trHeight w:val="20"/>
        </w:trPr>
        <w:tc>
          <w:tcPr>
            <w:tcW w:w="2627" w:type="pct"/>
            <w:shd w:val="clear" w:color="auto" w:fill="auto"/>
          </w:tcPr>
          <w:p w14:paraId="49CBD766" w14:textId="77777777" w:rsidR="00B71828" w:rsidRPr="00425967" w:rsidRDefault="00B71828" w:rsidP="00C52D24">
            <w:pPr>
              <w:pStyle w:val="Btabletextunbold"/>
              <w:rPr>
                <w:lang w:eastAsia="en-AU"/>
              </w:rPr>
            </w:pPr>
            <w:r w:rsidRPr="00425967">
              <w:rPr>
                <w:lang w:eastAsia="en-AU"/>
              </w:rPr>
              <w:t>Chief Minister, Treasury and Economic Development Directorate</w:t>
            </w:r>
          </w:p>
        </w:tc>
        <w:tc>
          <w:tcPr>
            <w:tcW w:w="595" w:type="pct"/>
            <w:tcBorders>
              <w:top w:val="nil"/>
              <w:left w:val="nil"/>
              <w:bottom w:val="nil"/>
              <w:right w:val="nil"/>
            </w:tcBorders>
            <w:shd w:val="clear" w:color="auto" w:fill="auto"/>
          </w:tcPr>
          <w:p w14:paraId="2C13356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2,462</w:t>
            </w:r>
          </w:p>
        </w:tc>
        <w:tc>
          <w:tcPr>
            <w:tcW w:w="594" w:type="pct"/>
            <w:tcBorders>
              <w:top w:val="nil"/>
              <w:left w:val="nil"/>
              <w:bottom w:val="nil"/>
              <w:right w:val="nil"/>
            </w:tcBorders>
            <w:shd w:val="clear" w:color="auto" w:fill="auto"/>
          </w:tcPr>
          <w:p w14:paraId="77F57A79"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2,461</w:t>
            </w:r>
          </w:p>
        </w:tc>
        <w:tc>
          <w:tcPr>
            <w:tcW w:w="594" w:type="pct"/>
            <w:tcBorders>
              <w:top w:val="nil"/>
              <w:left w:val="nil"/>
              <w:bottom w:val="nil"/>
              <w:right w:val="nil"/>
            </w:tcBorders>
            <w:shd w:val="clear" w:color="auto" w:fill="auto"/>
          </w:tcPr>
          <w:p w14:paraId="1F68790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2,566</w:t>
            </w:r>
            <w:r>
              <w:rPr>
                <w:color w:val="000000"/>
                <w:sz w:val="20"/>
                <w:lang w:eastAsia="en-AU"/>
              </w:rPr>
              <w:t>^</w:t>
            </w:r>
          </w:p>
        </w:tc>
        <w:tc>
          <w:tcPr>
            <w:tcW w:w="590" w:type="pct"/>
            <w:tcBorders>
              <w:top w:val="nil"/>
              <w:left w:val="nil"/>
              <w:bottom w:val="nil"/>
              <w:right w:val="nil"/>
            </w:tcBorders>
            <w:shd w:val="clear" w:color="auto" w:fill="auto"/>
          </w:tcPr>
          <w:p w14:paraId="05F7F22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2,598</w:t>
            </w:r>
          </w:p>
        </w:tc>
      </w:tr>
      <w:tr w:rsidR="00B71828" w:rsidRPr="00285370" w14:paraId="47DC2CF5" w14:textId="77777777" w:rsidTr="00C52D24">
        <w:trPr>
          <w:trHeight w:val="20"/>
        </w:trPr>
        <w:tc>
          <w:tcPr>
            <w:tcW w:w="2627" w:type="pct"/>
            <w:shd w:val="clear" w:color="auto" w:fill="auto"/>
          </w:tcPr>
          <w:p w14:paraId="0E22E596" w14:textId="77777777" w:rsidR="00B71828" w:rsidRPr="00425967" w:rsidRDefault="00B71828" w:rsidP="00C52D24">
            <w:pPr>
              <w:pStyle w:val="Btabletextunbold"/>
              <w:rPr>
                <w:lang w:eastAsia="en-AU"/>
              </w:rPr>
            </w:pPr>
            <w:r w:rsidRPr="00425967">
              <w:rPr>
                <w:lang w:eastAsia="en-AU"/>
              </w:rPr>
              <w:t>City Renewal Authority</w:t>
            </w:r>
          </w:p>
        </w:tc>
        <w:tc>
          <w:tcPr>
            <w:tcW w:w="595" w:type="pct"/>
            <w:tcBorders>
              <w:top w:val="nil"/>
              <w:left w:val="nil"/>
              <w:bottom w:val="nil"/>
              <w:right w:val="nil"/>
            </w:tcBorders>
            <w:shd w:val="clear" w:color="auto" w:fill="auto"/>
          </w:tcPr>
          <w:p w14:paraId="6BCE5227"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27</w:t>
            </w:r>
          </w:p>
        </w:tc>
        <w:tc>
          <w:tcPr>
            <w:tcW w:w="594" w:type="pct"/>
            <w:tcBorders>
              <w:top w:val="nil"/>
              <w:left w:val="nil"/>
              <w:bottom w:val="nil"/>
              <w:right w:val="nil"/>
            </w:tcBorders>
            <w:shd w:val="clear" w:color="auto" w:fill="auto"/>
          </w:tcPr>
          <w:p w14:paraId="653297E1"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27</w:t>
            </w:r>
          </w:p>
        </w:tc>
        <w:tc>
          <w:tcPr>
            <w:tcW w:w="594" w:type="pct"/>
            <w:tcBorders>
              <w:top w:val="nil"/>
              <w:left w:val="nil"/>
              <w:bottom w:val="nil"/>
              <w:right w:val="nil"/>
            </w:tcBorders>
            <w:shd w:val="clear" w:color="auto" w:fill="auto"/>
          </w:tcPr>
          <w:p w14:paraId="60F97A5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27</w:t>
            </w:r>
          </w:p>
        </w:tc>
        <w:tc>
          <w:tcPr>
            <w:tcW w:w="590" w:type="pct"/>
            <w:tcBorders>
              <w:top w:val="nil"/>
              <w:left w:val="nil"/>
              <w:bottom w:val="nil"/>
              <w:right w:val="nil"/>
            </w:tcBorders>
            <w:shd w:val="clear" w:color="auto" w:fill="auto"/>
          </w:tcPr>
          <w:p w14:paraId="5DD823A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27</w:t>
            </w:r>
          </w:p>
        </w:tc>
      </w:tr>
      <w:tr w:rsidR="00B71828" w:rsidRPr="00285370" w14:paraId="0CBE184E" w14:textId="77777777" w:rsidTr="00C52D24">
        <w:trPr>
          <w:trHeight w:val="20"/>
        </w:trPr>
        <w:tc>
          <w:tcPr>
            <w:tcW w:w="2627" w:type="pct"/>
            <w:shd w:val="clear" w:color="auto" w:fill="auto"/>
          </w:tcPr>
          <w:p w14:paraId="64B59FCC" w14:textId="77777777" w:rsidR="00B71828" w:rsidRPr="00425967" w:rsidRDefault="00B71828" w:rsidP="00C52D24">
            <w:pPr>
              <w:pStyle w:val="Btabletextunbold"/>
              <w:rPr>
                <w:lang w:eastAsia="en-AU"/>
              </w:rPr>
            </w:pPr>
            <w:r w:rsidRPr="00425967">
              <w:rPr>
                <w:lang w:eastAsia="en-AU"/>
              </w:rPr>
              <w:t>Community Services Directorate</w:t>
            </w:r>
          </w:p>
        </w:tc>
        <w:tc>
          <w:tcPr>
            <w:tcW w:w="595" w:type="pct"/>
            <w:tcBorders>
              <w:top w:val="nil"/>
              <w:left w:val="nil"/>
              <w:bottom w:val="nil"/>
              <w:right w:val="nil"/>
            </w:tcBorders>
            <w:shd w:val="clear" w:color="auto" w:fill="auto"/>
          </w:tcPr>
          <w:p w14:paraId="26C04B6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703</w:t>
            </w:r>
          </w:p>
        </w:tc>
        <w:tc>
          <w:tcPr>
            <w:tcW w:w="594" w:type="pct"/>
            <w:tcBorders>
              <w:top w:val="nil"/>
              <w:left w:val="nil"/>
              <w:bottom w:val="nil"/>
              <w:right w:val="nil"/>
            </w:tcBorders>
            <w:shd w:val="clear" w:color="auto" w:fill="auto"/>
          </w:tcPr>
          <w:p w14:paraId="3A1A40C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694</w:t>
            </w:r>
          </w:p>
        </w:tc>
        <w:tc>
          <w:tcPr>
            <w:tcW w:w="594" w:type="pct"/>
            <w:tcBorders>
              <w:top w:val="nil"/>
              <w:left w:val="nil"/>
              <w:bottom w:val="nil"/>
              <w:right w:val="nil"/>
            </w:tcBorders>
            <w:shd w:val="clear" w:color="auto" w:fill="auto"/>
          </w:tcPr>
          <w:p w14:paraId="1C34FF1F"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707</w:t>
            </w:r>
          </w:p>
        </w:tc>
        <w:tc>
          <w:tcPr>
            <w:tcW w:w="590" w:type="pct"/>
            <w:tcBorders>
              <w:top w:val="nil"/>
              <w:left w:val="nil"/>
              <w:bottom w:val="nil"/>
              <w:right w:val="nil"/>
            </w:tcBorders>
            <w:shd w:val="clear" w:color="auto" w:fill="auto"/>
          </w:tcPr>
          <w:p w14:paraId="382C0B6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707</w:t>
            </w:r>
          </w:p>
        </w:tc>
      </w:tr>
      <w:tr w:rsidR="00B71828" w:rsidRPr="00285370" w14:paraId="76D3A40A" w14:textId="77777777" w:rsidTr="00C52D24">
        <w:trPr>
          <w:trHeight w:val="20"/>
        </w:trPr>
        <w:tc>
          <w:tcPr>
            <w:tcW w:w="2627" w:type="pct"/>
            <w:shd w:val="clear" w:color="auto" w:fill="auto"/>
          </w:tcPr>
          <w:p w14:paraId="73B7306A" w14:textId="77777777" w:rsidR="00B71828" w:rsidRPr="00425967" w:rsidRDefault="00B71828" w:rsidP="00C52D24">
            <w:pPr>
              <w:pStyle w:val="Btabletextunbold"/>
              <w:rPr>
                <w:lang w:eastAsia="en-AU"/>
              </w:rPr>
            </w:pPr>
            <w:r w:rsidRPr="00425967">
              <w:rPr>
                <w:lang w:eastAsia="en-AU"/>
              </w:rPr>
              <w:t>Cultural Facilities Corporation</w:t>
            </w:r>
          </w:p>
        </w:tc>
        <w:tc>
          <w:tcPr>
            <w:tcW w:w="595" w:type="pct"/>
            <w:tcBorders>
              <w:top w:val="nil"/>
              <w:left w:val="nil"/>
              <w:bottom w:val="nil"/>
              <w:right w:val="nil"/>
            </w:tcBorders>
            <w:shd w:val="clear" w:color="auto" w:fill="auto"/>
          </w:tcPr>
          <w:p w14:paraId="55C948A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91</w:t>
            </w:r>
          </w:p>
        </w:tc>
        <w:tc>
          <w:tcPr>
            <w:tcW w:w="594" w:type="pct"/>
            <w:tcBorders>
              <w:top w:val="nil"/>
              <w:left w:val="nil"/>
              <w:bottom w:val="nil"/>
              <w:right w:val="nil"/>
            </w:tcBorders>
            <w:shd w:val="clear" w:color="auto" w:fill="auto"/>
          </w:tcPr>
          <w:p w14:paraId="25F5B332"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92</w:t>
            </w:r>
          </w:p>
        </w:tc>
        <w:tc>
          <w:tcPr>
            <w:tcW w:w="594" w:type="pct"/>
            <w:tcBorders>
              <w:top w:val="nil"/>
              <w:left w:val="nil"/>
              <w:bottom w:val="nil"/>
              <w:right w:val="nil"/>
            </w:tcBorders>
            <w:shd w:val="clear" w:color="auto" w:fill="auto"/>
          </w:tcPr>
          <w:p w14:paraId="5DE84E4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104</w:t>
            </w:r>
          </w:p>
        </w:tc>
        <w:tc>
          <w:tcPr>
            <w:tcW w:w="590" w:type="pct"/>
            <w:tcBorders>
              <w:top w:val="nil"/>
              <w:left w:val="nil"/>
              <w:bottom w:val="nil"/>
              <w:right w:val="nil"/>
            </w:tcBorders>
            <w:shd w:val="clear" w:color="auto" w:fill="auto"/>
          </w:tcPr>
          <w:p w14:paraId="341077E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93</w:t>
            </w:r>
          </w:p>
        </w:tc>
      </w:tr>
      <w:tr w:rsidR="00B71828" w:rsidRPr="00285370" w14:paraId="01650683" w14:textId="77777777" w:rsidTr="00C52D24">
        <w:trPr>
          <w:trHeight w:val="20"/>
        </w:trPr>
        <w:tc>
          <w:tcPr>
            <w:tcW w:w="2627" w:type="pct"/>
            <w:shd w:val="clear" w:color="auto" w:fill="auto"/>
          </w:tcPr>
          <w:p w14:paraId="30490167" w14:textId="77777777" w:rsidR="00B71828" w:rsidRPr="00425967" w:rsidRDefault="00B71828" w:rsidP="00C52D24">
            <w:pPr>
              <w:pStyle w:val="Btabletextunbold"/>
              <w:rPr>
                <w:lang w:eastAsia="en-AU"/>
              </w:rPr>
            </w:pPr>
            <w:r w:rsidRPr="00425967">
              <w:rPr>
                <w:lang w:eastAsia="en-AU"/>
              </w:rPr>
              <w:t>Education Directorate</w:t>
            </w:r>
          </w:p>
        </w:tc>
        <w:tc>
          <w:tcPr>
            <w:tcW w:w="595" w:type="pct"/>
            <w:tcBorders>
              <w:top w:val="nil"/>
              <w:left w:val="nil"/>
              <w:bottom w:val="nil"/>
              <w:right w:val="nil"/>
            </w:tcBorders>
            <w:shd w:val="clear" w:color="auto" w:fill="auto"/>
          </w:tcPr>
          <w:p w14:paraId="7BC7AA4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6,072</w:t>
            </w:r>
          </w:p>
        </w:tc>
        <w:tc>
          <w:tcPr>
            <w:tcW w:w="594" w:type="pct"/>
            <w:tcBorders>
              <w:top w:val="nil"/>
              <w:left w:val="nil"/>
              <w:bottom w:val="nil"/>
              <w:right w:val="nil"/>
            </w:tcBorders>
            <w:shd w:val="clear" w:color="auto" w:fill="auto"/>
          </w:tcPr>
          <w:p w14:paraId="35DD3CA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6,320</w:t>
            </w:r>
          </w:p>
        </w:tc>
        <w:tc>
          <w:tcPr>
            <w:tcW w:w="594" w:type="pct"/>
            <w:tcBorders>
              <w:top w:val="nil"/>
              <w:left w:val="nil"/>
              <w:bottom w:val="nil"/>
              <w:right w:val="nil"/>
            </w:tcBorders>
            <w:shd w:val="clear" w:color="auto" w:fill="auto"/>
          </w:tcPr>
          <w:p w14:paraId="036D26C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6,553</w:t>
            </w:r>
          </w:p>
        </w:tc>
        <w:tc>
          <w:tcPr>
            <w:tcW w:w="590" w:type="pct"/>
            <w:tcBorders>
              <w:top w:val="nil"/>
              <w:left w:val="nil"/>
              <w:bottom w:val="nil"/>
              <w:right w:val="nil"/>
            </w:tcBorders>
            <w:shd w:val="clear" w:color="auto" w:fill="auto"/>
          </w:tcPr>
          <w:p w14:paraId="0D75F5D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6,365</w:t>
            </w:r>
          </w:p>
        </w:tc>
      </w:tr>
      <w:tr w:rsidR="00B71828" w:rsidRPr="00285370" w14:paraId="517ACA6B" w14:textId="77777777" w:rsidTr="00C52D24">
        <w:trPr>
          <w:trHeight w:val="20"/>
        </w:trPr>
        <w:tc>
          <w:tcPr>
            <w:tcW w:w="2627" w:type="pct"/>
            <w:shd w:val="clear" w:color="auto" w:fill="auto"/>
          </w:tcPr>
          <w:p w14:paraId="1BB7750E" w14:textId="77777777" w:rsidR="00B71828" w:rsidRPr="00425967" w:rsidRDefault="00B71828" w:rsidP="00C52D24">
            <w:pPr>
              <w:pStyle w:val="Btabletextunbold"/>
              <w:rPr>
                <w:lang w:eastAsia="en-AU"/>
              </w:rPr>
            </w:pPr>
            <w:r w:rsidRPr="00425967">
              <w:rPr>
                <w:lang w:eastAsia="en-AU"/>
              </w:rPr>
              <w:t>Environment, Planning and Sustainable Development Directorate</w:t>
            </w:r>
          </w:p>
        </w:tc>
        <w:tc>
          <w:tcPr>
            <w:tcW w:w="595" w:type="pct"/>
            <w:tcBorders>
              <w:top w:val="nil"/>
              <w:left w:val="nil"/>
              <w:bottom w:val="nil"/>
              <w:right w:val="nil"/>
            </w:tcBorders>
            <w:shd w:val="clear" w:color="auto" w:fill="auto"/>
          </w:tcPr>
          <w:p w14:paraId="68126D0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663</w:t>
            </w:r>
          </w:p>
        </w:tc>
        <w:tc>
          <w:tcPr>
            <w:tcW w:w="594" w:type="pct"/>
            <w:tcBorders>
              <w:top w:val="nil"/>
              <w:left w:val="nil"/>
              <w:bottom w:val="nil"/>
              <w:right w:val="nil"/>
            </w:tcBorders>
            <w:shd w:val="clear" w:color="auto" w:fill="auto"/>
          </w:tcPr>
          <w:p w14:paraId="25EDB42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712</w:t>
            </w:r>
          </w:p>
        </w:tc>
        <w:tc>
          <w:tcPr>
            <w:tcW w:w="594" w:type="pct"/>
            <w:tcBorders>
              <w:top w:val="nil"/>
              <w:left w:val="nil"/>
              <w:bottom w:val="nil"/>
              <w:right w:val="nil"/>
            </w:tcBorders>
            <w:shd w:val="clear" w:color="auto" w:fill="auto"/>
          </w:tcPr>
          <w:p w14:paraId="2B25B921"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691</w:t>
            </w:r>
          </w:p>
        </w:tc>
        <w:tc>
          <w:tcPr>
            <w:tcW w:w="590" w:type="pct"/>
            <w:tcBorders>
              <w:top w:val="nil"/>
              <w:left w:val="nil"/>
              <w:bottom w:val="nil"/>
              <w:right w:val="nil"/>
            </w:tcBorders>
            <w:shd w:val="clear" w:color="auto" w:fill="auto"/>
          </w:tcPr>
          <w:p w14:paraId="613BE2D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707</w:t>
            </w:r>
          </w:p>
        </w:tc>
      </w:tr>
      <w:tr w:rsidR="00B71828" w:rsidRPr="00285370" w14:paraId="6D9F798D" w14:textId="77777777" w:rsidTr="00C52D24">
        <w:trPr>
          <w:trHeight w:val="20"/>
        </w:trPr>
        <w:tc>
          <w:tcPr>
            <w:tcW w:w="2627" w:type="pct"/>
            <w:shd w:val="clear" w:color="auto" w:fill="auto"/>
          </w:tcPr>
          <w:p w14:paraId="6EB4430F" w14:textId="77777777" w:rsidR="00B71828" w:rsidRPr="00425967" w:rsidRDefault="00B71828" w:rsidP="00C52D24">
            <w:pPr>
              <w:pStyle w:val="Btabletextunbold"/>
              <w:rPr>
                <w:lang w:eastAsia="en-AU"/>
              </w:rPr>
            </w:pPr>
            <w:r w:rsidRPr="00425967">
              <w:rPr>
                <w:lang w:eastAsia="en-AU"/>
              </w:rPr>
              <w:t>Housing ACT</w:t>
            </w:r>
          </w:p>
        </w:tc>
        <w:tc>
          <w:tcPr>
            <w:tcW w:w="595" w:type="pct"/>
            <w:tcBorders>
              <w:top w:val="nil"/>
              <w:left w:val="nil"/>
              <w:bottom w:val="nil"/>
              <w:right w:val="nil"/>
            </w:tcBorders>
            <w:shd w:val="clear" w:color="auto" w:fill="auto"/>
          </w:tcPr>
          <w:p w14:paraId="147D8EA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259</w:t>
            </w:r>
          </w:p>
        </w:tc>
        <w:tc>
          <w:tcPr>
            <w:tcW w:w="594" w:type="pct"/>
            <w:tcBorders>
              <w:top w:val="nil"/>
              <w:left w:val="nil"/>
              <w:bottom w:val="nil"/>
              <w:right w:val="nil"/>
            </w:tcBorders>
            <w:shd w:val="clear" w:color="auto" w:fill="auto"/>
          </w:tcPr>
          <w:p w14:paraId="2FD5C42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27</w:t>
            </w:r>
            <w:r>
              <w:rPr>
                <w:color w:val="000000"/>
                <w:sz w:val="20"/>
                <w:lang w:eastAsia="en-AU"/>
              </w:rPr>
              <w:t>3</w:t>
            </w:r>
          </w:p>
        </w:tc>
        <w:tc>
          <w:tcPr>
            <w:tcW w:w="594" w:type="pct"/>
            <w:tcBorders>
              <w:top w:val="nil"/>
              <w:left w:val="nil"/>
              <w:bottom w:val="nil"/>
              <w:right w:val="nil"/>
            </w:tcBorders>
            <w:shd w:val="clear" w:color="auto" w:fill="auto"/>
          </w:tcPr>
          <w:p w14:paraId="36D3DEB2"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269</w:t>
            </w:r>
          </w:p>
        </w:tc>
        <w:tc>
          <w:tcPr>
            <w:tcW w:w="590" w:type="pct"/>
            <w:tcBorders>
              <w:top w:val="nil"/>
              <w:left w:val="nil"/>
              <w:bottom w:val="nil"/>
              <w:right w:val="nil"/>
            </w:tcBorders>
            <w:shd w:val="clear" w:color="auto" w:fill="auto"/>
          </w:tcPr>
          <w:p w14:paraId="79131F2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292</w:t>
            </w:r>
          </w:p>
        </w:tc>
      </w:tr>
      <w:tr w:rsidR="00B71828" w:rsidRPr="00285370" w14:paraId="727C1DEA" w14:textId="77777777" w:rsidTr="00C52D24">
        <w:trPr>
          <w:trHeight w:val="20"/>
        </w:trPr>
        <w:tc>
          <w:tcPr>
            <w:tcW w:w="2627" w:type="pct"/>
            <w:shd w:val="clear" w:color="auto" w:fill="auto"/>
          </w:tcPr>
          <w:p w14:paraId="1A071AA0" w14:textId="77777777" w:rsidR="00B71828" w:rsidRPr="00425967" w:rsidRDefault="00B71828" w:rsidP="00C52D24">
            <w:pPr>
              <w:pStyle w:val="Btabletextunbold"/>
              <w:rPr>
                <w:lang w:eastAsia="en-AU"/>
              </w:rPr>
            </w:pPr>
            <w:r w:rsidRPr="00425967">
              <w:rPr>
                <w:lang w:eastAsia="en-AU"/>
              </w:rPr>
              <w:t>Independent Competition and Regulatory Commission</w:t>
            </w:r>
          </w:p>
        </w:tc>
        <w:tc>
          <w:tcPr>
            <w:tcW w:w="595" w:type="pct"/>
            <w:tcBorders>
              <w:top w:val="nil"/>
              <w:left w:val="nil"/>
              <w:bottom w:val="nil"/>
              <w:right w:val="nil"/>
            </w:tcBorders>
            <w:shd w:val="clear" w:color="auto" w:fill="auto"/>
          </w:tcPr>
          <w:p w14:paraId="1D951E1B"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11</w:t>
            </w:r>
          </w:p>
        </w:tc>
        <w:tc>
          <w:tcPr>
            <w:tcW w:w="594" w:type="pct"/>
            <w:tcBorders>
              <w:top w:val="nil"/>
              <w:left w:val="nil"/>
              <w:bottom w:val="nil"/>
              <w:right w:val="nil"/>
            </w:tcBorders>
            <w:shd w:val="clear" w:color="auto" w:fill="auto"/>
          </w:tcPr>
          <w:p w14:paraId="7CB0AB3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11</w:t>
            </w:r>
          </w:p>
        </w:tc>
        <w:tc>
          <w:tcPr>
            <w:tcW w:w="594" w:type="pct"/>
            <w:tcBorders>
              <w:top w:val="nil"/>
              <w:left w:val="nil"/>
              <w:bottom w:val="nil"/>
              <w:right w:val="nil"/>
            </w:tcBorders>
            <w:shd w:val="clear" w:color="auto" w:fill="auto"/>
          </w:tcPr>
          <w:p w14:paraId="20A4C8FA"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w:t>
            </w:r>
          </w:p>
        </w:tc>
        <w:tc>
          <w:tcPr>
            <w:tcW w:w="590" w:type="pct"/>
            <w:tcBorders>
              <w:top w:val="nil"/>
              <w:left w:val="nil"/>
              <w:bottom w:val="nil"/>
              <w:right w:val="nil"/>
            </w:tcBorders>
            <w:shd w:val="clear" w:color="auto" w:fill="auto"/>
          </w:tcPr>
          <w:p w14:paraId="6CBEE5A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w:t>
            </w:r>
          </w:p>
        </w:tc>
      </w:tr>
      <w:tr w:rsidR="00B71828" w:rsidRPr="00285370" w14:paraId="26ECDF0B" w14:textId="77777777" w:rsidTr="00C52D24">
        <w:trPr>
          <w:trHeight w:val="20"/>
        </w:trPr>
        <w:tc>
          <w:tcPr>
            <w:tcW w:w="2627" w:type="pct"/>
            <w:shd w:val="clear" w:color="auto" w:fill="auto"/>
          </w:tcPr>
          <w:p w14:paraId="1E947E57" w14:textId="77777777" w:rsidR="00B71828" w:rsidRPr="00425967" w:rsidRDefault="00B71828" w:rsidP="00C52D24">
            <w:pPr>
              <w:pStyle w:val="Btabletextunbold"/>
              <w:rPr>
                <w:lang w:eastAsia="en-AU"/>
              </w:rPr>
            </w:pPr>
            <w:r w:rsidRPr="00425967">
              <w:rPr>
                <w:lang w:eastAsia="en-AU"/>
              </w:rPr>
              <w:t>Justice and Community Safety Directorate</w:t>
            </w:r>
          </w:p>
        </w:tc>
        <w:tc>
          <w:tcPr>
            <w:tcW w:w="595" w:type="pct"/>
            <w:tcBorders>
              <w:top w:val="nil"/>
              <w:left w:val="nil"/>
              <w:bottom w:val="nil"/>
              <w:right w:val="nil"/>
            </w:tcBorders>
            <w:shd w:val="clear" w:color="auto" w:fill="auto"/>
          </w:tcPr>
          <w:p w14:paraId="41BF8B79"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1,875</w:t>
            </w:r>
          </w:p>
        </w:tc>
        <w:tc>
          <w:tcPr>
            <w:tcW w:w="594" w:type="pct"/>
            <w:tcBorders>
              <w:top w:val="nil"/>
              <w:left w:val="nil"/>
              <w:bottom w:val="nil"/>
              <w:right w:val="nil"/>
            </w:tcBorders>
            <w:shd w:val="clear" w:color="auto" w:fill="auto"/>
          </w:tcPr>
          <w:p w14:paraId="6C567FD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1,90</w:t>
            </w:r>
            <w:r>
              <w:rPr>
                <w:color w:val="000000"/>
                <w:sz w:val="20"/>
                <w:lang w:eastAsia="en-AU"/>
              </w:rPr>
              <w:t>1</w:t>
            </w:r>
          </w:p>
        </w:tc>
        <w:tc>
          <w:tcPr>
            <w:tcW w:w="594" w:type="pct"/>
            <w:tcBorders>
              <w:top w:val="nil"/>
              <w:left w:val="nil"/>
              <w:bottom w:val="nil"/>
              <w:right w:val="nil"/>
            </w:tcBorders>
            <w:shd w:val="clear" w:color="auto" w:fill="auto"/>
          </w:tcPr>
          <w:p w14:paraId="4D724D1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2,006</w:t>
            </w:r>
          </w:p>
        </w:tc>
        <w:tc>
          <w:tcPr>
            <w:tcW w:w="590" w:type="pct"/>
            <w:tcBorders>
              <w:top w:val="nil"/>
              <w:left w:val="nil"/>
              <w:bottom w:val="nil"/>
              <w:right w:val="nil"/>
            </w:tcBorders>
            <w:shd w:val="clear" w:color="auto" w:fill="auto"/>
          </w:tcPr>
          <w:p w14:paraId="350549C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1,940</w:t>
            </w:r>
          </w:p>
        </w:tc>
      </w:tr>
      <w:tr w:rsidR="00B71828" w:rsidRPr="00285370" w14:paraId="669B9B22" w14:textId="77777777" w:rsidTr="00C52D24">
        <w:trPr>
          <w:trHeight w:val="20"/>
        </w:trPr>
        <w:tc>
          <w:tcPr>
            <w:tcW w:w="2627" w:type="pct"/>
            <w:shd w:val="clear" w:color="auto" w:fill="auto"/>
          </w:tcPr>
          <w:p w14:paraId="68356ADB" w14:textId="77777777" w:rsidR="00B71828" w:rsidRPr="00425967" w:rsidRDefault="00B71828" w:rsidP="00C52D24">
            <w:pPr>
              <w:pStyle w:val="Btabletextunbold"/>
              <w:rPr>
                <w:lang w:eastAsia="en-AU"/>
              </w:rPr>
            </w:pPr>
            <w:r w:rsidRPr="00425967">
              <w:rPr>
                <w:lang w:eastAsia="en-AU"/>
              </w:rPr>
              <w:t>Legal Aid Commission (ACT)</w:t>
            </w:r>
          </w:p>
        </w:tc>
        <w:tc>
          <w:tcPr>
            <w:tcW w:w="595" w:type="pct"/>
            <w:tcBorders>
              <w:top w:val="nil"/>
              <w:left w:val="nil"/>
              <w:bottom w:val="nil"/>
              <w:right w:val="nil"/>
            </w:tcBorders>
            <w:shd w:val="clear" w:color="auto" w:fill="auto"/>
          </w:tcPr>
          <w:p w14:paraId="645146C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88</w:t>
            </w:r>
          </w:p>
        </w:tc>
        <w:tc>
          <w:tcPr>
            <w:tcW w:w="594" w:type="pct"/>
            <w:tcBorders>
              <w:top w:val="nil"/>
              <w:left w:val="nil"/>
              <w:bottom w:val="nil"/>
              <w:right w:val="nil"/>
            </w:tcBorders>
            <w:shd w:val="clear" w:color="auto" w:fill="auto"/>
          </w:tcPr>
          <w:p w14:paraId="1D15E7E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99</w:t>
            </w:r>
          </w:p>
        </w:tc>
        <w:tc>
          <w:tcPr>
            <w:tcW w:w="594" w:type="pct"/>
            <w:tcBorders>
              <w:top w:val="nil"/>
              <w:left w:val="nil"/>
              <w:bottom w:val="nil"/>
              <w:right w:val="nil"/>
            </w:tcBorders>
            <w:shd w:val="clear" w:color="auto" w:fill="auto"/>
          </w:tcPr>
          <w:p w14:paraId="6C6DB8E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98</w:t>
            </w:r>
          </w:p>
        </w:tc>
        <w:tc>
          <w:tcPr>
            <w:tcW w:w="590" w:type="pct"/>
            <w:tcBorders>
              <w:top w:val="nil"/>
              <w:left w:val="nil"/>
              <w:bottom w:val="nil"/>
              <w:right w:val="nil"/>
            </w:tcBorders>
            <w:shd w:val="clear" w:color="auto" w:fill="auto"/>
          </w:tcPr>
          <w:p w14:paraId="485B035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105</w:t>
            </w:r>
          </w:p>
        </w:tc>
      </w:tr>
      <w:tr w:rsidR="00B71828" w:rsidRPr="00285370" w14:paraId="55F6A930" w14:textId="77777777" w:rsidTr="00C52D24">
        <w:trPr>
          <w:trHeight w:val="20"/>
        </w:trPr>
        <w:tc>
          <w:tcPr>
            <w:tcW w:w="2627" w:type="pct"/>
            <w:shd w:val="clear" w:color="auto" w:fill="auto"/>
          </w:tcPr>
          <w:p w14:paraId="7A9B5D96" w14:textId="77777777" w:rsidR="00B71828" w:rsidRPr="00425967" w:rsidRDefault="00B71828" w:rsidP="00C52D24">
            <w:pPr>
              <w:pStyle w:val="Btabletextunbold"/>
              <w:rPr>
                <w:lang w:eastAsia="en-AU"/>
              </w:rPr>
            </w:pPr>
            <w:r w:rsidRPr="00425967">
              <w:rPr>
                <w:lang w:eastAsia="en-AU"/>
              </w:rPr>
              <w:t>Office of the Legislative Assembly</w:t>
            </w:r>
          </w:p>
        </w:tc>
        <w:tc>
          <w:tcPr>
            <w:tcW w:w="595" w:type="pct"/>
            <w:tcBorders>
              <w:top w:val="nil"/>
              <w:left w:val="nil"/>
              <w:bottom w:val="nil"/>
              <w:right w:val="nil"/>
            </w:tcBorders>
            <w:shd w:val="clear" w:color="auto" w:fill="auto"/>
          </w:tcPr>
          <w:p w14:paraId="3562357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52</w:t>
            </w:r>
          </w:p>
        </w:tc>
        <w:tc>
          <w:tcPr>
            <w:tcW w:w="594" w:type="pct"/>
            <w:tcBorders>
              <w:top w:val="nil"/>
              <w:left w:val="nil"/>
              <w:bottom w:val="nil"/>
              <w:right w:val="nil"/>
            </w:tcBorders>
            <w:shd w:val="clear" w:color="auto" w:fill="auto"/>
          </w:tcPr>
          <w:p w14:paraId="13A9ADF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52</w:t>
            </w:r>
          </w:p>
        </w:tc>
        <w:tc>
          <w:tcPr>
            <w:tcW w:w="594" w:type="pct"/>
            <w:tcBorders>
              <w:top w:val="nil"/>
              <w:left w:val="nil"/>
              <w:bottom w:val="nil"/>
              <w:right w:val="nil"/>
            </w:tcBorders>
            <w:shd w:val="clear" w:color="auto" w:fill="auto"/>
          </w:tcPr>
          <w:p w14:paraId="6F84664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55</w:t>
            </w:r>
          </w:p>
        </w:tc>
        <w:tc>
          <w:tcPr>
            <w:tcW w:w="590" w:type="pct"/>
            <w:tcBorders>
              <w:top w:val="nil"/>
              <w:left w:val="nil"/>
              <w:bottom w:val="nil"/>
              <w:right w:val="nil"/>
            </w:tcBorders>
            <w:shd w:val="clear" w:color="auto" w:fill="auto"/>
          </w:tcPr>
          <w:p w14:paraId="45548171"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55</w:t>
            </w:r>
          </w:p>
        </w:tc>
      </w:tr>
      <w:tr w:rsidR="00B71828" w:rsidRPr="00285370" w14:paraId="0203D284" w14:textId="77777777" w:rsidTr="00C52D24">
        <w:trPr>
          <w:trHeight w:val="20"/>
        </w:trPr>
        <w:tc>
          <w:tcPr>
            <w:tcW w:w="2627" w:type="pct"/>
            <w:shd w:val="clear" w:color="auto" w:fill="auto"/>
          </w:tcPr>
          <w:p w14:paraId="72C567CF" w14:textId="77777777" w:rsidR="00B71828" w:rsidRPr="00425967" w:rsidRDefault="00B71828" w:rsidP="00C52D24">
            <w:pPr>
              <w:pStyle w:val="Btabletextunbold"/>
              <w:rPr>
                <w:lang w:eastAsia="en-AU"/>
              </w:rPr>
            </w:pPr>
            <w:r w:rsidRPr="00425967">
              <w:rPr>
                <w:lang w:eastAsia="en-AU"/>
              </w:rPr>
              <w:t>Major Projects Canberra</w:t>
            </w:r>
          </w:p>
        </w:tc>
        <w:tc>
          <w:tcPr>
            <w:tcW w:w="595" w:type="pct"/>
            <w:tcBorders>
              <w:top w:val="nil"/>
              <w:left w:val="nil"/>
              <w:bottom w:val="nil"/>
              <w:right w:val="nil"/>
            </w:tcBorders>
            <w:shd w:val="clear" w:color="auto" w:fill="auto"/>
          </w:tcPr>
          <w:p w14:paraId="1A2C5415"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166</w:t>
            </w:r>
          </w:p>
        </w:tc>
        <w:tc>
          <w:tcPr>
            <w:tcW w:w="594" w:type="pct"/>
            <w:tcBorders>
              <w:top w:val="nil"/>
              <w:left w:val="nil"/>
              <w:bottom w:val="nil"/>
              <w:right w:val="nil"/>
            </w:tcBorders>
            <w:shd w:val="clear" w:color="auto" w:fill="auto"/>
          </w:tcPr>
          <w:p w14:paraId="31A2620D"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193</w:t>
            </w:r>
          </w:p>
        </w:tc>
        <w:tc>
          <w:tcPr>
            <w:tcW w:w="594" w:type="pct"/>
            <w:tcBorders>
              <w:top w:val="nil"/>
              <w:left w:val="nil"/>
              <w:bottom w:val="nil"/>
              <w:right w:val="nil"/>
            </w:tcBorders>
            <w:shd w:val="clear" w:color="auto" w:fill="auto"/>
          </w:tcPr>
          <w:p w14:paraId="3D985DF2"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202</w:t>
            </w:r>
          </w:p>
        </w:tc>
        <w:tc>
          <w:tcPr>
            <w:tcW w:w="590" w:type="pct"/>
            <w:tcBorders>
              <w:top w:val="nil"/>
              <w:left w:val="nil"/>
              <w:bottom w:val="nil"/>
              <w:right w:val="nil"/>
            </w:tcBorders>
            <w:shd w:val="clear" w:color="auto" w:fill="auto"/>
          </w:tcPr>
          <w:p w14:paraId="1958E2D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219</w:t>
            </w:r>
          </w:p>
        </w:tc>
      </w:tr>
      <w:tr w:rsidR="00B71828" w:rsidRPr="00285370" w14:paraId="5C45B87C" w14:textId="77777777" w:rsidTr="00C52D24">
        <w:trPr>
          <w:trHeight w:val="20"/>
        </w:trPr>
        <w:tc>
          <w:tcPr>
            <w:tcW w:w="2627" w:type="pct"/>
            <w:shd w:val="clear" w:color="auto" w:fill="auto"/>
          </w:tcPr>
          <w:p w14:paraId="67AFB518" w14:textId="77777777" w:rsidR="00B71828" w:rsidRPr="00425967" w:rsidRDefault="00B71828" w:rsidP="00C52D24">
            <w:pPr>
              <w:pStyle w:val="Btabletextunbold"/>
              <w:rPr>
                <w:lang w:eastAsia="en-AU"/>
              </w:rPr>
            </w:pPr>
            <w:r w:rsidRPr="00425967">
              <w:rPr>
                <w:lang w:eastAsia="en-AU"/>
              </w:rPr>
              <w:t>Public Trustee and Guardian</w:t>
            </w:r>
          </w:p>
        </w:tc>
        <w:tc>
          <w:tcPr>
            <w:tcW w:w="595" w:type="pct"/>
            <w:tcBorders>
              <w:top w:val="nil"/>
              <w:left w:val="nil"/>
              <w:bottom w:val="nil"/>
              <w:right w:val="nil"/>
            </w:tcBorders>
            <w:shd w:val="clear" w:color="auto" w:fill="auto"/>
          </w:tcPr>
          <w:p w14:paraId="5AC33AD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61</w:t>
            </w:r>
          </w:p>
        </w:tc>
        <w:tc>
          <w:tcPr>
            <w:tcW w:w="594" w:type="pct"/>
            <w:tcBorders>
              <w:top w:val="nil"/>
              <w:left w:val="nil"/>
              <w:bottom w:val="nil"/>
              <w:right w:val="nil"/>
            </w:tcBorders>
            <w:shd w:val="clear" w:color="auto" w:fill="auto"/>
          </w:tcPr>
          <w:p w14:paraId="0EB4B115"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64</w:t>
            </w:r>
          </w:p>
        </w:tc>
        <w:tc>
          <w:tcPr>
            <w:tcW w:w="594" w:type="pct"/>
            <w:tcBorders>
              <w:top w:val="nil"/>
              <w:left w:val="nil"/>
              <w:bottom w:val="nil"/>
              <w:right w:val="nil"/>
            </w:tcBorders>
            <w:shd w:val="clear" w:color="auto" w:fill="auto"/>
          </w:tcPr>
          <w:p w14:paraId="44FA32D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66</w:t>
            </w:r>
          </w:p>
        </w:tc>
        <w:tc>
          <w:tcPr>
            <w:tcW w:w="590" w:type="pct"/>
            <w:tcBorders>
              <w:top w:val="nil"/>
              <w:left w:val="nil"/>
              <w:bottom w:val="nil"/>
              <w:right w:val="nil"/>
            </w:tcBorders>
            <w:shd w:val="clear" w:color="auto" w:fill="auto"/>
          </w:tcPr>
          <w:p w14:paraId="4D7D557F"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61</w:t>
            </w:r>
          </w:p>
        </w:tc>
      </w:tr>
      <w:tr w:rsidR="00B71828" w:rsidRPr="00285370" w14:paraId="14E36D3E" w14:textId="77777777" w:rsidTr="00C52D24">
        <w:trPr>
          <w:trHeight w:val="20"/>
        </w:trPr>
        <w:tc>
          <w:tcPr>
            <w:tcW w:w="2627" w:type="pct"/>
            <w:shd w:val="clear" w:color="auto" w:fill="auto"/>
          </w:tcPr>
          <w:p w14:paraId="79C35498" w14:textId="77777777" w:rsidR="00B71828" w:rsidRPr="00425967" w:rsidRDefault="00B71828" w:rsidP="00C52D24">
            <w:pPr>
              <w:pStyle w:val="Btabletextunbold"/>
              <w:rPr>
                <w:lang w:eastAsia="en-AU"/>
              </w:rPr>
            </w:pPr>
            <w:r w:rsidRPr="00425967">
              <w:rPr>
                <w:lang w:eastAsia="en-AU"/>
              </w:rPr>
              <w:t>Suburban Land Agency</w:t>
            </w:r>
          </w:p>
        </w:tc>
        <w:tc>
          <w:tcPr>
            <w:tcW w:w="595" w:type="pct"/>
            <w:tcBorders>
              <w:top w:val="nil"/>
              <w:left w:val="nil"/>
              <w:bottom w:val="nil"/>
              <w:right w:val="nil"/>
            </w:tcBorders>
            <w:shd w:val="clear" w:color="auto" w:fill="auto"/>
          </w:tcPr>
          <w:p w14:paraId="55914C7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108</w:t>
            </w:r>
          </w:p>
        </w:tc>
        <w:tc>
          <w:tcPr>
            <w:tcW w:w="594" w:type="pct"/>
            <w:tcBorders>
              <w:top w:val="nil"/>
              <w:left w:val="nil"/>
              <w:bottom w:val="nil"/>
              <w:right w:val="nil"/>
            </w:tcBorders>
            <w:shd w:val="clear" w:color="auto" w:fill="auto"/>
          </w:tcPr>
          <w:p w14:paraId="422F7E2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121</w:t>
            </w:r>
          </w:p>
        </w:tc>
        <w:tc>
          <w:tcPr>
            <w:tcW w:w="594" w:type="pct"/>
            <w:tcBorders>
              <w:top w:val="nil"/>
              <w:left w:val="nil"/>
              <w:bottom w:val="nil"/>
              <w:right w:val="nil"/>
            </w:tcBorders>
            <w:shd w:val="clear" w:color="auto" w:fill="auto"/>
          </w:tcPr>
          <w:p w14:paraId="33082B0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118</w:t>
            </w:r>
          </w:p>
        </w:tc>
        <w:tc>
          <w:tcPr>
            <w:tcW w:w="590" w:type="pct"/>
            <w:tcBorders>
              <w:top w:val="nil"/>
              <w:left w:val="nil"/>
              <w:bottom w:val="nil"/>
              <w:right w:val="nil"/>
            </w:tcBorders>
            <w:shd w:val="clear" w:color="auto" w:fill="auto"/>
          </w:tcPr>
          <w:p w14:paraId="5B66E17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134</w:t>
            </w:r>
          </w:p>
        </w:tc>
      </w:tr>
      <w:tr w:rsidR="00B71828" w:rsidRPr="00285370" w14:paraId="249D68B2" w14:textId="77777777" w:rsidTr="00C52D24">
        <w:trPr>
          <w:trHeight w:val="20"/>
        </w:trPr>
        <w:tc>
          <w:tcPr>
            <w:tcW w:w="2627" w:type="pct"/>
            <w:shd w:val="clear" w:color="auto" w:fill="auto"/>
          </w:tcPr>
          <w:p w14:paraId="73E2980C" w14:textId="77777777" w:rsidR="00B71828" w:rsidRPr="00425967" w:rsidRDefault="00B71828" w:rsidP="00C52D24">
            <w:pPr>
              <w:pStyle w:val="Btabletextunbold"/>
              <w:rPr>
                <w:lang w:eastAsia="en-AU"/>
              </w:rPr>
            </w:pPr>
            <w:r w:rsidRPr="00425967">
              <w:rPr>
                <w:lang w:eastAsia="en-AU"/>
              </w:rPr>
              <w:t>Transport Canberra and City Services Directorate</w:t>
            </w:r>
          </w:p>
        </w:tc>
        <w:tc>
          <w:tcPr>
            <w:tcW w:w="595" w:type="pct"/>
            <w:tcBorders>
              <w:top w:val="nil"/>
              <w:left w:val="nil"/>
              <w:bottom w:val="nil"/>
              <w:right w:val="nil"/>
            </w:tcBorders>
            <w:shd w:val="clear" w:color="auto" w:fill="auto"/>
          </w:tcPr>
          <w:p w14:paraId="56EFEAD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958</w:t>
            </w:r>
          </w:p>
        </w:tc>
        <w:tc>
          <w:tcPr>
            <w:tcW w:w="594" w:type="pct"/>
            <w:tcBorders>
              <w:top w:val="nil"/>
              <w:left w:val="nil"/>
              <w:bottom w:val="nil"/>
              <w:right w:val="nil"/>
            </w:tcBorders>
            <w:shd w:val="clear" w:color="auto" w:fill="auto"/>
          </w:tcPr>
          <w:p w14:paraId="4D11E65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1,021</w:t>
            </w:r>
          </w:p>
        </w:tc>
        <w:tc>
          <w:tcPr>
            <w:tcW w:w="594" w:type="pct"/>
            <w:tcBorders>
              <w:top w:val="nil"/>
              <w:left w:val="nil"/>
              <w:bottom w:val="nil"/>
              <w:right w:val="nil"/>
            </w:tcBorders>
            <w:shd w:val="clear" w:color="auto" w:fill="auto"/>
          </w:tcPr>
          <w:p w14:paraId="42BE9170"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1,067</w:t>
            </w:r>
          </w:p>
        </w:tc>
        <w:tc>
          <w:tcPr>
            <w:tcW w:w="590" w:type="pct"/>
            <w:tcBorders>
              <w:top w:val="nil"/>
              <w:left w:val="nil"/>
              <w:bottom w:val="nil"/>
              <w:right w:val="nil"/>
            </w:tcBorders>
            <w:shd w:val="clear" w:color="auto" w:fill="auto"/>
          </w:tcPr>
          <w:p w14:paraId="23DE5CDE"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958</w:t>
            </w:r>
          </w:p>
        </w:tc>
      </w:tr>
      <w:tr w:rsidR="00B71828" w:rsidRPr="00285370" w14:paraId="791D98CA" w14:textId="77777777" w:rsidTr="00C52D24">
        <w:trPr>
          <w:trHeight w:val="20"/>
        </w:trPr>
        <w:tc>
          <w:tcPr>
            <w:tcW w:w="2627" w:type="pct"/>
            <w:shd w:val="clear" w:color="auto" w:fill="auto"/>
          </w:tcPr>
          <w:p w14:paraId="45C64968" w14:textId="77777777" w:rsidR="00B71828" w:rsidRPr="00425967" w:rsidRDefault="00B71828" w:rsidP="00C52D24">
            <w:pPr>
              <w:pStyle w:val="Btabletextunbold"/>
              <w:rPr>
                <w:lang w:eastAsia="en-AU"/>
              </w:rPr>
            </w:pPr>
            <w:r w:rsidRPr="00425967">
              <w:rPr>
                <w:lang w:eastAsia="en-AU"/>
              </w:rPr>
              <w:t xml:space="preserve">Transport Canberra Operations </w:t>
            </w:r>
          </w:p>
        </w:tc>
        <w:tc>
          <w:tcPr>
            <w:tcW w:w="595" w:type="pct"/>
            <w:tcBorders>
              <w:top w:val="nil"/>
              <w:left w:val="nil"/>
              <w:bottom w:val="nil"/>
              <w:right w:val="nil"/>
            </w:tcBorders>
            <w:shd w:val="clear" w:color="auto" w:fill="auto"/>
          </w:tcPr>
          <w:p w14:paraId="62FB0554"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929</w:t>
            </w:r>
          </w:p>
        </w:tc>
        <w:tc>
          <w:tcPr>
            <w:tcW w:w="594" w:type="pct"/>
            <w:tcBorders>
              <w:top w:val="nil"/>
              <w:left w:val="nil"/>
              <w:bottom w:val="nil"/>
              <w:right w:val="nil"/>
            </w:tcBorders>
            <w:shd w:val="clear" w:color="auto" w:fill="auto"/>
          </w:tcPr>
          <w:p w14:paraId="53084C98"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978</w:t>
            </w:r>
          </w:p>
        </w:tc>
        <w:tc>
          <w:tcPr>
            <w:tcW w:w="594" w:type="pct"/>
            <w:tcBorders>
              <w:top w:val="nil"/>
              <w:left w:val="nil"/>
              <w:bottom w:val="nil"/>
              <w:right w:val="nil"/>
            </w:tcBorders>
            <w:shd w:val="clear" w:color="auto" w:fill="auto"/>
          </w:tcPr>
          <w:p w14:paraId="006F3E56"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1,016</w:t>
            </w:r>
          </w:p>
        </w:tc>
        <w:tc>
          <w:tcPr>
            <w:tcW w:w="590" w:type="pct"/>
            <w:tcBorders>
              <w:top w:val="nil"/>
              <w:left w:val="nil"/>
              <w:bottom w:val="nil"/>
              <w:right w:val="nil"/>
            </w:tcBorders>
            <w:shd w:val="clear" w:color="auto" w:fill="auto"/>
          </w:tcPr>
          <w:p w14:paraId="46B717E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978</w:t>
            </w:r>
          </w:p>
        </w:tc>
      </w:tr>
      <w:tr w:rsidR="00B71828" w:rsidRPr="00285370" w14:paraId="0E98D0CB" w14:textId="77777777" w:rsidTr="00C52D24">
        <w:trPr>
          <w:trHeight w:val="20"/>
        </w:trPr>
        <w:tc>
          <w:tcPr>
            <w:tcW w:w="2627" w:type="pct"/>
            <w:shd w:val="clear" w:color="auto" w:fill="auto"/>
          </w:tcPr>
          <w:p w14:paraId="7F7B83CD" w14:textId="77777777" w:rsidR="00B71828" w:rsidRPr="00425967" w:rsidRDefault="00B71828" w:rsidP="00C52D24">
            <w:pPr>
              <w:pStyle w:val="Btabletextunbold"/>
              <w:rPr>
                <w:lang w:eastAsia="en-AU"/>
              </w:rPr>
            </w:pPr>
            <w:r w:rsidRPr="00425967">
              <w:rPr>
                <w:lang w:eastAsia="en-AU"/>
              </w:rPr>
              <w:t>Office of the Work Health and Safety Commissioner (Work</w:t>
            </w:r>
            <w:r>
              <w:rPr>
                <w:lang w:eastAsia="en-AU"/>
              </w:rPr>
              <w:t>S</w:t>
            </w:r>
            <w:r w:rsidRPr="00425967">
              <w:rPr>
                <w:lang w:eastAsia="en-AU"/>
              </w:rPr>
              <w:t>afe ACT)</w:t>
            </w:r>
          </w:p>
        </w:tc>
        <w:tc>
          <w:tcPr>
            <w:tcW w:w="595" w:type="pct"/>
            <w:tcBorders>
              <w:top w:val="nil"/>
              <w:left w:val="nil"/>
              <w:bottom w:val="nil"/>
              <w:right w:val="nil"/>
            </w:tcBorders>
            <w:shd w:val="clear" w:color="auto" w:fill="auto"/>
          </w:tcPr>
          <w:p w14:paraId="407C4A95"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0</w:t>
            </w:r>
          </w:p>
        </w:tc>
        <w:tc>
          <w:tcPr>
            <w:tcW w:w="594" w:type="pct"/>
            <w:tcBorders>
              <w:top w:val="nil"/>
              <w:left w:val="nil"/>
              <w:bottom w:val="nil"/>
              <w:right w:val="nil"/>
            </w:tcBorders>
            <w:shd w:val="clear" w:color="auto" w:fill="auto"/>
          </w:tcPr>
          <w:p w14:paraId="7B45FA6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53</w:t>
            </w:r>
          </w:p>
        </w:tc>
        <w:tc>
          <w:tcPr>
            <w:tcW w:w="594" w:type="pct"/>
            <w:tcBorders>
              <w:top w:val="nil"/>
              <w:left w:val="nil"/>
              <w:bottom w:val="nil"/>
              <w:right w:val="nil"/>
            </w:tcBorders>
            <w:shd w:val="clear" w:color="auto" w:fill="auto"/>
          </w:tcPr>
          <w:p w14:paraId="46A39403"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58</w:t>
            </w:r>
          </w:p>
        </w:tc>
        <w:tc>
          <w:tcPr>
            <w:tcW w:w="590" w:type="pct"/>
            <w:tcBorders>
              <w:top w:val="nil"/>
              <w:left w:val="nil"/>
              <w:bottom w:val="nil"/>
              <w:right w:val="nil"/>
            </w:tcBorders>
            <w:shd w:val="clear" w:color="auto" w:fill="auto"/>
          </w:tcPr>
          <w:p w14:paraId="0C720E3C" w14:textId="77777777" w:rsidR="00B71828" w:rsidRPr="00285370" w:rsidRDefault="00B71828" w:rsidP="00C52D24">
            <w:pPr>
              <w:spacing w:after="0"/>
              <w:ind w:firstLineChars="100" w:firstLine="200"/>
              <w:jc w:val="right"/>
              <w:rPr>
                <w:color w:val="000000"/>
                <w:sz w:val="20"/>
                <w:lang w:eastAsia="en-AU"/>
              </w:rPr>
            </w:pPr>
            <w:r w:rsidRPr="00285370">
              <w:rPr>
                <w:color w:val="000000"/>
                <w:sz w:val="20"/>
                <w:lang w:eastAsia="en-AU"/>
              </w:rPr>
              <w:t>62</w:t>
            </w:r>
          </w:p>
        </w:tc>
      </w:tr>
      <w:tr w:rsidR="00B71828" w:rsidRPr="00264C7E" w14:paraId="1950B1B3" w14:textId="77777777" w:rsidTr="00C52D24">
        <w:trPr>
          <w:trHeight w:val="240"/>
        </w:trPr>
        <w:tc>
          <w:tcPr>
            <w:tcW w:w="2627" w:type="pct"/>
            <w:tcBorders>
              <w:top w:val="single" w:sz="8" w:space="0" w:color="auto"/>
              <w:left w:val="nil"/>
              <w:bottom w:val="single" w:sz="8" w:space="0" w:color="auto"/>
              <w:right w:val="nil"/>
            </w:tcBorders>
            <w:shd w:val="clear" w:color="000000" w:fill="D9D9D9"/>
            <w:vAlign w:val="center"/>
            <w:hideMark/>
          </w:tcPr>
          <w:p w14:paraId="178EA9AE" w14:textId="77777777" w:rsidR="00B71828" w:rsidRPr="008B0EA8" w:rsidRDefault="00B71828" w:rsidP="00C52D24">
            <w:pPr>
              <w:spacing w:after="0"/>
              <w:rPr>
                <w:b/>
                <w:bCs/>
                <w:color w:val="000000"/>
                <w:sz w:val="20"/>
                <w:lang w:eastAsia="en-AU"/>
              </w:rPr>
            </w:pPr>
            <w:r w:rsidRPr="008B0EA8">
              <w:rPr>
                <w:b/>
                <w:bCs/>
                <w:color w:val="000000"/>
                <w:sz w:val="20"/>
                <w:lang w:eastAsia="en-AU"/>
              </w:rPr>
              <w:t>Total Government agencies</w:t>
            </w:r>
          </w:p>
        </w:tc>
        <w:tc>
          <w:tcPr>
            <w:tcW w:w="595" w:type="pct"/>
            <w:tcBorders>
              <w:top w:val="single" w:sz="8" w:space="0" w:color="auto"/>
              <w:left w:val="nil"/>
              <w:bottom w:val="single" w:sz="8" w:space="0" w:color="auto"/>
              <w:right w:val="nil"/>
            </w:tcBorders>
            <w:shd w:val="clear" w:color="000000" w:fill="D9D9D9"/>
            <w:vAlign w:val="center"/>
          </w:tcPr>
          <w:p w14:paraId="571038F3"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22,632</w:t>
            </w:r>
          </w:p>
        </w:tc>
        <w:tc>
          <w:tcPr>
            <w:tcW w:w="594" w:type="pct"/>
            <w:tcBorders>
              <w:top w:val="single" w:sz="8" w:space="0" w:color="auto"/>
              <w:left w:val="nil"/>
              <w:bottom w:val="single" w:sz="8" w:space="0" w:color="auto"/>
              <w:right w:val="nil"/>
            </w:tcBorders>
            <w:shd w:val="clear" w:color="000000" w:fill="D9D9D9"/>
            <w:vAlign w:val="center"/>
          </w:tcPr>
          <w:p w14:paraId="246599B8"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23,400</w:t>
            </w:r>
          </w:p>
        </w:tc>
        <w:tc>
          <w:tcPr>
            <w:tcW w:w="594" w:type="pct"/>
            <w:tcBorders>
              <w:top w:val="single" w:sz="8" w:space="0" w:color="auto"/>
              <w:left w:val="nil"/>
              <w:bottom w:val="single" w:sz="8" w:space="0" w:color="auto"/>
              <w:right w:val="nil"/>
            </w:tcBorders>
            <w:shd w:val="clear" w:color="000000" w:fill="D9D9D9"/>
            <w:vAlign w:val="center"/>
          </w:tcPr>
          <w:p w14:paraId="68C700B5"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24,161</w:t>
            </w:r>
          </w:p>
        </w:tc>
        <w:tc>
          <w:tcPr>
            <w:tcW w:w="590" w:type="pct"/>
            <w:tcBorders>
              <w:top w:val="single" w:sz="8" w:space="0" w:color="auto"/>
              <w:left w:val="nil"/>
              <w:bottom w:val="single" w:sz="8" w:space="0" w:color="auto"/>
              <w:right w:val="nil"/>
            </w:tcBorders>
            <w:shd w:val="clear" w:color="000000" w:fill="D9D9D9"/>
            <w:vAlign w:val="center"/>
          </w:tcPr>
          <w:p w14:paraId="357309EE"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24,141</w:t>
            </w:r>
          </w:p>
        </w:tc>
      </w:tr>
      <w:tr w:rsidR="00B71828" w:rsidRPr="00264C7E" w14:paraId="46BDD01C" w14:textId="77777777" w:rsidTr="00C52D24">
        <w:trPr>
          <w:trHeight w:val="454"/>
        </w:trPr>
        <w:tc>
          <w:tcPr>
            <w:tcW w:w="2627" w:type="pct"/>
            <w:tcBorders>
              <w:top w:val="nil"/>
              <w:left w:val="nil"/>
              <w:bottom w:val="nil"/>
              <w:right w:val="nil"/>
            </w:tcBorders>
            <w:shd w:val="clear" w:color="auto" w:fill="auto"/>
            <w:vAlign w:val="bottom"/>
            <w:hideMark/>
          </w:tcPr>
          <w:p w14:paraId="47BDE962" w14:textId="77777777" w:rsidR="00B71828" w:rsidRPr="008B0EA8" w:rsidRDefault="00B71828" w:rsidP="00C52D24">
            <w:pPr>
              <w:spacing w:after="0"/>
              <w:rPr>
                <w:b/>
                <w:bCs/>
                <w:color w:val="000000"/>
                <w:sz w:val="20"/>
                <w:lang w:eastAsia="en-AU"/>
              </w:rPr>
            </w:pPr>
            <w:r w:rsidRPr="008B0EA8">
              <w:rPr>
                <w:b/>
                <w:bCs/>
                <w:color w:val="000000"/>
                <w:sz w:val="20"/>
                <w:lang w:eastAsia="en-AU"/>
              </w:rPr>
              <w:t>Government Business Enterprises</w:t>
            </w:r>
          </w:p>
        </w:tc>
        <w:tc>
          <w:tcPr>
            <w:tcW w:w="595" w:type="pct"/>
            <w:tcBorders>
              <w:top w:val="nil"/>
              <w:left w:val="nil"/>
              <w:bottom w:val="nil"/>
              <w:right w:val="nil"/>
            </w:tcBorders>
            <w:shd w:val="clear" w:color="auto" w:fill="auto"/>
            <w:vAlign w:val="center"/>
            <w:hideMark/>
          </w:tcPr>
          <w:p w14:paraId="5BAF27C5" w14:textId="77777777" w:rsidR="00B71828" w:rsidRPr="00264C7E" w:rsidRDefault="00B71828" w:rsidP="00C52D24">
            <w:pPr>
              <w:pStyle w:val="EmptyCell0"/>
              <w:rPr>
                <w:lang w:eastAsia="en-AU"/>
              </w:rPr>
            </w:pPr>
          </w:p>
        </w:tc>
        <w:tc>
          <w:tcPr>
            <w:tcW w:w="594" w:type="pct"/>
            <w:tcBorders>
              <w:top w:val="nil"/>
              <w:left w:val="nil"/>
              <w:bottom w:val="nil"/>
              <w:right w:val="nil"/>
            </w:tcBorders>
            <w:shd w:val="clear" w:color="auto" w:fill="auto"/>
            <w:vAlign w:val="center"/>
            <w:hideMark/>
          </w:tcPr>
          <w:p w14:paraId="6995A23B" w14:textId="77777777" w:rsidR="00B71828" w:rsidRPr="00264C7E" w:rsidRDefault="00B71828" w:rsidP="00C52D24">
            <w:pPr>
              <w:pStyle w:val="EmptyCell0"/>
              <w:rPr>
                <w:rFonts w:ascii="Times New Roman" w:hAnsi="Times New Roman"/>
                <w:lang w:eastAsia="en-AU"/>
              </w:rPr>
            </w:pPr>
          </w:p>
        </w:tc>
        <w:tc>
          <w:tcPr>
            <w:tcW w:w="594" w:type="pct"/>
            <w:tcBorders>
              <w:top w:val="nil"/>
              <w:left w:val="nil"/>
              <w:bottom w:val="nil"/>
              <w:right w:val="nil"/>
            </w:tcBorders>
            <w:shd w:val="clear" w:color="auto" w:fill="auto"/>
            <w:vAlign w:val="center"/>
            <w:hideMark/>
          </w:tcPr>
          <w:p w14:paraId="2C7DA054" w14:textId="77777777" w:rsidR="00B71828" w:rsidRPr="00264C7E" w:rsidRDefault="00B71828" w:rsidP="00C52D24">
            <w:pPr>
              <w:pStyle w:val="EmptyCell0"/>
              <w:rPr>
                <w:rFonts w:ascii="Times New Roman" w:hAnsi="Times New Roman"/>
                <w:lang w:eastAsia="en-AU"/>
              </w:rPr>
            </w:pPr>
          </w:p>
        </w:tc>
        <w:tc>
          <w:tcPr>
            <w:tcW w:w="590" w:type="pct"/>
            <w:tcBorders>
              <w:top w:val="nil"/>
              <w:left w:val="nil"/>
              <w:bottom w:val="nil"/>
              <w:right w:val="nil"/>
            </w:tcBorders>
            <w:shd w:val="clear" w:color="auto" w:fill="auto"/>
            <w:vAlign w:val="center"/>
            <w:hideMark/>
          </w:tcPr>
          <w:p w14:paraId="6A7C89C2" w14:textId="77777777" w:rsidR="00B71828" w:rsidRPr="00264C7E" w:rsidRDefault="00B71828" w:rsidP="00C52D24">
            <w:pPr>
              <w:pStyle w:val="EmptyCell0"/>
              <w:rPr>
                <w:rFonts w:ascii="Times New Roman" w:hAnsi="Times New Roman"/>
                <w:lang w:eastAsia="en-AU"/>
              </w:rPr>
            </w:pPr>
          </w:p>
        </w:tc>
      </w:tr>
      <w:tr w:rsidR="00B71828" w:rsidRPr="00264C7E" w14:paraId="79D0A8A2" w14:textId="77777777" w:rsidTr="00C52D24">
        <w:trPr>
          <w:trHeight w:val="240"/>
        </w:trPr>
        <w:tc>
          <w:tcPr>
            <w:tcW w:w="2627" w:type="pct"/>
            <w:tcBorders>
              <w:top w:val="nil"/>
              <w:left w:val="nil"/>
              <w:bottom w:val="nil"/>
              <w:right w:val="nil"/>
            </w:tcBorders>
            <w:shd w:val="clear" w:color="auto" w:fill="auto"/>
            <w:vAlign w:val="center"/>
          </w:tcPr>
          <w:p w14:paraId="7AE5ACF1" w14:textId="77777777" w:rsidR="00B71828" w:rsidRPr="008B0EA8" w:rsidRDefault="00B71828" w:rsidP="00C52D24">
            <w:pPr>
              <w:spacing w:after="0"/>
              <w:rPr>
                <w:color w:val="000000"/>
                <w:sz w:val="20"/>
                <w:lang w:eastAsia="en-AU"/>
              </w:rPr>
            </w:pPr>
            <w:r>
              <w:rPr>
                <w:rFonts w:ascii="Calibri" w:hAnsi="Calibri" w:cs="Calibri"/>
                <w:color w:val="000000"/>
                <w:sz w:val="20"/>
                <w:szCs w:val="20"/>
              </w:rPr>
              <w:t>CIT Solutions Pty Ltd</w:t>
            </w:r>
          </w:p>
        </w:tc>
        <w:tc>
          <w:tcPr>
            <w:tcW w:w="595" w:type="pct"/>
            <w:tcBorders>
              <w:top w:val="nil"/>
              <w:left w:val="nil"/>
              <w:bottom w:val="nil"/>
              <w:right w:val="nil"/>
            </w:tcBorders>
            <w:shd w:val="clear" w:color="auto" w:fill="auto"/>
            <w:vAlign w:val="center"/>
          </w:tcPr>
          <w:p w14:paraId="58289388"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105</w:t>
            </w:r>
          </w:p>
        </w:tc>
        <w:tc>
          <w:tcPr>
            <w:tcW w:w="594" w:type="pct"/>
            <w:tcBorders>
              <w:top w:val="nil"/>
              <w:left w:val="nil"/>
              <w:bottom w:val="nil"/>
              <w:right w:val="nil"/>
            </w:tcBorders>
            <w:shd w:val="clear" w:color="auto" w:fill="auto"/>
            <w:vAlign w:val="center"/>
          </w:tcPr>
          <w:p w14:paraId="27B0BD85"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106</w:t>
            </w:r>
          </w:p>
        </w:tc>
        <w:tc>
          <w:tcPr>
            <w:tcW w:w="594" w:type="pct"/>
            <w:tcBorders>
              <w:top w:val="nil"/>
              <w:left w:val="nil"/>
              <w:bottom w:val="nil"/>
              <w:right w:val="nil"/>
            </w:tcBorders>
            <w:shd w:val="clear" w:color="auto" w:fill="auto"/>
            <w:vAlign w:val="center"/>
          </w:tcPr>
          <w:p w14:paraId="42636D7C"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94</w:t>
            </w:r>
          </w:p>
        </w:tc>
        <w:tc>
          <w:tcPr>
            <w:tcW w:w="590" w:type="pct"/>
            <w:tcBorders>
              <w:top w:val="nil"/>
              <w:left w:val="nil"/>
              <w:bottom w:val="nil"/>
              <w:right w:val="nil"/>
            </w:tcBorders>
            <w:shd w:val="clear" w:color="auto" w:fill="auto"/>
            <w:vAlign w:val="center"/>
          </w:tcPr>
          <w:p w14:paraId="7B6C0389"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106</w:t>
            </w:r>
          </w:p>
        </w:tc>
      </w:tr>
      <w:tr w:rsidR="00B71828" w:rsidRPr="00264C7E" w14:paraId="21CF89DC" w14:textId="77777777" w:rsidTr="00C52D24">
        <w:trPr>
          <w:trHeight w:val="240"/>
        </w:trPr>
        <w:tc>
          <w:tcPr>
            <w:tcW w:w="2627" w:type="pct"/>
            <w:tcBorders>
              <w:top w:val="nil"/>
              <w:left w:val="nil"/>
              <w:bottom w:val="nil"/>
              <w:right w:val="nil"/>
            </w:tcBorders>
            <w:shd w:val="clear" w:color="auto" w:fill="auto"/>
            <w:vAlign w:val="center"/>
          </w:tcPr>
          <w:p w14:paraId="54E25772" w14:textId="77777777" w:rsidR="00B71828" w:rsidRPr="008B0EA8" w:rsidRDefault="00B71828" w:rsidP="00C52D24">
            <w:pPr>
              <w:spacing w:after="0"/>
              <w:rPr>
                <w:color w:val="000000"/>
                <w:sz w:val="20"/>
                <w:lang w:eastAsia="en-AU"/>
              </w:rPr>
            </w:pPr>
            <w:r>
              <w:rPr>
                <w:rFonts w:ascii="Calibri" w:hAnsi="Calibri" w:cs="Calibri"/>
                <w:color w:val="000000"/>
                <w:sz w:val="20"/>
                <w:szCs w:val="20"/>
              </w:rPr>
              <w:t xml:space="preserve">Icon Water Limited </w:t>
            </w:r>
          </w:p>
        </w:tc>
        <w:tc>
          <w:tcPr>
            <w:tcW w:w="595" w:type="pct"/>
            <w:tcBorders>
              <w:top w:val="nil"/>
              <w:left w:val="nil"/>
              <w:bottom w:val="nil"/>
              <w:right w:val="nil"/>
            </w:tcBorders>
            <w:shd w:val="clear" w:color="auto" w:fill="auto"/>
            <w:vAlign w:val="center"/>
          </w:tcPr>
          <w:p w14:paraId="0A418F5A"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401</w:t>
            </w:r>
          </w:p>
        </w:tc>
        <w:tc>
          <w:tcPr>
            <w:tcW w:w="594" w:type="pct"/>
            <w:tcBorders>
              <w:top w:val="nil"/>
              <w:left w:val="nil"/>
              <w:bottom w:val="nil"/>
              <w:right w:val="nil"/>
            </w:tcBorders>
            <w:shd w:val="clear" w:color="auto" w:fill="auto"/>
            <w:vAlign w:val="center"/>
          </w:tcPr>
          <w:p w14:paraId="1025287F"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418</w:t>
            </w:r>
          </w:p>
        </w:tc>
        <w:tc>
          <w:tcPr>
            <w:tcW w:w="594" w:type="pct"/>
            <w:tcBorders>
              <w:top w:val="nil"/>
              <w:left w:val="nil"/>
              <w:bottom w:val="nil"/>
              <w:right w:val="nil"/>
            </w:tcBorders>
            <w:shd w:val="clear" w:color="auto" w:fill="auto"/>
            <w:vAlign w:val="center"/>
          </w:tcPr>
          <w:p w14:paraId="7C8F3779"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402</w:t>
            </w:r>
          </w:p>
        </w:tc>
        <w:tc>
          <w:tcPr>
            <w:tcW w:w="590" w:type="pct"/>
            <w:tcBorders>
              <w:top w:val="nil"/>
              <w:left w:val="nil"/>
              <w:bottom w:val="nil"/>
              <w:right w:val="nil"/>
            </w:tcBorders>
            <w:shd w:val="clear" w:color="auto" w:fill="auto"/>
            <w:vAlign w:val="center"/>
          </w:tcPr>
          <w:p w14:paraId="1D5004A9" w14:textId="77777777" w:rsidR="00B71828" w:rsidRPr="000D21D8" w:rsidRDefault="00B71828" w:rsidP="00C52D24">
            <w:pPr>
              <w:spacing w:after="0"/>
              <w:ind w:firstLineChars="100" w:firstLine="200"/>
              <w:jc w:val="right"/>
              <w:rPr>
                <w:color w:val="000000"/>
                <w:sz w:val="20"/>
                <w:highlight w:val="yellow"/>
                <w:lang w:eastAsia="en-AU"/>
              </w:rPr>
            </w:pPr>
            <w:r>
              <w:rPr>
                <w:rFonts w:ascii="Calibri" w:hAnsi="Calibri" w:cs="Calibri"/>
                <w:color w:val="000000"/>
                <w:sz w:val="20"/>
                <w:szCs w:val="20"/>
              </w:rPr>
              <w:t>426</w:t>
            </w:r>
          </w:p>
        </w:tc>
      </w:tr>
      <w:tr w:rsidR="00B71828" w:rsidRPr="00264C7E" w14:paraId="3EFC56EA" w14:textId="77777777" w:rsidTr="00C52D24">
        <w:trPr>
          <w:trHeight w:val="240"/>
        </w:trPr>
        <w:tc>
          <w:tcPr>
            <w:tcW w:w="2627" w:type="pct"/>
            <w:tcBorders>
              <w:top w:val="single" w:sz="8" w:space="0" w:color="auto"/>
              <w:left w:val="nil"/>
              <w:bottom w:val="single" w:sz="8" w:space="0" w:color="auto"/>
              <w:right w:val="nil"/>
            </w:tcBorders>
            <w:shd w:val="clear" w:color="000000" w:fill="D9D9D9"/>
            <w:vAlign w:val="center"/>
            <w:hideMark/>
          </w:tcPr>
          <w:p w14:paraId="31E874D2" w14:textId="77777777" w:rsidR="00B71828" w:rsidRPr="008B0EA8" w:rsidRDefault="00B71828" w:rsidP="00C52D24">
            <w:pPr>
              <w:spacing w:after="0"/>
              <w:rPr>
                <w:b/>
                <w:bCs/>
                <w:color w:val="000000"/>
                <w:sz w:val="20"/>
                <w:lang w:eastAsia="en-AU"/>
              </w:rPr>
            </w:pPr>
            <w:r w:rsidRPr="008B0EA8">
              <w:rPr>
                <w:b/>
                <w:bCs/>
                <w:color w:val="000000"/>
                <w:sz w:val="20"/>
                <w:lang w:eastAsia="en-AU"/>
              </w:rPr>
              <w:t>Total Government Business Enterprises</w:t>
            </w:r>
          </w:p>
        </w:tc>
        <w:tc>
          <w:tcPr>
            <w:tcW w:w="595" w:type="pct"/>
            <w:tcBorders>
              <w:top w:val="single" w:sz="8" w:space="0" w:color="auto"/>
              <w:left w:val="nil"/>
              <w:bottom w:val="single" w:sz="8" w:space="0" w:color="auto"/>
              <w:right w:val="nil"/>
            </w:tcBorders>
            <w:shd w:val="clear" w:color="000000" w:fill="D9D9D9"/>
            <w:vAlign w:val="center"/>
          </w:tcPr>
          <w:p w14:paraId="3DD66319"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506</w:t>
            </w:r>
          </w:p>
        </w:tc>
        <w:tc>
          <w:tcPr>
            <w:tcW w:w="594" w:type="pct"/>
            <w:tcBorders>
              <w:top w:val="single" w:sz="8" w:space="0" w:color="auto"/>
              <w:left w:val="nil"/>
              <w:bottom w:val="single" w:sz="8" w:space="0" w:color="auto"/>
              <w:right w:val="nil"/>
            </w:tcBorders>
            <w:shd w:val="clear" w:color="000000" w:fill="D9D9D9"/>
            <w:vAlign w:val="center"/>
          </w:tcPr>
          <w:p w14:paraId="64A48282"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524</w:t>
            </w:r>
          </w:p>
        </w:tc>
        <w:tc>
          <w:tcPr>
            <w:tcW w:w="594" w:type="pct"/>
            <w:tcBorders>
              <w:top w:val="single" w:sz="8" w:space="0" w:color="auto"/>
              <w:left w:val="nil"/>
              <w:bottom w:val="single" w:sz="8" w:space="0" w:color="auto"/>
              <w:right w:val="nil"/>
            </w:tcBorders>
            <w:shd w:val="clear" w:color="000000" w:fill="D9D9D9"/>
            <w:vAlign w:val="center"/>
          </w:tcPr>
          <w:p w14:paraId="162F998F"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496</w:t>
            </w:r>
          </w:p>
        </w:tc>
        <w:tc>
          <w:tcPr>
            <w:tcW w:w="590" w:type="pct"/>
            <w:tcBorders>
              <w:top w:val="single" w:sz="8" w:space="0" w:color="auto"/>
              <w:left w:val="nil"/>
              <w:bottom w:val="single" w:sz="8" w:space="0" w:color="auto"/>
              <w:right w:val="nil"/>
            </w:tcBorders>
            <w:shd w:val="clear" w:color="000000" w:fill="D9D9D9"/>
            <w:vAlign w:val="center"/>
          </w:tcPr>
          <w:p w14:paraId="3B22BEBE" w14:textId="77777777" w:rsidR="00B71828" w:rsidRPr="000D21D8" w:rsidRDefault="00B71828" w:rsidP="00C52D24">
            <w:pPr>
              <w:spacing w:after="0"/>
              <w:ind w:firstLineChars="100" w:firstLine="201"/>
              <w:jc w:val="right"/>
              <w:rPr>
                <w:b/>
                <w:bCs/>
                <w:color w:val="000000"/>
                <w:sz w:val="20"/>
                <w:highlight w:val="yellow"/>
                <w:lang w:eastAsia="en-AU"/>
              </w:rPr>
            </w:pPr>
            <w:r>
              <w:rPr>
                <w:rFonts w:ascii="Calibri" w:hAnsi="Calibri" w:cs="Calibri"/>
                <w:b/>
                <w:bCs/>
                <w:color w:val="000000"/>
                <w:sz w:val="20"/>
                <w:szCs w:val="20"/>
              </w:rPr>
              <w:t>532</w:t>
            </w:r>
          </w:p>
        </w:tc>
      </w:tr>
      <w:tr w:rsidR="00B71828" w:rsidRPr="00264C7E" w14:paraId="28226A2F" w14:textId="77777777" w:rsidTr="00C52D24">
        <w:trPr>
          <w:trHeight w:val="240"/>
        </w:trPr>
        <w:tc>
          <w:tcPr>
            <w:tcW w:w="2627" w:type="pct"/>
            <w:tcBorders>
              <w:top w:val="nil"/>
              <w:left w:val="nil"/>
              <w:bottom w:val="single" w:sz="8" w:space="0" w:color="auto"/>
              <w:right w:val="nil"/>
            </w:tcBorders>
            <w:shd w:val="clear" w:color="auto" w:fill="auto"/>
            <w:vAlign w:val="center"/>
            <w:hideMark/>
          </w:tcPr>
          <w:p w14:paraId="719F2B51" w14:textId="77777777" w:rsidR="00B71828" w:rsidRPr="008B0EA8" w:rsidRDefault="00B71828" w:rsidP="00C52D24">
            <w:pPr>
              <w:spacing w:after="0"/>
              <w:rPr>
                <w:b/>
                <w:bCs/>
                <w:color w:val="FFFFFF"/>
                <w:sz w:val="12"/>
                <w:szCs w:val="12"/>
                <w:lang w:eastAsia="en-AU"/>
              </w:rPr>
            </w:pPr>
            <w:r w:rsidRPr="008B0EA8">
              <w:rPr>
                <w:b/>
                <w:bCs/>
                <w:color w:val="FFFFFF"/>
                <w:sz w:val="12"/>
                <w:szCs w:val="12"/>
                <w:lang w:eastAsia="en-AU"/>
              </w:rPr>
              <w:t xml:space="preserve"> </w:t>
            </w:r>
          </w:p>
        </w:tc>
        <w:tc>
          <w:tcPr>
            <w:tcW w:w="595" w:type="pct"/>
            <w:tcBorders>
              <w:top w:val="nil"/>
              <w:left w:val="nil"/>
              <w:bottom w:val="single" w:sz="8" w:space="0" w:color="auto"/>
              <w:right w:val="nil"/>
            </w:tcBorders>
            <w:shd w:val="clear" w:color="auto" w:fill="auto"/>
            <w:vAlign w:val="center"/>
          </w:tcPr>
          <w:p w14:paraId="024DBA3D" w14:textId="77777777" w:rsidR="00B71828" w:rsidRPr="000D21D8" w:rsidRDefault="00B71828" w:rsidP="00C52D24">
            <w:pPr>
              <w:spacing w:after="0"/>
              <w:jc w:val="right"/>
              <w:rPr>
                <w:color w:val="FFFFFF"/>
                <w:sz w:val="12"/>
                <w:szCs w:val="12"/>
                <w:highlight w:val="yellow"/>
                <w:lang w:eastAsia="en-AU"/>
              </w:rPr>
            </w:pPr>
            <w:r>
              <w:rPr>
                <w:rFonts w:ascii="Calibri" w:hAnsi="Calibri" w:cs="Calibri"/>
                <w:color w:val="FFFFFF"/>
                <w:sz w:val="20"/>
                <w:szCs w:val="20"/>
              </w:rPr>
              <w:t> </w:t>
            </w:r>
          </w:p>
        </w:tc>
        <w:tc>
          <w:tcPr>
            <w:tcW w:w="594" w:type="pct"/>
            <w:tcBorders>
              <w:top w:val="nil"/>
              <w:left w:val="nil"/>
              <w:bottom w:val="single" w:sz="8" w:space="0" w:color="auto"/>
              <w:right w:val="nil"/>
            </w:tcBorders>
            <w:shd w:val="clear" w:color="auto" w:fill="auto"/>
            <w:vAlign w:val="center"/>
          </w:tcPr>
          <w:p w14:paraId="7AEE7AB7" w14:textId="77777777" w:rsidR="00B71828" w:rsidRPr="000D21D8" w:rsidRDefault="00B71828" w:rsidP="00C52D24">
            <w:pPr>
              <w:spacing w:after="0"/>
              <w:jc w:val="right"/>
              <w:rPr>
                <w:color w:val="FFFFFF"/>
                <w:sz w:val="12"/>
                <w:szCs w:val="12"/>
                <w:highlight w:val="yellow"/>
                <w:lang w:eastAsia="en-AU"/>
              </w:rPr>
            </w:pPr>
            <w:r>
              <w:rPr>
                <w:rFonts w:ascii="Calibri" w:hAnsi="Calibri" w:cs="Calibri"/>
                <w:color w:val="FFFFFF"/>
                <w:sz w:val="20"/>
                <w:szCs w:val="20"/>
              </w:rPr>
              <w:t> </w:t>
            </w:r>
          </w:p>
        </w:tc>
        <w:tc>
          <w:tcPr>
            <w:tcW w:w="594" w:type="pct"/>
            <w:tcBorders>
              <w:top w:val="nil"/>
              <w:left w:val="nil"/>
              <w:bottom w:val="single" w:sz="8" w:space="0" w:color="auto"/>
              <w:right w:val="nil"/>
            </w:tcBorders>
            <w:shd w:val="clear" w:color="auto" w:fill="auto"/>
            <w:vAlign w:val="center"/>
          </w:tcPr>
          <w:p w14:paraId="29E6C668" w14:textId="77777777" w:rsidR="00B71828" w:rsidRPr="000D21D8" w:rsidRDefault="00B71828" w:rsidP="00C52D24">
            <w:pPr>
              <w:spacing w:after="0"/>
              <w:jc w:val="right"/>
              <w:rPr>
                <w:color w:val="FFFFFF"/>
                <w:sz w:val="12"/>
                <w:szCs w:val="12"/>
                <w:highlight w:val="yellow"/>
                <w:lang w:eastAsia="en-AU"/>
              </w:rPr>
            </w:pPr>
            <w:r>
              <w:rPr>
                <w:rFonts w:ascii="Calibri" w:hAnsi="Calibri" w:cs="Calibri"/>
                <w:color w:val="FFFFFF"/>
                <w:sz w:val="20"/>
                <w:szCs w:val="20"/>
              </w:rPr>
              <w:t> </w:t>
            </w:r>
          </w:p>
        </w:tc>
        <w:tc>
          <w:tcPr>
            <w:tcW w:w="590" w:type="pct"/>
            <w:tcBorders>
              <w:top w:val="nil"/>
              <w:left w:val="nil"/>
              <w:bottom w:val="single" w:sz="8" w:space="0" w:color="auto"/>
              <w:right w:val="nil"/>
            </w:tcBorders>
            <w:shd w:val="clear" w:color="auto" w:fill="auto"/>
            <w:vAlign w:val="center"/>
          </w:tcPr>
          <w:p w14:paraId="15563B02" w14:textId="77777777" w:rsidR="00B71828" w:rsidRPr="000D21D8" w:rsidRDefault="00B71828" w:rsidP="00C52D24">
            <w:pPr>
              <w:spacing w:after="0"/>
              <w:jc w:val="right"/>
              <w:rPr>
                <w:sz w:val="12"/>
                <w:szCs w:val="12"/>
                <w:highlight w:val="yellow"/>
                <w:lang w:eastAsia="en-AU"/>
              </w:rPr>
            </w:pPr>
            <w:r>
              <w:rPr>
                <w:rFonts w:ascii="Calibri" w:hAnsi="Calibri" w:cs="Calibri"/>
                <w:color w:val="000000"/>
                <w:sz w:val="20"/>
                <w:szCs w:val="20"/>
              </w:rPr>
              <w:t> </w:t>
            </w:r>
          </w:p>
        </w:tc>
      </w:tr>
      <w:tr w:rsidR="00B71828" w:rsidRPr="00264C7E" w14:paraId="111FD9FA" w14:textId="77777777" w:rsidTr="00C52D24">
        <w:trPr>
          <w:trHeight w:val="240"/>
        </w:trPr>
        <w:tc>
          <w:tcPr>
            <w:tcW w:w="2627" w:type="pct"/>
            <w:tcBorders>
              <w:top w:val="nil"/>
              <w:left w:val="nil"/>
              <w:bottom w:val="single" w:sz="8" w:space="0" w:color="auto"/>
              <w:right w:val="nil"/>
            </w:tcBorders>
            <w:shd w:val="clear" w:color="000000" w:fill="D9D9D9"/>
            <w:vAlign w:val="center"/>
            <w:hideMark/>
          </w:tcPr>
          <w:p w14:paraId="4B50583A" w14:textId="77777777" w:rsidR="00B71828" w:rsidRPr="002B0D4C" w:rsidRDefault="00B71828" w:rsidP="00C52D24">
            <w:pPr>
              <w:spacing w:after="0"/>
              <w:rPr>
                <w:b/>
                <w:bCs/>
                <w:color w:val="472D8C"/>
                <w:sz w:val="20"/>
                <w:lang w:eastAsia="en-AU"/>
              </w:rPr>
            </w:pPr>
            <w:r w:rsidRPr="002B0D4C">
              <w:rPr>
                <w:b/>
                <w:bCs/>
                <w:color w:val="472D8C"/>
                <w:sz w:val="20"/>
                <w:lang w:eastAsia="en-AU"/>
              </w:rPr>
              <w:t>Total Government agencies and Business Enterprises</w:t>
            </w:r>
          </w:p>
        </w:tc>
        <w:tc>
          <w:tcPr>
            <w:tcW w:w="595" w:type="pct"/>
            <w:tcBorders>
              <w:top w:val="nil"/>
              <w:left w:val="nil"/>
              <w:bottom w:val="single" w:sz="8" w:space="0" w:color="auto"/>
              <w:right w:val="nil"/>
            </w:tcBorders>
            <w:shd w:val="clear" w:color="000000" w:fill="D9D9D9"/>
            <w:vAlign w:val="center"/>
          </w:tcPr>
          <w:p w14:paraId="64558A07" w14:textId="77777777" w:rsidR="00B71828" w:rsidRPr="002B0D4C" w:rsidRDefault="00B71828" w:rsidP="00C52D24">
            <w:pPr>
              <w:spacing w:after="0"/>
              <w:ind w:firstLineChars="100" w:firstLine="201"/>
              <w:jc w:val="right"/>
              <w:rPr>
                <w:b/>
                <w:bCs/>
                <w:color w:val="472D8C"/>
                <w:sz w:val="20"/>
                <w:highlight w:val="yellow"/>
                <w:lang w:eastAsia="en-AU"/>
              </w:rPr>
            </w:pPr>
            <w:r w:rsidRPr="002B0D4C">
              <w:rPr>
                <w:rFonts w:ascii="Calibri" w:hAnsi="Calibri" w:cs="Calibri"/>
                <w:b/>
                <w:bCs/>
                <w:color w:val="472D8C"/>
                <w:sz w:val="20"/>
                <w:szCs w:val="20"/>
              </w:rPr>
              <w:t>23,138</w:t>
            </w:r>
          </w:p>
        </w:tc>
        <w:tc>
          <w:tcPr>
            <w:tcW w:w="594" w:type="pct"/>
            <w:tcBorders>
              <w:top w:val="nil"/>
              <w:left w:val="nil"/>
              <w:bottom w:val="single" w:sz="8" w:space="0" w:color="auto"/>
              <w:right w:val="nil"/>
            </w:tcBorders>
            <w:shd w:val="clear" w:color="000000" w:fill="D9D9D9"/>
            <w:vAlign w:val="center"/>
          </w:tcPr>
          <w:p w14:paraId="409D0A08" w14:textId="77777777" w:rsidR="00B71828" w:rsidRPr="002B0D4C" w:rsidRDefault="00B71828" w:rsidP="00C52D24">
            <w:pPr>
              <w:spacing w:after="0"/>
              <w:ind w:firstLineChars="100" w:firstLine="201"/>
              <w:jc w:val="right"/>
              <w:rPr>
                <w:b/>
                <w:bCs/>
                <w:color w:val="472D8C"/>
                <w:sz w:val="20"/>
                <w:highlight w:val="yellow"/>
                <w:lang w:eastAsia="en-AU"/>
              </w:rPr>
            </w:pPr>
            <w:r w:rsidRPr="002B0D4C">
              <w:rPr>
                <w:rFonts w:ascii="Calibri" w:hAnsi="Calibri" w:cs="Calibri"/>
                <w:b/>
                <w:bCs/>
                <w:color w:val="472D8C"/>
                <w:sz w:val="20"/>
                <w:szCs w:val="20"/>
              </w:rPr>
              <w:t>23,924</w:t>
            </w:r>
          </w:p>
        </w:tc>
        <w:tc>
          <w:tcPr>
            <w:tcW w:w="594" w:type="pct"/>
            <w:tcBorders>
              <w:top w:val="nil"/>
              <w:left w:val="nil"/>
              <w:bottom w:val="single" w:sz="8" w:space="0" w:color="auto"/>
              <w:right w:val="nil"/>
            </w:tcBorders>
            <w:shd w:val="clear" w:color="000000" w:fill="D9D9D9"/>
            <w:vAlign w:val="center"/>
          </w:tcPr>
          <w:p w14:paraId="6396A66D" w14:textId="77777777" w:rsidR="00B71828" w:rsidRPr="002B0D4C" w:rsidRDefault="00B71828" w:rsidP="00C52D24">
            <w:pPr>
              <w:spacing w:after="0"/>
              <w:ind w:firstLineChars="100" w:firstLine="201"/>
              <w:jc w:val="right"/>
              <w:rPr>
                <w:b/>
                <w:bCs/>
                <w:color w:val="472D8C"/>
                <w:sz w:val="20"/>
                <w:highlight w:val="yellow"/>
                <w:lang w:eastAsia="en-AU"/>
              </w:rPr>
            </w:pPr>
            <w:r w:rsidRPr="002B0D4C">
              <w:rPr>
                <w:rFonts w:ascii="Calibri" w:hAnsi="Calibri" w:cs="Calibri"/>
                <w:b/>
                <w:bCs/>
                <w:color w:val="472D8C"/>
                <w:sz w:val="20"/>
                <w:szCs w:val="20"/>
              </w:rPr>
              <w:t>24,657</w:t>
            </w:r>
          </w:p>
        </w:tc>
        <w:tc>
          <w:tcPr>
            <w:tcW w:w="590" w:type="pct"/>
            <w:tcBorders>
              <w:top w:val="nil"/>
              <w:left w:val="nil"/>
              <w:bottom w:val="single" w:sz="8" w:space="0" w:color="auto"/>
              <w:right w:val="nil"/>
            </w:tcBorders>
            <w:shd w:val="clear" w:color="000000" w:fill="D9D9D9"/>
            <w:vAlign w:val="center"/>
          </w:tcPr>
          <w:p w14:paraId="257B956A" w14:textId="77777777" w:rsidR="00B71828" w:rsidRPr="002B0D4C" w:rsidRDefault="00B71828" w:rsidP="00C52D24">
            <w:pPr>
              <w:spacing w:after="0"/>
              <w:jc w:val="right"/>
              <w:rPr>
                <w:b/>
                <w:bCs/>
                <w:color w:val="472D8C"/>
                <w:sz w:val="20"/>
                <w:highlight w:val="yellow"/>
                <w:lang w:eastAsia="en-AU"/>
              </w:rPr>
            </w:pPr>
            <w:r w:rsidRPr="002B0D4C">
              <w:rPr>
                <w:rFonts w:ascii="Calibri" w:hAnsi="Calibri" w:cs="Calibri"/>
                <w:b/>
                <w:bCs/>
                <w:color w:val="472D8C"/>
                <w:sz w:val="20"/>
                <w:szCs w:val="20"/>
              </w:rPr>
              <w:t>24,673</w:t>
            </w:r>
          </w:p>
        </w:tc>
      </w:tr>
    </w:tbl>
    <w:p w14:paraId="4E4A6FAC" w14:textId="77777777" w:rsidR="00B71828" w:rsidRDefault="00B71828" w:rsidP="00555E4F">
      <w:pPr>
        <w:pStyle w:val="BNoteBold"/>
      </w:pPr>
      <w:r w:rsidRPr="008B0EA8">
        <w:t>Note</w:t>
      </w:r>
      <w:r>
        <w:t>s</w:t>
      </w:r>
      <w:r w:rsidRPr="008B0EA8">
        <w:t xml:space="preserve">: </w:t>
      </w:r>
    </w:p>
    <w:p w14:paraId="18AAFD37" w14:textId="77777777" w:rsidR="00B71828" w:rsidRDefault="00B71828" w:rsidP="00C52D24">
      <w:pPr>
        <w:pStyle w:val="BNote"/>
      </w:pPr>
      <w:r w:rsidRPr="008B0EA8">
        <w:t>Agency lines may not reconcile to individual 2021-22 Budget Statements due to rounding.</w:t>
      </w:r>
    </w:p>
    <w:p w14:paraId="732DA900" w14:textId="77777777" w:rsidR="00324C01" w:rsidRDefault="00B71828" w:rsidP="00C52D24">
      <w:pPr>
        <w:pStyle w:val="BNote"/>
      </w:pPr>
      <w:r>
        <w:t>^:  2020-21 Actual Outcome</w:t>
      </w:r>
    </w:p>
    <w:p w14:paraId="72C0F7C0" w14:textId="19E4A228" w:rsidR="00B71828" w:rsidRDefault="00B71828" w:rsidP="00C52D24">
      <w:pPr>
        <w:pStyle w:val="BNote"/>
        <w:rPr>
          <w:b/>
          <w:highlight w:val="yellow"/>
        </w:rPr>
      </w:pPr>
      <w:r>
        <w:rPr>
          <w:highlight w:val="yellow"/>
        </w:rPr>
        <w:br w:type="page"/>
      </w:r>
    </w:p>
    <w:p w14:paraId="6FED799B" w14:textId="77777777" w:rsidR="00B71828" w:rsidRPr="00FE1C27" w:rsidRDefault="00B71828" w:rsidP="00C52D24">
      <w:pPr>
        <w:pStyle w:val="Bbodytext"/>
      </w:pPr>
      <w:r>
        <w:lastRenderedPageBreak/>
        <w:t xml:space="preserve">Key movement details associated with Table </w:t>
      </w:r>
      <w:r w:rsidRPr="00094813">
        <w:t>K.1</w:t>
      </w:r>
      <w:r>
        <w:t xml:space="preserve"> are presented below.</w:t>
      </w:r>
    </w:p>
    <w:p w14:paraId="045F2F11" w14:textId="77777777" w:rsidR="00B71828" w:rsidRDefault="00B71828" w:rsidP="00C52D24">
      <w:pPr>
        <w:pStyle w:val="Heading4"/>
      </w:pPr>
      <w:r>
        <w:t>ACT Electoral Commission</w:t>
      </w:r>
    </w:p>
    <w:p w14:paraId="529D471D" w14:textId="77777777" w:rsidR="00B71828" w:rsidRDefault="00B71828" w:rsidP="00C52D24">
      <w:pPr>
        <w:pStyle w:val="Bbodytext"/>
      </w:pPr>
      <w:r>
        <w:t>The variance between the 2020-21 Budget and the 2021-22 Budget is consistent with the Commission’s normal election cycle staffing profile, with FTE staff reducing in the year after the ACT Legislative Assembly elections have been conducted.</w:t>
      </w:r>
    </w:p>
    <w:p w14:paraId="76BDF641" w14:textId="77777777" w:rsidR="00B71828" w:rsidRPr="00071F83" w:rsidRDefault="00B71828" w:rsidP="00C52D24">
      <w:pPr>
        <w:pStyle w:val="Heading4"/>
      </w:pPr>
      <w:r w:rsidRPr="00071F83">
        <w:t>ACT Health Directorate and Canberra Health Services</w:t>
      </w:r>
    </w:p>
    <w:p w14:paraId="709D09D5" w14:textId="77777777" w:rsidR="00B71828" w:rsidRPr="00071F83" w:rsidRDefault="00B71828" w:rsidP="00C52D24">
      <w:pPr>
        <w:pStyle w:val="Bbodytext"/>
      </w:pPr>
      <w:r w:rsidRPr="00071F83">
        <w:t xml:space="preserve">The increase in FTE for the ACT Health Directorate is associated with 2021-22 Budget initiatives. </w:t>
      </w:r>
      <w:r>
        <w:t>I</w:t>
      </w:r>
      <w:r w:rsidRPr="00071F83">
        <w:t>n relation to Canberra Health Services, the 202</w:t>
      </w:r>
      <w:r>
        <w:t>1</w:t>
      </w:r>
      <w:r>
        <w:noBreakHyphen/>
      </w:r>
      <w:r w:rsidRPr="00071F83">
        <w:t xml:space="preserve">22 Budget FTE number of 7,127 includes 210 FTE associated with the COVID-19 clinical health response and the vaccination program. </w:t>
      </w:r>
    </w:p>
    <w:p w14:paraId="538F11B6" w14:textId="77777777" w:rsidR="00B71828" w:rsidRPr="00071F83" w:rsidRDefault="00B71828" w:rsidP="00C52D24">
      <w:pPr>
        <w:pStyle w:val="Heading4"/>
      </w:pPr>
      <w:r w:rsidRPr="00071F83">
        <w:t xml:space="preserve">ACT </w:t>
      </w:r>
      <w:r>
        <w:t>Insurance Authority</w:t>
      </w:r>
    </w:p>
    <w:p w14:paraId="32A74B29" w14:textId="77777777" w:rsidR="00B71828" w:rsidRDefault="00B71828" w:rsidP="00C52D24">
      <w:pPr>
        <w:pStyle w:val="Bbodytext"/>
      </w:pPr>
      <w:r w:rsidRPr="004E475A">
        <w:t>The increase in estimated employment levels in 2021-22 is due to a proposed restructure incorporating an additional 10 FTE to address workload issues</w:t>
      </w:r>
      <w:r>
        <w:t>,</w:t>
      </w:r>
      <w:r w:rsidRPr="004E475A">
        <w:t xml:space="preserve"> and</w:t>
      </w:r>
      <w:r>
        <w:t xml:space="preserve"> to</w:t>
      </w:r>
      <w:r w:rsidRPr="004E475A">
        <w:t xml:space="preserve"> promote the efficient delivery of claim management and risk management initiatives to meet the increasing demand from ACT Government Directorates.</w:t>
      </w:r>
    </w:p>
    <w:p w14:paraId="56FB27C7" w14:textId="77777777" w:rsidR="00B71828" w:rsidRDefault="00B71828" w:rsidP="00C52D24">
      <w:pPr>
        <w:pStyle w:val="Heading4"/>
      </w:pPr>
      <w:r>
        <w:t>ACT Integrity Commission</w:t>
      </w:r>
    </w:p>
    <w:p w14:paraId="7C31ECDC" w14:textId="77777777" w:rsidR="00B71828" w:rsidRPr="007B1A8D" w:rsidRDefault="00B71828" w:rsidP="00C52D24">
      <w:pPr>
        <w:pStyle w:val="Bbodytext"/>
      </w:pPr>
      <w:r w:rsidRPr="007B1A8D">
        <w:t>The increase in staffing is associated with responsibility for assessing and managing Public Interest Disclosures transferring to the Commission in March 2021, and an expansion of capacity to enhance the Commission’s ability to discharge its legislative responsibilities.</w:t>
      </w:r>
    </w:p>
    <w:p w14:paraId="22589F85" w14:textId="77777777" w:rsidR="00B71828" w:rsidRDefault="00B71828" w:rsidP="00C52D24">
      <w:pPr>
        <w:pStyle w:val="Heading4"/>
      </w:pPr>
      <w:r>
        <w:t>Canberra Institute of Technology</w:t>
      </w:r>
    </w:p>
    <w:p w14:paraId="3CEC84DD" w14:textId="77777777" w:rsidR="00B71828" w:rsidRPr="00D974CF" w:rsidRDefault="00B71828" w:rsidP="00C52D24">
      <w:pPr>
        <w:pStyle w:val="Bbodytext"/>
      </w:pPr>
      <w:r w:rsidRPr="00D974CF">
        <w:t>The decrease in</w:t>
      </w:r>
      <w:r>
        <w:t xml:space="preserve"> FTE in</w:t>
      </w:r>
      <w:r w:rsidRPr="00D974CF">
        <w:t xml:space="preserve"> the 2020-21 Interim Outcome from 2020-21 Budget is primarily due to fewer than expected additional staff being engaged for teaching and project work</w:t>
      </w:r>
      <w:r>
        <w:t xml:space="preserve"> as a result of the pandemic</w:t>
      </w:r>
      <w:r w:rsidRPr="00D974CF">
        <w:t xml:space="preserve">. </w:t>
      </w:r>
    </w:p>
    <w:p w14:paraId="58B1DA11" w14:textId="77777777" w:rsidR="00B71828" w:rsidRPr="00D974CF" w:rsidRDefault="00B71828" w:rsidP="00C52D24">
      <w:pPr>
        <w:pStyle w:val="Bbodytext"/>
      </w:pPr>
      <w:r w:rsidRPr="00D974CF">
        <w:t xml:space="preserve">The increase of seven FTE in the 2021-22 Budget from the 2020-21 Interim Outcome is primarily due to the anticipated need to engage additional staff as teaching activity </w:t>
      </w:r>
      <w:r>
        <w:t xml:space="preserve">and demand in the training market </w:t>
      </w:r>
      <w:r w:rsidRPr="00D974CF">
        <w:t>increase</w:t>
      </w:r>
      <w:r>
        <w:t>s</w:t>
      </w:r>
      <w:r w:rsidRPr="00D974CF">
        <w:t xml:space="preserve"> </w:t>
      </w:r>
      <w:r>
        <w:t>with the easing of</w:t>
      </w:r>
      <w:r w:rsidRPr="00D974CF">
        <w:t xml:space="preserve"> COVID-19 restrictions. </w:t>
      </w:r>
    </w:p>
    <w:p w14:paraId="3A079877" w14:textId="77777777" w:rsidR="00B71828" w:rsidRDefault="00B71828" w:rsidP="00C52D24">
      <w:pPr>
        <w:pStyle w:val="Heading4"/>
      </w:pPr>
      <w:r w:rsidRPr="00BB6D28">
        <w:t>Chief Minister, Treasury and Economic Development Directorate</w:t>
      </w:r>
    </w:p>
    <w:p w14:paraId="5070E259" w14:textId="77777777" w:rsidR="00B71828" w:rsidRPr="00B37A24" w:rsidRDefault="00B71828" w:rsidP="00C52D24">
      <w:pPr>
        <w:autoSpaceDE w:val="0"/>
        <w:autoSpaceDN w:val="0"/>
        <w:adjustRightInd w:val="0"/>
        <w:spacing w:after="0" w:line="240" w:lineRule="auto"/>
        <w:rPr>
          <w:rFonts w:ascii="Calibri" w:hAnsi="Calibri" w:cs="Calibri"/>
          <w:color w:val="000000"/>
          <w:sz w:val="24"/>
          <w:szCs w:val="24"/>
        </w:rPr>
      </w:pPr>
      <w:r w:rsidRPr="00B37A24">
        <w:rPr>
          <w:rFonts w:ascii="Calibri" w:hAnsi="Calibri" w:cs="Calibri"/>
          <w:color w:val="000000"/>
          <w:sz w:val="24"/>
          <w:szCs w:val="24"/>
        </w:rPr>
        <w:t>Chief Minister, Treasury and Economic Development Directorate</w:t>
      </w:r>
      <w:r>
        <w:rPr>
          <w:rFonts w:ascii="Calibri" w:hAnsi="Calibri" w:cs="Calibri"/>
          <w:color w:val="000000"/>
          <w:sz w:val="24"/>
          <w:szCs w:val="24"/>
        </w:rPr>
        <w:t xml:space="preserve"> (CMTEDD) </w:t>
      </w:r>
      <w:r w:rsidRPr="00B37A24">
        <w:rPr>
          <w:sz w:val="24"/>
        </w:rPr>
        <w:t xml:space="preserve">staff </w:t>
      </w:r>
      <w:r>
        <w:rPr>
          <w:sz w:val="24"/>
        </w:rPr>
        <w:t>provide</w:t>
      </w:r>
      <w:r w:rsidRPr="00B37A24">
        <w:rPr>
          <w:sz w:val="24"/>
        </w:rPr>
        <w:t xml:space="preserve"> administrative support on a cost recovery or resources provided </w:t>
      </w:r>
      <w:r>
        <w:rPr>
          <w:sz w:val="24"/>
        </w:rPr>
        <w:t xml:space="preserve">on a </w:t>
      </w:r>
      <w:r w:rsidRPr="00B37A24">
        <w:rPr>
          <w:sz w:val="24"/>
        </w:rPr>
        <w:t>free of charge basis</w:t>
      </w:r>
      <w:r>
        <w:rPr>
          <w:sz w:val="24"/>
        </w:rPr>
        <w:t xml:space="preserve"> to </w:t>
      </w:r>
      <w:r w:rsidRPr="00B37A24">
        <w:rPr>
          <w:sz w:val="24"/>
        </w:rPr>
        <w:t xml:space="preserve">ACT Gambling and Racing Commission, Lifetime Care and Support Fund, Motor Accident Injuries Commission, Public Sector Workers Compensation Fund, Superannuation Provision Account and Territory Banking Account. </w:t>
      </w:r>
      <w:r>
        <w:rPr>
          <w:sz w:val="24"/>
        </w:rPr>
        <w:t xml:space="preserve">As a result, </w:t>
      </w:r>
      <w:r>
        <w:rPr>
          <w:rFonts w:ascii="Calibri" w:hAnsi="Calibri" w:cs="Calibri"/>
          <w:color w:val="000000"/>
          <w:sz w:val="24"/>
          <w:szCs w:val="24"/>
        </w:rPr>
        <w:t xml:space="preserve">the figures for </w:t>
      </w:r>
      <w:r w:rsidRPr="00B37A24">
        <w:rPr>
          <w:sz w:val="24"/>
        </w:rPr>
        <w:t>CMTEDD</w:t>
      </w:r>
      <w:r>
        <w:rPr>
          <w:rFonts w:ascii="Calibri" w:hAnsi="Calibri" w:cs="Calibri"/>
          <w:color w:val="000000"/>
          <w:sz w:val="24"/>
          <w:szCs w:val="24"/>
        </w:rPr>
        <w:t xml:space="preserve"> </w:t>
      </w:r>
      <w:r w:rsidRPr="00B37A24">
        <w:rPr>
          <w:sz w:val="24"/>
        </w:rPr>
        <w:t xml:space="preserve">include FTE estimates for </w:t>
      </w:r>
      <w:r>
        <w:rPr>
          <w:sz w:val="24"/>
        </w:rPr>
        <w:t>those</w:t>
      </w:r>
      <w:r w:rsidRPr="00B37A24">
        <w:rPr>
          <w:sz w:val="24"/>
        </w:rPr>
        <w:t xml:space="preserve"> agencies</w:t>
      </w:r>
      <w:r>
        <w:rPr>
          <w:sz w:val="24"/>
        </w:rPr>
        <w:t>.</w:t>
      </w:r>
    </w:p>
    <w:p w14:paraId="15A8575D" w14:textId="79945253" w:rsidR="00B71828" w:rsidRPr="00B37A24" w:rsidRDefault="00B71828" w:rsidP="00C52D24">
      <w:pPr>
        <w:pStyle w:val="Bbodytext"/>
      </w:pPr>
      <w:r w:rsidRPr="00B37A24">
        <w:t xml:space="preserve">The </w:t>
      </w:r>
      <w:r>
        <w:t>increase in FTE in</w:t>
      </w:r>
      <w:r w:rsidRPr="00B37A24">
        <w:t xml:space="preserve"> the 2020-21 Budget </w:t>
      </w:r>
      <w:r>
        <w:t>from</w:t>
      </w:r>
      <w:r w:rsidRPr="00B37A24">
        <w:t xml:space="preserve"> the 20</w:t>
      </w:r>
      <w:r w:rsidR="009B6CAC">
        <w:t>19</w:t>
      </w:r>
      <w:r w:rsidRPr="00B37A24">
        <w:t>-2</w:t>
      </w:r>
      <w:r w:rsidR="009B6CAC">
        <w:t>0</w:t>
      </w:r>
      <w:r w:rsidRPr="00B37A24">
        <w:t xml:space="preserve"> Actual Outcome is mainly due to an extension of the Jobs for Canberrans program</w:t>
      </w:r>
      <w:r>
        <w:t>,</w:t>
      </w:r>
      <w:r w:rsidRPr="00B37A24">
        <w:t xml:space="preserve"> and extra </w:t>
      </w:r>
      <w:r>
        <w:t xml:space="preserve">FTE associated primarily with the </w:t>
      </w:r>
      <w:r w:rsidRPr="00B37A24">
        <w:t>COVID-19 response.</w:t>
      </w:r>
      <w:r>
        <w:t xml:space="preserve"> The extensions of the Jobs for Canberrans program reflected a transition of positions from other agencies which are now reflected centrally under CMTEDD.</w:t>
      </w:r>
      <w:r w:rsidRPr="00B37A24">
        <w:t xml:space="preserve"> </w:t>
      </w:r>
    </w:p>
    <w:p w14:paraId="762C34E4" w14:textId="4241C306" w:rsidR="00B71828" w:rsidRPr="00AC0A2F" w:rsidRDefault="00B71828" w:rsidP="00C52D24">
      <w:pPr>
        <w:pStyle w:val="Bbodytext"/>
      </w:pPr>
      <w:r w:rsidRPr="00AC0A2F">
        <w:lastRenderedPageBreak/>
        <w:t xml:space="preserve">The </w:t>
      </w:r>
      <w:r>
        <w:t>increase in FTE in the</w:t>
      </w:r>
      <w:r w:rsidRPr="00AC0A2F">
        <w:t xml:space="preserve"> 2021-22 Budget figure </w:t>
      </w:r>
      <w:r>
        <w:t>from</w:t>
      </w:r>
      <w:r w:rsidRPr="00AC0A2F">
        <w:t xml:space="preserve"> the 2020</w:t>
      </w:r>
      <w:r>
        <w:noBreakHyphen/>
      </w:r>
      <w:r w:rsidRPr="00AC0A2F">
        <w:t xml:space="preserve">21 </w:t>
      </w:r>
      <w:r w:rsidR="009B6CAC">
        <w:t>Interim</w:t>
      </w:r>
      <w:r w:rsidRPr="00AC0A2F">
        <w:t xml:space="preserve"> Outcome is mainly due to new and continuing initiatives, including those that assist with </w:t>
      </w:r>
      <w:r>
        <w:t xml:space="preserve">the </w:t>
      </w:r>
      <w:r w:rsidRPr="00AC0A2F">
        <w:t>COVID-19 recovery</w:t>
      </w:r>
      <w:r>
        <w:t>,</w:t>
      </w:r>
      <w:r w:rsidRPr="00AC0A2F">
        <w:t xml:space="preserve"> such as business support grants and the Jobs for Canberrans program. </w:t>
      </w:r>
    </w:p>
    <w:p w14:paraId="18F6122E" w14:textId="77777777" w:rsidR="00B71828" w:rsidRDefault="00B71828" w:rsidP="00C52D24">
      <w:pPr>
        <w:pStyle w:val="Heading4"/>
      </w:pPr>
      <w:r>
        <w:t>Community Services Directorate</w:t>
      </w:r>
    </w:p>
    <w:p w14:paraId="33243239" w14:textId="77777777" w:rsidR="00B71828" w:rsidRDefault="00B71828" w:rsidP="00C52D24">
      <w:pPr>
        <w:pStyle w:val="Bbodytext"/>
      </w:pPr>
      <w:r>
        <w:t xml:space="preserve">The decrease in the 2020-21 Budget FTE compared with 2019-20 Actual Outcome reflected the anticipated decreases in staff numbers as the stimulus measures associated with the COVID-19 pandemic response were gradually reduced. </w:t>
      </w:r>
    </w:p>
    <w:p w14:paraId="0EA78170" w14:textId="77777777" w:rsidR="00B71828" w:rsidRDefault="00B71828" w:rsidP="00C52D24">
      <w:pPr>
        <w:pStyle w:val="Bbodytext"/>
      </w:pPr>
      <w:r>
        <w:t xml:space="preserve">The increase in the 2020-21 Interim Outcome from 2020-21 Budget represents the additional staff numbers to support the </w:t>
      </w:r>
      <w:r w:rsidRPr="00095524">
        <w:rPr>
          <w:i/>
          <w:iCs/>
        </w:rPr>
        <w:t>Freedom of Information Act 2016</w:t>
      </w:r>
      <w:r>
        <w:t xml:space="preserve">, the </w:t>
      </w:r>
      <w:r w:rsidRPr="006F42F5">
        <w:rPr>
          <w:i/>
          <w:iCs/>
        </w:rPr>
        <w:t>Early Support: Changing Systems, Changing Lives Human Services Sector Reform</w:t>
      </w:r>
      <w:r>
        <w:t xml:space="preserve"> initiative, and additional staff at Bimberi for induction and training in preparation for deployment to Franklin House.</w:t>
      </w:r>
    </w:p>
    <w:p w14:paraId="4B1D592A" w14:textId="77777777" w:rsidR="00B71828" w:rsidRDefault="00B71828" w:rsidP="00C52D24">
      <w:pPr>
        <w:pStyle w:val="Heading4"/>
      </w:pPr>
      <w:r>
        <w:t>Education Directorate</w:t>
      </w:r>
    </w:p>
    <w:p w14:paraId="3FF271EE" w14:textId="77777777" w:rsidR="00B71828" w:rsidRPr="00C31EAF" w:rsidRDefault="00B71828" w:rsidP="00C52D24">
      <w:pPr>
        <w:pStyle w:val="Bbodytext"/>
      </w:pPr>
      <w:r w:rsidRPr="00C31EAF">
        <w:t xml:space="preserve">The increase </w:t>
      </w:r>
      <w:r>
        <w:t>in FTE</w:t>
      </w:r>
      <w:r w:rsidRPr="00C31EAF">
        <w:t xml:space="preserve"> from the 2020-21 Budget to the 2020-21 Interim Outcome mainly </w:t>
      </w:r>
      <w:r>
        <w:t>reflects</w:t>
      </w:r>
      <w:r w:rsidRPr="00C31EAF">
        <w:t xml:space="preserve"> the extension</w:t>
      </w:r>
      <w:r>
        <w:t xml:space="preserve"> </w:t>
      </w:r>
      <w:r w:rsidRPr="00C31EAF">
        <w:t xml:space="preserve">of COVID-19 stimulus initiatives associated with Jobs for Canberrans </w:t>
      </w:r>
      <w:r>
        <w:t xml:space="preserve">program </w:t>
      </w:r>
      <w:r w:rsidRPr="00C31EAF">
        <w:t>and supporting casuals (initially budgeted to</w:t>
      </w:r>
      <w:r>
        <w:t xml:space="preserve"> </w:t>
      </w:r>
      <w:r w:rsidRPr="00C31EAF">
        <w:t>cease at the end of December 2020) as well as increased student enrolments in 2021.</w:t>
      </w:r>
    </w:p>
    <w:p w14:paraId="530990D9" w14:textId="77777777" w:rsidR="00B71828" w:rsidRDefault="00B71828" w:rsidP="00C52D24">
      <w:pPr>
        <w:pStyle w:val="Bbodytext"/>
      </w:pPr>
      <w:r w:rsidRPr="00C31EAF">
        <w:t xml:space="preserve">The decrease in the 2021-22 Budget from the 2020-21 Interim Outcome primarily </w:t>
      </w:r>
      <w:r>
        <w:t>reflects</w:t>
      </w:r>
      <w:r w:rsidRPr="00C31EAF">
        <w:t xml:space="preserve"> decreased COVID-19</w:t>
      </w:r>
      <w:r>
        <w:t xml:space="preserve"> </w:t>
      </w:r>
      <w:r w:rsidRPr="00C31EAF">
        <w:t>stimulus initiatives associated with cessation of Jobs for Canberrans and supporting casuals, partially offset by</w:t>
      </w:r>
      <w:r>
        <w:t xml:space="preserve"> </w:t>
      </w:r>
      <w:r w:rsidRPr="00C31EAF">
        <w:t>increased student enrolments and new budget initiatives.</w:t>
      </w:r>
    </w:p>
    <w:p w14:paraId="3106C96C" w14:textId="77777777" w:rsidR="00B71828" w:rsidRDefault="00B71828" w:rsidP="00C52D24">
      <w:pPr>
        <w:pStyle w:val="Heading4"/>
      </w:pPr>
      <w:r w:rsidRPr="0044212F">
        <w:t>Environment, Planning and Sustainable Development Directorate</w:t>
      </w:r>
    </w:p>
    <w:p w14:paraId="6C69FFFC" w14:textId="77777777" w:rsidR="00B71828" w:rsidRPr="00032CC8" w:rsidRDefault="00B71828" w:rsidP="00C52D24">
      <w:pPr>
        <w:pStyle w:val="Bbodytext"/>
      </w:pPr>
      <w:r w:rsidRPr="00032CC8">
        <w:t xml:space="preserve">The </w:t>
      </w:r>
      <w:r>
        <w:t>decrease in FTE</w:t>
      </w:r>
      <w:r w:rsidRPr="00032CC8">
        <w:t xml:space="preserve"> between the 2020-21 Interim Outcome and the 2020-21 Budget is </w:t>
      </w:r>
      <w:r>
        <w:t>associated primarily with COVID-19 associated delays to recruitment</w:t>
      </w:r>
      <w:r w:rsidRPr="00032CC8">
        <w:t xml:space="preserve"> </w:t>
      </w:r>
    </w:p>
    <w:p w14:paraId="398E58E3" w14:textId="77777777" w:rsidR="00B71828" w:rsidRDefault="00B71828" w:rsidP="00C52D24">
      <w:pPr>
        <w:pStyle w:val="Bbodytext"/>
      </w:pPr>
      <w:r w:rsidRPr="00032CC8">
        <w:t xml:space="preserve">The </w:t>
      </w:r>
      <w:r>
        <w:t>decrease in FTE</w:t>
      </w:r>
      <w:r w:rsidRPr="00032CC8">
        <w:t xml:space="preserve"> between the 2020-21 Budget and the 2021-22 Budget is due to reduced FTEs associated with ceased initiatives in 2020-21, partially offset by the new FTEs associated with new initiatives in 2021-22.</w:t>
      </w:r>
    </w:p>
    <w:p w14:paraId="24F4DD80" w14:textId="77777777" w:rsidR="00B71828" w:rsidRDefault="00B71828" w:rsidP="00C52D24">
      <w:pPr>
        <w:pStyle w:val="Heading4"/>
      </w:pPr>
      <w:r>
        <w:t>Justice and Community Safety Directorate</w:t>
      </w:r>
    </w:p>
    <w:p w14:paraId="60E23397" w14:textId="77777777" w:rsidR="00B71828" w:rsidRPr="00492884" w:rsidRDefault="00B71828" w:rsidP="00C52D24">
      <w:pPr>
        <w:pStyle w:val="Bbodytext"/>
      </w:pPr>
      <w:r w:rsidRPr="00492884">
        <w:t xml:space="preserve">The increase </w:t>
      </w:r>
      <w:r>
        <w:t xml:space="preserve">in </w:t>
      </w:r>
      <w:r w:rsidRPr="00492884">
        <w:t xml:space="preserve">FTE </w:t>
      </w:r>
      <w:r>
        <w:t>in the</w:t>
      </w:r>
      <w:r w:rsidRPr="00492884">
        <w:t xml:space="preserve"> 2020-21 </w:t>
      </w:r>
      <w:r>
        <w:t>B</w:t>
      </w:r>
      <w:r w:rsidRPr="00492884">
        <w:t xml:space="preserve">udget from 2019-20 </w:t>
      </w:r>
      <w:r>
        <w:t>A</w:t>
      </w:r>
      <w:r w:rsidRPr="00492884">
        <w:t xml:space="preserve">ctual </w:t>
      </w:r>
      <w:r>
        <w:t>O</w:t>
      </w:r>
      <w:r w:rsidRPr="00492884">
        <w:t xml:space="preserve">utcome mainly reflects the net increase in staffing resources associated with 2020-21 </w:t>
      </w:r>
      <w:r>
        <w:t>B</w:t>
      </w:r>
      <w:r w:rsidRPr="00492884">
        <w:t xml:space="preserve">udget initiatives. </w:t>
      </w:r>
    </w:p>
    <w:p w14:paraId="60E21B9E" w14:textId="77777777" w:rsidR="00B71828" w:rsidRPr="00492884" w:rsidRDefault="00B71828" w:rsidP="00C52D24">
      <w:pPr>
        <w:pStyle w:val="Bbodytext"/>
      </w:pPr>
      <w:r w:rsidRPr="00492884">
        <w:t xml:space="preserve">The increase </w:t>
      </w:r>
      <w:r>
        <w:t>in</w:t>
      </w:r>
      <w:r w:rsidRPr="00492884">
        <w:t xml:space="preserve"> FTE in the 2020-21 </w:t>
      </w:r>
      <w:r>
        <w:t>I</w:t>
      </w:r>
      <w:r w:rsidRPr="00492884">
        <w:t xml:space="preserve">nterim </w:t>
      </w:r>
      <w:r>
        <w:t>O</w:t>
      </w:r>
      <w:r w:rsidRPr="00492884">
        <w:t xml:space="preserve">utcome </w:t>
      </w:r>
      <w:r>
        <w:t>compared to the</w:t>
      </w:r>
      <w:r w:rsidRPr="00492884">
        <w:t xml:space="preserve"> 2020-21 </w:t>
      </w:r>
      <w:r>
        <w:t>B</w:t>
      </w:r>
      <w:r w:rsidRPr="00492884">
        <w:t xml:space="preserve">udget is predominantly due to </w:t>
      </w:r>
      <w:r>
        <w:t xml:space="preserve">the additional staff recruited to implement various government activities, </w:t>
      </w:r>
      <w:r w:rsidRPr="00492884">
        <w:t>backfill</w:t>
      </w:r>
      <w:r>
        <w:t>ing</w:t>
      </w:r>
      <w:r w:rsidRPr="00492884">
        <w:t xml:space="preserve"> of positions across the Directorate due to leave requirements</w:t>
      </w:r>
      <w:r>
        <w:t>,</w:t>
      </w:r>
      <w:r w:rsidRPr="00492884">
        <w:t xml:space="preserve"> and </w:t>
      </w:r>
      <w:r w:rsidRPr="003B6BC9">
        <w:t xml:space="preserve">the recruitment of additional to staff to meet </w:t>
      </w:r>
      <w:r w:rsidRPr="00492884">
        <w:t>workload</w:t>
      </w:r>
      <w:r>
        <w:t xml:space="preserve"> increases</w:t>
      </w:r>
      <w:r w:rsidRPr="00492884">
        <w:t xml:space="preserve"> associated with the COVID</w:t>
      </w:r>
      <w:r>
        <w:noBreakHyphen/>
      </w:r>
      <w:r w:rsidRPr="00492884">
        <w:t xml:space="preserve">19 pandemic. </w:t>
      </w:r>
    </w:p>
    <w:p w14:paraId="5D4A6E96" w14:textId="654B5EBB" w:rsidR="00B71828" w:rsidRPr="00492884" w:rsidRDefault="00B71828" w:rsidP="00C52D24">
      <w:pPr>
        <w:pStyle w:val="Bbodytext"/>
      </w:pPr>
      <w:r w:rsidRPr="00492884">
        <w:t xml:space="preserve">The decrease </w:t>
      </w:r>
      <w:r>
        <w:t xml:space="preserve">in </w:t>
      </w:r>
      <w:r w:rsidRPr="00492884">
        <w:t xml:space="preserve">FTE </w:t>
      </w:r>
      <w:r>
        <w:t>in the</w:t>
      </w:r>
      <w:r w:rsidRPr="00492884">
        <w:t xml:space="preserve"> 2021-22 </w:t>
      </w:r>
      <w:r>
        <w:t>B</w:t>
      </w:r>
      <w:r w:rsidRPr="00492884">
        <w:t xml:space="preserve">udget </w:t>
      </w:r>
      <w:r>
        <w:t>compared to</w:t>
      </w:r>
      <w:r w:rsidRPr="00492884">
        <w:t xml:space="preserve"> the 2020-21 </w:t>
      </w:r>
      <w:r>
        <w:t>I</w:t>
      </w:r>
      <w:r w:rsidRPr="00492884">
        <w:t xml:space="preserve">nterim </w:t>
      </w:r>
      <w:r>
        <w:t>O</w:t>
      </w:r>
      <w:r w:rsidRPr="00492884">
        <w:t xml:space="preserve">utcome </w:t>
      </w:r>
      <w:r>
        <w:t xml:space="preserve">is </w:t>
      </w:r>
      <w:r w:rsidRPr="00C54B9D">
        <w:t xml:space="preserve">mainly </w:t>
      </w:r>
      <w:r>
        <w:t>due to higher</w:t>
      </w:r>
      <w:r w:rsidR="009E5D43">
        <w:t>-</w:t>
      </w:r>
      <w:r>
        <w:t>than</w:t>
      </w:r>
      <w:r w:rsidR="009E5D43">
        <w:t>-</w:t>
      </w:r>
      <w:r>
        <w:t xml:space="preserve">expected FTE in 2020-21 as explained above, which </w:t>
      </w:r>
      <w:r w:rsidRPr="00C54B9D">
        <w:t xml:space="preserve">reflects </w:t>
      </w:r>
      <w:r>
        <w:t>a partial offset associated with the 2021-22 Budget initiatives.</w:t>
      </w:r>
      <w:r w:rsidRPr="00492884">
        <w:t xml:space="preserve"> </w:t>
      </w:r>
    </w:p>
    <w:p w14:paraId="0B8169CE" w14:textId="77777777" w:rsidR="00B71828" w:rsidRDefault="00B71828" w:rsidP="00C52D24">
      <w:pPr>
        <w:pStyle w:val="Heading4"/>
      </w:pPr>
      <w:r>
        <w:lastRenderedPageBreak/>
        <w:t>Major Projects Canberra</w:t>
      </w:r>
    </w:p>
    <w:p w14:paraId="7EC4BA3B" w14:textId="77777777" w:rsidR="00B71828" w:rsidRDefault="00B71828" w:rsidP="00C52D24">
      <w:pPr>
        <w:pStyle w:val="Bbodytext"/>
      </w:pPr>
      <w:r>
        <w:t>The increase in FTE in the 2020-21 Interim Outcome compared to the 2020-21 Budget is due mainly to the use of employees for designated project works that were budgeted for as contractors and consultants.</w:t>
      </w:r>
    </w:p>
    <w:p w14:paraId="5C2964B0" w14:textId="77777777" w:rsidR="00B71828" w:rsidRPr="00281B09" w:rsidRDefault="00B71828" w:rsidP="00C52D24">
      <w:pPr>
        <w:pStyle w:val="Bbodytext"/>
      </w:pPr>
      <w:r>
        <w:t>The increase in FTE in the 2021-22 Budget from the 2020-21 Interim Outcome is primarily due to progressing activities in Building Light Rail to Woden and Raising London Circuit, Cladding Rectification Programs and the Redevelopment of Canberra Theatre Centre.</w:t>
      </w:r>
    </w:p>
    <w:p w14:paraId="3B08AC7F" w14:textId="77777777" w:rsidR="00B71828" w:rsidRDefault="00B71828" w:rsidP="00C52D24">
      <w:pPr>
        <w:pStyle w:val="Heading4"/>
      </w:pPr>
      <w:r>
        <w:t>Transport Canberra and City Services Directorate and Transport Canberra Operations</w:t>
      </w:r>
    </w:p>
    <w:p w14:paraId="56CE67F1" w14:textId="77777777" w:rsidR="00B71828" w:rsidRPr="00E94BD7" w:rsidRDefault="00B71828" w:rsidP="00C52D24">
      <w:pPr>
        <w:pStyle w:val="Bbodytext"/>
      </w:pPr>
      <w:r w:rsidRPr="00E94BD7">
        <w:t xml:space="preserve">The increase </w:t>
      </w:r>
      <w:r>
        <w:t>in</w:t>
      </w:r>
      <w:r w:rsidRPr="00E94BD7">
        <w:t xml:space="preserve"> FTE in the 2020-21 Interim Outcome from the 2020-21 Budget in TCCS is due </w:t>
      </w:r>
      <w:r>
        <w:t>to operational requirements, including</w:t>
      </w:r>
      <w:r w:rsidRPr="00E94BD7">
        <w:t xml:space="preserve"> capital initiatives.</w:t>
      </w:r>
    </w:p>
    <w:p w14:paraId="4776604B" w14:textId="77777777" w:rsidR="00B71828" w:rsidRPr="00E94BD7" w:rsidRDefault="00B71828" w:rsidP="00C52D24">
      <w:pPr>
        <w:pStyle w:val="Bbodytext"/>
      </w:pPr>
      <w:r w:rsidRPr="00E94BD7">
        <w:t xml:space="preserve">The decrease </w:t>
      </w:r>
      <w:r>
        <w:t>of</w:t>
      </w:r>
      <w:r w:rsidRPr="00E94BD7">
        <w:t xml:space="preserve"> FTE in the 2021-22 Budget from the 2020-21 Budget in </w:t>
      </w:r>
      <w:r>
        <w:t>the Transport Canberra and City Services Directorate</w:t>
      </w:r>
      <w:r w:rsidRPr="00E94BD7">
        <w:t xml:space="preserve"> is due to ceasing initiatives,</w:t>
      </w:r>
      <w:r>
        <w:t xml:space="preserve"> the </w:t>
      </w:r>
      <w:r w:rsidRPr="00E94BD7">
        <w:t>cessation of Jobs for Canberrans</w:t>
      </w:r>
      <w:r>
        <w:t xml:space="preserve"> positions for those people that secured alternate employment and a transition of Jobs for Canberrans positions which are now reflected under CMTEDD.</w:t>
      </w:r>
      <w:r w:rsidRPr="00E94BD7">
        <w:t xml:space="preserve"> </w:t>
      </w:r>
      <w:r>
        <w:t>These movements are o</w:t>
      </w:r>
      <w:r w:rsidRPr="00E94BD7">
        <w:t>ffset by new initiatives, insourcing of activities and</w:t>
      </w:r>
      <w:r>
        <w:t xml:space="preserve"> the</w:t>
      </w:r>
      <w:r w:rsidRPr="00E94BD7">
        <w:t xml:space="preserve"> transfer</w:t>
      </w:r>
      <w:r>
        <w:t xml:space="preserve"> </w:t>
      </w:r>
      <w:r w:rsidRPr="00E94BD7">
        <w:t xml:space="preserve">of positions from </w:t>
      </w:r>
      <w:r>
        <w:t>Transport Canberra Operations</w:t>
      </w:r>
      <w:r w:rsidRPr="00E94BD7">
        <w:t>.</w:t>
      </w:r>
    </w:p>
    <w:p w14:paraId="2358EBA0" w14:textId="77777777" w:rsidR="00B71828" w:rsidRPr="00E94BD7" w:rsidRDefault="00B71828" w:rsidP="00C52D24">
      <w:pPr>
        <w:pStyle w:val="Bbodytext"/>
      </w:pPr>
      <w:r w:rsidRPr="00E94BD7">
        <w:t xml:space="preserve">The increase </w:t>
      </w:r>
      <w:r>
        <w:t>in</w:t>
      </w:r>
      <w:r w:rsidRPr="00E94BD7">
        <w:t xml:space="preserve"> FTE in the 2020-21 Interim Outcome from the 2020-21 Budget in </w:t>
      </w:r>
      <w:r>
        <w:t>Transport Canberra Operations</w:t>
      </w:r>
      <w:r w:rsidRPr="00E94BD7">
        <w:t xml:space="preserve"> is due to additional positions</w:t>
      </w:r>
      <w:r>
        <w:t xml:space="preserve"> associated with </w:t>
      </w:r>
      <w:r w:rsidRPr="00E94BD7">
        <w:t>the COVID-19 pandemic</w:t>
      </w:r>
      <w:r>
        <w:t xml:space="preserve"> response, and</w:t>
      </w:r>
      <w:r w:rsidRPr="00E94BD7">
        <w:t xml:space="preserve"> positions funded from independent</w:t>
      </w:r>
      <w:r>
        <w:t xml:space="preserve"> </w:t>
      </w:r>
      <w:r w:rsidRPr="00E94BD7">
        <w:t>revenue and supplies and services.</w:t>
      </w:r>
    </w:p>
    <w:p w14:paraId="122971F0" w14:textId="0BAD6D1E" w:rsidR="00157670" w:rsidRPr="00963C2D" w:rsidRDefault="00B71828" w:rsidP="00FC228F">
      <w:pPr>
        <w:pStyle w:val="Bbodytext"/>
      </w:pPr>
      <w:r>
        <w:t>For Transport Canberra Operations, t</w:t>
      </w:r>
      <w:r w:rsidRPr="00E94BD7">
        <w:t xml:space="preserve">he budgeted FTE remains at 978 and reflects </w:t>
      </w:r>
      <w:r>
        <w:t xml:space="preserve">increases </w:t>
      </w:r>
      <w:r w:rsidRPr="00E94BD7">
        <w:t>due to new initiatives</w:t>
      </w:r>
      <w:r>
        <w:t xml:space="preserve">, </w:t>
      </w:r>
      <w:r w:rsidRPr="00E94BD7">
        <w:t xml:space="preserve">offset by ceasing initiatives and </w:t>
      </w:r>
      <w:r>
        <w:t xml:space="preserve">the </w:t>
      </w:r>
      <w:r w:rsidRPr="00E94BD7">
        <w:t>transfer of positions to</w:t>
      </w:r>
      <w:r>
        <w:t xml:space="preserve"> the Transport Canberra and City Services Directorate</w:t>
      </w:r>
      <w:r w:rsidRPr="00E94BD7">
        <w:t>.</w:t>
      </w:r>
    </w:p>
    <w:sectPr w:rsidR="00157670" w:rsidRPr="00963C2D" w:rsidSect="00542DA2">
      <w:footerReference w:type="default" r:id="rId28"/>
      <w:pgSz w:w="11906" w:h="16838" w:code="9"/>
      <w:pgMar w:top="1151" w:right="1440" w:bottom="172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C56F4" w14:textId="77777777" w:rsidR="00AB05FB" w:rsidRDefault="00AB05FB" w:rsidP="00C339EF">
      <w:pPr>
        <w:spacing w:after="0" w:line="240" w:lineRule="auto"/>
      </w:pPr>
      <w:r>
        <w:separator/>
      </w:r>
    </w:p>
  </w:endnote>
  <w:endnote w:type="continuationSeparator" w:id="0">
    <w:p w14:paraId="51A34D79" w14:textId="77777777" w:rsidR="00AB05FB" w:rsidRDefault="00AB05FB" w:rsidP="00C3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2A22" w14:textId="08298AAD" w:rsidR="00AB05FB" w:rsidRPr="00D56EE6" w:rsidRDefault="00AB05FB" w:rsidP="00B66136">
    <w:pPr>
      <w:pStyle w:val="BFooter"/>
      <w:tabs>
        <w:tab w:val="clear" w:pos="4513"/>
        <w:tab w:val="clear" w:pos="9026"/>
        <w:tab w:val="right" w:pos="4536"/>
        <w:tab w:val="right" w:pos="9355"/>
      </w:tabs>
      <w:jc w:val="center"/>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Appendices</w:t>
    </w:r>
    <w:r w:rsidRPr="00D56EE6">
      <w:rPr>
        <w:i w:val="0"/>
        <w:iCs/>
      </w:rPr>
      <w:b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501D0" w14:textId="580BD566"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General Government Sector</w:t>
    </w:r>
    <w:r>
      <w:rPr>
        <w:i w:val="0"/>
        <w:iCs/>
      </w:rPr>
      <w:br/>
      <w:t>Key Aggregates History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1BE9B" w14:textId="5C257028"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Key Accounting Treatments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8774" w14:textId="2C19067A"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Safer Families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0D52" w14:textId="331CB0CB"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Statement of Risk</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6AB8" w14:textId="76608E85"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Statement of Sensitivity</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6639F" w14:textId="1BC543A3"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Whole of Government Staffing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3D1C6" w14:textId="00C23EFD" w:rsidR="00AB05FB" w:rsidRPr="00D56EE6" w:rsidRDefault="00AB05FB" w:rsidP="00B66136">
    <w:pPr>
      <w:pStyle w:val="BFooter"/>
      <w:tabs>
        <w:tab w:val="clear" w:pos="4513"/>
        <w:tab w:val="clear" w:pos="9026"/>
        <w:tab w:val="right" w:pos="4536"/>
        <w:tab w:val="right" w:pos="9355"/>
      </w:tabs>
      <w:jc w:val="center"/>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Budget consultation</w:t>
    </w:r>
    <w:r w:rsidRPr="00D56EE6">
      <w:rPr>
        <w:i w:val="0"/>
        <w:iC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4947" w14:textId="39E30054" w:rsidR="00AB05FB" w:rsidRPr="00D56EE6" w:rsidRDefault="00AB05FB" w:rsidP="00B66136">
    <w:pPr>
      <w:pStyle w:val="BFooter"/>
      <w:tabs>
        <w:tab w:val="clear" w:pos="4513"/>
        <w:tab w:val="clear" w:pos="9026"/>
        <w:tab w:val="right" w:pos="4536"/>
        <w:tab w:val="right" w:pos="9355"/>
      </w:tabs>
      <w:jc w:val="center"/>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Better Infrastructure Fund</w:t>
    </w:r>
    <w:r w:rsidRPr="00D56EE6">
      <w:rPr>
        <w:i w:val="0"/>
        <w:iCs/>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FE50" w14:textId="4B468CA0"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Infrastructure Investment Program</w:t>
    </w:r>
    <w:r>
      <w:rPr>
        <w:i w:val="0"/>
        <w:iCs/>
      </w:rPr>
      <w:br/>
      <w:t>Works-in-progress</w:t>
    </w:r>
    <w:r w:rsidRPr="00D56EE6">
      <w:rPr>
        <w:i w:val="0"/>
        <w:iCs/>
      </w:rPr>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AC0F" w14:textId="77777777" w:rsidR="00AB05FB" w:rsidRPr="00D56EE6" w:rsidRDefault="00AB05FB" w:rsidP="00C9296C">
    <w:pPr>
      <w:pStyle w:val="BFooter"/>
      <w:tabs>
        <w:tab w:val="clear" w:pos="4513"/>
        <w:tab w:val="clear" w:pos="9026"/>
        <w:tab w:val="right" w:pos="4536"/>
        <w:tab w:val="right" w:pos="9355"/>
      </w:tabs>
      <w:jc w:val="right"/>
      <w:rPr>
        <w:i w:val="0"/>
        <w:iCs/>
      </w:rPr>
    </w:pPr>
    <w:r w:rsidRPr="00D56EE6">
      <w:rPr>
        <w:i w:val="0"/>
        <w:iCs/>
      </w:rPr>
      <w:t>2021-22 Budget Outlook</w:t>
    </w:r>
    <w:r w:rsidRPr="00D56EE6">
      <w:rPr>
        <w:i w:val="0"/>
        <w:iCs/>
      </w:rPr>
      <w:ptab w:relativeTo="margin" w:alignment="center" w:leader="none"/>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noProof/>
      </w:rPr>
      <w:t>1</w:t>
    </w:r>
    <w:r w:rsidRPr="00D56EE6">
      <w:rPr>
        <w:i w:val="0"/>
        <w:iCs/>
        <w:noProof/>
      </w:rPr>
      <w:fldChar w:fldCharType="end"/>
    </w:r>
    <w:r w:rsidRPr="00D56EE6">
      <w:rPr>
        <w:i w:val="0"/>
        <w:iCs/>
      </w:rPr>
      <w:ptab w:relativeTo="margin" w:alignment="right" w:leader="none"/>
    </w:r>
    <w:r>
      <w:rPr>
        <w:i w:val="0"/>
        <w:iCs/>
      </w:rPr>
      <w:t>Infrastructure Investment Program</w:t>
    </w:r>
    <w:r>
      <w:rPr>
        <w:i w:val="0"/>
        <w:iCs/>
      </w:rPr>
      <w:br/>
      <w:t>Works-in-progress</w:t>
    </w:r>
    <w:r w:rsidRPr="00D56EE6">
      <w:rPr>
        <w:i w:val="0"/>
        <w:iCs/>
      </w:rPr>
      <w:b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E525" w14:textId="786EBE8F" w:rsidR="00AB05FB" w:rsidRDefault="00AB05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FCB1" w14:textId="2733D550" w:rsidR="00AB05FB" w:rsidRDefault="00AB05FB" w:rsidP="003B6997">
    <w:pPr>
      <w:pStyle w:val="BFooter"/>
      <w:tabs>
        <w:tab w:val="clear" w:pos="4513"/>
        <w:tab w:val="clear" w:pos="9026"/>
        <w:tab w:val="right" w:pos="4536"/>
        <w:tab w:val="right" w:pos="9355"/>
      </w:tabs>
      <w:ind w:left="3600" w:hanging="3884"/>
      <w:jc w:val="center"/>
      <w:rPr>
        <w:i w:val="0"/>
        <w:iCs/>
      </w:rPr>
    </w:pPr>
    <w:r w:rsidRPr="00D56EE6">
      <w:rPr>
        <w:i w:val="0"/>
        <w:iCs/>
      </w:rPr>
      <w:t>2021-22 Budget Outlook</w:t>
    </w:r>
    <w:r>
      <w:rPr>
        <w:i w:val="0"/>
        <w:iCs/>
      </w:rPr>
      <w:tab/>
    </w:r>
    <w:r>
      <w:rPr>
        <w:i w:val="0"/>
        <w:iCs/>
      </w:rPr>
      <w:tab/>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rPr>
      <w:t>1</w:t>
    </w:r>
    <w:r w:rsidRPr="00D56EE6">
      <w:rPr>
        <w:i w:val="0"/>
        <w:iCs/>
      </w:rPr>
      <w:fldChar w:fldCharType="end"/>
    </w:r>
    <w:bookmarkStart w:id="4" w:name="_Hlk79785280"/>
    <w:bookmarkStart w:id="5" w:name="_Hlk79785281"/>
    <w:r>
      <w:rPr>
        <w:i w:val="0"/>
        <w:iCs/>
      </w:rPr>
      <w:tab/>
      <w:t>Consolidated Financial Statements –</w:t>
    </w:r>
  </w:p>
  <w:bookmarkEnd w:id="4"/>
  <w:bookmarkEnd w:id="5"/>
  <w:p w14:paraId="2AD1E792" w14:textId="4DEF9B66" w:rsidR="00AB05FB" w:rsidRPr="00D56EE6" w:rsidRDefault="00AB05FB" w:rsidP="003B6997">
    <w:pPr>
      <w:pStyle w:val="BFooter"/>
      <w:tabs>
        <w:tab w:val="clear" w:pos="4513"/>
        <w:tab w:val="clear" w:pos="9026"/>
        <w:tab w:val="right" w:pos="4536"/>
        <w:tab w:val="right" w:pos="9355"/>
      </w:tabs>
      <w:ind w:left="3600" w:hanging="3884"/>
      <w:jc w:val="right"/>
      <w:rPr>
        <w:i w:val="0"/>
        <w:iCs/>
      </w:rPr>
    </w:pPr>
    <w:r>
      <w:rPr>
        <w:i w:val="0"/>
        <w:iCs/>
      </w:rPr>
      <w:t>Public Trading Enterprises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4294" w14:textId="789973BD" w:rsidR="00AB05FB" w:rsidRDefault="00AB05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9194" w14:textId="77777777" w:rsidR="00AB05FB" w:rsidRDefault="00AB05FB" w:rsidP="003B6997">
    <w:pPr>
      <w:pStyle w:val="BFooter"/>
      <w:tabs>
        <w:tab w:val="clear" w:pos="4513"/>
        <w:tab w:val="clear" w:pos="9026"/>
        <w:tab w:val="right" w:pos="4536"/>
        <w:tab w:val="right" w:pos="9355"/>
      </w:tabs>
      <w:ind w:left="3600" w:hanging="3884"/>
      <w:jc w:val="center"/>
      <w:rPr>
        <w:i w:val="0"/>
        <w:iCs/>
      </w:rPr>
    </w:pPr>
    <w:r w:rsidRPr="00D56EE6">
      <w:rPr>
        <w:i w:val="0"/>
        <w:iCs/>
      </w:rPr>
      <w:t>2021-22 Budget Outlook</w:t>
    </w:r>
    <w:r>
      <w:rPr>
        <w:i w:val="0"/>
        <w:iCs/>
      </w:rPr>
      <w:tab/>
    </w:r>
    <w:r>
      <w:rPr>
        <w:i w:val="0"/>
        <w:iCs/>
      </w:rPr>
      <w:tab/>
    </w:r>
    <w:r w:rsidRPr="00D56EE6">
      <w:rPr>
        <w:i w:val="0"/>
        <w:iCs/>
      </w:rPr>
      <w:fldChar w:fldCharType="begin"/>
    </w:r>
    <w:r w:rsidRPr="00D56EE6">
      <w:rPr>
        <w:i w:val="0"/>
        <w:iCs/>
      </w:rPr>
      <w:instrText xml:space="preserve"> PAGE   \* MERGEFORMAT </w:instrText>
    </w:r>
    <w:r w:rsidRPr="00D56EE6">
      <w:rPr>
        <w:i w:val="0"/>
        <w:iCs/>
      </w:rPr>
      <w:fldChar w:fldCharType="separate"/>
    </w:r>
    <w:r w:rsidRPr="00D56EE6">
      <w:rPr>
        <w:i w:val="0"/>
        <w:iCs/>
      </w:rPr>
      <w:t>1</w:t>
    </w:r>
    <w:r w:rsidRPr="00D56EE6">
      <w:rPr>
        <w:i w:val="0"/>
        <w:iCs/>
      </w:rPr>
      <w:fldChar w:fldCharType="end"/>
    </w:r>
    <w:r>
      <w:rPr>
        <w:i w:val="0"/>
        <w:iCs/>
      </w:rPr>
      <w:tab/>
      <w:t>Consolidated Financial Statements –</w:t>
    </w:r>
  </w:p>
  <w:p w14:paraId="71E680AD" w14:textId="77777777" w:rsidR="00AB05FB" w:rsidRPr="00D56EE6" w:rsidRDefault="00AB05FB" w:rsidP="003B6997">
    <w:pPr>
      <w:pStyle w:val="BFooter"/>
      <w:tabs>
        <w:tab w:val="clear" w:pos="4513"/>
        <w:tab w:val="clear" w:pos="9026"/>
        <w:tab w:val="right" w:pos="4536"/>
        <w:tab w:val="right" w:pos="9355"/>
      </w:tabs>
      <w:ind w:left="3600" w:hanging="3884"/>
      <w:jc w:val="right"/>
      <w:rPr>
        <w:i w:val="0"/>
        <w:iCs/>
      </w:rPr>
    </w:pPr>
    <w:r>
      <w:rPr>
        <w:i w:val="0"/>
        <w:iCs/>
      </w:rPr>
      <w:t>Total Territory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57C43" w14:textId="77777777" w:rsidR="00AB05FB" w:rsidRDefault="00AB05FB" w:rsidP="00C339EF">
      <w:pPr>
        <w:spacing w:after="0" w:line="240" w:lineRule="auto"/>
      </w:pPr>
      <w:r>
        <w:separator/>
      </w:r>
    </w:p>
  </w:footnote>
  <w:footnote w:type="continuationSeparator" w:id="0">
    <w:p w14:paraId="2F3C027D" w14:textId="77777777" w:rsidR="00AB05FB" w:rsidRDefault="00AB05FB" w:rsidP="00C339EF">
      <w:pPr>
        <w:spacing w:after="0" w:line="240" w:lineRule="auto"/>
      </w:pPr>
      <w:r>
        <w:continuationSeparator/>
      </w:r>
    </w:p>
  </w:footnote>
  <w:footnote w:id="1">
    <w:p w14:paraId="29946AD2" w14:textId="77777777" w:rsidR="00AB05FB" w:rsidRDefault="00AB05FB" w:rsidP="00C52D24">
      <w:pPr>
        <w:pStyle w:val="FootnoteText"/>
      </w:pPr>
      <w:r>
        <w:rPr>
          <w:rStyle w:val="FootnoteReference"/>
        </w:rPr>
        <w:footnoteRef/>
      </w:r>
      <w:r>
        <w:t xml:space="preserve"> APS Commission, APS employment data, 30 June 2021 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1B72C" w14:textId="23C907BB" w:rsidR="00AB05FB" w:rsidRDefault="00AB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4B6C" w14:textId="2718A50B" w:rsidR="00AB05FB" w:rsidRDefault="00AB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4DD0" w14:textId="50594CBC" w:rsidR="00AB05FB" w:rsidRDefault="00AB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4A8D"/>
    <w:multiLevelType w:val="hybridMultilevel"/>
    <w:tmpl w:val="4F3AE898"/>
    <w:lvl w:ilvl="0" w:tplc="D14AC3EC">
      <w:start w:val="1"/>
      <w:numFmt w:val="bullet"/>
      <w:pStyle w:val="B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6A38C9"/>
    <w:multiLevelType w:val="hybridMultilevel"/>
    <w:tmpl w:val="8A623B3C"/>
    <w:lvl w:ilvl="0" w:tplc="A90EFF1A">
      <w:start w:val="1"/>
      <w:numFmt w:val="decimal"/>
      <w:pStyle w:val="BS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8864694"/>
    <w:multiLevelType w:val="hybridMultilevel"/>
    <w:tmpl w:val="9C584D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A613B4"/>
    <w:multiLevelType w:val="hybridMultilevel"/>
    <w:tmpl w:val="18D63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D9789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B06B4D"/>
    <w:multiLevelType w:val="hybridMultilevel"/>
    <w:tmpl w:val="76FAB26C"/>
    <w:lvl w:ilvl="0" w:tplc="8BA48D4E">
      <w:start w:val="1"/>
      <w:numFmt w:val="bullet"/>
      <w:pStyle w:val="BBullet2"/>
      <w:lvlText w:val="­"/>
      <w:lvlJc w:val="left"/>
      <w:pPr>
        <w:ind w:left="859" w:hanging="360"/>
      </w:pPr>
      <w:rPr>
        <w:rFonts w:ascii="Courier New" w:hAnsi="Courier New"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6" w15:restartNumberingAfterBreak="0">
    <w:nsid w:val="4C147254"/>
    <w:multiLevelType w:val="hybridMultilevel"/>
    <w:tmpl w:val="6882D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C628A1"/>
    <w:multiLevelType w:val="multilevel"/>
    <w:tmpl w:val="0016A45C"/>
    <w:lvl w:ilvl="0">
      <w:start w:val="1"/>
      <w:numFmt w:val="decimal"/>
      <w:pStyle w:val="Heading1"/>
      <w:lvlText w:val="Chapter %1"/>
      <w:lvlJc w:val="left"/>
      <w:pPr>
        <w:ind w:left="432" w:hanging="432"/>
      </w:pPr>
      <w:rPr>
        <w:rFonts w:hint="default"/>
      </w:rPr>
    </w:lvl>
    <w:lvl w:ilvl="1">
      <w:start w:val="1"/>
      <w:numFmt w:val="decimal"/>
      <w:pStyle w:val="Heading2"/>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0632FF"/>
    <w:multiLevelType w:val="hybridMultilevel"/>
    <w:tmpl w:val="E0943082"/>
    <w:lvl w:ilvl="0" w:tplc="75582C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0"/>
  </w:num>
  <w:num w:numId="5">
    <w:abstractNumId w:val="4"/>
  </w:num>
  <w:num w:numId="6">
    <w:abstractNumId w:val="8"/>
  </w:num>
  <w:num w:numId="7">
    <w:abstractNumId w:val="9"/>
  </w:num>
  <w:num w:numId="8">
    <w:abstractNumId w:val="9"/>
    <w:lvlOverride w:ilvl="0">
      <w:lvl w:ilvl="0">
        <w:start w:val="1"/>
        <w:numFmt w:val="none"/>
        <w:pStyle w:val="Emptycell"/>
        <w:suff w:val="nothing"/>
        <w:lvlText w:val="empty cell"/>
        <w:lvlJc w:val="left"/>
        <w:pPr>
          <w:ind w:left="2701" w:hanging="432"/>
        </w:pPr>
        <w:rPr>
          <w:rFonts w:hint="default"/>
          <w:color w:val="FFFFFF" w:themeColor="background1"/>
          <w:sz w:val="12"/>
        </w:rPr>
      </w:lvl>
    </w:lvlOverride>
    <w:lvlOverride w:ilvl="1">
      <w:lvl w:ilvl="1">
        <w:start w:val="1"/>
        <w:numFmt w:val="none"/>
        <w:suff w:val="nothing"/>
        <w:lvlText w:val="empty cell"/>
        <w:lvlJc w:val="left"/>
        <w:pPr>
          <w:ind w:left="576" w:hanging="576"/>
        </w:pPr>
        <w:rPr>
          <w:rFonts w:hint="default"/>
          <w:color w:val="FFFFFF" w:themeColor="background1"/>
          <w:sz w:val="1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2"/>
  </w:num>
  <w:num w:numId="16">
    <w:abstractNumId w:val="7"/>
    <w:lvlOverride w:ilvl="0">
      <w:startOverride w:val="1"/>
    </w:lvlOverride>
  </w:num>
  <w:num w:numId="17">
    <w:abstractNumId w:val="6"/>
  </w:num>
  <w:num w:numId="18">
    <w:abstractNumId w:val="7"/>
    <w:lvlOverride w:ilvl="0">
      <w:startOverride w:val="1"/>
    </w:lvlOverride>
  </w:num>
  <w:num w:numId="19">
    <w:abstractNumId w:val="1"/>
  </w:num>
  <w:num w:numId="20">
    <w:abstractNumId w:val="1"/>
    <w:lvlOverride w:ilvl="0">
      <w:startOverride w:val="1"/>
    </w:lvlOverride>
  </w:num>
  <w:num w:numId="21">
    <w:abstractNumId w:val="3"/>
  </w:num>
  <w:num w:numId="22">
    <w:abstractNumId w:val="1"/>
    <w:lvlOverride w:ilvl="0">
      <w:startOverride w:val="1"/>
    </w:lvlOverride>
  </w:num>
  <w:num w:numId="23">
    <w:abstractNumId w:val="1"/>
  </w:num>
  <w:num w:numId="24">
    <w:abstractNumId w:val="1"/>
    <w:lvlOverride w:ilvl="0">
      <w:startOverride w:val="1"/>
    </w:lvlOverride>
  </w:num>
  <w:num w:numId="25">
    <w:abstractNumId w:val="7"/>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7"/>
  </w:num>
  <w:num w:numId="3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C"/>
    <w:rsid w:val="00042A03"/>
    <w:rsid w:val="000448EC"/>
    <w:rsid w:val="00054A2A"/>
    <w:rsid w:val="0009371B"/>
    <w:rsid w:val="000F2111"/>
    <w:rsid w:val="0011149A"/>
    <w:rsid w:val="00111524"/>
    <w:rsid w:val="00115452"/>
    <w:rsid w:val="00127067"/>
    <w:rsid w:val="00132947"/>
    <w:rsid w:val="001478F3"/>
    <w:rsid w:val="00157670"/>
    <w:rsid w:val="001B45B0"/>
    <w:rsid w:val="001C7F37"/>
    <w:rsid w:val="001F6E4B"/>
    <w:rsid w:val="002054CC"/>
    <w:rsid w:val="00206479"/>
    <w:rsid w:val="002B0D4C"/>
    <w:rsid w:val="002C0E51"/>
    <w:rsid w:val="00306708"/>
    <w:rsid w:val="00324C01"/>
    <w:rsid w:val="00333A51"/>
    <w:rsid w:val="003521A9"/>
    <w:rsid w:val="003B6083"/>
    <w:rsid w:val="003B6997"/>
    <w:rsid w:val="003D3B00"/>
    <w:rsid w:val="003D3C31"/>
    <w:rsid w:val="00402E06"/>
    <w:rsid w:val="004635D4"/>
    <w:rsid w:val="004716E8"/>
    <w:rsid w:val="004763BD"/>
    <w:rsid w:val="004B0C2E"/>
    <w:rsid w:val="00510954"/>
    <w:rsid w:val="00520795"/>
    <w:rsid w:val="00527367"/>
    <w:rsid w:val="0053211A"/>
    <w:rsid w:val="00542DA2"/>
    <w:rsid w:val="00555E4F"/>
    <w:rsid w:val="0058360A"/>
    <w:rsid w:val="00584AA9"/>
    <w:rsid w:val="005958CD"/>
    <w:rsid w:val="0060531D"/>
    <w:rsid w:val="00617EA0"/>
    <w:rsid w:val="0063450C"/>
    <w:rsid w:val="00654E5E"/>
    <w:rsid w:val="0069156B"/>
    <w:rsid w:val="006925B5"/>
    <w:rsid w:val="006A6F89"/>
    <w:rsid w:val="006C269A"/>
    <w:rsid w:val="00704BD4"/>
    <w:rsid w:val="007200F6"/>
    <w:rsid w:val="00745FB8"/>
    <w:rsid w:val="00751E6C"/>
    <w:rsid w:val="00773BAB"/>
    <w:rsid w:val="00781AEA"/>
    <w:rsid w:val="00785F44"/>
    <w:rsid w:val="007C79A0"/>
    <w:rsid w:val="00812777"/>
    <w:rsid w:val="00872559"/>
    <w:rsid w:val="008978CE"/>
    <w:rsid w:val="008B67DA"/>
    <w:rsid w:val="008C777E"/>
    <w:rsid w:val="008D6034"/>
    <w:rsid w:val="008D68F3"/>
    <w:rsid w:val="008E77B9"/>
    <w:rsid w:val="008F3D28"/>
    <w:rsid w:val="00907A70"/>
    <w:rsid w:val="00914F05"/>
    <w:rsid w:val="00930757"/>
    <w:rsid w:val="00935771"/>
    <w:rsid w:val="00944B3F"/>
    <w:rsid w:val="00963C2D"/>
    <w:rsid w:val="00977626"/>
    <w:rsid w:val="009B6354"/>
    <w:rsid w:val="009B6CAC"/>
    <w:rsid w:val="009E3E15"/>
    <w:rsid w:val="009E5D43"/>
    <w:rsid w:val="009F421B"/>
    <w:rsid w:val="00A17189"/>
    <w:rsid w:val="00A3203C"/>
    <w:rsid w:val="00A511AA"/>
    <w:rsid w:val="00A665CE"/>
    <w:rsid w:val="00AB05FB"/>
    <w:rsid w:val="00AD5BEB"/>
    <w:rsid w:val="00AE4F22"/>
    <w:rsid w:val="00AE55CE"/>
    <w:rsid w:val="00B014A7"/>
    <w:rsid w:val="00B02807"/>
    <w:rsid w:val="00B04C69"/>
    <w:rsid w:val="00B23F5E"/>
    <w:rsid w:val="00B66136"/>
    <w:rsid w:val="00B71828"/>
    <w:rsid w:val="00BD2CA3"/>
    <w:rsid w:val="00C01302"/>
    <w:rsid w:val="00C0136E"/>
    <w:rsid w:val="00C14ADA"/>
    <w:rsid w:val="00C15B7D"/>
    <w:rsid w:val="00C339EF"/>
    <w:rsid w:val="00C51830"/>
    <w:rsid w:val="00C52D24"/>
    <w:rsid w:val="00C60999"/>
    <w:rsid w:val="00C75674"/>
    <w:rsid w:val="00C83403"/>
    <w:rsid w:val="00C853A5"/>
    <w:rsid w:val="00C9296C"/>
    <w:rsid w:val="00C972EA"/>
    <w:rsid w:val="00CB1B64"/>
    <w:rsid w:val="00CB4C52"/>
    <w:rsid w:val="00CC240B"/>
    <w:rsid w:val="00D12102"/>
    <w:rsid w:val="00D454C3"/>
    <w:rsid w:val="00D45658"/>
    <w:rsid w:val="00D56EE6"/>
    <w:rsid w:val="00D57076"/>
    <w:rsid w:val="00D8735A"/>
    <w:rsid w:val="00DD0834"/>
    <w:rsid w:val="00DE7544"/>
    <w:rsid w:val="00E0330D"/>
    <w:rsid w:val="00E53996"/>
    <w:rsid w:val="00E61C84"/>
    <w:rsid w:val="00E76A5A"/>
    <w:rsid w:val="00E84C08"/>
    <w:rsid w:val="00E86193"/>
    <w:rsid w:val="00E94176"/>
    <w:rsid w:val="00E96F93"/>
    <w:rsid w:val="00EC74DB"/>
    <w:rsid w:val="00EE66D5"/>
    <w:rsid w:val="00F0566D"/>
    <w:rsid w:val="00F32FDE"/>
    <w:rsid w:val="00F53D21"/>
    <w:rsid w:val="00F54EBE"/>
    <w:rsid w:val="00F651E0"/>
    <w:rsid w:val="00FC2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FE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9A"/>
  </w:style>
  <w:style w:type="paragraph" w:styleId="Heading1">
    <w:name w:val="heading 1"/>
    <w:basedOn w:val="Normal"/>
    <w:next w:val="Normal"/>
    <w:link w:val="Heading1Char"/>
    <w:uiPriority w:val="9"/>
    <w:qFormat/>
    <w:rsid w:val="00AE55CE"/>
    <w:pPr>
      <w:keepNext/>
      <w:keepLines/>
      <w:numPr>
        <w:numId w:val="9"/>
      </w:numPr>
      <w:spacing w:after="240" w:line="240" w:lineRule="auto"/>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930757"/>
    <w:pPr>
      <w:keepNext/>
      <w:keepLines/>
      <w:numPr>
        <w:ilvl w:val="1"/>
        <w:numId w:val="9"/>
      </w:numPr>
      <w:spacing w:before="360" w:after="200" w:line="240" w:lineRule="auto"/>
      <w:outlineLvl w:val="1"/>
    </w:pPr>
    <w:rPr>
      <w:rFonts w:ascii="Calibri" w:eastAsiaTheme="majorEastAsia" w:hAnsi="Calibri" w:cstheme="majorBidi"/>
      <w:b/>
      <w:caps/>
      <w:color w:val="472D8C"/>
      <w:sz w:val="36"/>
      <w:szCs w:val="26"/>
    </w:rPr>
  </w:style>
  <w:style w:type="paragraph" w:styleId="Heading3">
    <w:name w:val="heading 3"/>
    <w:basedOn w:val="Normal"/>
    <w:next w:val="Normal"/>
    <w:link w:val="Heading3Char"/>
    <w:uiPriority w:val="9"/>
    <w:unhideWhenUsed/>
    <w:qFormat/>
    <w:rsid w:val="00930757"/>
    <w:pPr>
      <w:keepNext/>
      <w:keepLines/>
      <w:spacing w:before="360" w:after="200" w:line="240" w:lineRule="auto"/>
      <w:outlineLvl w:val="2"/>
    </w:pPr>
    <w:rPr>
      <w:rFonts w:ascii="Calibri" w:eastAsiaTheme="majorEastAsia" w:hAnsi="Calibri" w:cstheme="majorBidi"/>
      <w:b/>
      <w:color w:val="999789"/>
      <w:sz w:val="32"/>
      <w:szCs w:val="24"/>
    </w:rPr>
  </w:style>
  <w:style w:type="paragraph" w:styleId="Heading4">
    <w:name w:val="heading 4"/>
    <w:basedOn w:val="Normal"/>
    <w:next w:val="Normal"/>
    <w:link w:val="Heading4Char"/>
    <w:uiPriority w:val="9"/>
    <w:unhideWhenUsed/>
    <w:qFormat/>
    <w:rsid w:val="00872559"/>
    <w:pPr>
      <w:keepNext/>
      <w:keepLines/>
      <w:spacing w:before="240" w:after="120" w:line="240" w:lineRule="auto"/>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rsid w:val="00872559"/>
    <w:pPr>
      <w:keepNext/>
      <w:keepLines/>
      <w:spacing w:before="40" w:after="0"/>
      <w:outlineLvl w:val="4"/>
    </w:pPr>
    <w:rPr>
      <w:rFonts w:eastAsiaTheme="majorEastAsia" w:cstheme="majorBidi"/>
      <w:b/>
      <w:i/>
      <w:sz w:val="24"/>
    </w:rPr>
  </w:style>
  <w:style w:type="paragraph" w:styleId="Heading6">
    <w:name w:val="heading 6"/>
    <w:basedOn w:val="Normal"/>
    <w:next w:val="Normal"/>
    <w:link w:val="Heading6Char"/>
    <w:uiPriority w:val="9"/>
    <w:unhideWhenUsed/>
    <w:qFormat/>
    <w:rsid w:val="008E77B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E77B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E77B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7B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52"/>
    <w:rPr>
      <w:rFonts w:ascii="Calibri" w:eastAsiaTheme="majorEastAsia" w:hAnsi="Calibri" w:cstheme="majorBidi"/>
      <w:b/>
      <w:caps/>
      <w:kern w:val="28"/>
      <w:sz w:val="36"/>
      <w:szCs w:val="32"/>
    </w:rPr>
  </w:style>
  <w:style w:type="character" w:customStyle="1" w:styleId="Heading2Char">
    <w:name w:val="Heading 2 Char"/>
    <w:basedOn w:val="DefaultParagraphFont"/>
    <w:link w:val="Heading2"/>
    <w:uiPriority w:val="9"/>
    <w:rsid w:val="00930757"/>
    <w:rPr>
      <w:rFonts w:ascii="Calibri" w:eastAsiaTheme="majorEastAsia" w:hAnsi="Calibri" w:cstheme="majorBidi"/>
      <w:b/>
      <w:caps/>
      <w:color w:val="472D8C"/>
      <w:sz w:val="36"/>
      <w:szCs w:val="26"/>
    </w:rPr>
  </w:style>
  <w:style w:type="character" w:customStyle="1" w:styleId="Heading3Char">
    <w:name w:val="Heading 3 Char"/>
    <w:basedOn w:val="DefaultParagraphFont"/>
    <w:link w:val="Heading3"/>
    <w:uiPriority w:val="9"/>
    <w:rsid w:val="00930757"/>
    <w:rPr>
      <w:rFonts w:ascii="Calibri" w:eastAsiaTheme="majorEastAsia" w:hAnsi="Calibri" w:cstheme="majorBidi"/>
      <w:b/>
      <w:color w:val="999789"/>
      <w:sz w:val="32"/>
      <w:szCs w:val="24"/>
    </w:rPr>
  </w:style>
  <w:style w:type="character" w:customStyle="1" w:styleId="Heading4Char">
    <w:name w:val="Heading 4 Char"/>
    <w:basedOn w:val="DefaultParagraphFont"/>
    <w:link w:val="Heading4"/>
    <w:uiPriority w:val="9"/>
    <w:rsid w:val="00872559"/>
    <w:rPr>
      <w:rFonts w:ascii="Calibri" w:eastAsiaTheme="majorEastAsia" w:hAnsi="Calibri" w:cstheme="majorBidi"/>
      <w:b/>
      <w:iCs/>
      <w:sz w:val="28"/>
    </w:rPr>
  </w:style>
  <w:style w:type="character" w:customStyle="1" w:styleId="Heading5Char">
    <w:name w:val="Heading 5 Char"/>
    <w:basedOn w:val="DefaultParagraphFont"/>
    <w:link w:val="Heading5"/>
    <w:uiPriority w:val="9"/>
    <w:rsid w:val="00872559"/>
    <w:rPr>
      <w:rFonts w:eastAsiaTheme="majorEastAsia" w:cstheme="majorBidi"/>
      <w:b/>
      <w:i/>
      <w:sz w:val="24"/>
    </w:rPr>
  </w:style>
  <w:style w:type="character" w:customStyle="1" w:styleId="Heading6Char">
    <w:name w:val="Heading 6 Char"/>
    <w:basedOn w:val="DefaultParagraphFont"/>
    <w:link w:val="Heading6"/>
    <w:uiPriority w:val="9"/>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7B9"/>
    <w:rPr>
      <w:rFonts w:asciiTheme="majorHAnsi" w:eastAsiaTheme="majorEastAsia" w:hAnsiTheme="majorHAnsi" w:cstheme="majorBidi"/>
      <w:i/>
      <w:iCs/>
      <w:color w:val="272727" w:themeColor="text1" w:themeTint="D8"/>
      <w:sz w:val="21"/>
      <w:szCs w:val="21"/>
    </w:rPr>
  </w:style>
  <w:style w:type="paragraph" w:customStyle="1" w:styleId="Bbodytext">
    <w:name w:val="B_body_text"/>
    <w:basedOn w:val="Normal"/>
    <w:link w:val="BbodytextChar"/>
    <w:qFormat/>
    <w:rsid w:val="001B45B0"/>
    <w:pPr>
      <w:spacing w:before="120" w:after="120" w:line="240" w:lineRule="auto"/>
    </w:pPr>
    <w:rPr>
      <w:sz w:val="24"/>
    </w:rPr>
  </w:style>
  <w:style w:type="character" w:customStyle="1" w:styleId="BbodytextChar">
    <w:name w:val="B_body_text Char"/>
    <w:basedOn w:val="DefaultParagraphFont"/>
    <w:link w:val="Bbodytext"/>
    <w:rsid w:val="001B45B0"/>
    <w:rPr>
      <w:sz w:val="24"/>
    </w:rPr>
  </w:style>
  <w:style w:type="paragraph" w:customStyle="1" w:styleId="BBullet1">
    <w:name w:val="B_Bullet_1"/>
    <w:basedOn w:val="Bbodytext"/>
    <w:link w:val="BBullet1Char"/>
    <w:qFormat/>
    <w:rsid w:val="00E53996"/>
    <w:pPr>
      <w:numPr>
        <w:numId w:val="1"/>
      </w:numPr>
      <w:tabs>
        <w:tab w:val="left" w:pos="357"/>
      </w:tabs>
      <w:spacing w:before="0"/>
      <w:ind w:left="567" w:hanging="567"/>
    </w:pPr>
  </w:style>
  <w:style w:type="character" w:customStyle="1" w:styleId="BBullet1Char">
    <w:name w:val="B_Bullet_1 Char"/>
    <w:basedOn w:val="BbodytextChar"/>
    <w:link w:val="BBullet1"/>
    <w:rsid w:val="00E53996"/>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paragraph" w:customStyle="1" w:styleId="BFooter">
    <w:name w:val="B_Footer"/>
    <w:basedOn w:val="Footer"/>
    <w:link w:val="BFooterChar"/>
    <w:qFormat/>
    <w:rsid w:val="00DD0834"/>
    <w:pPr>
      <w:ind w:left="-284" w:right="-329"/>
    </w:pPr>
    <w:rPr>
      <w:i/>
      <w:sz w:val="20"/>
    </w:rPr>
  </w:style>
  <w:style w:type="character" w:customStyle="1" w:styleId="BFooterChar">
    <w:name w:val="B_Footer Char"/>
    <w:basedOn w:val="FooterChar"/>
    <w:link w:val="BFooter"/>
    <w:rsid w:val="00DD0834"/>
    <w:rPr>
      <w:i/>
      <w:sz w:val="20"/>
    </w:rPr>
  </w:style>
  <w:style w:type="paragraph" w:customStyle="1" w:styleId="BBullet2">
    <w:name w:val="B_Bullet_2"/>
    <w:basedOn w:val="BBullet1"/>
    <w:link w:val="BBullet2Char"/>
    <w:qFormat/>
    <w:rsid w:val="00E53996"/>
    <w:pPr>
      <w:numPr>
        <w:numId w:val="2"/>
      </w:numPr>
      <w:ind w:left="1134" w:hanging="567"/>
    </w:pPr>
  </w:style>
  <w:style w:type="character" w:customStyle="1" w:styleId="BBullet2Char">
    <w:name w:val="B_Bullet_2 Char"/>
    <w:basedOn w:val="BBullet1Char"/>
    <w:link w:val="BBullet2"/>
    <w:rsid w:val="00E53996"/>
    <w:rPr>
      <w:sz w:val="24"/>
    </w:rPr>
  </w:style>
  <w:style w:type="paragraph" w:styleId="Caption">
    <w:name w:val="caption"/>
    <w:basedOn w:val="Normal"/>
    <w:next w:val="Normal"/>
    <w:uiPriority w:val="35"/>
    <w:unhideWhenUsed/>
    <w:qFormat/>
    <w:rsid w:val="00111524"/>
    <w:pPr>
      <w:keepNext/>
      <w:spacing w:before="240" w:after="200" w:line="240" w:lineRule="auto"/>
    </w:pPr>
    <w:rPr>
      <w:b/>
      <w:iCs/>
      <w:color w:val="472D8C"/>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6925B5"/>
    <w:pPr>
      <w:keepNext/>
      <w:spacing w:after="0" w:line="240" w:lineRule="auto"/>
    </w:pPr>
    <w:rPr>
      <w:rFonts w:ascii="Calibri" w:hAnsi="Calibri"/>
      <w:sz w:val="18"/>
    </w:rPr>
  </w:style>
  <w:style w:type="paragraph" w:customStyle="1" w:styleId="BNoteBold">
    <w:name w:val="B_Note Bold"/>
    <w:basedOn w:val="Normal"/>
    <w:qFormat/>
    <w:rsid w:val="006925B5"/>
    <w:pPr>
      <w:keepNext/>
      <w:spacing w:before="120" w:after="0" w:line="240" w:lineRule="auto"/>
    </w:pPr>
    <w:rPr>
      <w:rFonts w:ascii="Calibri" w:hAnsi="Calibri"/>
      <w:b/>
      <w:sz w:val="18"/>
    </w:rPr>
  </w:style>
  <w:style w:type="paragraph" w:customStyle="1" w:styleId="BNotelist">
    <w:name w:val="B_Note list"/>
    <w:basedOn w:val="BNoteBold"/>
    <w:qFormat/>
    <w:rsid w:val="006925B5"/>
    <w:pPr>
      <w:numPr>
        <w:numId w:val="3"/>
      </w:numPr>
      <w:spacing w:before="0"/>
    </w:pPr>
    <w:rPr>
      <w:b w:val="0"/>
    </w:rPr>
  </w:style>
  <w:style w:type="paragraph" w:styleId="IntenseQuote">
    <w:name w:val="Intense Quote"/>
    <w:basedOn w:val="Normal"/>
    <w:next w:val="Normal"/>
    <w:link w:val="IntenseQuoteChar"/>
    <w:uiPriority w:val="30"/>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paragraph" w:customStyle="1" w:styleId="Emptycell">
    <w:name w:val="Empty cell"/>
    <w:basedOn w:val="Bbodytext"/>
    <w:qFormat/>
    <w:rsid w:val="004635D4"/>
    <w:pPr>
      <w:numPr>
        <w:numId w:val="7"/>
      </w:numPr>
    </w:pPr>
    <w:rPr>
      <w:color w:val="FFFFFF" w:themeColor="background1"/>
      <w:sz w:val="16"/>
    </w:rPr>
  </w:style>
  <w:style w:type="character" w:styleId="Hyperlink">
    <w:name w:val="Hyperlink"/>
    <w:basedOn w:val="DefaultParagraphFont"/>
    <w:uiPriority w:val="99"/>
    <w:unhideWhenUsed/>
    <w:rsid w:val="00A3203C"/>
    <w:rPr>
      <w:color w:val="0563C1" w:themeColor="hyperlink"/>
      <w:u w:val="single"/>
    </w:rPr>
  </w:style>
  <w:style w:type="paragraph" w:styleId="TOC1">
    <w:name w:val="toc 1"/>
    <w:basedOn w:val="Normal"/>
    <w:next w:val="Normal"/>
    <w:autoRedefine/>
    <w:uiPriority w:val="39"/>
    <w:unhideWhenUsed/>
    <w:rsid w:val="00A3203C"/>
    <w:pPr>
      <w:spacing w:after="100"/>
    </w:pPr>
  </w:style>
  <w:style w:type="paragraph" w:styleId="TOC2">
    <w:name w:val="toc 2"/>
    <w:basedOn w:val="Normal"/>
    <w:next w:val="Normal"/>
    <w:autoRedefine/>
    <w:uiPriority w:val="39"/>
    <w:unhideWhenUsed/>
    <w:rsid w:val="00A3203C"/>
    <w:pPr>
      <w:spacing w:after="100"/>
      <w:ind w:left="220"/>
    </w:pPr>
  </w:style>
  <w:style w:type="paragraph" w:customStyle="1" w:styleId="BStabletext">
    <w:name w:val="BS_table text"/>
    <w:basedOn w:val="Normal"/>
    <w:link w:val="BStabletextChar"/>
    <w:autoRedefine/>
    <w:qFormat/>
    <w:rsid w:val="00C14ADA"/>
    <w:pPr>
      <w:spacing w:after="0" w:line="240" w:lineRule="auto"/>
    </w:pPr>
    <w:rPr>
      <w:rFonts w:ascii="Calibri" w:eastAsia="Times New Roman" w:hAnsi="Calibri" w:cs="Times New Roman"/>
      <w:bCs/>
      <w:sz w:val="20"/>
      <w:szCs w:val="20"/>
      <w:lang w:eastAsia="en-AU"/>
    </w:rPr>
  </w:style>
  <w:style w:type="character" w:customStyle="1" w:styleId="BStabletextChar">
    <w:name w:val="BS_table text Char"/>
    <w:link w:val="BStabletext"/>
    <w:rsid w:val="00C14ADA"/>
    <w:rPr>
      <w:rFonts w:ascii="Calibri" w:eastAsia="Times New Roman" w:hAnsi="Calibri" w:cs="Times New Roman"/>
      <w:bCs/>
      <w:sz w:val="20"/>
      <w:szCs w:val="20"/>
      <w:lang w:eastAsia="en-AU"/>
    </w:rPr>
  </w:style>
  <w:style w:type="paragraph" w:customStyle="1" w:styleId="BStabletextbold">
    <w:name w:val="BS_table text bold"/>
    <w:basedOn w:val="BStabletext"/>
    <w:link w:val="BStabletextboldChar"/>
    <w:qFormat/>
    <w:rsid w:val="00A3203C"/>
    <w:rPr>
      <w:b/>
    </w:rPr>
  </w:style>
  <w:style w:type="character" w:customStyle="1" w:styleId="BStabletextboldChar">
    <w:name w:val="BS_table text bold Char"/>
    <w:link w:val="BStabletextbold"/>
    <w:rsid w:val="00A3203C"/>
    <w:rPr>
      <w:rFonts w:ascii="Calibri" w:eastAsia="Times New Roman" w:hAnsi="Calibri" w:cs="Times New Roman"/>
      <w:b/>
      <w:bCs/>
      <w:sz w:val="20"/>
      <w:szCs w:val="20"/>
      <w:lang w:eastAsia="en-AU"/>
    </w:rPr>
  </w:style>
  <w:style w:type="paragraph" w:customStyle="1" w:styleId="EmptyCell0">
    <w:name w:val="Empty Cell"/>
    <w:basedOn w:val="Normal"/>
    <w:qFormat/>
    <w:rsid w:val="00A3203C"/>
    <w:pPr>
      <w:spacing w:after="0" w:line="240" w:lineRule="auto"/>
      <w:jc w:val="right"/>
    </w:pPr>
    <w:rPr>
      <w:rFonts w:ascii="Calibri" w:eastAsia="Times New Roman" w:hAnsi="Calibri" w:cs="Calibri"/>
      <w:color w:val="FFFFFF"/>
      <w:sz w:val="12"/>
      <w:szCs w:val="20"/>
    </w:rPr>
  </w:style>
  <w:style w:type="paragraph" w:customStyle="1" w:styleId="BStabletextbolditalics">
    <w:name w:val="BS_table text bold italics"/>
    <w:basedOn w:val="BStabletext"/>
    <w:qFormat/>
    <w:rsid w:val="00A3203C"/>
    <w:rPr>
      <w:b/>
      <w:i/>
      <w:lang w:val="x-none" w:eastAsia="en-US"/>
    </w:rPr>
  </w:style>
  <w:style w:type="paragraph" w:customStyle="1" w:styleId="BSnotetext">
    <w:name w:val="BS_note text"/>
    <w:basedOn w:val="Normal"/>
    <w:link w:val="BSnotetextChar"/>
    <w:qFormat/>
    <w:rsid w:val="00A3203C"/>
    <w:pPr>
      <w:keepNext/>
      <w:spacing w:before="120" w:after="0" w:line="240" w:lineRule="auto"/>
    </w:pPr>
    <w:rPr>
      <w:rFonts w:ascii="Calibri" w:eastAsia="Times New Roman" w:hAnsi="Calibri" w:cs="Times New Roman"/>
      <w:sz w:val="18"/>
      <w:szCs w:val="16"/>
      <w:lang w:val="x-none"/>
    </w:rPr>
  </w:style>
  <w:style w:type="character" w:customStyle="1" w:styleId="BSnotetextChar">
    <w:name w:val="BS_note text Char"/>
    <w:link w:val="BSnotetext"/>
    <w:rsid w:val="00A3203C"/>
    <w:rPr>
      <w:rFonts w:ascii="Calibri" w:eastAsia="Times New Roman" w:hAnsi="Calibri" w:cs="Times New Roman"/>
      <w:sz w:val="18"/>
      <w:szCs w:val="16"/>
      <w:lang w:val="x-none"/>
    </w:rPr>
  </w:style>
  <w:style w:type="character" w:customStyle="1" w:styleId="CommentTextChar">
    <w:name w:val="Comment Text Char"/>
    <w:basedOn w:val="DefaultParagraphFont"/>
    <w:link w:val="CommentText"/>
    <w:uiPriority w:val="99"/>
    <w:semiHidden/>
    <w:rsid w:val="00704BD4"/>
    <w:rPr>
      <w:sz w:val="20"/>
      <w:szCs w:val="20"/>
    </w:rPr>
  </w:style>
  <w:style w:type="paragraph" w:styleId="CommentText">
    <w:name w:val="annotation text"/>
    <w:basedOn w:val="Normal"/>
    <w:link w:val="CommentTextChar"/>
    <w:uiPriority w:val="99"/>
    <w:semiHidden/>
    <w:unhideWhenUsed/>
    <w:rsid w:val="00704BD4"/>
    <w:pPr>
      <w:spacing w:line="240" w:lineRule="auto"/>
    </w:pPr>
    <w:rPr>
      <w:sz w:val="20"/>
      <w:szCs w:val="20"/>
    </w:rPr>
  </w:style>
  <w:style w:type="character" w:customStyle="1" w:styleId="CommentSubjectChar">
    <w:name w:val="Comment Subject Char"/>
    <w:basedOn w:val="CommentTextChar"/>
    <w:link w:val="CommentSubject"/>
    <w:uiPriority w:val="99"/>
    <w:semiHidden/>
    <w:rsid w:val="00704BD4"/>
    <w:rPr>
      <w:b/>
      <w:bCs/>
      <w:sz w:val="20"/>
      <w:szCs w:val="20"/>
    </w:rPr>
  </w:style>
  <w:style w:type="paragraph" w:styleId="CommentSubject">
    <w:name w:val="annotation subject"/>
    <w:basedOn w:val="CommentText"/>
    <w:next w:val="CommentText"/>
    <w:link w:val="CommentSubjectChar"/>
    <w:uiPriority w:val="99"/>
    <w:semiHidden/>
    <w:unhideWhenUsed/>
    <w:rsid w:val="00704BD4"/>
    <w:rPr>
      <w:b/>
      <w:bCs/>
    </w:rPr>
  </w:style>
  <w:style w:type="paragraph" w:customStyle="1" w:styleId="BTabletext">
    <w:name w:val="B_Table text"/>
    <w:basedOn w:val="Btablefigureunbold"/>
    <w:qFormat/>
    <w:rsid w:val="00704BD4"/>
    <w:pPr>
      <w:jc w:val="left"/>
    </w:pPr>
  </w:style>
  <w:style w:type="paragraph" w:customStyle="1" w:styleId="BStableheading">
    <w:name w:val="BS_table heading"/>
    <w:basedOn w:val="Normal"/>
    <w:link w:val="BStableheadingChar"/>
    <w:qFormat/>
    <w:rsid w:val="00A511AA"/>
    <w:pPr>
      <w:framePr w:wrap="around" w:vAnchor="text" w:hAnchor="text" w:y="1"/>
      <w:spacing w:after="0" w:line="240" w:lineRule="auto"/>
      <w:jc w:val="right"/>
    </w:pPr>
    <w:rPr>
      <w:rFonts w:ascii="Calibri" w:eastAsia="Times New Roman" w:hAnsi="Calibri" w:cs="Times New Roman"/>
      <w:b/>
      <w:sz w:val="20"/>
      <w:szCs w:val="20"/>
      <w:lang w:val="x-none"/>
    </w:rPr>
  </w:style>
  <w:style w:type="character" w:customStyle="1" w:styleId="BStableheadingChar">
    <w:name w:val="BS_table heading Char"/>
    <w:basedOn w:val="DefaultParagraphFont"/>
    <w:link w:val="BStableheading"/>
    <w:rsid w:val="00A511AA"/>
    <w:rPr>
      <w:rFonts w:ascii="Calibri" w:eastAsia="Times New Roman" w:hAnsi="Calibri" w:cs="Times New Roman"/>
      <w:b/>
      <w:sz w:val="20"/>
      <w:szCs w:val="20"/>
      <w:lang w:val="x-none"/>
    </w:rPr>
  </w:style>
  <w:style w:type="paragraph" w:customStyle="1" w:styleId="BStabletextunbold">
    <w:name w:val="BS_table text unbold"/>
    <w:basedOn w:val="BStabletext"/>
    <w:qFormat/>
    <w:rsid w:val="00A511AA"/>
    <w:pPr>
      <w:ind w:left="227" w:hanging="227"/>
    </w:pPr>
  </w:style>
  <w:style w:type="paragraph" w:customStyle="1" w:styleId="BStableindent">
    <w:name w:val="BS table indent"/>
    <w:basedOn w:val="BStabletextunbold"/>
    <w:qFormat/>
    <w:rsid w:val="00A511AA"/>
    <w:pPr>
      <w:ind w:left="421"/>
    </w:pPr>
    <w:rPr>
      <w:lang w:val="x-none" w:eastAsia="en-US"/>
    </w:rPr>
  </w:style>
  <w:style w:type="paragraph" w:styleId="FootnoteText">
    <w:name w:val="footnote text"/>
    <w:basedOn w:val="Normal"/>
    <w:link w:val="FootnoteTextChar"/>
    <w:uiPriority w:val="99"/>
    <w:unhideWhenUsed/>
    <w:rsid w:val="00A511AA"/>
    <w:pPr>
      <w:spacing w:after="0" w:line="240" w:lineRule="auto"/>
    </w:pPr>
    <w:rPr>
      <w:sz w:val="20"/>
      <w:szCs w:val="20"/>
    </w:rPr>
  </w:style>
  <w:style w:type="character" w:customStyle="1" w:styleId="FootnoteTextChar">
    <w:name w:val="Footnote Text Char"/>
    <w:basedOn w:val="DefaultParagraphFont"/>
    <w:link w:val="FootnoteText"/>
    <w:uiPriority w:val="99"/>
    <w:rsid w:val="00A511AA"/>
    <w:rPr>
      <w:sz w:val="20"/>
      <w:szCs w:val="20"/>
    </w:rPr>
  </w:style>
  <w:style w:type="character" w:styleId="FootnoteReference">
    <w:name w:val="footnote reference"/>
    <w:basedOn w:val="DefaultParagraphFont"/>
    <w:uiPriority w:val="99"/>
    <w:unhideWhenUsed/>
    <w:qFormat/>
    <w:rsid w:val="00A511AA"/>
    <w:rPr>
      <w:vertAlign w:val="superscript"/>
    </w:rPr>
  </w:style>
  <w:style w:type="character" w:customStyle="1" w:styleId="normaltextrun">
    <w:name w:val="normaltextrun"/>
    <w:basedOn w:val="DefaultParagraphFont"/>
    <w:rsid w:val="00A511AA"/>
  </w:style>
  <w:style w:type="character" w:customStyle="1" w:styleId="eop">
    <w:name w:val="eop"/>
    <w:basedOn w:val="DefaultParagraphFont"/>
    <w:rsid w:val="00A511AA"/>
  </w:style>
  <w:style w:type="character" w:styleId="CommentReference">
    <w:name w:val="annotation reference"/>
    <w:basedOn w:val="DefaultParagraphFont"/>
    <w:uiPriority w:val="99"/>
    <w:semiHidden/>
    <w:unhideWhenUsed/>
    <w:rsid w:val="00A511AA"/>
    <w:rPr>
      <w:sz w:val="16"/>
      <w:szCs w:val="16"/>
    </w:rPr>
  </w:style>
  <w:style w:type="paragraph" w:customStyle="1" w:styleId="BStablefigures">
    <w:name w:val="BS_table figures"/>
    <w:basedOn w:val="Normal"/>
    <w:next w:val="Normal"/>
    <w:link w:val="BStablefiguresChar"/>
    <w:autoRedefine/>
    <w:qFormat/>
    <w:rsid w:val="00DD0834"/>
    <w:pPr>
      <w:tabs>
        <w:tab w:val="left" w:pos="914"/>
      </w:tabs>
      <w:spacing w:after="0" w:line="240" w:lineRule="auto"/>
      <w:ind w:left="142" w:hanging="142"/>
    </w:pPr>
    <w:rPr>
      <w:rFonts w:ascii="Calibri" w:eastAsia="Times New Roman" w:hAnsi="Calibri" w:cs="Times New Roman"/>
      <w:i/>
      <w:sz w:val="18"/>
      <w:szCs w:val="20"/>
      <w:lang w:eastAsia="en-AU"/>
    </w:rPr>
  </w:style>
  <w:style w:type="character" w:customStyle="1" w:styleId="BStablefiguresChar">
    <w:name w:val="BS_table figures Char"/>
    <w:link w:val="BStablefigures"/>
    <w:rsid w:val="00DD0834"/>
    <w:rPr>
      <w:rFonts w:ascii="Calibri" w:eastAsia="Times New Roman" w:hAnsi="Calibri" w:cs="Times New Roman"/>
      <w:i/>
      <w:sz w:val="18"/>
      <w:szCs w:val="20"/>
      <w:lang w:eastAsia="en-AU"/>
    </w:rPr>
  </w:style>
  <w:style w:type="paragraph" w:customStyle="1" w:styleId="BStablefiguresitalics">
    <w:name w:val="BS_table figures italics"/>
    <w:basedOn w:val="BStablefigures"/>
    <w:qFormat/>
    <w:rsid w:val="00DD0834"/>
    <w:rPr>
      <w:rFonts w:cs="Arial"/>
      <w:i w:val="0"/>
      <w:color w:val="000000"/>
      <w:szCs w:val="24"/>
      <w:lang w:val="x-none" w:eastAsia="en-US"/>
    </w:rPr>
  </w:style>
  <w:style w:type="paragraph" w:customStyle="1" w:styleId="BSnote">
    <w:name w:val="BS_note"/>
    <w:basedOn w:val="NoteHeading"/>
    <w:link w:val="BSnoteChar"/>
    <w:qFormat/>
    <w:rsid w:val="00E94176"/>
    <w:pPr>
      <w:keepNext/>
      <w:spacing w:before="120"/>
    </w:pPr>
    <w:rPr>
      <w:rFonts w:ascii="Calibri" w:eastAsia="Times New Roman" w:hAnsi="Calibri" w:cs="Times New Roman"/>
      <w:b/>
      <w:sz w:val="18"/>
      <w:szCs w:val="16"/>
      <w:lang w:val="x-none"/>
    </w:rPr>
  </w:style>
  <w:style w:type="character" w:customStyle="1" w:styleId="BSnoteChar">
    <w:name w:val="BS_note Char"/>
    <w:link w:val="BSnote"/>
    <w:rsid w:val="00E94176"/>
    <w:rPr>
      <w:rFonts w:ascii="Calibri" w:eastAsia="Times New Roman" w:hAnsi="Calibri" w:cs="Times New Roman"/>
      <w:b/>
      <w:sz w:val="18"/>
      <w:szCs w:val="16"/>
      <w:lang w:val="x-none"/>
    </w:rPr>
  </w:style>
  <w:style w:type="paragraph" w:customStyle="1" w:styleId="BSnoteslist">
    <w:name w:val="BS_notes list"/>
    <w:basedOn w:val="Normal"/>
    <w:link w:val="BSnoteslistChar"/>
    <w:qFormat/>
    <w:rsid w:val="00E94176"/>
    <w:pPr>
      <w:numPr>
        <w:numId w:val="23"/>
      </w:numPr>
      <w:spacing w:after="0" w:line="240" w:lineRule="auto"/>
    </w:pPr>
    <w:rPr>
      <w:rFonts w:ascii="Calibri" w:eastAsia="Times New Roman" w:hAnsi="Calibri" w:cs="Times New Roman"/>
      <w:sz w:val="18"/>
      <w:szCs w:val="24"/>
      <w:lang w:val="x-none"/>
    </w:rPr>
  </w:style>
  <w:style w:type="character" w:customStyle="1" w:styleId="BSnoteslistChar">
    <w:name w:val="BS_notes list Char"/>
    <w:basedOn w:val="DefaultParagraphFont"/>
    <w:link w:val="BSnoteslist"/>
    <w:rsid w:val="00E94176"/>
    <w:rPr>
      <w:rFonts w:ascii="Calibri" w:eastAsia="Times New Roman" w:hAnsi="Calibri" w:cs="Times New Roman"/>
      <w:sz w:val="18"/>
      <w:szCs w:val="24"/>
      <w:lang w:val="x-none"/>
    </w:rPr>
  </w:style>
  <w:style w:type="paragraph" w:styleId="NoteHeading">
    <w:name w:val="Note Heading"/>
    <w:basedOn w:val="Normal"/>
    <w:next w:val="Normal"/>
    <w:link w:val="NoteHeadingChar"/>
    <w:uiPriority w:val="99"/>
    <w:semiHidden/>
    <w:unhideWhenUsed/>
    <w:rsid w:val="00E94176"/>
    <w:pPr>
      <w:spacing w:after="0" w:line="240" w:lineRule="auto"/>
    </w:pPr>
  </w:style>
  <w:style w:type="character" w:customStyle="1" w:styleId="NoteHeadingChar">
    <w:name w:val="Note Heading Char"/>
    <w:basedOn w:val="DefaultParagraphFont"/>
    <w:link w:val="NoteHeading"/>
    <w:uiPriority w:val="99"/>
    <w:semiHidden/>
    <w:rsid w:val="00E94176"/>
  </w:style>
  <w:style w:type="paragraph" w:customStyle="1" w:styleId="BStablefiguresbold">
    <w:name w:val="BS_table figures bold"/>
    <w:basedOn w:val="BStablefigures"/>
    <w:link w:val="BStablefiguresboldChar"/>
    <w:qFormat/>
    <w:rsid w:val="00785F44"/>
    <w:pPr>
      <w:tabs>
        <w:tab w:val="clear" w:pos="914"/>
      </w:tabs>
      <w:ind w:left="227" w:hanging="227"/>
      <w:jc w:val="right"/>
    </w:pPr>
    <w:rPr>
      <w:b/>
      <w:i w:val="0"/>
      <w:sz w:val="20"/>
    </w:rPr>
  </w:style>
  <w:style w:type="character" w:customStyle="1" w:styleId="BStablefiguresboldChar">
    <w:name w:val="BS_table figures bold Char"/>
    <w:link w:val="BStablefiguresbold"/>
    <w:rsid w:val="00785F44"/>
    <w:rPr>
      <w:rFonts w:ascii="Calibri" w:eastAsia="Times New Roman" w:hAnsi="Calibri" w:cs="Times New Roman"/>
      <w:b/>
      <w:sz w:val="20"/>
      <w:szCs w:val="20"/>
      <w:lang w:eastAsia="en-AU"/>
    </w:rPr>
  </w:style>
  <w:style w:type="character" w:customStyle="1" w:styleId="Calibri12">
    <w:name w:val="Calibri 12"/>
    <w:basedOn w:val="DefaultParagraphFont"/>
    <w:uiPriority w:val="1"/>
    <w:qFormat/>
    <w:rsid w:val="00785F44"/>
    <w:rPr>
      <w:rFonts w:ascii="Calibri" w:hAnsi="Calibri"/>
      <w:sz w:val="24"/>
    </w:rPr>
  </w:style>
  <w:style w:type="character" w:styleId="FollowedHyperlink">
    <w:name w:val="FollowedHyperlink"/>
    <w:basedOn w:val="DefaultParagraphFont"/>
    <w:uiPriority w:val="99"/>
    <w:semiHidden/>
    <w:unhideWhenUsed/>
    <w:rsid w:val="00584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treasury.act.gov.au/budget/budget-2021-22/budget-papers" TargetMode="External"/><Relationship Id="rId28" Type="http://schemas.openxmlformats.org/officeDocument/2006/relationships/footer" Target="footer15.xml"/><Relationship Id="rId10" Type="http://schemas.openxmlformats.org/officeDocument/2006/relationships/hyperlink" Target="https://yoursayconversations.act.gov.au/2021-22-budget-consulta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udgetconsultation.act.gov.au" TargetMode="Externa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18668</Words>
  <Characters>106414</Characters>
  <Application>Microsoft Office Word</Application>
  <DocSecurity>0</DocSecurity>
  <Lines>886</Lines>
  <Paragraphs>249</Paragraphs>
  <ScaleCrop>false</ScaleCrop>
  <Company/>
  <LinksUpToDate>false</LinksUpToDate>
  <CharactersWithSpaces>124833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2021-10-07T00:17:00Z</dcterms:created>
  <dcterms:modified xsi:type="dcterms:W3CDTF">2021-10-07T00:17:00Z</dcterms:modified>
</cp:coreProperties>
</file>