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D6F" w:rsidRDefault="00237D6F">
      <w:pPr>
        <w:pBdr>
          <w:top w:val="nil"/>
          <w:left w:val="nil"/>
          <w:bottom w:val="nil"/>
          <w:right w:val="nil"/>
          <w:between w:val="nil"/>
          <w:bar w:val="nil"/>
        </w:pBdr>
        <w:rPr>
          <w:bdr w:val="nil"/>
        </w:rPr>
      </w:pPr>
    </w:p>
    <w:sdt>
      <w:sdtPr>
        <w:rPr>
          <w:b w:val="0"/>
          <w:bCs w:val="0"/>
          <w:sz w:val="24"/>
          <w:szCs w:val="20"/>
          <w:lang w:val="en-AU"/>
        </w:rPr>
        <w:id w:val="-1908225195"/>
        <w:docPartObj>
          <w:docPartGallery w:val="Table of Contents"/>
          <w:docPartUnique/>
        </w:docPartObj>
      </w:sdtPr>
      <w:sdtEndPr>
        <w:rPr>
          <w:noProof/>
        </w:rPr>
      </w:sdtEndPr>
      <w:sdtContent>
        <w:p w:rsidR="00D23CE9" w:rsidRDefault="00D23CE9">
          <w:pPr>
            <w:pStyle w:val="TOCHeading"/>
          </w:pPr>
          <w:r>
            <w:t>Contents</w:t>
          </w:r>
        </w:p>
        <w:p w:rsidR="00AC4797" w:rsidRDefault="00D23CE9">
          <w:pPr>
            <w:pStyle w:val="TOC1"/>
            <w:tabs>
              <w:tab w:val="right" w:leader="dot" w:pos="9016"/>
            </w:tabs>
            <w:rPr>
              <w:rFonts w:asciiTheme="minorHAnsi" w:eastAsiaTheme="minorEastAsia" w:hAnsiTheme="minorHAnsi" w:cstheme="minorBidi"/>
              <w:noProof/>
              <w:sz w:val="22"/>
              <w:szCs w:val="22"/>
              <w:lang w:eastAsia="en-AU"/>
            </w:rPr>
          </w:pPr>
          <w:r>
            <w:fldChar w:fldCharType="begin"/>
          </w:r>
          <w:r>
            <w:instrText xml:space="preserve"> TOC \o "1-3" \h \z \u </w:instrText>
          </w:r>
          <w:r>
            <w:fldChar w:fldCharType="separate"/>
          </w:r>
          <w:hyperlink w:anchor="_Toc514832536" w:history="1">
            <w:r w:rsidR="00AC4797" w:rsidRPr="00B10A33">
              <w:rPr>
                <w:rStyle w:val="Hyperlink"/>
                <w:noProof/>
              </w:rPr>
              <w:t>HEALTH DIRECTORATE</w:t>
            </w:r>
            <w:r w:rsidR="00AC4797">
              <w:rPr>
                <w:noProof/>
                <w:webHidden/>
              </w:rPr>
              <w:tab/>
            </w:r>
            <w:r w:rsidR="00AC4797">
              <w:rPr>
                <w:noProof/>
                <w:webHidden/>
              </w:rPr>
              <w:fldChar w:fldCharType="begin"/>
            </w:r>
            <w:r w:rsidR="00AC4797">
              <w:rPr>
                <w:noProof/>
                <w:webHidden/>
              </w:rPr>
              <w:instrText xml:space="preserve"> PAGEREF _Toc514832536 \h </w:instrText>
            </w:r>
            <w:r w:rsidR="00AC4797">
              <w:rPr>
                <w:noProof/>
                <w:webHidden/>
              </w:rPr>
            </w:r>
            <w:r w:rsidR="00AC4797">
              <w:rPr>
                <w:noProof/>
                <w:webHidden/>
              </w:rPr>
              <w:fldChar w:fldCharType="separate"/>
            </w:r>
            <w:r w:rsidR="00A527FA">
              <w:rPr>
                <w:noProof/>
                <w:webHidden/>
              </w:rPr>
              <w:t>1</w:t>
            </w:r>
            <w:r w:rsidR="00AC4797">
              <w:rPr>
                <w:noProof/>
                <w:webHidden/>
              </w:rPr>
              <w:fldChar w:fldCharType="end"/>
            </w:r>
          </w:hyperlink>
        </w:p>
        <w:p w:rsidR="00AC4797" w:rsidRDefault="00933E98">
          <w:pPr>
            <w:pStyle w:val="TOC2"/>
            <w:tabs>
              <w:tab w:val="right" w:leader="dot" w:pos="9016"/>
            </w:tabs>
            <w:rPr>
              <w:rFonts w:asciiTheme="minorHAnsi" w:eastAsiaTheme="minorEastAsia" w:hAnsiTheme="minorHAnsi" w:cstheme="minorBidi"/>
              <w:noProof/>
              <w:sz w:val="22"/>
              <w:szCs w:val="22"/>
              <w:lang w:eastAsia="en-AU"/>
            </w:rPr>
          </w:pPr>
          <w:hyperlink w:anchor="_Toc514832537" w:history="1">
            <w:r w:rsidR="00AC4797" w:rsidRPr="00B10A33">
              <w:rPr>
                <w:rStyle w:val="Hyperlink"/>
                <w:noProof/>
              </w:rPr>
              <w:t>Purpose</w:t>
            </w:r>
            <w:r w:rsidR="00AC4797">
              <w:rPr>
                <w:noProof/>
                <w:webHidden/>
              </w:rPr>
              <w:tab/>
            </w:r>
            <w:r w:rsidR="00AC4797">
              <w:rPr>
                <w:noProof/>
                <w:webHidden/>
              </w:rPr>
              <w:fldChar w:fldCharType="begin"/>
            </w:r>
            <w:r w:rsidR="00AC4797">
              <w:rPr>
                <w:noProof/>
                <w:webHidden/>
              </w:rPr>
              <w:instrText xml:space="preserve"> PAGEREF _Toc514832537 \h </w:instrText>
            </w:r>
            <w:r w:rsidR="00AC4797">
              <w:rPr>
                <w:noProof/>
                <w:webHidden/>
              </w:rPr>
            </w:r>
            <w:r w:rsidR="00AC4797">
              <w:rPr>
                <w:noProof/>
                <w:webHidden/>
              </w:rPr>
              <w:fldChar w:fldCharType="separate"/>
            </w:r>
            <w:r w:rsidR="00A527FA">
              <w:rPr>
                <w:noProof/>
                <w:webHidden/>
              </w:rPr>
              <w:t>1</w:t>
            </w:r>
            <w:r w:rsidR="00AC4797">
              <w:rPr>
                <w:noProof/>
                <w:webHidden/>
              </w:rPr>
              <w:fldChar w:fldCharType="end"/>
            </w:r>
          </w:hyperlink>
        </w:p>
        <w:p w:rsidR="00AC4797" w:rsidRDefault="00933E98">
          <w:pPr>
            <w:pStyle w:val="TOC2"/>
            <w:tabs>
              <w:tab w:val="right" w:leader="dot" w:pos="9016"/>
            </w:tabs>
            <w:rPr>
              <w:rFonts w:asciiTheme="minorHAnsi" w:eastAsiaTheme="minorEastAsia" w:hAnsiTheme="minorHAnsi" w:cstheme="minorBidi"/>
              <w:noProof/>
              <w:sz w:val="22"/>
              <w:szCs w:val="22"/>
              <w:lang w:eastAsia="en-AU"/>
            </w:rPr>
          </w:pPr>
          <w:hyperlink w:anchor="_Toc514832538" w:history="1">
            <w:r w:rsidR="00AC4797" w:rsidRPr="00B10A33">
              <w:rPr>
                <w:rStyle w:val="Hyperlink"/>
                <w:noProof/>
                <w:bdr w:val="nil"/>
              </w:rPr>
              <w:t>2018-19 Priorities</w:t>
            </w:r>
            <w:r w:rsidR="00AC4797">
              <w:rPr>
                <w:noProof/>
                <w:webHidden/>
              </w:rPr>
              <w:tab/>
            </w:r>
            <w:r w:rsidR="00AC4797">
              <w:rPr>
                <w:noProof/>
                <w:webHidden/>
              </w:rPr>
              <w:fldChar w:fldCharType="begin"/>
            </w:r>
            <w:r w:rsidR="00AC4797">
              <w:rPr>
                <w:noProof/>
                <w:webHidden/>
              </w:rPr>
              <w:instrText xml:space="preserve"> PAGEREF _Toc514832538 \h </w:instrText>
            </w:r>
            <w:r w:rsidR="00AC4797">
              <w:rPr>
                <w:noProof/>
                <w:webHidden/>
              </w:rPr>
            </w:r>
            <w:r w:rsidR="00AC4797">
              <w:rPr>
                <w:noProof/>
                <w:webHidden/>
              </w:rPr>
              <w:fldChar w:fldCharType="separate"/>
            </w:r>
            <w:r w:rsidR="00A527FA">
              <w:rPr>
                <w:noProof/>
                <w:webHidden/>
              </w:rPr>
              <w:t>1</w:t>
            </w:r>
            <w:r w:rsidR="00AC4797">
              <w:rPr>
                <w:noProof/>
                <w:webHidden/>
              </w:rPr>
              <w:fldChar w:fldCharType="end"/>
            </w:r>
          </w:hyperlink>
        </w:p>
        <w:p w:rsidR="00AC4797" w:rsidRDefault="00933E98">
          <w:pPr>
            <w:pStyle w:val="TOC2"/>
            <w:tabs>
              <w:tab w:val="right" w:leader="dot" w:pos="9016"/>
            </w:tabs>
            <w:rPr>
              <w:rFonts w:asciiTheme="minorHAnsi" w:eastAsiaTheme="minorEastAsia" w:hAnsiTheme="minorHAnsi" w:cstheme="minorBidi"/>
              <w:noProof/>
              <w:sz w:val="22"/>
              <w:szCs w:val="22"/>
              <w:lang w:eastAsia="en-AU"/>
            </w:rPr>
          </w:pPr>
          <w:hyperlink w:anchor="_Toc514832539" w:history="1">
            <w:r w:rsidR="00AC4797" w:rsidRPr="00B10A33">
              <w:rPr>
                <w:rStyle w:val="Hyperlink"/>
                <w:noProof/>
              </w:rPr>
              <w:t>Estimated Employment Level</w:t>
            </w:r>
            <w:r w:rsidR="00AC4797">
              <w:rPr>
                <w:noProof/>
                <w:webHidden/>
              </w:rPr>
              <w:tab/>
            </w:r>
            <w:r w:rsidR="00AC4797">
              <w:rPr>
                <w:noProof/>
                <w:webHidden/>
              </w:rPr>
              <w:fldChar w:fldCharType="begin"/>
            </w:r>
            <w:r w:rsidR="00AC4797">
              <w:rPr>
                <w:noProof/>
                <w:webHidden/>
              </w:rPr>
              <w:instrText xml:space="preserve"> PAGEREF _Toc514832539 \h </w:instrText>
            </w:r>
            <w:r w:rsidR="00AC4797">
              <w:rPr>
                <w:noProof/>
                <w:webHidden/>
              </w:rPr>
            </w:r>
            <w:r w:rsidR="00AC4797">
              <w:rPr>
                <w:noProof/>
                <w:webHidden/>
              </w:rPr>
              <w:fldChar w:fldCharType="separate"/>
            </w:r>
            <w:r w:rsidR="00A527FA">
              <w:rPr>
                <w:noProof/>
                <w:webHidden/>
              </w:rPr>
              <w:t>2</w:t>
            </w:r>
            <w:r w:rsidR="00AC4797">
              <w:rPr>
                <w:noProof/>
                <w:webHidden/>
              </w:rPr>
              <w:fldChar w:fldCharType="end"/>
            </w:r>
          </w:hyperlink>
        </w:p>
        <w:p w:rsidR="00AC4797" w:rsidRDefault="00933E98">
          <w:pPr>
            <w:pStyle w:val="TOC2"/>
            <w:tabs>
              <w:tab w:val="right" w:leader="dot" w:pos="9016"/>
            </w:tabs>
            <w:rPr>
              <w:rFonts w:asciiTheme="minorHAnsi" w:eastAsiaTheme="minorEastAsia" w:hAnsiTheme="minorHAnsi" w:cstheme="minorBidi"/>
              <w:noProof/>
              <w:sz w:val="22"/>
              <w:szCs w:val="22"/>
              <w:lang w:eastAsia="en-AU"/>
            </w:rPr>
          </w:pPr>
          <w:hyperlink w:anchor="_Toc514832540" w:history="1">
            <w:r w:rsidR="00AC4797" w:rsidRPr="00B10A33">
              <w:rPr>
                <w:rStyle w:val="Hyperlink"/>
                <w:noProof/>
              </w:rPr>
              <w:t>Strategic Objectives and Indicators</w:t>
            </w:r>
            <w:r w:rsidR="00AC4797">
              <w:rPr>
                <w:noProof/>
                <w:webHidden/>
              </w:rPr>
              <w:tab/>
            </w:r>
            <w:r w:rsidR="00AC4797">
              <w:rPr>
                <w:noProof/>
                <w:webHidden/>
              </w:rPr>
              <w:fldChar w:fldCharType="begin"/>
            </w:r>
            <w:r w:rsidR="00AC4797">
              <w:rPr>
                <w:noProof/>
                <w:webHidden/>
              </w:rPr>
              <w:instrText xml:space="preserve"> PAGEREF _Toc514832540 \h </w:instrText>
            </w:r>
            <w:r w:rsidR="00AC4797">
              <w:rPr>
                <w:noProof/>
                <w:webHidden/>
              </w:rPr>
            </w:r>
            <w:r w:rsidR="00AC4797">
              <w:rPr>
                <w:noProof/>
                <w:webHidden/>
              </w:rPr>
              <w:fldChar w:fldCharType="separate"/>
            </w:r>
            <w:r w:rsidR="00A527FA">
              <w:rPr>
                <w:noProof/>
                <w:webHidden/>
              </w:rPr>
              <w:t>3</w:t>
            </w:r>
            <w:r w:rsidR="00AC4797">
              <w:rPr>
                <w:noProof/>
                <w:webHidden/>
              </w:rPr>
              <w:fldChar w:fldCharType="end"/>
            </w:r>
          </w:hyperlink>
        </w:p>
        <w:p w:rsidR="00AC4797" w:rsidRDefault="00933E98">
          <w:pPr>
            <w:pStyle w:val="TOC2"/>
            <w:tabs>
              <w:tab w:val="right" w:leader="dot" w:pos="9016"/>
            </w:tabs>
            <w:rPr>
              <w:rFonts w:asciiTheme="minorHAnsi" w:eastAsiaTheme="minorEastAsia" w:hAnsiTheme="minorHAnsi" w:cstheme="minorBidi"/>
              <w:noProof/>
              <w:sz w:val="22"/>
              <w:szCs w:val="22"/>
              <w:lang w:eastAsia="en-AU"/>
            </w:rPr>
          </w:pPr>
          <w:hyperlink w:anchor="_Toc514832555" w:history="1">
            <w:r w:rsidR="00AC4797" w:rsidRPr="00B10A33">
              <w:rPr>
                <w:rStyle w:val="Hyperlink"/>
                <w:noProof/>
              </w:rPr>
              <w:t>Output Classes</w:t>
            </w:r>
            <w:r w:rsidR="00AC4797">
              <w:rPr>
                <w:noProof/>
                <w:webHidden/>
              </w:rPr>
              <w:tab/>
            </w:r>
            <w:r w:rsidR="00AC4797">
              <w:rPr>
                <w:noProof/>
                <w:webHidden/>
              </w:rPr>
              <w:fldChar w:fldCharType="begin"/>
            </w:r>
            <w:r w:rsidR="00AC4797">
              <w:rPr>
                <w:noProof/>
                <w:webHidden/>
              </w:rPr>
              <w:instrText xml:space="preserve"> PAGEREF _Toc514832555 \h </w:instrText>
            </w:r>
            <w:r w:rsidR="00AC4797">
              <w:rPr>
                <w:noProof/>
                <w:webHidden/>
              </w:rPr>
            </w:r>
            <w:r w:rsidR="00AC4797">
              <w:rPr>
                <w:noProof/>
                <w:webHidden/>
              </w:rPr>
              <w:fldChar w:fldCharType="separate"/>
            </w:r>
            <w:r w:rsidR="00A527FA">
              <w:rPr>
                <w:noProof/>
                <w:webHidden/>
              </w:rPr>
              <w:t>11</w:t>
            </w:r>
            <w:r w:rsidR="00AC4797">
              <w:rPr>
                <w:noProof/>
                <w:webHidden/>
              </w:rPr>
              <w:fldChar w:fldCharType="end"/>
            </w:r>
          </w:hyperlink>
        </w:p>
        <w:p w:rsidR="00AC4797" w:rsidRDefault="00933E98">
          <w:pPr>
            <w:pStyle w:val="TOC2"/>
            <w:tabs>
              <w:tab w:val="right" w:leader="dot" w:pos="9016"/>
            </w:tabs>
            <w:rPr>
              <w:rFonts w:asciiTheme="minorHAnsi" w:eastAsiaTheme="minorEastAsia" w:hAnsiTheme="minorHAnsi" w:cstheme="minorBidi"/>
              <w:noProof/>
              <w:sz w:val="22"/>
              <w:szCs w:val="22"/>
              <w:lang w:eastAsia="en-AU"/>
            </w:rPr>
          </w:pPr>
          <w:hyperlink w:anchor="_Toc514832557" w:history="1">
            <w:r w:rsidR="00AC4797" w:rsidRPr="00B10A33">
              <w:rPr>
                <w:rStyle w:val="Hyperlink"/>
                <w:noProof/>
              </w:rPr>
              <w:t>Accountability Indicators</w:t>
            </w:r>
            <w:r w:rsidR="00AC4797">
              <w:rPr>
                <w:noProof/>
                <w:webHidden/>
              </w:rPr>
              <w:tab/>
            </w:r>
            <w:r w:rsidR="00AC4797">
              <w:rPr>
                <w:noProof/>
                <w:webHidden/>
              </w:rPr>
              <w:fldChar w:fldCharType="begin"/>
            </w:r>
            <w:r w:rsidR="00AC4797">
              <w:rPr>
                <w:noProof/>
                <w:webHidden/>
              </w:rPr>
              <w:instrText xml:space="preserve"> PAGEREF _Toc514832557 \h </w:instrText>
            </w:r>
            <w:r w:rsidR="00AC4797">
              <w:rPr>
                <w:noProof/>
                <w:webHidden/>
              </w:rPr>
            </w:r>
            <w:r w:rsidR="00AC4797">
              <w:rPr>
                <w:noProof/>
                <w:webHidden/>
              </w:rPr>
              <w:fldChar w:fldCharType="separate"/>
            </w:r>
            <w:r w:rsidR="00A527FA">
              <w:rPr>
                <w:noProof/>
                <w:webHidden/>
              </w:rPr>
              <w:t>15</w:t>
            </w:r>
            <w:r w:rsidR="00AC4797">
              <w:rPr>
                <w:noProof/>
                <w:webHidden/>
              </w:rPr>
              <w:fldChar w:fldCharType="end"/>
            </w:r>
          </w:hyperlink>
        </w:p>
        <w:p w:rsidR="00AC4797" w:rsidRDefault="00933E98">
          <w:pPr>
            <w:pStyle w:val="TOC2"/>
            <w:tabs>
              <w:tab w:val="right" w:leader="dot" w:pos="9016"/>
            </w:tabs>
            <w:rPr>
              <w:rFonts w:asciiTheme="minorHAnsi" w:eastAsiaTheme="minorEastAsia" w:hAnsiTheme="minorHAnsi" w:cstheme="minorBidi"/>
              <w:noProof/>
              <w:sz w:val="22"/>
              <w:szCs w:val="22"/>
              <w:lang w:eastAsia="en-AU"/>
            </w:rPr>
          </w:pPr>
          <w:hyperlink w:anchor="_Toc514832559" w:history="1">
            <w:r w:rsidR="00AC4797" w:rsidRPr="00B10A33">
              <w:rPr>
                <w:rStyle w:val="Hyperlink"/>
                <w:noProof/>
                <w:bdr w:val="nil"/>
              </w:rPr>
              <w:t>Changes to Appropriation</w:t>
            </w:r>
            <w:r w:rsidR="00AC4797">
              <w:rPr>
                <w:noProof/>
                <w:webHidden/>
              </w:rPr>
              <w:tab/>
            </w:r>
            <w:r w:rsidR="00AC4797">
              <w:rPr>
                <w:noProof/>
                <w:webHidden/>
              </w:rPr>
              <w:fldChar w:fldCharType="begin"/>
            </w:r>
            <w:r w:rsidR="00AC4797">
              <w:rPr>
                <w:noProof/>
                <w:webHidden/>
              </w:rPr>
              <w:instrText xml:space="preserve"> PAGEREF _Toc514832559 \h </w:instrText>
            </w:r>
            <w:r w:rsidR="00AC4797">
              <w:rPr>
                <w:noProof/>
                <w:webHidden/>
              </w:rPr>
            </w:r>
            <w:r w:rsidR="00AC4797">
              <w:rPr>
                <w:noProof/>
                <w:webHidden/>
              </w:rPr>
              <w:fldChar w:fldCharType="separate"/>
            </w:r>
            <w:r w:rsidR="00A527FA">
              <w:rPr>
                <w:noProof/>
                <w:webHidden/>
              </w:rPr>
              <w:t>18</w:t>
            </w:r>
            <w:r w:rsidR="00AC4797">
              <w:rPr>
                <w:noProof/>
                <w:webHidden/>
              </w:rPr>
              <w:fldChar w:fldCharType="end"/>
            </w:r>
          </w:hyperlink>
        </w:p>
        <w:p w:rsidR="00AC4797" w:rsidRDefault="00933E98">
          <w:pPr>
            <w:pStyle w:val="TOC2"/>
            <w:tabs>
              <w:tab w:val="right" w:leader="dot" w:pos="9016"/>
            </w:tabs>
            <w:rPr>
              <w:rFonts w:asciiTheme="minorHAnsi" w:eastAsiaTheme="minorEastAsia" w:hAnsiTheme="minorHAnsi" w:cstheme="minorBidi"/>
              <w:noProof/>
              <w:sz w:val="22"/>
              <w:szCs w:val="22"/>
              <w:lang w:eastAsia="en-AU"/>
            </w:rPr>
          </w:pPr>
          <w:hyperlink w:anchor="_Toc514832561" w:history="1">
            <w:r w:rsidR="00AC4797" w:rsidRPr="00B10A33">
              <w:rPr>
                <w:rStyle w:val="Hyperlink"/>
                <w:noProof/>
                <w:bdr w:val="nil"/>
              </w:rPr>
              <w:t>Summary of 2018-19 Infrastructure Program</w:t>
            </w:r>
            <w:r w:rsidR="00AC4797">
              <w:rPr>
                <w:noProof/>
                <w:webHidden/>
              </w:rPr>
              <w:tab/>
            </w:r>
            <w:r w:rsidR="00AC4797">
              <w:rPr>
                <w:noProof/>
                <w:webHidden/>
              </w:rPr>
              <w:fldChar w:fldCharType="begin"/>
            </w:r>
            <w:r w:rsidR="00AC4797">
              <w:rPr>
                <w:noProof/>
                <w:webHidden/>
              </w:rPr>
              <w:instrText xml:space="preserve"> PAGEREF _Toc514832561 \h </w:instrText>
            </w:r>
            <w:r w:rsidR="00AC4797">
              <w:rPr>
                <w:noProof/>
                <w:webHidden/>
              </w:rPr>
            </w:r>
            <w:r w:rsidR="00AC4797">
              <w:rPr>
                <w:noProof/>
                <w:webHidden/>
              </w:rPr>
              <w:fldChar w:fldCharType="separate"/>
            </w:r>
            <w:r w:rsidR="00A527FA">
              <w:rPr>
                <w:noProof/>
                <w:webHidden/>
              </w:rPr>
              <w:t>23</w:t>
            </w:r>
            <w:r w:rsidR="00AC4797">
              <w:rPr>
                <w:noProof/>
                <w:webHidden/>
              </w:rPr>
              <w:fldChar w:fldCharType="end"/>
            </w:r>
          </w:hyperlink>
        </w:p>
        <w:p w:rsidR="00AC4797" w:rsidRDefault="00933E98">
          <w:pPr>
            <w:pStyle w:val="TOC2"/>
            <w:tabs>
              <w:tab w:val="right" w:leader="dot" w:pos="9016"/>
            </w:tabs>
            <w:rPr>
              <w:rFonts w:asciiTheme="minorHAnsi" w:eastAsiaTheme="minorEastAsia" w:hAnsiTheme="minorHAnsi" w:cstheme="minorBidi"/>
              <w:noProof/>
              <w:sz w:val="22"/>
              <w:szCs w:val="22"/>
              <w:lang w:eastAsia="en-AU"/>
            </w:rPr>
          </w:pPr>
          <w:hyperlink w:anchor="_Toc514832562" w:history="1">
            <w:r w:rsidR="00AC4797" w:rsidRPr="00B10A33">
              <w:rPr>
                <w:rStyle w:val="Hyperlink"/>
                <w:noProof/>
                <w:bdr w:val="nil"/>
              </w:rPr>
              <w:t>Financial Statements</w:t>
            </w:r>
            <w:r w:rsidR="00AC4797">
              <w:rPr>
                <w:noProof/>
                <w:webHidden/>
              </w:rPr>
              <w:tab/>
            </w:r>
            <w:r w:rsidR="00AC4797">
              <w:rPr>
                <w:noProof/>
                <w:webHidden/>
              </w:rPr>
              <w:fldChar w:fldCharType="begin"/>
            </w:r>
            <w:r w:rsidR="00AC4797">
              <w:rPr>
                <w:noProof/>
                <w:webHidden/>
              </w:rPr>
              <w:instrText xml:space="preserve"> PAGEREF _Toc514832562 \h </w:instrText>
            </w:r>
            <w:r w:rsidR="00AC4797">
              <w:rPr>
                <w:noProof/>
                <w:webHidden/>
              </w:rPr>
            </w:r>
            <w:r w:rsidR="00AC4797">
              <w:rPr>
                <w:noProof/>
                <w:webHidden/>
              </w:rPr>
              <w:fldChar w:fldCharType="separate"/>
            </w:r>
            <w:r w:rsidR="00A527FA">
              <w:rPr>
                <w:noProof/>
                <w:webHidden/>
              </w:rPr>
              <w:t>25</w:t>
            </w:r>
            <w:r w:rsidR="00AC4797">
              <w:rPr>
                <w:noProof/>
                <w:webHidden/>
              </w:rPr>
              <w:fldChar w:fldCharType="end"/>
            </w:r>
          </w:hyperlink>
        </w:p>
        <w:p w:rsidR="00AC4797" w:rsidRDefault="00933E98">
          <w:pPr>
            <w:pStyle w:val="TOC1"/>
            <w:tabs>
              <w:tab w:val="right" w:leader="dot" w:pos="9016"/>
            </w:tabs>
            <w:rPr>
              <w:rFonts w:asciiTheme="minorHAnsi" w:eastAsiaTheme="minorEastAsia" w:hAnsiTheme="minorHAnsi" w:cstheme="minorBidi"/>
              <w:noProof/>
              <w:sz w:val="22"/>
              <w:szCs w:val="22"/>
              <w:lang w:eastAsia="en-AU"/>
            </w:rPr>
          </w:pPr>
          <w:hyperlink w:anchor="_Toc514832573" w:history="1">
            <w:r w:rsidR="00AC4797" w:rsidRPr="00B10A33">
              <w:rPr>
                <w:rStyle w:val="Hyperlink"/>
                <w:noProof/>
              </w:rPr>
              <w:t>ACT LOCAL HOSPITAL NETWORK</w:t>
            </w:r>
            <w:r w:rsidR="00AC4797">
              <w:rPr>
                <w:noProof/>
                <w:webHidden/>
              </w:rPr>
              <w:tab/>
            </w:r>
            <w:r w:rsidR="00AC4797">
              <w:rPr>
                <w:noProof/>
                <w:webHidden/>
              </w:rPr>
              <w:fldChar w:fldCharType="begin"/>
            </w:r>
            <w:r w:rsidR="00AC4797">
              <w:rPr>
                <w:noProof/>
                <w:webHidden/>
              </w:rPr>
              <w:instrText xml:space="preserve"> PAGEREF _Toc514832573 \h </w:instrText>
            </w:r>
            <w:r w:rsidR="00AC4797">
              <w:rPr>
                <w:noProof/>
                <w:webHidden/>
              </w:rPr>
            </w:r>
            <w:r w:rsidR="00AC4797">
              <w:rPr>
                <w:noProof/>
                <w:webHidden/>
              </w:rPr>
              <w:fldChar w:fldCharType="separate"/>
            </w:r>
            <w:r w:rsidR="00A527FA">
              <w:rPr>
                <w:noProof/>
                <w:webHidden/>
              </w:rPr>
              <w:t>37</w:t>
            </w:r>
            <w:r w:rsidR="00AC4797">
              <w:rPr>
                <w:noProof/>
                <w:webHidden/>
              </w:rPr>
              <w:fldChar w:fldCharType="end"/>
            </w:r>
          </w:hyperlink>
        </w:p>
        <w:p w:rsidR="00AC4797" w:rsidRDefault="00933E98">
          <w:pPr>
            <w:pStyle w:val="TOC2"/>
            <w:tabs>
              <w:tab w:val="right" w:leader="dot" w:pos="9016"/>
            </w:tabs>
            <w:rPr>
              <w:rFonts w:asciiTheme="minorHAnsi" w:eastAsiaTheme="minorEastAsia" w:hAnsiTheme="minorHAnsi" w:cstheme="minorBidi"/>
              <w:noProof/>
              <w:sz w:val="22"/>
              <w:szCs w:val="22"/>
              <w:lang w:eastAsia="en-AU"/>
            </w:rPr>
          </w:pPr>
          <w:hyperlink w:anchor="_Toc514832574" w:history="1">
            <w:r w:rsidR="00AC4797" w:rsidRPr="00B10A33">
              <w:rPr>
                <w:rStyle w:val="Hyperlink"/>
                <w:noProof/>
              </w:rPr>
              <w:t>Purpose</w:t>
            </w:r>
            <w:r w:rsidR="00AC4797">
              <w:rPr>
                <w:noProof/>
                <w:webHidden/>
              </w:rPr>
              <w:tab/>
            </w:r>
            <w:r w:rsidR="00AC4797">
              <w:rPr>
                <w:noProof/>
                <w:webHidden/>
              </w:rPr>
              <w:fldChar w:fldCharType="begin"/>
            </w:r>
            <w:r w:rsidR="00AC4797">
              <w:rPr>
                <w:noProof/>
                <w:webHidden/>
              </w:rPr>
              <w:instrText xml:space="preserve"> PAGEREF _Toc514832574 \h </w:instrText>
            </w:r>
            <w:r w:rsidR="00AC4797">
              <w:rPr>
                <w:noProof/>
                <w:webHidden/>
              </w:rPr>
            </w:r>
            <w:r w:rsidR="00AC4797">
              <w:rPr>
                <w:noProof/>
                <w:webHidden/>
              </w:rPr>
              <w:fldChar w:fldCharType="separate"/>
            </w:r>
            <w:r w:rsidR="00A527FA">
              <w:rPr>
                <w:noProof/>
                <w:webHidden/>
              </w:rPr>
              <w:t>37</w:t>
            </w:r>
            <w:r w:rsidR="00AC4797">
              <w:rPr>
                <w:noProof/>
                <w:webHidden/>
              </w:rPr>
              <w:fldChar w:fldCharType="end"/>
            </w:r>
          </w:hyperlink>
        </w:p>
        <w:p w:rsidR="00AC4797" w:rsidRDefault="00933E98">
          <w:pPr>
            <w:pStyle w:val="TOC2"/>
            <w:tabs>
              <w:tab w:val="right" w:leader="dot" w:pos="9016"/>
            </w:tabs>
            <w:rPr>
              <w:rFonts w:asciiTheme="minorHAnsi" w:eastAsiaTheme="minorEastAsia" w:hAnsiTheme="minorHAnsi" w:cstheme="minorBidi"/>
              <w:noProof/>
              <w:sz w:val="22"/>
              <w:szCs w:val="22"/>
              <w:lang w:eastAsia="en-AU"/>
            </w:rPr>
          </w:pPr>
          <w:hyperlink w:anchor="_Toc514832575" w:history="1">
            <w:r w:rsidR="00AC4797" w:rsidRPr="00B10A33">
              <w:rPr>
                <w:rStyle w:val="Hyperlink"/>
                <w:noProof/>
              </w:rPr>
              <w:t>2018-19 Priorities</w:t>
            </w:r>
            <w:r w:rsidR="00AC4797">
              <w:rPr>
                <w:noProof/>
                <w:webHidden/>
              </w:rPr>
              <w:tab/>
            </w:r>
            <w:r w:rsidR="00AC4797">
              <w:rPr>
                <w:noProof/>
                <w:webHidden/>
              </w:rPr>
              <w:fldChar w:fldCharType="begin"/>
            </w:r>
            <w:r w:rsidR="00AC4797">
              <w:rPr>
                <w:noProof/>
                <w:webHidden/>
              </w:rPr>
              <w:instrText xml:space="preserve"> PAGEREF _Toc514832575 \h </w:instrText>
            </w:r>
            <w:r w:rsidR="00AC4797">
              <w:rPr>
                <w:noProof/>
                <w:webHidden/>
              </w:rPr>
            </w:r>
            <w:r w:rsidR="00AC4797">
              <w:rPr>
                <w:noProof/>
                <w:webHidden/>
              </w:rPr>
              <w:fldChar w:fldCharType="separate"/>
            </w:r>
            <w:r w:rsidR="00A527FA">
              <w:rPr>
                <w:noProof/>
                <w:webHidden/>
              </w:rPr>
              <w:t>37</w:t>
            </w:r>
            <w:r w:rsidR="00AC4797">
              <w:rPr>
                <w:noProof/>
                <w:webHidden/>
              </w:rPr>
              <w:fldChar w:fldCharType="end"/>
            </w:r>
          </w:hyperlink>
        </w:p>
        <w:p w:rsidR="00AC4797" w:rsidRDefault="00933E98">
          <w:pPr>
            <w:pStyle w:val="TOC2"/>
            <w:tabs>
              <w:tab w:val="right" w:leader="dot" w:pos="9016"/>
            </w:tabs>
            <w:rPr>
              <w:rFonts w:asciiTheme="minorHAnsi" w:eastAsiaTheme="minorEastAsia" w:hAnsiTheme="minorHAnsi" w:cstheme="minorBidi"/>
              <w:noProof/>
              <w:sz w:val="22"/>
              <w:szCs w:val="22"/>
              <w:lang w:eastAsia="en-AU"/>
            </w:rPr>
          </w:pPr>
          <w:hyperlink w:anchor="_Toc514832576" w:history="1">
            <w:r w:rsidR="00AC4797" w:rsidRPr="00B10A33">
              <w:rPr>
                <w:rStyle w:val="Hyperlink"/>
                <w:noProof/>
                <w:bdr w:val="nil"/>
              </w:rPr>
              <w:t>Estimated Employment Level</w:t>
            </w:r>
            <w:r w:rsidR="00AC4797">
              <w:rPr>
                <w:noProof/>
                <w:webHidden/>
              </w:rPr>
              <w:tab/>
            </w:r>
            <w:r w:rsidR="00AC4797">
              <w:rPr>
                <w:noProof/>
                <w:webHidden/>
              </w:rPr>
              <w:fldChar w:fldCharType="begin"/>
            </w:r>
            <w:r w:rsidR="00AC4797">
              <w:rPr>
                <w:noProof/>
                <w:webHidden/>
              </w:rPr>
              <w:instrText xml:space="preserve"> PAGEREF _Toc514832576 \h </w:instrText>
            </w:r>
            <w:r w:rsidR="00AC4797">
              <w:rPr>
                <w:noProof/>
                <w:webHidden/>
              </w:rPr>
            </w:r>
            <w:r w:rsidR="00AC4797">
              <w:rPr>
                <w:noProof/>
                <w:webHidden/>
              </w:rPr>
              <w:fldChar w:fldCharType="separate"/>
            </w:r>
            <w:r w:rsidR="00A527FA">
              <w:rPr>
                <w:noProof/>
                <w:webHidden/>
              </w:rPr>
              <w:t>37</w:t>
            </w:r>
            <w:r w:rsidR="00AC4797">
              <w:rPr>
                <w:noProof/>
                <w:webHidden/>
              </w:rPr>
              <w:fldChar w:fldCharType="end"/>
            </w:r>
          </w:hyperlink>
        </w:p>
        <w:p w:rsidR="00AC4797" w:rsidRDefault="00933E98">
          <w:pPr>
            <w:pStyle w:val="TOC2"/>
            <w:tabs>
              <w:tab w:val="right" w:leader="dot" w:pos="9016"/>
            </w:tabs>
            <w:rPr>
              <w:rFonts w:asciiTheme="minorHAnsi" w:eastAsiaTheme="minorEastAsia" w:hAnsiTheme="minorHAnsi" w:cstheme="minorBidi"/>
              <w:noProof/>
              <w:sz w:val="22"/>
              <w:szCs w:val="22"/>
              <w:lang w:eastAsia="en-AU"/>
            </w:rPr>
          </w:pPr>
          <w:hyperlink w:anchor="_Toc514832577" w:history="1">
            <w:r w:rsidR="00AC4797" w:rsidRPr="00B10A33">
              <w:rPr>
                <w:rStyle w:val="Hyperlink"/>
                <w:noProof/>
              </w:rPr>
              <w:t>Strategic Objectives and Indicators</w:t>
            </w:r>
            <w:r w:rsidR="00AC4797">
              <w:rPr>
                <w:noProof/>
                <w:webHidden/>
              </w:rPr>
              <w:tab/>
            </w:r>
            <w:r w:rsidR="00AC4797">
              <w:rPr>
                <w:noProof/>
                <w:webHidden/>
              </w:rPr>
              <w:fldChar w:fldCharType="begin"/>
            </w:r>
            <w:r w:rsidR="00AC4797">
              <w:rPr>
                <w:noProof/>
                <w:webHidden/>
              </w:rPr>
              <w:instrText xml:space="preserve"> PAGEREF _Toc514832577 \h </w:instrText>
            </w:r>
            <w:r w:rsidR="00AC4797">
              <w:rPr>
                <w:noProof/>
                <w:webHidden/>
              </w:rPr>
            </w:r>
            <w:r w:rsidR="00AC4797">
              <w:rPr>
                <w:noProof/>
                <w:webHidden/>
              </w:rPr>
              <w:fldChar w:fldCharType="separate"/>
            </w:r>
            <w:r w:rsidR="00A527FA">
              <w:rPr>
                <w:noProof/>
                <w:webHidden/>
              </w:rPr>
              <w:t>38</w:t>
            </w:r>
            <w:r w:rsidR="00AC4797">
              <w:rPr>
                <w:noProof/>
                <w:webHidden/>
              </w:rPr>
              <w:fldChar w:fldCharType="end"/>
            </w:r>
          </w:hyperlink>
        </w:p>
        <w:p w:rsidR="00AC4797" w:rsidRDefault="00933E98">
          <w:pPr>
            <w:pStyle w:val="TOC2"/>
            <w:tabs>
              <w:tab w:val="right" w:leader="dot" w:pos="9016"/>
            </w:tabs>
            <w:rPr>
              <w:rFonts w:asciiTheme="minorHAnsi" w:eastAsiaTheme="minorEastAsia" w:hAnsiTheme="minorHAnsi" w:cstheme="minorBidi"/>
              <w:noProof/>
              <w:sz w:val="22"/>
              <w:szCs w:val="22"/>
              <w:lang w:eastAsia="en-AU"/>
            </w:rPr>
          </w:pPr>
          <w:hyperlink w:anchor="_Toc514832587" w:history="1">
            <w:r w:rsidR="00AC4797" w:rsidRPr="00B10A33">
              <w:rPr>
                <w:rStyle w:val="Hyperlink"/>
                <w:noProof/>
              </w:rPr>
              <w:t>Output Classes</w:t>
            </w:r>
            <w:r w:rsidR="00AC4797">
              <w:rPr>
                <w:noProof/>
                <w:webHidden/>
              </w:rPr>
              <w:tab/>
            </w:r>
            <w:r w:rsidR="00AC4797">
              <w:rPr>
                <w:noProof/>
                <w:webHidden/>
              </w:rPr>
              <w:fldChar w:fldCharType="begin"/>
            </w:r>
            <w:r w:rsidR="00AC4797">
              <w:rPr>
                <w:noProof/>
                <w:webHidden/>
              </w:rPr>
              <w:instrText xml:space="preserve"> PAGEREF _Toc514832587 \h </w:instrText>
            </w:r>
            <w:r w:rsidR="00AC4797">
              <w:rPr>
                <w:noProof/>
                <w:webHidden/>
              </w:rPr>
            </w:r>
            <w:r w:rsidR="00AC4797">
              <w:rPr>
                <w:noProof/>
                <w:webHidden/>
              </w:rPr>
              <w:fldChar w:fldCharType="separate"/>
            </w:r>
            <w:r w:rsidR="00A527FA">
              <w:rPr>
                <w:noProof/>
                <w:webHidden/>
              </w:rPr>
              <w:t>41</w:t>
            </w:r>
            <w:r w:rsidR="00AC4797">
              <w:rPr>
                <w:noProof/>
                <w:webHidden/>
              </w:rPr>
              <w:fldChar w:fldCharType="end"/>
            </w:r>
          </w:hyperlink>
        </w:p>
        <w:p w:rsidR="00AC4797" w:rsidRDefault="00933E98">
          <w:pPr>
            <w:pStyle w:val="TOC2"/>
            <w:tabs>
              <w:tab w:val="right" w:leader="dot" w:pos="9016"/>
            </w:tabs>
            <w:rPr>
              <w:rFonts w:asciiTheme="minorHAnsi" w:eastAsiaTheme="minorEastAsia" w:hAnsiTheme="minorHAnsi" w:cstheme="minorBidi"/>
              <w:noProof/>
              <w:sz w:val="22"/>
              <w:szCs w:val="22"/>
              <w:lang w:eastAsia="en-AU"/>
            </w:rPr>
          </w:pPr>
          <w:hyperlink w:anchor="_Toc514832589" w:history="1">
            <w:r w:rsidR="00AC4797" w:rsidRPr="00B10A33">
              <w:rPr>
                <w:rStyle w:val="Hyperlink"/>
                <w:noProof/>
              </w:rPr>
              <w:t>Accountability Indicators</w:t>
            </w:r>
            <w:r w:rsidR="00AC4797">
              <w:rPr>
                <w:noProof/>
                <w:webHidden/>
              </w:rPr>
              <w:tab/>
            </w:r>
            <w:r w:rsidR="00AC4797">
              <w:rPr>
                <w:noProof/>
                <w:webHidden/>
              </w:rPr>
              <w:fldChar w:fldCharType="begin"/>
            </w:r>
            <w:r w:rsidR="00AC4797">
              <w:rPr>
                <w:noProof/>
                <w:webHidden/>
              </w:rPr>
              <w:instrText xml:space="preserve"> PAGEREF _Toc514832589 \h </w:instrText>
            </w:r>
            <w:r w:rsidR="00AC4797">
              <w:rPr>
                <w:noProof/>
                <w:webHidden/>
              </w:rPr>
            </w:r>
            <w:r w:rsidR="00AC4797">
              <w:rPr>
                <w:noProof/>
                <w:webHidden/>
              </w:rPr>
              <w:fldChar w:fldCharType="separate"/>
            </w:r>
            <w:r w:rsidR="00A527FA">
              <w:rPr>
                <w:noProof/>
                <w:webHidden/>
              </w:rPr>
              <w:t>42</w:t>
            </w:r>
            <w:r w:rsidR="00AC4797">
              <w:rPr>
                <w:noProof/>
                <w:webHidden/>
              </w:rPr>
              <w:fldChar w:fldCharType="end"/>
            </w:r>
          </w:hyperlink>
        </w:p>
        <w:p w:rsidR="00AC4797" w:rsidRDefault="00933E98">
          <w:pPr>
            <w:pStyle w:val="TOC2"/>
            <w:tabs>
              <w:tab w:val="right" w:leader="dot" w:pos="9016"/>
            </w:tabs>
            <w:rPr>
              <w:rFonts w:asciiTheme="minorHAnsi" w:eastAsiaTheme="minorEastAsia" w:hAnsiTheme="minorHAnsi" w:cstheme="minorBidi"/>
              <w:noProof/>
              <w:sz w:val="22"/>
              <w:szCs w:val="22"/>
              <w:lang w:eastAsia="en-AU"/>
            </w:rPr>
          </w:pPr>
          <w:hyperlink w:anchor="_Toc514832591" w:history="1">
            <w:r w:rsidR="00AC4797" w:rsidRPr="00B10A33">
              <w:rPr>
                <w:rStyle w:val="Hyperlink"/>
                <w:noProof/>
                <w:bdr w:val="nil"/>
              </w:rPr>
              <w:t>Changes to Appropriation</w:t>
            </w:r>
            <w:r w:rsidR="00AC4797">
              <w:rPr>
                <w:noProof/>
                <w:webHidden/>
              </w:rPr>
              <w:tab/>
            </w:r>
            <w:r w:rsidR="00AC4797">
              <w:rPr>
                <w:noProof/>
                <w:webHidden/>
              </w:rPr>
              <w:fldChar w:fldCharType="begin"/>
            </w:r>
            <w:r w:rsidR="00AC4797">
              <w:rPr>
                <w:noProof/>
                <w:webHidden/>
              </w:rPr>
              <w:instrText xml:space="preserve"> PAGEREF _Toc514832591 \h </w:instrText>
            </w:r>
            <w:r w:rsidR="00AC4797">
              <w:rPr>
                <w:noProof/>
                <w:webHidden/>
              </w:rPr>
            </w:r>
            <w:r w:rsidR="00AC4797">
              <w:rPr>
                <w:noProof/>
                <w:webHidden/>
              </w:rPr>
              <w:fldChar w:fldCharType="separate"/>
            </w:r>
            <w:r w:rsidR="00A527FA">
              <w:rPr>
                <w:noProof/>
                <w:webHidden/>
              </w:rPr>
              <w:t>43</w:t>
            </w:r>
            <w:r w:rsidR="00AC4797">
              <w:rPr>
                <w:noProof/>
                <w:webHidden/>
              </w:rPr>
              <w:fldChar w:fldCharType="end"/>
            </w:r>
          </w:hyperlink>
        </w:p>
        <w:p w:rsidR="00AC4797" w:rsidRDefault="00933E98">
          <w:pPr>
            <w:pStyle w:val="TOC2"/>
            <w:tabs>
              <w:tab w:val="right" w:leader="dot" w:pos="9016"/>
            </w:tabs>
            <w:rPr>
              <w:rFonts w:asciiTheme="minorHAnsi" w:eastAsiaTheme="minorEastAsia" w:hAnsiTheme="minorHAnsi" w:cstheme="minorBidi"/>
              <w:noProof/>
              <w:sz w:val="22"/>
              <w:szCs w:val="22"/>
              <w:lang w:eastAsia="en-AU"/>
            </w:rPr>
          </w:pPr>
          <w:hyperlink w:anchor="_Toc514832592" w:history="1">
            <w:r w:rsidR="00AC4797" w:rsidRPr="00B10A33">
              <w:rPr>
                <w:rStyle w:val="Hyperlink"/>
                <w:noProof/>
                <w:bdr w:val="nil"/>
              </w:rPr>
              <w:t>Financial Statements</w:t>
            </w:r>
            <w:r w:rsidR="00AC4797">
              <w:rPr>
                <w:noProof/>
                <w:webHidden/>
              </w:rPr>
              <w:tab/>
            </w:r>
            <w:r w:rsidR="00AC4797">
              <w:rPr>
                <w:noProof/>
                <w:webHidden/>
              </w:rPr>
              <w:fldChar w:fldCharType="begin"/>
            </w:r>
            <w:r w:rsidR="00AC4797">
              <w:rPr>
                <w:noProof/>
                <w:webHidden/>
              </w:rPr>
              <w:instrText xml:space="preserve"> PAGEREF _Toc514832592 \h </w:instrText>
            </w:r>
            <w:r w:rsidR="00AC4797">
              <w:rPr>
                <w:noProof/>
                <w:webHidden/>
              </w:rPr>
            </w:r>
            <w:r w:rsidR="00AC4797">
              <w:rPr>
                <w:noProof/>
                <w:webHidden/>
              </w:rPr>
              <w:fldChar w:fldCharType="separate"/>
            </w:r>
            <w:r w:rsidR="00A527FA">
              <w:rPr>
                <w:noProof/>
                <w:webHidden/>
              </w:rPr>
              <w:t>44</w:t>
            </w:r>
            <w:r w:rsidR="00AC4797">
              <w:rPr>
                <w:noProof/>
                <w:webHidden/>
              </w:rPr>
              <w:fldChar w:fldCharType="end"/>
            </w:r>
          </w:hyperlink>
        </w:p>
        <w:p w:rsidR="00D23CE9" w:rsidRDefault="00D23CE9">
          <w:r>
            <w:rPr>
              <w:b/>
              <w:bCs/>
              <w:noProof/>
            </w:rPr>
            <w:fldChar w:fldCharType="end"/>
          </w:r>
        </w:p>
      </w:sdtContent>
    </w:sdt>
    <w:p w:rsidR="00281F97" w:rsidRDefault="00281F97" w:rsidP="00281F97">
      <w:pPr>
        <w:pStyle w:val="TOCHeading"/>
        <w:pBdr>
          <w:top w:val="nil"/>
          <w:left w:val="nil"/>
          <w:bottom w:val="nil"/>
          <w:right w:val="nil"/>
          <w:between w:val="nil"/>
          <w:bar w:val="nil"/>
        </w:pBdr>
        <w:jc w:val="center"/>
        <w:rPr>
          <w:bdr w:val="nil"/>
        </w:rPr>
      </w:pPr>
    </w:p>
    <w:p w:rsidR="00281F97" w:rsidRDefault="009969DF" w:rsidP="009969DF">
      <w:pPr>
        <w:pBdr>
          <w:top w:val="nil"/>
          <w:left w:val="nil"/>
          <w:bottom w:val="nil"/>
          <w:right w:val="nil"/>
          <w:between w:val="nil"/>
          <w:bar w:val="nil"/>
        </w:pBdr>
        <w:tabs>
          <w:tab w:val="left" w:pos="6180"/>
        </w:tabs>
        <w:spacing w:before="0" w:after="0"/>
        <w:rPr>
          <w:rFonts w:eastAsia="TimesNewRomanPS-ItalicMT"/>
          <w:bdr w:val="nil"/>
        </w:rPr>
      </w:pPr>
      <w:r>
        <w:rPr>
          <w:rFonts w:eastAsia="TimesNewRomanPS-ItalicMT"/>
          <w:bdr w:val="nil"/>
        </w:rPr>
        <w:tab/>
      </w:r>
    </w:p>
    <w:p w:rsidR="00281F97" w:rsidRDefault="00765F6E">
      <w:pPr>
        <w:pBdr>
          <w:top w:val="nil"/>
          <w:left w:val="nil"/>
          <w:bottom w:val="nil"/>
          <w:right w:val="nil"/>
          <w:between w:val="nil"/>
          <w:bar w:val="nil"/>
        </w:pBdr>
        <w:spacing w:before="0" w:after="0"/>
        <w:rPr>
          <w:rFonts w:eastAsia="TimesNewRomanPS-ItalicMT"/>
          <w:bdr w:val="nil"/>
        </w:rPr>
      </w:pPr>
      <w:r>
        <w:rPr>
          <w:rFonts w:eastAsia="TimesNewRomanPS-ItalicMT"/>
          <w:bdr w:val="nil"/>
        </w:rPr>
        <w:br w:type="page"/>
      </w:r>
    </w:p>
    <w:p w:rsidR="00281F97" w:rsidRPr="0004555B" w:rsidRDefault="00765F6E" w:rsidP="00281F97">
      <w:pPr>
        <w:pBdr>
          <w:top w:val="nil"/>
          <w:left w:val="nil"/>
          <w:bottom w:val="nil"/>
          <w:right w:val="nil"/>
          <w:between w:val="nil"/>
          <w:bar w:val="nil"/>
        </w:pBdr>
        <w:jc w:val="center"/>
        <w:rPr>
          <w:rFonts w:eastAsia="TimesNewRomanPS-ItalicMT"/>
          <w:bdr w:val="nil"/>
        </w:rPr>
        <w:sectPr w:rsidR="00281F97" w:rsidRPr="0004555B" w:rsidSect="00281F9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51" w:right="1440" w:bottom="1729" w:left="1440" w:header="720" w:footer="720" w:gutter="0"/>
          <w:pgBorders>
            <w:top w:val="nil"/>
            <w:left w:val="nil"/>
            <w:bottom w:val="nil"/>
            <w:right w:val="nil"/>
          </w:pgBorders>
          <w:cols w:space="720"/>
        </w:sectPr>
      </w:pPr>
      <w:r>
        <w:rPr>
          <w:i/>
          <w:bdr w:val="nil"/>
        </w:rPr>
        <w:lastRenderedPageBreak/>
        <w:t>This page deliberately left blank</w:t>
      </w:r>
    </w:p>
    <w:p w:rsidR="00281F97" w:rsidRPr="00AB5AA0" w:rsidRDefault="00765F6E" w:rsidP="00281F97">
      <w:pPr>
        <w:pStyle w:val="Heading10"/>
        <w:pageBreakBefore/>
      </w:pPr>
      <w:bookmarkStart w:id="0" w:name="_Toc514832536"/>
      <w:r w:rsidRPr="00AB5AA0">
        <w:lastRenderedPageBreak/>
        <w:t>HEALTH DIRECTORATE</w:t>
      </w:r>
      <w:bookmarkEnd w:id="0"/>
    </w:p>
    <w:p w:rsidR="00281F97" w:rsidRDefault="00765F6E" w:rsidP="00281F97">
      <w:pPr>
        <w:pStyle w:val="Heading2"/>
      </w:pPr>
      <w:bookmarkStart w:id="1" w:name="_Toc452467795"/>
      <w:bookmarkStart w:id="2" w:name="_Toc451895557"/>
      <w:bookmarkStart w:id="3" w:name="_Toc514832537"/>
      <w:r>
        <w:t>Purpose</w:t>
      </w:r>
      <w:bookmarkEnd w:id="1"/>
      <w:bookmarkEnd w:id="2"/>
      <w:bookmarkEnd w:id="3"/>
    </w:p>
    <w:p w:rsidR="00281F97" w:rsidRDefault="00765F6E" w:rsidP="00281F97">
      <w:pPr>
        <w:pStyle w:val="BodyText"/>
      </w:pPr>
      <w:r>
        <w:t xml:space="preserve">The Health Directorate partners with the community and consumers for better health outcomes by: </w:t>
      </w:r>
    </w:p>
    <w:p w:rsidR="00281F97" w:rsidRDefault="00765F6E" w:rsidP="00281F97">
      <w:pPr>
        <w:pStyle w:val="BodyTextIndent"/>
        <w:numPr>
          <w:ilvl w:val="0"/>
          <w:numId w:val="2"/>
        </w:numPr>
      </w:pPr>
      <w:r>
        <w:t>delivering patient and family centred care;</w:t>
      </w:r>
    </w:p>
    <w:p w:rsidR="00281F97" w:rsidRDefault="00765F6E" w:rsidP="00281F97">
      <w:pPr>
        <w:pStyle w:val="BodyTextIndent"/>
        <w:numPr>
          <w:ilvl w:val="0"/>
          <w:numId w:val="2"/>
        </w:numPr>
      </w:pPr>
      <w:r>
        <w:t>strengthening partnerships;</w:t>
      </w:r>
    </w:p>
    <w:p w:rsidR="00281F97" w:rsidRDefault="00765F6E" w:rsidP="00281F97">
      <w:pPr>
        <w:pStyle w:val="BodyTextIndent"/>
        <w:numPr>
          <w:ilvl w:val="0"/>
          <w:numId w:val="2"/>
        </w:numPr>
      </w:pPr>
      <w:r>
        <w:t xml:space="preserve">promoting good health and well-being; </w:t>
      </w:r>
    </w:p>
    <w:p w:rsidR="00281F97" w:rsidRDefault="00765F6E" w:rsidP="00281F97">
      <w:pPr>
        <w:pStyle w:val="BodyTextIndent"/>
        <w:numPr>
          <w:ilvl w:val="0"/>
          <w:numId w:val="2"/>
        </w:numPr>
      </w:pPr>
      <w:r>
        <w:t xml:space="preserve">improving access to appropriate healthcare; and </w:t>
      </w:r>
    </w:p>
    <w:p w:rsidR="00281F97" w:rsidRDefault="00765F6E" w:rsidP="00281F97">
      <w:pPr>
        <w:pStyle w:val="BodyTextIndent"/>
        <w:numPr>
          <w:ilvl w:val="0"/>
          <w:numId w:val="2"/>
        </w:numPr>
      </w:pPr>
      <w:r>
        <w:t xml:space="preserve">having robust safety and quality systems. </w:t>
      </w:r>
    </w:p>
    <w:p w:rsidR="00281F97" w:rsidRDefault="00765F6E" w:rsidP="00281F97">
      <w:pPr>
        <w:pStyle w:val="BodyTextIndent"/>
        <w:numPr>
          <w:ilvl w:val="0"/>
          <w:numId w:val="0"/>
        </w:numPr>
        <w:tabs>
          <w:tab w:val="left" w:pos="720"/>
        </w:tabs>
      </w:pPr>
      <w:r>
        <w:t xml:space="preserve">We aim for sustainability and improved efficiency in the use of resources by designing sustainable services to deliver outcomes efficiently and embedding a culture of research and innovation. </w:t>
      </w:r>
    </w:p>
    <w:p w:rsidR="00281F97" w:rsidRDefault="00765F6E" w:rsidP="00281F97">
      <w:pPr>
        <w:pStyle w:val="BodyText"/>
      </w:pPr>
      <w:r>
        <w:t xml:space="preserve">The Health Directorate continues to strengthen clinical governance of its processes and strives to be accountable to both the government and the community. </w:t>
      </w:r>
    </w:p>
    <w:p w:rsidR="00281F97" w:rsidRDefault="00765F6E" w:rsidP="00281F97">
      <w:pPr>
        <w:pStyle w:val="BodyText"/>
      </w:pPr>
      <w:r>
        <w:t>The Health Directorate aims to support our people and strengthen teams by helping staff to reach their potential, promoting a learning culture and providing high-level leadership.</w:t>
      </w:r>
    </w:p>
    <w:p w:rsidR="00281F97" w:rsidRDefault="00281F97" w:rsidP="00281F97">
      <w:pPr>
        <w:pStyle w:val="BodyText"/>
        <w:rPr>
          <w:vanish/>
        </w:rPr>
      </w:pPr>
    </w:p>
    <w:p w:rsidR="00281F97" w:rsidRDefault="00765F6E" w:rsidP="00281F97">
      <w:pPr>
        <w:pStyle w:val="Heading2"/>
        <w:pBdr>
          <w:top w:val="nil"/>
          <w:left w:val="nil"/>
          <w:bottom w:val="nil"/>
          <w:right w:val="nil"/>
          <w:between w:val="nil"/>
          <w:bar w:val="nil"/>
        </w:pBdr>
        <w:spacing w:before="120"/>
        <w:rPr>
          <w:bdr w:val="nil"/>
        </w:rPr>
      </w:pPr>
      <w:bookmarkStart w:id="4" w:name="_Toc452467796"/>
      <w:bookmarkStart w:id="5" w:name="_Toc451895558"/>
      <w:bookmarkStart w:id="6" w:name="_Toc514832538"/>
      <w:r>
        <w:rPr>
          <w:bdr w:val="nil"/>
        </w:rPr>
        <w:t>2018-19 Priorities</w:t>
      </w:r>
      <w:bookmarkEnd w:id="4"/>
      <w:bookmarkEnd w:id="5"/>
      <w:bookmarkEnd w:id="6"/>
    </w:p>
    <w:p w:rsidR="00281F97" w:rsidRDefault="00765F6E" w:rsidP="00281F97">
      <w:pPr>
        <w:pStyle w:val="NormalWeb"/>
        <w:pBdr>
          <w:top w:val="nil"/>
          <w:left w:val="nil"/>
          <w:bottom w:val="nil"/>
          <w:right w:val="nil"/>
          <w:between w:val="nil"/>
          <w:bar w:val="nil"/>
        </w:pBdr>
        <w:rPr>
          <w:bdr w:val="nil"/>
          <w:lang w:val="en" w:eastAsia="en-AU"/>
        </w:rPr>
      </w:pPr>
      <w:r>
        <w:rPr>
          <w:bdr w:val="nil"/>
          <w:lang w:val="en"/>
        </w:rPr>
        <w:t>In</w:t>
      </w:r>
      <w:r w:rsidR="00030990">
        <w:rPr>
          <w:bdr w:val="nil"/>
          <w:lang w:val="en"/>
        </w:rPr>
        <w:t xml:space="preserve"> </w:t>
      </w:r>
      <w:r>
        <w:rPr>
          <w:bdr w:val="nil"/>
          <w:lang w:val="en"/>
        </w:rPr>
        <w:t xml:space="preserve">line with the ACT Government announcement in March 2018, the ACT Health Directorate will separate into two distinct </w:t>
      </w:r>
      <w:proofErr w:type="spellStart"/>
      <w:r>
        <w:rPr>
          <w:bdr w:val="nil"/>
          <w:lang w:val="en"/>
        </w:rPr>
        <w:t>organisations</w:t>
      </w:r>
      <w:proofErr w:type="spellEnd"/>
      <w:r>
        <w:rPr>
          <w:bdr w:val="nil"/>
          <w:lang w:val="en"/>
        </w:rPr>
        <w:t xml:space="preserve"> from 1 October 2018, with one </w:t>
      </w:r>
      <w:proofErr w:type="spellStart"/>
      <w:r>
        <w:rPr>
          <w:bdr w:val="nil"/>
          <w:lang w:val="en"/>
        </w:rPr>
        <w:t>organisation</w:t>
      </w:r>
      <w:proofErr w:type="spellEnd"/>
      <w:r>
        <w:rPr>
          <w:bdr w:val="nil"/>
          <w:lang w:val="en"/>
        </w:rPr>
        <w:t xml:space="preserve"> responsible for ACT Health’s clinical operations and a second </w:t>
      </w:r>
      <w:proofErr w:type="spellStart"/>
      <w:r>
        <w:rPr>
          <w:bdr w:val="nil"/>
          <w:lang w:val="en"/>
        </w:rPr>
        <w:t>organisation</w:t>
      </w:r>
      <w:proofErr w:type="spellEnd"/>
      <w:r>
        <w:rPr>
          <w:bdr w:val="nil"/>
          <w:lang w:val="en"/>
        </w:rPr>
        <w:t xml:space="preserve"> responsible for strategic policy and planning. </w:t>
      </w:r>
    </w:p>
    <w:p w:rsidR="00281F97" w:rsidRDefault="00765F6E" w:rsidP="00281F97">
      <w:pPr>
        <w:pStyle w:val="NormalWeb"/>
        <w:pBdr>
          <w:top w:val="nil"/>
          <w:left w:val="nil"/>
          <w:bottom w:val="nil"/>
          <w:right w:val="nil"/>
          <w:between w:val="nil"/>
          <w:bar w:val="nil"/>
        </w:pBdr>
        <w:rPr>
          <w:bdr w:val="nil"/>
          <w:lang w:val="en"/>
        </w:rPr>
      </w:pPr>
      <w:r>
        <w:rPr>
          <w:bdr w:val="nil"/>
          <w:lang w:val="en"/>
        </w:rPr>
        <w:t xml:space="preserve">Both </w:t>
      </w:r>
      <w:proofErr w:type="spellStart"/>
      <w:r>
        <w:rPr>
          <w:bdr w:val="nil"/>
          <w:lang w:val="en"/>
        </w:rPr>
        <w:t>organisations</w:t>
      </w:r>
      <w:proofErr w:type="spellEnd"/>
      <w:r>
        <w:rPr>
          <w:bdr w:val="nil"/>
          <w:lang w:val="en"/>
        </w:rPr>
        <w:t xml:space="preserve"> will continue the reform work already underway to achieve ACT Health’s commitment to the </w:t>
      </w:r>
      <w:r w:rsidR="00712070">
        <w:rPr>
          <w:bdr w:val="nil"/>
          <w:lang w:val="en"/>
        </w:rPr>
        <w:t>health of our growing community,</w:t>
      </w:r>
      <w:r>
        <w:rPr>
          <w:bdr w:val="nil"/>
          <w:lang w:val="en"/>
        </w:rPr>
        <w:t xml:space="preserve"> a commitment to quality, innovation, engagement, accountability and a focus on strategic policy and planning stewardship of the health system. </w:t>
      </w:r>
    </w:p>
    <w:p w:rsidR="00281F97" w:rsidRDefault="00765F6E" w:rsidP="00281F97">
      <w:pPr>
        <w:pStyle w:val="Normal00"/>
        <w:pBdr>
          <w:top w:val="nil"/>
          <w:left w:val="nil"/>
          <w:bottom w:val="nil"/>
          <w:right w:val="nil"/>
          <w:between w:val="nil"/>
          <w:bar w:val="nil"/>
        </w:pBdr>
        <w:jc w:val="both"/>
        <w:rPr>
          <w:bdr w:val="nil"/>
        </w:rPr>
      </w:pPr>
      <w:r>
        <w:rPr>
          <w:bdr w:val="nil"/>
        </w:rPr>
        <w:t>These Budget Statements do not anticipate the planned rest</w:t>
      </w:r>
      <w:r w:rsidR="00A1222C">
        <w:rPr>
          <w:bdr w:val="nil"/>
        </w:rPr>
        <w:t>ructure.  It is the Government’s</w:t>
      </w:r>
      <w:r>
        <w:rPr>
          <w:bdr w:val="nil"/>
        </w:rPr>
        <w:t xml:space="preserve"> intention to </w:t>
      </w:r>
      <w:r w:rsidR="0022623C">
        <w:rPr>
          <w:bdr w:val="nil"/>
        </w:rPr>
        <w:t xml:space="preserve">effect these changes </w:t>
      </w:r>
      <w:r>
        <w:rPr>
          <w:bdr w:val="nil"/>
        </w:rPr>
        <w:t>during 2018-19.</w:t>
      </w:r>
      <w:r w:rsidR="00EE1E4B">
        <w:rPr>
          <w:bdr w:val="nil"/>
        </w:rPr>
        <w:t xml:space="preserve">  </w:t>
      </w:r>
      <w:r w:rsidR="00EE1E4B" w:rsidRPr="00EE1E4B">
        <w:rPr>
          <w:bdr w:val="nil"/>
        </w:rPr>
        <w:t>All Strategic indicators will be reassessed ahead of the ACT Health organisational restructure and transition at 1 October</w:t>
      </w:r>
      <w:r w:rsidR="00190C6D">
        <w:rPr>
          <w:bdr w:val="nil"/>
        </w:rPr>
        <w:t xml:space="preserve"> 2018</w:t>
      </w:r>
      <w:r w:rsidR="00F17BD8">
        <w:rPr>
          <w:bdr w:val="nil"/>
        </w:rPr>
        <w:t>.</w:t>
      </w:r>
    </w:p>
    <w:p w:rsidR="00281F97" w:rsidRDefault="00765F6E" w:rsidP="00281F97">
      <w:pPr>
        <w:pBdr>
          <w:top w:val="nil"/>
          <w:left w:val="nil"/>
          <w:bottom w:val="nil"/>
          <w:right w:val="nil"/>
          <w:between w:val="nil"/>
          <w:bar w:val="nil"/>
        </w:pBdr>
        <w:rPr>
          <w:rFonts w:cs="Arial"/>
          <w:bdr w:val="nil"/>
        </w:rPr>
      </w:pPr>
      <w:r>
        <w:rPr>
          <w:bdr w:val="nil"/>
        </w:rPr>
        <w:t>During 2018-19, ACT Health will also finalise the Territory Wide Health Services Framework, which will provide the strategic framework for the planning of territory wide health services over the next decade.</w:t>
      </w:r>
      <w:r>
        <w:rPr>
          <w:rFonts w:cs="Arial"/>
          <w:bdr w:val="nil"/>
        </w:rPr>
        <w:t xml:space="preserve"> </w:t>
      </w:r>
      <w:r w:rsidR="00EA194A">
        <w:rPr>
          <w:rFonts w:cs="Arial"/>
          <w:bdr w:val="nil"/>
        </w:rPr>
        <w:t xml:space="preserve"> </w:t>
      </w:r>
      <w:r>
        <w:rPr>
          <w:rFonts w:cs="Arial"/>
          <w:bdr w:val="nil"/>
        </w:rPr>
        <w:t xml:space="preserve">The ACT Health System Wide Review of data and reporting having been completed in 2017-18, will move into the implementation phase. </w:t>
      </w:r>
    </w:p>
    <w:p w:rsidR="00281F97" w:rsidRDefault="00765F6E" w:rsidP="00281F97">
      <w:pPr>
        <w:pBdr>
          <w:top w:val="nil"/>
          <w:left w:val="nil"/>
          <w:bottom w:val="nil"/>
          <w:right w:val="nil"/>
          <w:between w:val="nil"/>
          <w:bar w:val="nil"/>
        </w:pBdr>
        <w:rPr>
          <w:bdr w:val="nil"/>
        </w:rPr>
      </w:pPr>
      <w:r>
        <w:rPr>
          <w:bdr w:val="nil"/>
        </w:rPr>
        <w:lastRenderedPageBreak/>
        <w:t>The work undertaken by ACT Health on the System Wide Data Review will contribute to an improved capacity within ACT Health to access and analyse detailed and robust data on activity, performance and financial outcomes.</w:t>
      </w:r>
    </w:p>
    <w:p w:rsidR="00281F97" w:rsidRDefault="00765F6E" w:rsidP="00281F97">
      <w:pPr>
        <w:pBdr>
          <w:top w:val="nil"/>
          <w:left w:val="nil"/>
          <w:bottom w:val="nil"/>
          <w:right w:val="nil"/>
          <w:between w:val="nil"/>
          <w:bar w:val="nil"/>
        </w:pBdr>
        <w:rPr>
          <w:bdr w:val="nil"/>
        </w:rPr>
      </w:pPr>
      <w:r>
        <w:rPr>
          <w:bdr w:val="nil"/>
        </w:rPr>
        <w:t xml:space="preserve">In 2018-19 there will be a focus on core services within the ACT Health system </w:t>
      </w:r>
      <w:r w:rsidR="00A1222C">
        <w:rPr>
          <w:bdr w:val="nil"/>
        </w:rPr>
        <w:t>enhancing</w:t>
      </w:r>
      <w:r>
        <w:rPr>
          <w:bdr w:val="nil"/>
        </w:rPr>
        <w:t xml:space="preserve"> the capacity in Emergency Surgery, Emergency Department and Elective Surgery to meet the growing demand for critical care services.</w:t>
      </w:r>
    </w:p>
    <w:p w:rsidR="00281F97" w:rsidRDefault="00A1222C" w:rsidP="00281F97">
      <w:pPr>
        <w:pBdr>
          <w:top w:val="nil"/>
          <w:left w:val="nil"/>
          <w:bottom w:val="nil"/>
          <w:right w:val="nil"/>
          <w:between w:val="nil"/>
          <w:bar w:val="nil"/>
        </w:pBdr>
        <w:rPr>
          <w:bdr w:val="nil"/>
        </w:rPr>
      </w:pPr>
      <w:r>
        <w:rPr>
          <w:bdr w:val="nil"/>
        </w:rPr>
        <w:t xml:space="preserve">ACT Health will work to improve </w:t>
      </w:r>
      <w:r w:rsidR="00765F6E">
        <w:rPr>
          <w:bdr w:val="nil"/>
        </w:rPr>
        <w:t>efficiency across the system and focus on providing care in th</w:t>
      </w:r>
      <w:r>
        <w:rPr>
          <w:bdr w:val="nil"/>
        </w:rPr>
        <w:t xml:space="preserve">e right place at the right time through initiatives such as </w:t>
      </w:r>
      <w:r w:rsidR="00765F6E">
        <w:rPr>
          <w:bdr w:val="nil"/>
        </w:rPr>
        <w:t xml:space="preserve">Hospital in the Home </w:t>
      </w:r>
      <w:r>
        <w:rPr>
          <w:bdr w:val="nil"/>
        </w:rPr>
        <w:t>which</w:t>
      </w:r>
      <w:r w:rsidR="00765F6E">
        <w:rPr>
          <w:bdr w:val="nil"/>
        </w:rPr>
        <w:t xml:space="preserve"> will be expanded in 2018-19.</w:t>
      </w:r>
    </w:p>
    <w:p w:rsidR="00281F97" w:rsidRDefault="00765F6E" w:rsidP="00281F97">
      <w:pPr>
        <w:pBdr>
          <w:top w:val="nil"/>
          <w:left w:val="nil"/>
          <w:bottom w:val="nil"/>
          <w:right w:val="nil"/>
          <w:between w:val="nil"/>
          <w:bar w:val="nil"/>
        </w:pBdr>
        <w:rPr>
          <w:bdr w:val="nil"/>
        </w:rPr>
      </w:pPr>
      <w:r>
        <w:rPr>
          <w:bdr w:val="nil"/>
        </w:rPr>
        <w:t>A</w:t>
      </w:r>
      <w:r w:rsidR="00A1222C">
        <w:rPr>
          <w:bdr w:val="nil"/>
        </w:rPr>
        <w:t>CT Health</w:t>
      </w:r>
      <w:r>
        <w:rPr>
          <w:bdr w:val="nil"/>
        </w:rPr>
        <w:t xml:space="preserve"> </w:t>
      </w:r>
      <w:r w:rsidR="00A1222C">
        <w:rPr>
          <w:bdr w:val="nil"/>
        </w:rPr>
        <w:t xml:space="preserve">will </w:t>
      </w:r>
      <w:r>
        <w:rPr>
          <w:bdr w:val="nil"/>
        </w:rPr>
        <w:t>focus o</w:t>
      </w:r>
      <w:r w:rsidR="0022623C">
        <w:rPr>
          <w:bdr w:val="nil"/>
        </w:rPr>
        <w:t>n</w:t>
      </w:r>
      <w:r>
        <w:rPr>
          <w:bdr w:val="nil"/>
        </w:rPr>
        <w:t xml:space="preserve"> improv</w:t>
      </w:r>
      <w:r w:rsidR="0022623C">
        <w:rPr>
          <w:bdr w:val="nil"/>
        </w:rPr>
        <w:t>ing</w:t>
      </w:r>
      <w:r>
        <w:rPr>
          <w:bdr w:val="nil"/>
        </w:rPr>
        <w:t xml:space="preserve"> the effi</w:t>
      </w:r>
      <w:r w:rsidR="000B6EC2">
        <w:rPr>
          <w:bdr w:val="nil"/>
        </w:rPr>
        <w:t xml:space="preserve">ciency and effectiveness of </w:t>
      </w:r>
      <w:r>
        <w:rPr>
          <w:bdr w:val="nil"/>
        </w:rPr>
        <w:t>ACT mental health services</w:t>
      </w:r>
      <w:r w:rsidR="00A1222C">
        <w:rPr>
          <w:bdr w:val="nil"/>
        </w:rPr>
        <w:t>, in particular</w:t>
      </w:r>
      <w:r>
        <w:rPr>
          <w:bdr w:val="nil"/>
        </w:rPr>
        <w:t xml:space="preserve"> relating to accommodation to support people with mental health issues to recover and live in our community.</w:t>
      </w:r>
    </w:p>
    <w:p w:rsidR="00281F97" w:rsidRPr="006962C3" w:rsidRDefault="00765F6E" w:rsidP="00281F97">
      <w:pPr>
        <w:pStyle w:val="BSbullet1"/>
        <w:numPr>
          <w:ilvl w:val="0"/>
          <w:numId w:val="0"/>
        </w:numPr>
        <w:pBdr>
          <w:top w:val="nil"/>
          <w:left w:val="nil"/>
          <w:bottom w:val="nil"/>
          <w:right w:val="nil"/>
          <w:between w:val="nil"/>
          <w:bar w:val="nil"/>
        </w:pBdr>
        <w:ind w:left="357" w:hanging="357"/>
        <w:jc w:val="both"/>
        <w:rPr>
          <w:bdr w:val="nil"/>
        </w:rPr>
      </w:pPr>
      <w:r>
        <w:t xml:space="preserve"> </w:t>
      </w:r>
    </w:p>
    <w:p w:rsidR="00281F97" w:rsidRDefault="00765F6E" w:rsidP="00281F97">
      <w:pPr>
        <w:pStyle w:val="Heading20"/>
      </w:pPr>
      <w:bookmarkStart w:id="7" w:name="_Toc452467797"/>
      <w:bookmarkStart w:id="8" w:name="_Toc451895559"/>
      <w:bookmarkStart w:id="9" w:name="_Toc514832539"/>
      <w:r>
        <w:t>Estimated Employment Level</w:t>
      </w:r>
      <w:bookmarkEnd w:id="7"/>
      <w:bookmarkEnd w:id="8"/>
      <w:bookmarkEnd w:id="9"/>
    </w:p>
    <w:p w:rsidR="00281F97" w:rsidRDefault="00765F6E" w:rsidP="00281F97">
      <w:pPr>
        <w:pStyle w:val="Caption"/>
      </w:pPr>
      <w:r>
        <w:t xml:space="preserve">Table </w:t>
      </w:r>
      <w:r w:rsidR="00A527FA">
        <w:fldChar w:fldCharType="begin"/>
      </w:r>
      <w:r w:rsidR="00A527FA">
        <w:instrText xml:space="preserve"> SEQ Table \* ARABIC </w:instrText>
      </w:r>
      <w:r w:rsidR="00A527FA">
        <w:fldChar w:fldCharType="separate"/>
      </w:r>
      <w:r w:rsidR="00EE1E4B">
        <w:rPr>
          <w:noProof/>
        </w:rPr>
        <w:t>1</w:t>
      </w:r>
      <w:r w:rsidR="00A527FA">
        <w:rPr>
          <w:noProof/>
        </w:rPr>
        <w:fldChar w:fldCharType="end"/>
      </w:r>
      <w:r>
        <w:t>: Estimated Employment Level</w:t>
      </w:r>
    </w:p>
    <w:tbl>
      <w:tblPr>
        <w:tblW w:w="9213" w:type="dxa"/>
        <w:tblBorders>
          <w:top w:val="single" w:sz="12" w:space="0" w:color="000000"/>
        </w:tblBorders>
        <w:tblLayout w:type="fixed"/>
        <w:tblLook w:val="04A0" w:firstRow="1" w:lastRow="0" w:firstColumn="1" w:lastColumn="0" w:noHBand="0" w:noVBand="1"/>
      </w:tblPr>
      <w:tblGrid>
        <w:gridCol w:w="2700"/>
        <w:gridCol w:w="108"/>
        <w:gridCol w:w="1493"/>
        <w:gridCol w:w="108"/>
        <w:gridCol w:w="1493"/>
        <w:gridCol w:w="108"/>
        <w:gridCol w:w="1493"/>
        <w:gridCol w:w="108"/>
        <w:gridCol w:w="1494"/>
        <w:gridCol w:w="108"/>
      </w:tblGrid>
      <w:tr w:rsidR="00237D6F" w:rsidTr="00281F97">
        <w:trPr>
          <w:gridAfter w:val="1"/>
          <w:wAfter w:w="108" w:type="dxa"/>
          <w:trHeight w:val="392"/>
          <w:tblHeader/>
        </w:trPr>
        <w:tc>
          <w:tcPr>
            <w:tcW w:w="2700" w:type="dxa"/>
            <w:tcBorders>
              <w:top w:val="single" w:sz="12" w:space="0" w:color="000000"/>
              <w:left w:val="nil"/>
              <w:bottom w:val="nil"/>
              <w:right w:val="nil"/>
            </w:tcBorders>
            <w:vAlign w:val="bottom"/>
          </w:tcPr>
          <w:p w:rsidR="00281F97" w:rsidRDefault="00281F97">
            <w:pPr>
              <w:pStyle w:val="BStabletext"/>
            </w:pPr>
          </w:p>
        </w:tc>
        <w:tc>
          <w:tcPr>
            <w:tcW w:w="1601" w:type="dxa"/>
            <w:gridSpan w:val="2"/>
            <w:tcBorders>
              <w:top w:val="single" w:sz="12" w:space="0" w:color="000000"/>
              <w:left w:val="nil"/>
              <w:bottom w:val="nil"/>
              <w:right w:val="nil"/>
            </w:tcBorders>
            <w:hideMark/>
          </w:tcPr>
          <w:p w:rsidR="00281F97" w:rsidRDefault="00765F6E">
            <w:pPr>
              <w:pStyle w:val="BStableheading1"/>
              <w:framePr w:wrap="around"/>
            </w:pPr>
            <w:r>
              <w:t>2016-17</w:t>
            </w:r>
          </w:p>
          <w:p w:rsidR="00281F97" w:rsidRDefault="00765F6E">
            <w:pPr>
              <w:pStyle w:val="BStableheading1"/>
              <w:framePr w:wrap="around"/>
            </w:pPr>
            <w:r>
              <w:t>Actual</w:t>
            </w:r>
          </w:p>
          <w:p w:rsidR="00281F97" w:rsidRDefault="00765F6E">
            <w:pPr>
              <w:pStyle w:val="BStableheading1"/>
              <w:framePr w:wrap="around"/>
            </w:pPr>
            <w:r>
              <w:t>Outcome</w:t>
            </w:r>
          </w:p>
        </w:tc>
        <w:tc>
          <w:tcPr>
            <w:tcW w:w="1601" w:type="dxa"/>
            <w:gridSpan w:val="2"/>
            <w:tcBorders>
              <w:top w:val="single" w:sz="12" w:space="0" w:color="000000"/>
              <w:left w:val="nil"/>
              <w:bottom w:val="nil"/>
              <w:right w:val="nil"/>
            </w:tcBorders>
            <w:hideMark/>
          </w:tcPr>
          <w:p w:rsidR="00281F97" w:rsidRDefault="00765F6E" w:rsidP="00281F97">
            <w:pPr>
              <w:pStyle w:val="BStableheading1"/>
              <w:framePr w:wrap="auto" w:vAnchor="margin" w:yAlign="inline"/>
            </w:pPr>
            <w:r>
              <w:t>2017-18</w:t>
            </w:r>
          </w:p>
          <w:p w:rsidR="00281F97" w:rsidRDefault="00765F6E">
            <w:pPr>
              <w:pStyle w:val="BStableheading1"/>
              <w:framePr w:wrap="around"/>
            </w:pPr>
            <w:r>
              <w:t>Budget</w:t>
            </w:r>
          </w:p>
        </w:tc>
        <w:tc>
          <w:tcPr>
            <w:tcW w:w="1601" w:type="dxa"/>
            <w:gridSpan w:val="2"/>
            <w:tcBorders>
              <w:top w:val="single" w:sz="12" w:space="0" w:color="000000"/>
              <w:left w:val="nil"/>
              <w:bottom w:val="nil"/>
              <w:right w:val="nil"/>
            </w:tcBorders>
            <w:hideMark/>
          </w:tcPr>
          <w:p w:rsidR="00281F97" w:rsidRDefault="00765F6E">
            <w:pPr>
              <w:pStyle w:val="BStableheading1"/>
              <w:framePr w:wrap="around"/>
            </w:pPr>
            <w:r>
              <w:t>2017-18</w:t>
            </w:r>
          </w:p>
          <w:p w:rsidR="00281F97" w:rsidRDefault="00765F6E">
            <w:pPr>
              <w:pStyle w:val="BStableheading1"/>
              <w:framePr w:wrap="around"/>
            </w:pPr>
            <w:r>
              <w:t>Estimated Outcome</w:t>
            </w:r>
          </w:p>
        </w:tc>
        <w:tc>
          <w:tcPr>
            <w:tcW w:w="1602" w:type="dxa"/>
            <w:gridSpan w:val="2"/>
            <w:tcBorders>
              <w:top w:val="single" w:sz="12" w:space="0" w:color="000000"/>
              <w:left w:val="nil"/>
              <w:bottom w:val="nil"/>
              <w:right w:val="nil"/>
            </w:tcBorders>
            <w:noWrap/>
            <w:hideMark/>
          </w:tcPr>
          <w:p w:rsidR="00281F97" w:rsidRDefault="00765F6E">
            <w:pPr>
              <w:pStyle w:val="BStableheading1"/>
              <w:framePr w:wrap="around"/>
            </w:pPr>
            <w:r>
              <w:t>2018-19</w:t>
            </w:r>
          </w:p>
          <w:p w:rsidR="00281F97" w:rsidRDefault="00765F6E">
            <w:pPr>
              <w:pStyle w:val="BStableheading1"/>
              <w:framePr w:wrap="around"/>
            </w:pPr>
            <w:r>
              <w:t>Budget</w:t>
            </w:r>
          </w:p>
        </w:tc>
      </w:tr>
      <w:tr w:rsidR="00237D6F" w:rsidTr="00CE461F">
        <w:trPr>
          <w:trHeight w:val="319"/>
          <w:tblHeader/>
        </w:trPr>
        <w:tc>
          <w:tcPr>
            <w:tcW w:w="2808" w:type="dxa"/>
            <w:gridSpan w:val="2"/>
            <w:tcBorders>
              <w:top w:val="single" w:sz="6" w:space="0" w:color="000000"/>
              <w:left w:val="nil"/>
              <w:bottom w:val="single" w:sz="6" w:space="0" w:color="000000"/>
              <w:right w:val="nil"/>
            </w:tcBorders>
            <w:vAlign w:val="bottom"/>
            <w:hideMark/>
          </w:tcPr>
          <w:p w:rsidR="00281F97" w:rsidRDefault="00765F6E">
            <w:pPr>
              <w:pStyle w:val="BStabletext"/>
              <w:rPr>
                <w:rStyle w:val="Strong"/>
                <w:bCs/>
              </w:rPr>
            </w:pPr>
            <w:r>
              <w:rPr>
                <w:rStyle w:val="Strong"/>
              </w:rPr>
              <w:t>Staffing (FTE)</w:t>
            </w:r>
          </w:p>
        </w:tc>
        <w:tc>
          <w:tcPr>
            <w:tcW w:w="1601" w:type="dxa"/>
            <w:gridSpan w:val="2"/>
            <w:tcBorders>
              <w:top w:val="single" w:sz="6" w:space="0" w:color="000000"/>
              <w:left w:val="nil"/>
              <w:bottom w:val="single" w:sz="6" w:space="0" w:color="000000"/>
              <w:right w:val="nil"/>
            </w:tcBorders>
            <w:vAlign w:val="bottom"/>
            <w:hideMark/>
          </w:tcPr>
          <w:p w:rsidR="00281F97" w:rsidRDefault="00765F6E">
            <w:pPr>
              <w:pStyle w:val="BStablefigures"/>
            </w:pPr>
            <w:r>
              <w:t>6,476</w:t>
            </w:r>
          </w:p>
        </w:tc>
        <w:tc>
          <w:tcPr>
            <w:tcW w:w="1601" w:type="dxa"/>
            <w:gridSpan w:val="2"/>
            <w:tcBorders>
              <w:top w:val="single" w:sz="6" w:space="0" w:color="000000"/>
              <w:left w:val="nil"/>
              <w:bottom w:val="single" w:sz="6" w:space="0" w:color="000000"/>
              <w:right w:val="nil"/>
            </w:tcBorders>
            <w:vAlign w:val="bottom"/>
            <w:hideMark/>
          </w:tcPr>
          <w:p w:rsidR="00281F97" w:rsidRDefault="00765F6E">
            <w:pPr>
              <w:pStyle w:val="BStablefigures"/>
            </w:pPr>
            <w:r>
              <w:t>6,533</w:t>
            </w:r>
          </w:p>
        </w:tc>
        <w:tc>
          <w:tcPr>
            <w:tcW w:w="1601" w:type="dxa"/>
            <w:gridSpan w:val="2"/>
            <w:tcBorders>
              <w:top w:val="single" w:sz="6" w:space="0" w:color="000000"/>
              <w:left w:val="nil"/>
              <w:bottom w:val="single" w:sz="6" w:space="0" w:color="000000"/>
              <w:right w:val="nil"/>
            </w:tcBorders>
            <w:vAlign w:val="bottom"/>
            <w:hideMark/>
          </w:tcPr>
          <w:p w:rsidR="00281F97" w:rsidRDefault="00765F6E">
            <w:pPr>
              <w:pStyle w:val="BStablefigures"/>
            </w:pPr>
            <w:r>
              <w:t>6,630</w:t>
            </w:r>
            <w:r>
              <w:rPr>
                <w:vertAlign w:val="superscript"/>
              </w:rPr>
              <w:t>1</w:t>
            </w:r>
          </w:p>
        </w:tc>
        <w:tc>
          <w:tcPr>
            <w:tcW w:w="1602" w:type="dxa"/>
            <w:gridSpan w:val="2"/>
            <w:tcBorders>
              <w:top w:val="single" w:sz="6" w:space="0" w:color="000000"/>
              <w:left w:val="nil"/>
              <w:bottom w:val="single" w:sz="6" w:space="0" w:color="000000"/>
              <w:right w:val="nil"/>
            </w:tcBorders>
            <w:noWrap/>
            <w:vAlign w:val="bottom"/>
            <w:hideMark/>
          </w:tcPr>
          <w:p w:rsidR="00281F97" w:rsidRDefault="00765F6E">
            <w:pPr>
              <w:pStyle w:val="BStablefigures"/>
            </w:pPr>
            <w:r>
              <w:t>6,696</w:t>
            </w:r>
          </w:p>
        </w:tc>
      </w:tr>
    </w:tbl>
    <w:p w:rsidR="00281F97" w:rsidRDefault="00765F6E" w:rsidP="00281F97">
      <w:pPr>
        <w:pStyle w:val="Normal2"/>
        <w:spacing w:after="0"/>
        <w:rPr>
          <w:b/>
          <w:sz w:val="18"/>
          <w:szCs w:val="18"/>
        </w:rPr>
      </w:pPr>
      <w:r>
        <w:rPr>
          <w:b/>
          <w:sz w:val="18"/>
          <w:szCs w:val="18"/>
        </w:rPr>
        <w:t xml:space="preserve">Note: </w:t>
      </w:r>
    </w:p>
    <w:p w:rsidR="00281F97" w:rsidRDefault="00765F6E" w:rsidP="00281F97">
      <w:pPr>
        <w:pStyle w:val="Normal2"/>
        <w:numPr>
          <w:ilvl w:val="0"/>
          <w:numId w:val="4"/>
        </w:numPr>
        <w:spacing w:before="0"/>
        <w:rPr>
          <w:sz w:val="18"/>
          <w:szCs w:val="18"/>
        </w:rPr>
      </w:pPr>
      <w:r>
        <w:rPr>
          <w:rFonts w:cs="Calibri"/>
          <w:sz w:val="18"/>
          <w:szCs w:val="18"/>
        </w:rPr>
        <w:t xml:space="preserve">The </w:t>
      </w:r>
      <w:r w:rsidRPr="00397349">
        <w:rPr>
          <w:rFonts w:cs="Calibri"/>
          <w:sz w:val="18"/>
          <w:szCs w:val="18"/>
        </w:rPr>
        <w:t>increase in FTE relates to growth in demand/activity during the winter months associated with the flu season and increase</w:t>
      </w:r>
      <w:r w:rsidR="00C83712">
        <w:rPr>
          <w:rFonts w:cs="Calibri"/>
          <w:sz w:val="18"/>
          <w:szCs w:val="18"/>
        </w:rPr>
        <w:t>d</w:t>
      </w:r>
      <w:r w:rsidRPr="00397349">
        <w:rPr>
          <w:rFonts w:cs="Calibri"/>
          <w:sz w:val="18"/>
          <w:szCs w:val="18"/>
        </w:rPr>
        <w:t xml:space="preserve"> elective surgery.</w:t>
      </w:r>
    </w:p>
    <w:p w:rsidR="00281F97" w:rsidRDefault="00765F6E" w:rsidP="00281F97">
      <w:pPr>
        <w:pStyle w:val="BSnoteslist"/>
        <w:numPr>
          <w:ilvl w:val="0"/>
          <w:numId w:val="0"/>
        </w:numPr>
        <w:ind w:left="360" w:hanging="360"/>
      </w:pPr>
      <w:r>
        <w:t xml:space="preserve"> </w:t>
      </w:r>
    </w:p>
    <w:p w:rsidR="00281F97" w:rsidRDefault="00765F6E" w:rsidP="00281F97">
      <w:pPr>
        <w:pStyle w:val="Heading21"/>
        <w:pageBreakBefore/>
      </w:pPr>
      <w:bookmarkStart w:id="10" w:name="_Toc452467798"/>
      <w:bookmarkStart w:id="11" w:name="_Toc514832540"/>
      <w:r>
        <w:lastRenderedPageBreak/>
        <w:t>Strategic Objectives and Indicators</w:t>
      </w:r>
      <w:bookmarkEnd w:id="10"/>
      <w:bookmarkEnd w:id="11"/>
      <w:r>
        <w:t xml:space="preserve"> </w:t>
      </w:r>
    </w:p>
    <w:p w:rsidR="00167E13" w:rsidRDefault="00167E13" w:rsidP="00167E13">
      <w:pPr>
        <w:pStyle w:val="Heading3"/>
      </w:pPr>
      <w:r>
        <w:t>Strategic Objective 1</w:t>
      </w:r>
    </w:p>
    <w:p w:rsidR="00167E13" w:rsidRDefault="00167E13" w:rsidP="00167E13">
      <w:pPr>
        <w:pStyle w:val="Heading4"/>
      </w:pPr>
      <w:r>
        <w:t>Reducing the Waiting List for Elective Surgery</w:t>
      </w:r>
    </w:p>
    <w:p w:rsidR="00281F97" w:rsidRDefault="00167E13" w:rsidP="00281F97">
      <w:pPr>
        <w:pStyle w:val="Normal3"/>
      </w:pPr>
      <w:r>
        <w:rPr>
          <w:b/>
        </w:rPr>
        <w:t xml:space="preserve">Strategic Indicator 1: </w:t>
      </w:r>
      <w:r w:rsidR="008E2D92">
        <w:t>Reducing the number of people waiting longer than clinically recommended timeframes for elective s</w:t>
      </w:r>
      <w:r w:rsidR="00765F6E" w:rsidRPr="00167E13">
        <w:t>urgery</w:t>
      </w:r>
    </w:p>
    <w:p w:rsidR="00281F97" w:rsidRDefault="00765F6E" w:rsidP="00281F97">
      <w:pPr>
        <w:pStyle w:val="Caption0"/>
      </w:pPr>
      <w:r>
        <w:t>Table 2: The number of patients waiting longer than clinically recommended timeframes for elective surgery</w:t>
      </w:r>
    </w:p>
    <w:tbl>
      <w:tblPr>
        <w:tblW w:w="0" w:type="dxa"/>
        <w:tblInd w:w="108" w:type="dxa"/>
        <w:tblLayout w:type="fixed"/>
        <w:tblLook w:val="04A0" w:firstRow="1" w:lastRow="0" w:firstColumn="1" w:lastColumn="0" w:noHBand="0" w:noVBand="1"/>
      </w:tblPr>
      <w:tblGrid>
        <w:gridCol w:w="4837"/>
        <w:gridCol w:w="1426"/>
        <w:gridCol w:w="1421"/>
        <w:gridCol w:w="1421"/>
      </w:tblGrid>
      <w:tr w:rsidR="00237D6F" w:rsidTr="00281F97">
        <w:trPr>
          <w:trHeight w:val="134"/>
        </w:trPr>
        <w:tc>
          <w:tcPr>
            <w:tcW w:w="4837" w:type="dxa"/>
            <w:tcBorders>
              <w:top w:val="single" w:sz="4" w:space="0" w:color="auto"/>
              <w:left w:val="nil"/>
              <w:bottom w:val="nil"/>
              <w:right w:val="nil"/>
            </w:tcBorders>
            <w:hideMark/>
          </w:tcPr>
          <w:p w:rsidR="00281F97" w:rsidRDefault="00765F6E" w:rsidP="00281F97">
            <w:pPr>
              <w:pStyle w:val="BStabletextbold"/>
            </w:pPr>
            <w:r>
              <w:t>Strategic Indicator</w:t>
            </w:r>
          </w:p>
        </w:tc>
        <w:tc>
          <w:tcPr>
            <w:tcW w:w="1426" w:type="dxa"/>
            <w:tcBorders>
              <w:top w:val="single" w:sz="4" w:space="0" w:color="auto"/>
              <w:left w:val="nil"/>
              <w:bottom w:val="nil"/>
              <w:right w:val="nil"/>
            </w:tcBorders>
            <w:hideMark/>
          </w:tcPr>
          <w:p w:rsidR="00281F97" w:rsidRDefault="00765F6E" w:rsidP="00281F97">
            <w:pPr>
              <w:pStyle w:val="BStablefiguresbold"/>
            </w:pPr>
            <w:r>
              <w:t>2017-18</w:t>
            </w:r>
          </w:p>
        </w:tc>
        <w:tc>
          <w:tcPr>
            <w:tcW w:w="1421" w:type="dxa"/>
            <w:tcBorders>
              <w:top w:val="single" w:sz="4" w:space="0" w:color="auto"/>
              <w:left w:val="nil"/>
              <w:bottom w:val="nil"/>
              <w:right w:val="nil"/>
            </w:tcBorders>
            <w:hideMark/>
          </w:tcPr>
          <w:p w:rsidR="00281F97" w:rsidRDefault="00765F6E" w:rsidP="00281F97">
            <w:pPr>
              <w:pStyle w:val="BStablefiguresbold"/>
            </w:pPr>
            <w:r>
              <w:t>2017-18</w:t>
            </w:r>
          </w:p>
        </w:tc>
        <w:tc>
          <w:tcPr>
            <w:tcW w:w="1421" w:type="dxa"/>
            <w:tcBorders>
              <w:top w:val="single" w:sz="4" w:space="0" w:color="auto"/>
              <w:left w:val="nil"/>
              <w:bottom w:val="nil"/>
              <w:right w:val="nil"/>
            </w:tcBorders>
            <w:hideMark/>
          </w:tcPr>
          <w:p w:rsidR="00281F97" w:rsidRDefault="00765F6E" w:rsidP="00281F97">
            <w:pPr>
              <w:pStyle w:val="BStablefiguresbold"/>
            </w:pPr>
            <w:r>
              <w:t>2018-19</w:t>
            </w:r>
          </w:p>
        </w:tc>
      </w:tr>
      <w:tr w:rsidR="00237D6F" w:rsidTr="00281F97">
        <w:tc>
          <w:tcPr>
            <w:tcW w:w="4837" w:type="dxa"/>
            <w:tcBorders>
              <w:top w:val="nil"/>
              <w:left w:val="nil"/>
              <w:bottom w:val="single" w:sz="4" w:space="0" w:color="auto"/>
              <w:right w:val="nil"/>
            </w:tcBorders>
          </w:tcPr>
          <w:p w:rsidR="00281F97" w:rsidRDefault="00281F97" w:rsidP="00281F97">
            <w:pPr>
              <w:pStyle w:val="BStabletextbold"/>
            </w:pPr>
          </w:p>
        </w:tc>
        <w:tc>
          <w:tcPr>
            <w:tcW w:w="1426" w:type="dxa"/>
            <w:tcBorders>
              <w:top w:val="nil"/>
              <w:left w:val="nil"/>
              <w:bottom w:val="single" w:sz="4" w:space="0" w:color="auto"/>
              <w:right w:val="nil"/>
            </w:tcBorders>
            <w:hideMark/>
          </w:tcPr>
          <w:p w:rsidR="00281F97" w:rsidRDefault="00765F6E" w:rsidP="00281F97">
            <w:pPr>
              <w:pStyle w:val="BStablefiguresbold"/>
            </w:pPr>
            <w:r>
              <w:t>Target</w:t>
            </w:r>
          </w:p>
        </w:tc>
        <w:tc>
          <w:tcPr>
            <w:tcW w:w="1421" w:type="dxa"/>
            <w:tcBorders>
              <w:top w:val="nil"/>
              <w:left w:val="nil"/>
              <w:bottom w:val="single" w:sz="4" w:space="0" w:color="auto"/>
              <w:right w:val="nil"/>
            </w:tcBorders>
            <w:hideMark/>
          </w:tcPr>
          <w:p w:rsidR="00281F97" w:rsidRDefault="00765F6E" w:rsidP="00281F97">
            <w:pPr>
              <w:pStyle w:val="BStablefiguresbold"/>
            </w:pPr>
            <w:r>
              <w:t>Est. Outcome</w:t>
            </w:r>
          </w:p>
        </w:tc>
        <w:tc>
          <w:tcPr>
            <w:tcW w:w="1421" w:type="dxa"/>
            <w:tcBorders>
              <w:top w:val="nil"/>
              <w:left w:val="nil"/>
              <w:bottom w:val="single" w:sz="4" w:space="0" w:color="auto"/>
              <w:right w:val="nil"/>
            </w:tcBorders>
            <w:hideMark/>
          </w:tcPr>
          <w:p w:rsidR="00281F97" w:rsidRDefault="00765F6E" w:rsidP="00281F97">
            <w:pPr>
              <w:pStyle w:val="BStablefiguresbold"/>
            </w:pPr>
            <w:r>
              <w:t>Target</w:t>
            </w:r>
          </w:p>
        </w:tc>
      </w:tr>
      <w:tr w:rsidR="00237D6F" w:rsidTr="00281F97">
        <w:trPr>
          <w:trHeight w:val="212"/>
        </w:trPr>
        <w:tc>
          <w:tcPr>
            <w:tcW w:w="4837" w:type="dxa"/>
            <w:tcBorders>
              <w:top w:val="single" w:sz="4" w:space="0" w:color="auto"/>
              <w:left w:val="nil"/>
              <w:bottom w:val="single" w:sz="4" w:space="0" w:color="auto"/>
              <w:right w:val="nil"/>
            </w:tcBorders>
            <w:hideMark/>
          </w:tcPr>
          <w:p w:rsidR="00281F97" w:rsidRDefault="00765F6E" w:rsidP="00281F97">
            <w:pPr>
              <w:pStyle w:val="BStabletext0"/>
            </w:pPr>
            <w:r>
              <w:t>The number of patients waiting longer than clinically recommended timeframes for elective surgery</w:t>
            </w:r>
            <w:r>
              <w:rPr>
                <w:vertAlign w:val="superscript"/>
              </w:rPr>
              <w:t>1</w:t>
            </w:r>
          </w:p>
        </w:tc>
        <w:tc>
          <w:tcPr>
            <w:tcW w:w="1426" w:type="dxa"/>
            <w:tcBorders>
              <w:top w:val="single" w:sz="4" w:space="0" w:color="auto"/>
              <w:left w:val="nil"/>
              <w:bottom w:val="single" w:sz="4" w:space="0" w:color="auto"/>
              <w:right w:val="nil"/>
            </w:tcBorders>
            <w:hideMark/>
          </w:tcPr>
          <w:p w:rsidR="00281F97" w:rsidRDefault="00765F6E" w:rsidP="00281F97">
            <w:pPr>
              <w:pStyle w:val="BStablefigures0"/>
            </w:pPr>
            <w:r>
              <w:t>144</w:t>
            </w:r>
          </w:p>
        </w:tc>
        <w:tc>
          <w:tcPr>
            <w:tcW w:w="1421" w:type="dxa"/>
            <w:tcBorders>
              <w:top w:val="single" w:sz="4" w:space="0" w:color="auto"/>
              <w:left w:val="nil"/>
              <w:bottom w:val="single" w:sz="4" w:space="0" w:color="auto"/>
              <w:right w:val="nil"/>
            </w:tcBorders>
            <w:hideMark/>
          </w:tcPr>
          <w:p w:rsidR="00281F97" w:rsidRDefault="00765F6E" w:rsidP="00281F97">
            <w:pPr>
              <w:pStyle w:val="BStablefigures0"/>
            </w:pPr>
            <w:r>
              <w:t>668</w:t>
            </w:r>
          </w:p>
        </w:tc>
        <w:tc>
          <w:tcPr>
            <w:tcW w:w="1421" w:type="dxa"/>
            <w:tcBorders>
              <w:top w:val="single" w:sz="4" w:space="0" w:color="auto"/>
              <w:left w:val="nil"/>
              <w:bottom w:val="single" w:sz="4" w:space="0" w:color="auto"/>
              <w:right w:val="nil"/>
            </w:tcBorders>
            <w:hideMark/>
          </w:tcPr>
          <w:p w:rsidR="00281F97" w:rsidRDefault="008775A6" w:rsidP="00281F97">
            <w:pPr>
              <w:pStyle w:val="BStablefigures0"/>
            </w:pPr>
            <w:r>
              <w:t>430</w:t>
            </w:r>
          </w:p>
        </w:tc>
      </w:tr>
    </w:tbl>
    <w:p w:rsidR="00281F97" w:rsidRDefault="00765F6E" w:rsidP="00281F97">
      <w:pPr>
        <w:pStyle w:val="BSnote"/>
        <w:rPr>
          <w:sz w:val="16"/>
        </w:rPr>
      </w:pPr>
      <w:r>
        <w:t>Note:</w:t>
      </w:r>
    </w:p>
    <w:p w:rsidR="00281F97" w:rsidRPr="00B85131" w:rsidRDefault="00765F6E" w:rsidP="00167E13">
      <w:pPr>
        <w:pStyle w:val="BSnoteslist1"/>
      </w:pPr>
      <w:r w:rsidRPr="00B85131">
        <w:t>The target in 2018-19 has been revised upward from the previous financial</w:t>
      </w:r>
      <w:r w:rsidR="0092611E">
        <w:t xml:space="preserve"> year</w:t>
      </w:r>
      <w:r w:rsidRPr="00B85131">
        <w:t>.</w:t>
      </w:r>
    </w:p>
    <w:p w:rsidR="00281F97" w:rsidRDefault="00765F6E" w:rsidP="00281F97">
      <w:pPr>
        <w:pStyle w:val="Heading3"/>
      </w:pPr>
      <w:bookmarkStart w:id="12" w:name="_Toc514764106"/>
      <w:bookmarkStart w:id="13" w:name="_Toc514765734"/>
      <w:bookmarkStart w:id="14" w:name="_Toc514832358"/>
      <w:bookmarkStart w:id="15" w:name="_Toc514832541"/>
      <w:r>
        <w:t>Strategic Objective 2</w:t>
      </w:r>
      <w:bookmarkEnd w:id="12"/>
      <w:bookmarkEnd w:id="13"/>
      <w:bookmarkEnd w:id="14"/>
      <w:bookmarkEnd w:id="15"/>
      <w:r>
        <w:t xml:space="preserve"> </w:t>
      </w:r>
    </w:p>
    <w:p w:rsidR="00281F97" w:rsidRDefault="00765F6E" w:rsidP="00281F97">
      <w:pPr>
        <w:pStyle w:val="Heading4"/>
      </w:pPr>
      <w:r>
        <w:t>No Waiting for Access to Emergency Dental Health Services</w:t>
      </w:r>
    </w:p>
    <w:p w:rsidR="00031DE6" w:rsidRDefault="00765F6E" w:rsidP="00281F97">
      <w:pPr>
        <w:pStyle w:val="Normal01"/>
      </w:pPr>
      <w:r>
        <w:rPr>
          <w:b/>
        </w:rPr>
        <w:t xml:space="preserve">Strategic Indicator 2: </w:t>
      </w:r>
      <w:r>
        <w:t>Percentage of assessed emergency clients seen within 24 hours</w:t>
      </w:r>
    </w:p>
    <w:p w:rsidR="00281F97" w:rsidRDefault="00765F6E" w:rsidP="00281F97">
      <w:pPr>
        <w:pStyle w:val="Normal01"/>
        <w:rPr>
          <w:b/>
        </w:rPr>
      </w:pPr>
      <w:r>
        <w:t>This provides an indication of the responsiveness of the dental service to emergency clients.</w:t>
      </w:r>
    </w:p>
    <w:p w:rsidR="00281F97" w:rsidRDefault="00765F6E" w:rsidP="00281F97">
      <w:pPr>
        <w:pStyle w:val="Caption1"/>
      </w:pPr>
      <w:r>
        <w:t>Table 3: The percentage of assessed emergency clients seen within 24 hours</w:t>
      </w:r>
    </w:p>
    <w:tbl>
      <w:tblPr>
        <w:tblW w:w="9105" w:type="dxa"/>
        <w:tblInd w:w="108" w:type="dxa"/>
        <w:tblLayout w:type="fixed"/>
        <w:tblLook w:val="04A0" w:firstRow="1" w:lastRow="0" w:firstColumn="1" w:lastColumn="0" w:noHBand="0" w:noVBand="1"/>
      </w:tblPr>
      <w:tblGrid>
        <w:gridCol w:w="4837"/>
        <w:gridCol w:w="1426"/>
        <w:gridCol w:w="1421"/>
        <w:gridCol w:w="1421"/>
      </w:tblGrid>
      <w:tr w:rsidR="00237D6F">
        <w:trPr>
          <w:trHeight w:val="134"/>
        </w:trPr>
        <w:tc>
          <w:tcPr>
            <w:tcW w:w="5529" w:type="dxa"/>
            <w:tcBorders>
              <w:top w:val="single" w:sz="4" w:space="0" w:color="auto"/>
              <w:left w:val="nil"/>
              <w:bottom w:val="nil"/>
              <w:right w:val="nil"/>
            </w:tcBorders>
            <w:hideMark/>
          </w:tcPr>
          <w:p w:rsidR="00281F97" w:rsidRDefault="00765F6E" w:rsidP="00281F97">
            <w:pPr>
              <w:pStyle w:val="BStabletextbold"/>
            </w:pPr>
            <w:r>
              <w:t>Strategic Indicator</w:t>
            </w:r>
          </w:p>
        </w:tc>
        <w:tc>
          <w:tcPr>
            <w:tcW w:w="1605" w:type="dxa"/>
            <w:tcBorders>
              <w:top w:val="single" w:sz="4" w:space="0" w:color="auto"/>
              <w:left w:val="nil"/>
              <w:bottom w:val="nil"/>
              <w:right w:val="nil"/>
            </w:tcBorders>
            <w:hideMark/>
          </w:tcPr>
          <w:p w:rsidR="00281F97" w:rsidRDefault="00765F6E" w:rsidP="00281F97">
            <w:pPr>
              <w:pStyle w:val="BStablefiguresbold"/>
            </w:pPr>
            <w:r>
              <w:t>2017-18</w:t>
            </w:r>
          </w:p>
        </w:tc>
        <w:tc>
          <w:tcPr>
            <w:tcW w:w="1599" w:type="dxa"/>
            <w:tcBorders>
              <w:top w:val="single" w:sz="4" w:space="0" w:color="auto"/>
              <w:left w:val="nil"/>
              <w:bottom w:val="nil"/>
              <w:right w:val="nil"/>
            </w:tcBorders>
            <w:hideMark/>
          </w:tcPr>
          <w:p w:rsidR="00281F97" w:rsidRDefault="00765F6E" w:rsidP="00281F97">
            <w:pPr>
              <w:pStyle w:val="BStablefiguresbold"/>
            </w:pPr>
            <w:r>
              <w:t>2017-18</w:t>
            </w:r>
          </w:p>
        </w:tc>
        <w:tc>
          <w:tcPr>
            <w:tcW w:w="1599" w:type="dxa"/>
            <w:tcBorders>
              <w:top w:val="single" w:sz="4" w:space="0" w:color="auto"/>
              <w:left w:val="nil"/>
              <w:bottom w:val="nil"/>
              <w:right w:val="nil"/>
            </w:tcBorders>
            <w:hideMark/>
          </w:tcPr>
          <w:p w:rsidR="00281F97" w:rsidRDefault="00765F6E" w:rsidP="00281F97">
            <w:pPr>
              <w:pStyle w:val="BStablefiguresbold"/>
            </w:pPr>
            <w:r>
              <w:t>2018-19</w:t>
            </w:r>
          </w:p>
        </w:tc>
      </w:tr>
      <w:tr w:rsidR="00237D6F">
        <w:tc>
          <w:tcPr>
            <w:tcW w:w="5529" w:type="dxa"/>
            <w:tcBorders>
              <w:top w:val="nil"/>
              <w:left w:val="nil"/>
              <w:bottom w:val="single" w:sz="4" w:space="0" w:color="auto"/>
              <w:right w:val="nil"/>
            </w:tcBorders>
          </w:tcPr>
          <w:p w:rsidR="00281F97" w:rsidRDefault="00281F97" w:rsidP="00281F97">
            <w:pPr>
              <w:pStyle w:val="BStabletextbold"/>
            </w:pPr>
          </w:p>
        </w:tc>
        <w:tc>
          <w:tcPr>
            <w:tcW w:w="1605" w:type="dxa"/>
            <w:tcBorders>
              <w:top w:val="nil"/>
              <w:left w:val="nil"/>
              <w:bottom w:val="single" w:sz="4" w:space="0" w:color="auto"/>
              <w:right w:val="nil"/>
            </w:tcBorders>
            <w:hideMark/>
          </w:tcPr>
          <w:p w:rsidR="00281F97" w:rsidRDefault="00765F6E" w:rsidP="00281F97">
            <w:pPr>
              <w:pStyle w:val="BStablefiguresbold"/>
            </w:pPr>
            <w:r>
              <w:t>Target</w:t>
            </w:r>
          </w:p>
        </w:tc>
        <w:tc>
          <w:tcPr>
            <w:tcW w:w="1599" w:type="dxa"/>
            <w:tcBorders>
              <w:top w:val="nil"/>
              <w:left w:val="nil"/>
              <w:bottom w:val="single" w:sz="4" w:space="0" w:color="auto"/>
              <w:right w:val="nil"/>
            </w:tcBorders>
            <w:hideMark/>
          </w:tcPr>
          <w:p w:rsidR="00281F97" w:rsidRDefault="00765F6E" w:rsidP="00281F97">
            <w:pPr>
              <w:pStyle w:val="BStablefiguresbold"/>
            </w:pPr>
            <w:r>
              <w:t>Est. Outcome</w:t>
            </w:r>
          </w:p>
        </w:tc>
        <w:tc>
          <w:tcPr>
            <w:tcW w:w="1599" w:type="dxa"/>
            <w:tcBorders>
              <w:top w:val="nil"/>
              <w:left w:val="nil"/>
              <w:bottom w:val="single" w:sz="4" w:space="0" w:color="auto"/>
              <w:right w:val="nil"/>
            </w:tcBorders>
            <w:hideMark/>
          </w:tcPr>
          <w:p w:rsidR="00281F97" w:rsidRDefault="00765F6E" w:rsidP="00281F97">
            <w:pPr>
              <w:pStyle w:val="BStablefiguresbold"/>
            </w:pPr>
            <w:r>
              <w:t>Target</w:t>
            </w:r>
          </w:p>
        </w:tc>
      </w:tr>
      <w:tr w:rsidR="00237D6F">
        <w:trPr>
          <w:trHeight w:val="212"/>
        </w:trPr>
        <w:tc>
          <w:tcPr>
            <w:tcW w:w="5529" w:type="dxa"/>
            <w:tcBorders>
              <w:top w:val="single" w:sz="4" w:space="0" w:color="auto"/>
              <w:left w:val="nil"/>
              <w:bottom w:val="single" w:sz="4" w:space="0" w:color="auto"/>
              <w:right w:val="nil"/>
            </w:tcBorders>
            <w:hideMark/>
          </w:tcPr>
          <w:p w:rsidR="00281F97" w:rsidRDefault="00765F6E" w:rsidP="00281F97">
            <w:pPr>
              <w:pStyle w:val="BStabletext0"/>
            </w:pPr>
            <w:r>
              <w:t>Percentage of assessed emergency clients seen within 24 hours</w:t>
            </w:r>
            <w:r>
              <w:rPr>
                <w:szCs w:val="18"/>
                <w:vertAlign w:val="superscript"/>
              </w:rPr>
              <w:t>1</w:t>
            </w:r>
          </w:p>
        </w:tc>
        <w:tc>
          <w:tcPr>
            <w:tcW w:w="1605" w:type="dxa"/>
            <w:tcBorders>
              <w:top w:val="single" w:sz="4" w:space="0" w:color="auto"/>
              <w:left w:val="nil"/>
              <w:bottom w:val="single" w:sz="4" w:space="0" w:color="auto"/>
              <w:right w:val="nil"/>
            </w:tcBorders>
            <w:hideMark/>
          </w:tcPr>
          <w:p w:rsidR="00281F97" w:rsidRDefault="00765F6E" w:rsidP="00281F97">
            <w:pPr>
              <w:pStyle w:val="BStablefigures0"/>
            </w:pPr>
            <w:r>
              <w:t>100%</w:t>
            </w:r>
          </w:p>
        </w:tc>
        <w:tc>
          <w:tcPr>
            <w:tcW w:w="1599" w:type="dxa"/>
            <w:tcBorders>
              <w:top w:val="single" w:sz="4" w:space="0" w:color="auto"/>
              <w:left w:val="nil"/>
              <w:bottom w:val="single" w:sz="4" w:space="0" w:color="auto"/>
              <w:right w:val="nil"/>
            </w:tcBorders>
            <w:hideMark/>
          </w:tcPr>
          <w:p w:rsidR="00281F97" w:rsidRDefault="00765F6E" w:rsidP="00281F97">
            <w:pPr>
              <w:pStyle w:val="BStablefigures0"/>
            </w:pPr>
            <w:r>
              <w:t>100%</w:t>
            </w:r>
          </w:p>
        </w:tc>
        <w:tc>
          <w:tcPr>
            <w:tcW w:w="1599" w:type="dxa"/>
            <w:tcBorders>
              <w:top w:val="single" w:sz="4" w:space="0" w:color="auto"/>
              <w:left w:val="nil"/>
              <w:bottom w:val="single" w:sz="4" w:space="0" w:color="auto"/>
              <w:right w:val="nil"/>
            </w:tcBorders>
            <w:hideMark/>
          </w:tcPr>
          <w:p w:rsidR="00281F97" w:rsidRDefault="00765F6E" w:rsidP="00281F97">
            <w:pPr>
              <w:pStyle w:val="BStablefigures0"/>
            </w:pPr>
            <w:r>
              <w:t>100%</w:t>
            </w:r>
          </w:p>
        </w:tc>
      </w:tr>
    </w:tbl>
    <w:p w:rsidR="00281F97" w:rsidRPr="002B2ACB" w:rsidRDefault="00765F6E" w:rsidP="00281F97">
      <w:pPr>
        <w:pStyle w:val="BSnote"/>
      </w:pPr>
      <w:r w:rsidRPr="002B2ACB">
        <w:t>Note:</w:t>
      </w:r>
    </w:p>
    <w:p w:rsidR="00281F97" w:rsidRPr="000B6817" w:rsidRDefault="00765F6E" w:rsidP="00167E13">
      <w:pPr>
        <w:pStyle w:val="BSnoteslist1"/>
        <w:numPr>
          <w:ilvl w:val="0"/>
          <w:numId w:val="55"/>
        </w:numPr>
      </w:pPr>
      <w:r w:rsidRPr="000B6817">
        <w:t xml:space="preserve">This does not include those clients who are offered an appointment within the required timeframe but do not accept that appointment. </w:t>
      </w:r>
    </w:p>
    <w:p w:rsidR="00281F97" w:rsidRDefault="00281F97" w:rsidP="00281F97">
      <w:pPr>
        <w:pStyle w:val="BSnoteslist1"/>
        <w:numPr>
          <w:ilvl w:val="0"/>
          <w:numId w:val="0"/>
        </w:numPr>
        <w:ind w:left="720"/>
      </w:pPr>
    </w:p>
    <w:p w:rsidR="00281F97" w:rsidRDefault="00765F6E" w:rsidP="00281F97">
      <w:pPr>
        <w:pStyle w:val="Heading3"/>
      </w:pPr>
      <w:r>
        <w:rPr>
          <w:sz w:val="22"/>
          <w:szCs w:val="22"/>
        </w:rPr>
        <w:br w:type="column"/>
      </w:r>
      <w:bookmarkStart w:id="16" w:name="_Toc484069664"/>
      <w:bookmarkStart w:id="17" w:name="_Toc483919417"/>
      <w:bookmarkStart w:id="18" w:name="_Toc483560923"/>
      <w:bookmarkStart w:id="19" w:name="_Toc483492141"/>
      <w:bookmarkStart w:id="20" w:name="_Toc514764107"/>
      <w:bookmarkStart w:id="21" w:name="_Toc514765735"/>
      <w:bookmarkStart w:id="22" w:name="_Toc514832359"/>
      <w:bookmarkStart w:id="23" w:name="_Toc514832542"/>
      <w:r w:rsidR="00167E13">
        <w:lastRenderedPageBreak/>
        <w:t>Strategic O</w:t>
      </w:r>
      <w:r>
        <w:t>bjective 3</w:t>
      </w:r>
      <w:bookmarkEnd w:id="16"/>
      <w:bookmarkEnd w:id="17"/>
      <w:bookmarkEnd w:id="18"/>
      <w:bookmarkEnd w:id="19"/>
      <w:bookmarkEnd w:id="20"/>
      <w:bookmarkEnd w:id="21"/>
      <w:bookmarkEnd w:id="22"/>
      <w:bookmarkEnd w:id="23"/>
    </w:p>
    <w:p w:rsidR="00281F97" w:rsidRDefault="00031DE6" w:rsidP="00281F97">
      <w:pPr>
        <w:pStyle w:val="Heading4"/>
      </w:pPr>
      <w:r>
        <w:t>Improving Timeliness of Access to Radiotherapy S</w:t>
      </w:r>
      <w:r w:rsidR="00765F6E">
        <w:t>ervices</w:t>
      </w:r>
    </w:p>
    <w:p w:rsidR="00281F97" w:rsidRDefault="00031DE6" w:rsidP="00281F97">
      <w:pPr>
        <w:pStyle w:val="Normal010"/>
      </w:pPr>
      <w:r>
        <w:rPr>
          <w:b/>
        </w:rPr>
        <w:t>Strategic I</w:t>
      </w:r>
      <w:r w:rsidR="00765F6E">
        <w:rPr>
          <w:b/>
        </w:rPr>
        <w:t xml:space="preserve">ndicator 3: </w:t>
      </w:r>
      <w:r w:rsidR="00765F6E">
        <w:t>Percentage of radiotherapy patients who commence treatment within standard timeframes</w:t>
      </w:r>
    </w:p>
    <w:p w:rsidR="00281F97" w:rsidRDefault="00765F6E" w:rsidP="00281F97">
      <w:pPr>
        <w:pStyle w:val="Normal010"/>
        <w:rPr>
          <w:b/>
        </w:rPr>
      </w:pPr>
      <w:r>
        <w:t>This provides an indication of the effectiveness of public hospitals in meeting the need for cancer treatment services.</w:t>
      </w:r>
    </w:p>
    <w:p w:rsidR="00281F97" w:rsidRDefault="00765F6E" w:rsidP="00281F97">
      <w:pPr>
        <w:pStyle w:val="Caption0"/>
      </w:pPr>
      <w:r>
        <w:t>Table 4: The percentage of cancer patients who commence radiotherapy treatment within standard timeframes</w:t>
      </w:r>
    </w:p>
    <w:tbl>
      <w:tblPr>
        <w:tblW w:w="0" w:type="dxa"/>
        <w:tblInd w:w="108" w:type="dxa"/>
        <w:tblLayout w:type="fixed"/>
        <w:tblLook w:val="04A0" w:firstRow="1" w:lastRow="0" w:firstColumn="1" w:lastColumn="0" w:noHBand="0" w:noVBand="1"/>
      </w:tblPr>
      <w:tblGrid>
        <w:gridCol w:w="4848"/>
        <w:gridCol w:w="1424"/>
        <w:gridCol w:w="1424"/>
        <w:gridCol w:w="1424"/>
      </w:tblGrid>
      <w:tr w:rsidR="00237D6F" w:rsidTr="00281F97">
        <w:trPr>
          <w:trHeight w:val="147"/>
        </w:trPr>
        <w:tc>
          <w:tcPr>
            <w:tcW w:w="4848" w:type="dxa"/>
            <w:vMerge w:val="restart"/>
            <w:tcBorders>
              <w:top w:val="single" w:sz="4" w:space="0" w:color="auto"/>
              <w:left w:val="nil"/>
              <w:bottom w:val="single" w:sz="4" w:space="0" w:color="auto"/>
              <w:right w:val="nil"/>
            </w:tcBorders>
            <w:vAlign w:val="bottom"/>
            <w:hideMark/>
          </w:tcPr>
          <w:p w:rsidR="00281F97" w:rsidRDefault="00890584" w:rsidP="00281F97">
            <w:pPr>
              <w:pStyle w:val="BStabletextbold"/>
            </w:pPr>
            <w:r>
              <w:t>Strategic I</w:t>
            </w:r>
            <w:r w:rsidR="00765F6E">
              <w:t>ndicator</w:t>
            </w:r>
          </w:p>
        </w:tc>
        <w:tc>
          <w:tcPr>
            <w:tcW w:w="1424" w:type="dxa"/>
            <w:tcBorders>
              <w:top w:val="single" w:sz="4" w:space="0" w:color="auto"/>
              <w:left w:val="nil"/>
              <w:bottom w:val="nil"/>
              <w:right w:val="nil"/>
            </w:tcBorders>
            <w:hideMark/>
          </w:tcPr>
          <w:p w:rsidR="00281F97" w:rsidRDefault="00765F6E" w:rsidP="00281F97">
            <w:pPr>
              <w:pStyle w:val="BStablefiguresbold"/>
            </w:pPr>
            <w:r>
              <w:t>2017–18</w:t>
            </w:r>
          </w:p>
        </w:tc>
        <w:tc>
          <w:tcPr>
            <w:tcW w:w="1424" w:type="dxa"/>
            <w:tcBorders>
              <w:top w:val="single" w:sz="4" w:space="0" w:color="auto"/>
              <w:left w:val="nil"/>
              <w:bottom w:val="nil"/>
              <w:right w:val="nil"/>
            </w:tcBorders>
            <w:hideMark/>
          </w:tcPr>
          <w:p w:rsidR="00281F97" w:rsidRDefault="00765F6E" w:rsidP="00281F97">
            <w:pPr>
              <w:pStyle w:val="BStablefiguresbold"/>
            </w:pPr>
            <w:r>
              <w:t>2017–18</w:t>
            </w:r>
          </w:p>
        </w:tc>
        <w:tc>
          <w:tcPr>
            <w:tcW w:w="1424" w:type="dxa"/>
            <w:tcBorders>
              <w:top w:val="single" w:sz="4" w:space="0" w:color="auto"/>
              <w:left w:val="nil"/>
              <w:bottom w:val="nil"/>
              <w:right w:val="nil"/>
            </w:tcBorders>
            <w:hideMark/>
          </w:tcPr>
          <w:p w:rsidR="00281F97" w:rsidRDefault="00765F6E" w:rsidP="00281F97">
            <w:pPr>
              <w:pStyle w:val="BStablefiguresbold"/>
            </w:pPr>
            <w:r>
              <w:t>2018–19</w:t>
            </w:r>
          </w:p>
        </w:tc>
      </w:tr>
      <w:tr w:rsidR="00237D6F" w:rsidTr="00281F97">
        <w:trPr>
          <w:trHeight w:val="263"/>
        </w:trPr>
        <w:tc>
          <w:tcPr>
            <w:tcW w:w="4848" w:type="dxa"/>
            <w:vMerge/>
            <w:tcBorders>
              <w:top w:val="single" w:sz="4" w:space="0" w:color="auto"/>
              <w:left w:val="nil"/>
              <w:bottom w:val="single" w:sz="4" w:space="0" w:color="auto"/>
              <w:right w:val="nil"/>
            </w:tcBorders>
            <w:vAlign w:val="center"/>
            <w:hideMark/>
          </w:tcPr>
          <w:p w:rsidR="00281F97" w:rsidRDefault="00281F97">
            <w:pPr>
              <w:pStyle w:val="Normal3"/>
              <w:spacing w:before="0" w:after="0"/>
              <w:rPr>
                <w:b/>
                <w:bCs/>
                <w:sz w:val="20"/>
                <w:lang w:eastAsia="en-AU"/>
              </w:rPr>
            </w:pPr>
          </w:p>
        </w:tc>
        <w:tc>
          <w:tcPr>
            <w:tcW w:w="1424" w:type="dxa"/>
            <w:tcBorders>
              <w:top w:val="nil"/>
              <w:left w:val="nil"/>
              <w:bottom w:val="single" w:sz="4" w:space="0" w:color="auto"/>
              <w:right w:val="nil"/>
            </w:tcBorders>
            <w:hideMark/>
          </w:tcPr>
          <w:p w:rsidR="00281F97" w:rsidRDefault="00890584" w:rsidP="00281F97">
            <w:pPr>
              <w:pStyle w:val="BStablefiguresbold"/>
            </w:pPr>
            <w:r>
              <w:t>T</w:t>
            </w:r>
            <w:r w:rsidR="00765F6E">
              <w:t>arget</w:t>
            </w:r>
          </w:p>
        </w:tc>
        <w:tc>
          <w:tcPr>
            <w:tcW w:w="1424" w:type="dxa"/>
            <w:tcBorders>
              <w:top w:val="nil"/>
              <w:left w:val="nil"/>
              <w:bottom w:val="single" w:sz="4" w:space="0" w:color="auto"/>
              <w:right w:val="nil"/>
            </w:tcBorders>
            <w:hideMark/>
          </w:tcPr>
          <w:p w:rsidR="00281F97" w:rsidRDefault="00890584" w:rsidP="00281F97">
            <w:pPr>
              <w:pStyle w:val="BStablefiguresbold"/>
            </w:pPr>
            <w:r>
              <w:t>Est. O</w:t>
            </w:r>
            <w:r w:rsidR="00765F6E">
              <w:t>utcome</w:t>
            </w:r>
          </w:p>
        </w:tc>
        <w:tc>
          <w:tcPr>
            <w:tcW w:w="1424" w:type="dxa"/>
            <w:tcBorders>
              <w:top w:val="nil"/>
              <w:left w:val="nil"/>
              <w:bottom w:val="single" w:sz="4" w:space="0" w:color="auto"/>
              <w:right w:val="nil"/>
            </w:tcBorders>
            <w:hideMark/>
          </w:tcPr>
          <w:p w:rsidR="00281F97" w:rsidRDefault="00890584" w:rsidP="00281F97">
            <w:pPr>
              <w:pStyle w:val="BStablefiguresbold"/>
            </w:pPr>
            <w:r>
              <w:t>T</w:t>
            </w:r>
            <w:r w:rsidR="00765F6E">
              <w:t>arget</w:t>
            </w:r>
          </w:p>
        </w:tc>
      </w:tr>
      <w:tr w:rsidR="00237D6F" w:rsidTr="00281F97">
        <w:trPr>
          <w:trHeight w:val="233"/>
        </w:trPr>
        <w:tc>
          <w:tcPr>
            <w:tcW w:w="4848" w:type="dxa"/>
            <w:tcBorders>
              <w:top w:val="single" w:sz="4" w:space="0" w:color="auto"/>
              <w:left w:val="nil"/>
              <w:bottom w:val="nil"/>
              <w:right w:val="nil"/>
            </w:tcBorders>
            <w:hideMark/>
          </w:tcPr>
          <w:p w:rsidR="00281F97" w:rsidRDefault="00765F6E" w:rsidP="00281F97">
            <w:pPr>
              <w:pStyle w:val="BStabletext0"/>
            </w:pPr>
            <w:r>
              <w:t>Category</w:t>
            </w:r>
          </w:p>
        </w:tc>
        <w:tc>
          <w:tcPr>
            <w:tcW w:w="1424" w:type="dxa"/>
            <w:tcBorders>
              <w:top w:val="single" w:sz="4" w:space="0" w:color="auto"/>
              <w:left w:val="nil"/>
              <w:bottom w:val="nil"/>
              <w:right w:val="nil"/>
            </w:tcBorders>
          </w:tcPr>
          <w:p w:rsidR="00281F97" w:rsidRDefault="00281F97">
            <w:pPr>
              <w:pStyle w:val="BStableheading"/>
              <w:framePr w:wrap="around"/>
            </w:pPr>
          </w:p>
        </w:tc>
        <w:tc>
          <w:tcPr>
            <w:tcW w:w="1424" w:type="dxa"/>
            <w:tcBorders>
              <w:top w:val="single" w:sz="4" w:space="0" w:color="auto"/>
              <w:left w:val="nil"/>
              <w:bottom w:val="nil"/>
              <w:right w:val="nil"/>
            </w:tcBorders>
          </w:tcPr>
          <w:p w:rsidR="00281F97" w:rsidRDefault="00281F97">
            <w:pPr>
              <w:pStyle w:val="BStableheading"/>
              <w:framePr w:wrap="around"/>
            </w:pPr>
          </w:p>
        </w:tc>
        <w:tc>
          <w:tcPr>
            <w:tcW w:w="1424" w:type="dxa"/>
            <w:tcBorders>
              <w:top w:val="single" w:sz="4" w:space="0" w:color="auto"/>
              <w:left w:val="nil"/>
              <w:bottom w:val="nil"/>
              <w:right w:val="nil"/>
            </w:tcBorders>
          </w:tcPr>
          <w:p w:rsidR="00281F97" w:rsidRDefault="00281F97">
            <w:pPr>
              <w:pStyle w:val="BStableheading"/>
              <w:framePr w:wrap="around"/>
            </w:pPr>
          </w:p>
        </w:tc>
      </w:tr>
      <w:tr w:rsidR="00237D6F" w:rsidTr="00281F97">
        <w:trPr>
          <w:trHeight w:val="233"/>
        </w:trPr>
        <w:tc>
          <w:tcPr>
            <w:tcW w:w="4848" w:type="dxa"/>
            <w:hideMark/>
          </w:tcPr>
          <w:p w:rsidR="00281F97" w:rsidRPr="00007D29" w:rsidRDefault="00765F6E" w:rsidP="00281F97">
            <w:pPr>
              <w:pStyle w:val="BStabletext0"/>
            </w:pPr>
            <w:r w:rsidRPr="00007D29">
              <w:t>Emergency — treatment starts within 48 hours</w:t>
            </w:r>
          </w:p>
        </w:tc>
        <w:tc>
          <w:tcPr>
            <w:tcW w:w="1424" w:type="dxa"/>
            <w:hideMark/>
          </w:tcPr>
          <w:p w:rsidR="00281F97" w:rsidRPr="00C5461D" w:rsidRDefault="00765F6E" w:rsidP="00281F97">
            <w:pPr>
              <w:pStyle w:val="BStablefigures0"/>
            </w:pPr>
            <w:r w:rsidRPr="00C5461D">
              <w:t>100%</w:t>
            </w:r>
          </w:p>
        </w:tc>
        <w:tc>
          <w:tcPr>
            <w:tcW w:w="1424" w:type="dxa"/>
            <w:hideMark/>
          </w:tcPr>
          <w:p w:rsidR="00281F97" w:rsidRPr="00C5461D" w:rsidRDefault="00765F6E" w:rsidP="00281F97">
            <w:pPr>
              <w:pStyle w:val="BStablefigures0"/>
            </w:pPr>
            <w:r w:rsidRPr="00C5461D">
              <w:t>100%</w:t>
            </w:r>
          </w:p>
        </w:tc>
        <w:tc>
          <w:tcPr>
            <w:tcW w:w="1424" w:type="dxa"/>
            <w:hideMark/>
          </w:tcPr>
          <w:p w:rsidR="00281F97" w:rsidRPr="00C5461D" w:rsidRDefault="00765F6E" w:rsidP="00281F97">
            <w:pPr>
              <w:pStyle w:val="BStablefigures0"/>
            </w:pPr>
            <w:r w:rsidRPr="00C5461D">
              <w:t>100%</w:t>
            </w:r>
          </w:p>
        </w:tc>
      </w:tr>
      <w:tr w:rsidR="00237D6F" w:rsidTr="00281F97">
        <w:trPr>
          <w:trHeight w:val="233"/>
        </w:trPr>
        <w:tc>
          <w:tcPr>
            <w:tcW w:w="4848" w:type="dxa"/>
            <w:hideMark/>
          </w:tcPr>
          <w:p w:rsidR="00281F97" w:rsidRPr="00007D29" w:rsidRDefault="00765F6E" w:rsidP="00281F97">
            <w:pPr>
              <w:pStyle w:val="BStabletext0"/>
            </w:pPr>
            <w:r w:rsidRPr="00007D29">
              <w:t>Palliative — treatment starts within 2 weeks</w:t>
            </w:r>
            <w:r w:rsidRPr="00007D29">
              <w:rPr>
                <w:vertAlign w:val="superscript"/>
              </w:rPr>
              <w:t>1</w:t>
            </w:r>
            <w:r w:rsidRPr="00007D29">
              <w:t xml:space="preserve"> </w:t>
            </w:r>
          </w:p>
        </w:tc>
        <w:tc>
          <w:tcPr>
            <w:tcW w:w="1424" w:type="dxa"/>
            <w:hideMark/>
          </w:tcPr>
          <w:p w:rsidR="00281F97" w:rsidRPr="00C5461D" w:rsidRDefault="00765F6E" w:rsidP="00281F97">
            <w:pPr>
              <w:pStyle w:val="BStablefigures0"/>
            </w:pPr>
            <w:r w:rsidRPr="00C5461D">
              <w:t>90%</w:t>
            </w:r>
          </w:p>
        </w:tc>
        <w:tc>
          <w:tcPr>
            <w:tcW w:w="1424" w:type="dxa"/>
            <w:hideMark/>
          </w:tcPr>
          <w:p w:rsidR="00281F97" w:rsidRPr="00C5461D" w:rsidRDefault="00765F6E" w:rsidP="00281F97">
            <w:pPr>
              <w:pStyle w:val="BStablefigures0"/>
            </w:pPr>
            <w:r w:rsidRPr="00C5461D">
              <w:t>60%</w:t>
            </w:r>
          </w:p>
        </w:tc>
        <w:tc>
          <w:tcPr>
            <w:tcW w:w="1424" w:type="dxa"/>
            <w:hideMark/>
          </w:tcPr>
          <w:p w:rsidR="00281F97" w:rsidRPr="00C5461D" w:rsidRDefault="00765F6E" w:rsidP="00281F97">
            <w:pPr>
              <w:pStyle w:val="BStablefigures0"/>
            </w:pPr>
            <w:r w:rsidRPr="00C5461D">
              <w:t>90%</w:t>
            </w:r>
          </w:p>
        </w:tc>
      </w:tr>
      <w:tr w:rsidR="00237D6F" w:rsidTr="00281F97">
        <w:trPr>
          <w:trHeight w:val="233"/>
        </w:trPr>
        <w:tc>
          <w:tcPr>
            <w:tcW w:w="4848" w:type="dxa"/>
            <w:tcBorders>
              <w:top w:val="nil"/>
              <w:left w:val="nil"/>
              <w:bottom w:val="single" w:sz="4" w:space="0" w:color="auto"/>
              <w:right w:val="nil"/>
            </w:tcBorders>
            <w:hideMark/>
          </w:tcPr>
          <w:p w:rsidR="00281F97" w:rsidRPr="00007D29" w:rsidRDefault="00765F6E" w:rsidP="00281F97">
            <w:pPr>
              <w:pStyle w:val="BStabletext0"/>
            </w:pPr>
            <w:r w:rsidRPr="00007D29">
              <w:t>Radical — treatment starts within 4 weeks</w:t>
            </w:r>
            <w:r w:rsidRPr="00007D29">
              <w:rPr>
                <w:vertAlign w:val="superscript"/>
              </w:rPr>
              <w:t>1</w:t>
            </w:r>
            <w:r w:rsidRPr="00007D29">
              <w:t xml:space="preserve"> </w:t>
            </w:r>
          </w:p>
        </w:tc>
        <w:tc>
          <w:tcPr>
            <w:tcW w:w="1424" w:type="dxa"/>
            <w:tcBorders>
              <w:top w:val="nil"/>
              <w:left w:val="nil"/>
              <w:bottom w:val="single" w:sz="4" w:space="0" w:color="auto"/>
              <w:right w:val="nil"/>
            </w:tcBorders>
            <w:hideMark/>
          </w:tcPr>
          <w:p w:rsidR="00281F97" w:rsidRPr="00C5461D" w:rsidRDefault="00765F6E" w:rsidP="00281F97">
            <w:pPr>
              <w:pStyle w:val="BStablefigures0"/>
            </w:pPr>
            <w:r w:rsidRPr="00C5461D">
              <w:t>90%</w:t>
            </w:r>
          </w:p>
        </w:tc>
        <w:tc>
          <w:tcPr>
            <w:tcW w:w="1424" w:type="dxa"/>
            <w:tcBorders>
              <w:top w:val="nil"/>
              <w:left w:val="nil"/>
              <w:bottom w:val="single" w:sz="4" w:space="0" w:color="auto"/>
              <w:right w:val="nil"/>
            </w:tcBorders>
            <w:hideMark/>
          </w:tcPr>
          <w:p w:rsidR="00281F97" w:rsidRPr="00C5461D" w:rsidRDefault="00765F6E" w:rsidP="00281F97">
            <w:pPr>
              <w:pStyle w:val="BStablefigures0"/>
            </w:pPr>
            <w:r w:rsidRPr="00C5461D">
              <w:t>60%</w:t>
            </w:r>
          </w:p>
        </w:tc>
        <w:tc>
          <w:tcPr>
            <w:tcW w:w="1424" w:type="dxa"/>
            <w:tcBorders>
              <w:top w:val="nil"/>
              <w:left w:val="nil"/>
              <w:bottom w:val="single" w:sz="4" w:space="0" w:color="auto"/>
              <w:right w:val="nil"/>
            </w:tcBorders>
            <w:hideMark/>
          </w:tcPr>
          <w:p w:rsidR="00281F97" w:rsidRPr="00C5461D" w:rsidRDefault="00765F6E" w:rsidP="00281F97">
            <w:pPr>
              <w:pStyle w:val="BStablefigures0"/>
            </w:pPr>
            <w:r w:rsidRPr="00C5461D">
              <w:t>90%</w:t>
            </w:r>
          </w:p>
        </w:tc>
      </w:tr>
    </w:tbl>
    <w:p w:rsidR="00281F97" w:rsidRPr="002B2ACB" w:rsidRDefault="00765F6E" w:rsidP="00281F97">
      <w:pPr>
        <w:pStyle w:val="BSnote"/>
      </w:pPr>
      <w:r w:rsidRPr="002B2ACB">
        <w:t>Note:</w:t>
      </w:r>
    </w:p>
    <w:p w:rsidR="00281F97" w:rsidRPr="000B6817" w:rsidRDefault="00765F6E" w:rsidP="00CA0839">
      <w:pPr>
        <w:pStyle w:val="BSnoteslist1"/>
        <w:numPr>
          <w:ilvl w:val="0"/>
          <w:numId w:val="10"/>
        </w:numPr>
      </w:pPr>
      <w:r w:rsidRPr="000B6817">
        <w:t xml:space="preserve">The </w:t>
      </w:r>
      <w:r>
        <w:t>performance in radiotherapy wait times is impacted by the increasingly complex treatment techniques and related treatment delivery times. This consequently decreases access to radiotherapy services. Radiation therapist staff shortages are also a factor influencing the negative impact on treatment waiting times. During 2017-18 all four linear accelerators typically work</w:t>
      </w:r>
      <w:r w:rsidR="000B6EC2">
        <w:t>ed</w:t>
      </w:r>
      <w:r>
        <w:t xml:space="preserve"> at full capacity, noting that two machines are reaching end of life and are not suitable to some of the new techniques. Replacement of these machines is scheduled for 2018-19. Measures implemented to reduce wait times and improve throughput have increased the average monthly number of complex</w:t>
      </w:r>
      <w:r w:rsidRPr="000B6817">
        <w:t xml:space="preserve"> </w:t>
      </w:r>
      <w:r>
        <w:t>cases treated since 2016-17 by 28 year to date (2018). The monthly average of new referrals has increased by 30</w:t>
      </w:r>
      <w:r w:rsidR="000B6EC2">
        <w:t>,</w:t>
      </w:r>
      <w:r>
        <w:t xml:space="preserve"> showing consistent increases in demand.</w:t>
      </w:r>
    </w:p>
    <w:p w:rsidR="00281F97" w:rsidRDefault="00765F6E" w:rsidP="00281F97">
      <w:pPr>
        <w:pStyle w:val="Heading3"/>
        <w:rPr>
          <w:color w:val="FF0000"/>
          <w:szCs w:val="22"/>
        </w:rPr>
      </w:pPr>
      <w:bookmarkStart w:id="24" w:name="_Toc514764108"/>
      <w:bookmarkStart w:id="25" w:name="_Toc514765736"/>
      <w:bookmarkStart w:id="26" w:name="_Toc514832360"/>
      <w:bookmarkStart w:id="27" w:name="_Toc514832543"/>
      <w:r>
        <w:t>Strategic Objective 4</w:t>
      </w:r>
      <w:bookmarkEnd w:id="24"/>
      <w:bookmarkEnd w:id="25"/>
      <w:bookmarkEnd w:id="26"/>
      <w:bookmarkEnd w:id="27"/>
      <w:r>
        <w:t xml:space="preserve"> </w:t>
      </w:r>
    </w:p>
    <w:p w:rsidR="00281F97" w:rsidRDefault="00031DE6" w:rsidP="00281F97">
      <w:pPr>
        <w:pStyle w:val="Heading4"/>
      </w:pPr>
      <w:r>
        <w:t>Improving the B</w:t>
      </w:r>
      <w:r w:rsidR="00765F6E">
        <w:t xml:space="preserve">reast </w:t>
      </w:r>
      <w:r>
        <w:t>Screen Participation Rate for W</w:t>
      </w:r>
      <w:r w:rsidR="00765F6E">
        <w:t>omen aged 50 to 74 years</w:t>
      </w:r>
    </w:p>
    <w:p w:rsidR="00281F97" w:rsidRDefault="00031DE6" w:rsidP="00281F97">
      <w:pPr>
        <w:pStyle w:val="Normal010"/>
        <w:rPr>
          <w:sz w:val="20"/>
        </w:rPr>
      </w:pPr>
      <w:r>
        <w:rPr>
          <w:b/>
        </w:rPr>
        <w:t>Strategic I</w:t>
      </w:r>
      <w:r w:rsidR="00765F6E">
        <w:rPr>
          <w:b/>
        </w:rPr>
        <w:t>ndicator 4:</w:t>
      </w:r>
      <w:r w:rsidR="00765F6E">
        <w:t xml:space="preserve"> Participation rate for breast screening</w:t>
      </w:r>
    </w:p>
    <w:p w:rsidR="00281F97" w:rsidRDefault="00765F6E" w:rsidP="00281F97">
      <w:pPr>
        <w:pStyle w:val="Caption0"/>
      </w:pPr>
      <w:r>
        <w:t>Table 5: The proportion of women in the target age group (50 to 74 years) who had a breast screen in the 24 months prior to each counting period</w:t>
      </w:r>
    </w:p>
    <w:tbl>
      <w:tblPr>
        <w:tblW w:w="0" w:type="dxa"/>
        <w:tblInd w:w="108" w:type="dxa"/>
        <w:tblLayout w:type="fixed"/>
        <w:tblLook w:val="04A0" w:firstRow="1" w:lastRow="0" w:firstColumn="1" w:lastColumn="0" w:noHBand="0" w:noVBand="1"/>
      </w:tblPr>
      <w:tblGrid>
        <w:gridCol w:w="4848"/>
        <w:gridCol w:w="1424"/>
        <w:gridCol w:w="1424"/>
        <w:gridCol w:w="1424"/>
      </w:tblGrid>
      <w:tr w:rsidR="00237D6F" w:rsidTr="00281F97">
        <w:trPr>
          <w:trHeight w:val="147"/>
        </w:trPr>
        <w:tc>
          <w:tcPr>
            <w:tcW w:w="4848" w:type="dxa"/>
            <w:vMerge w:val="restart"/>
            <w:tcBorders>
              <w:top w:val="single" w:sz="4" w:space="0" w:color="auto"/>
              <w:left w:val="nil"/>
              <w:bottom w:val="single" w:sz="4" w:space="0" w:color="auto"/>
              <w:right w:val="nil"/>
            </w:tcBorders>
            <w:vAlign w:val="bottom"/>
            <w:hideMark/>
          </w:tcPr>
          <w:p w:rsidR="00281F97" w:rsidRDefault="00890584" w:rsidP="00281F97">
            <w:pPr>
              <w:pStyle w:val="BStabletextbold"/>
            </w:pPr>
            <w:r>
              <w:t>Strategic I</w:t>
            </w:r>
            <w:r w:rsidR="00765F6E">
              <w:t>ndicator</w:t>
            </w:r>
          </w:p>
        </w:tc>
        <w:tc>
          <w:tcPr>
            <w:tcW w:w="1424" w:type="dxa"/>
            <w:tcBorders>
              <w:top w:val="single" w:sz="4" w:space="0" w:color="auto"/>
              <w:left w:val="nil"/>
              <w:bottom w:val="nil"/>
              <w:right w:val="nil"/>
            </w:tcBorders>
            <w:hideMark/>
          </w:tcPr>
          <w:p w:rsidR="00281F97" w:rsidRDefault="00765F6E" w:rsidP="00281F97">
            <w:pPr>
              <w:pStyle w:val="BStablefiguresbold"/>
            </w:pPr>
            <w:r>
              <w:t>2017–18</w:t>
            </w:r>
          </w:p>
        </w:tc>
        <w:tc>
          <w:tcPr>
            <w:tcW w:w="1424" w:type="dxa"/>
            <w:tcBorders>
              <w:top w:val="single" w:sz="4" w:space="0" w:color="auto"/>
              <w:left w:val="nil"/>
              <w:bottom w:val="nil"/>
              <w:right w:val="nil"/>
            </w:tcBorders>
            <w:hideMark/>
          </w:tcPr>
          <w:p w:rsidR="00281F97" w:rsidRDefault="00765F6E" w:rsidP="00281F97">
            <w:pPr>
              <w:pStyle w:val="BStablefiguresbold"/>
            </w:pPr>
            <w:r>
              <w:t>2017–18</w:t>
            </w:r>
          </w:p>
        </w:tc>
        <w:tc>
          <w:tcPr>
            <w:tcW w:w="1424" w:type="dxa"/>
            <w:tcBorders>
              <w:top w:val="single" w:sz="4" w:space="0" w:color="auto"/>
              <w:left w:val="nil"/>
              <w:bottom w:val="nil"/>
              <w:right w:val="nil"/>
            </w:tcBorders>
            <w:hideMark/>
          </w:tcPr>
          <w:p w:rsidR="00281F97" w:rsidRDefault="00765F6E" w:rsidP="00281F97">
            <w:pPr>
              <w:pStyle w:val="BStablefiguresbold"/>
            </w:pPr>
            <w:r>
              <w:t>2018–19</w:t>
            </w:r>
          </w:p>
        </w:tc>
      </w:tr>
      <w:tr w:rsidR="00237D6F" w:rsidTr="00281F97">
        <w:trPr>
          <w:trHeight w:val="263"/>
        </w:trPr>
        <w:tc>
          <w:tcPr>
            <w:tcW w:w="4848" w:type="dxa"/>
            <w:vMerge/>
            <w:tcBorders>
              <w:top w:val="single" w:sz="4" w:space="0" w:color="auto"/>
              <w:left w:val="nil"/>
              <w:bottom w:val="single" w:sz="4" w:space="0" w:color="auto"/>
              <w:right w:val="nil"/>
            </w:tcBorders>
            <w:vAlign w:val="center"/>
            <w:hideMark/>
          </w:tcPr>
          <w:p w:rsidR="00281F97" w:rsidRDefault="00281F97">
            <w:pPr>
              <w:pStyle w:val="Normal3"/>
              <w:spacing w:before="0" w:after="0"/>
              <w:rPr>
                <w:b/>
                <w:bCs/>
                <w:sz w:val="20"/>
                <w:lang w:eastAsia="en-AU"/>
              </w:rPr>
            </w:pPr>
          </w:p>
        </w:tc>
        <w:tc>
          <w:tcPr>
            <w:tcW w:w="1424" w:type="dxa"/>
            <w:tcBorders>
              <w:top w:val="nil"/>
              <w:left w:val="nil"/>
              <w:bottom w:val="single" w:sz="4" w:space="0" w:color="auto"/>
              <w:right w:val="nil"/>
            </w:tcBorders>
            <w:hideMark/>
          </w:tcPr>
          <w:p w:rsidR="00281F97" w:rsidRDefault="00890584" w:rsidP="00281F97">
            <w:pPr>
              <w:pStyle w:val="BStablefiguresbold"/>
            </w:pPr>
            <w:r>
              <w:t>T</w:t>
            </w:r>
            <w:r w:rsidR="00765F6E">
              <w:t>arget</w:t>
            </w:r>
          </w:p>
        </w:tc>
        <w:tc>
          <w:tcPr>
            <w:tcW w:w="1424" w:type="dxa"/>
            <w:tcBorders>
              <w:top w:val="nil"/>
              <w:left w:val="nil"/>
              <w:bottom w:val="single" w:sz="4" w:space="0" w:color="auto"/>
              <w:right w:val="nil"/>
            </w:tcBorders>
            <w:hideMark/>
          </w:tcPr>
          <w:p w:rsidR="00281F97" w:rsidRDefault="00890584" w:rsidP="00281F97">
            <w:pPr>
              <w:pStyle w:val="BStablefiguresbold"/>
            </w:pPr>
            <w:r>
              <w:t>Est. O</w:t>
            </w:r>
            <w:r w:rsidR="00765F6E">
              <w:t>utcome</w:t>
            </w:r>
          </w:p>
        </w:tc>
        <w:tc>
          <w:tcPr>
            <w:tcW w:w="1424" w:type="dxa"/>
            <w:tcBorders>
              <w:top w:val="nil"/>
              <w:left w:val="nil"/>
              <w:bottom w:val="single" w:sz="4" w:space="0" w:color="auto"/>
              <w:right w:val="nil"/>
            </w:tcBorders>
            <w:hideMark/>
          </w:tcPr>
          <w:p w:rsidR="00281F97" w:rsidRDefault="00890584" w:rsidP="00281F97">
            <w:pPr>
              <w:pStyle w:val="BStablefiguresbold"/>
            </w:pPr>
            <w:r>
              <w:t>T</w:t>
            </w:r>
            <w:r w:rsidR="00765F6E">
              <w:t>arget</w:t>
            </w:r>
          </w:p>
        </w:tc>
      </w:tr>
      <w:tr w:rsidR="00237D6F" w:rsidTr="00031DE6">
        <w:trPr>
          <w:trHeight w:val="233"/>
        </w:trPr>
        <w:tc>
          <w:tcPr>
            <w:tcW w:w="4848" w:type="dxa"/>
            <w:tcBorders>
              <w:top w:val="single" w:sz="4" w:space="0" w:color="auto"/>
              <w:left w:val="nil"/>
              <w:bottom w:val="single" w:sz="4" w:space="0" w:color="auto"/>
              <w:right w:val="nil"/>
            </w:tcBorders>
            <w:hideMark/>
          </w:tcPr>
          <w:p w:rsidR="00281F97" w:rsidRDefault="00765F6E">
            <w:pPr>
              <w:pStyle w:val="BStabletext00"/>
              <w:rPr>
                <w:b/>
              </w:rPr>
            </w:pPr>
            <w:r>
              <w:t>Proportion of women aged 50 to 74 who had a breast screen</w:t>
            </w:r>
            <w:r>
              <w:rPr>
                <w:vertAlign w:val="superscript"/>
              </w:rPr>
              <w:t>1</w:t>
            </w:r>
          </w:p>
        </w:tc>
        <w:tc>
          <w:tcPr>
            <w:tcW w:w="1424" w:type="dxa"/>
            <w:tcBorders>
              <w:top w:val="single" w:sz="4" w:space="0" w:color="auto"/>
              <w:left w:val="nil"/>
              <w:bottom w:val="single" w:sz="4" w:space="0" w:color="auto"/>
              <w:right w:val="nil"/>
            </w:tcBorders>
            <w:hideMark/>
          </w:tcPr>
          <w:p w:rsidR="00281F97" w:rsidRDefault="00765F6E">
            <w:pPr>
              <w:pStyle w:val="BStablefigures00"/>
            </w:pPr>
            <w:r>
              <w:t>60%</w:t>
            </w:r>
          </w:p>
        </w:tc>
        <w:tc>
          <w:tcPr>
            <w:tcW w:w="1424" w:type="dxa"/>
            <w:tcBorders>
              <w:top w:val="single" w:sz="4" w:space="0" w:color="auto"/>
              <w:left w:val="nil"/>
              <w:bottom w:val="single" w:sz="4" w:space="0" w:color="auto"/>
              <w:right w:val="nil"/>
            </w:tcBorders>
            <w:hideMark/>
          </w:tcPr>
          <w:p w:rsidR="00281F97" w:rsidRDefault="00765F6E">
            <w:pPr>
              <w:pStyle w:val="BStablefigures00"/>
            </w:pPr>
            <w:r>
              <w:t>55%</w:t>
            </w:r>
          </w:p>
        </w:tc>
        <w:tc>
          <w:tcPr>
            <w:tcW w:w="1424" w:type="dxa"/>
            <w:tcBorders>
              <w:top w:val="single" w:sz="4" w:space="0" w:color="auto"/>
              <w:left w:val="nil"/>
              <w:bottom w:val="single" w:sz="4" w:space="0" w:color="auto"/>
              <w:right w:val="nil"/>
            </w:tcBorders>
            <w:hideMark/>
          </w:tcPr>
          <w:p w:rsidR="00281F97" w:rsidRDefault="00765F6E">
            <w:pPr>
              <w:pStyle w:val="BStablefigures00"/>
            </w:pPr>
            <w:r>
              <w:t>60%</w:t>
            </w:r>
          </w:p>
        </w:tc>
      </w:tr>
    </w:tbl>
    <w:p w:rsidR="00281F97" w:rsidRPr="002B2ACB" w:rsidRDefault="00765F6E" w:rsidP="00281F97">
      <w:pPr>
        <w:pStyle w:val="BSnote"/>
      </w:pPr>
      <w:r w:rsidRPr="002B2ACB">
        <w:t>Note:</w:t>
      </w:r>
    </w:p>
    <w:p w:rsidR="00281F97" w:rsidRPr="000B6817" w:rsidRDefault="00765F6E" w:rsidP="00CA0839">
      <w:pPr>
        <w:pStyle w:val="BSnoteslist1"/>
        <w:numPr>
          <w:ilvl w:val="0"/>
          <w:numId w:val="11"/>
        </w:numPr>
      </w:pPr>
      <w:r w:rsidRPr="000B6817">
        <w:t xml:space="preserve">This is a voluntary participation program and ACT Health continues to work with key stakeholders to encourage </w:t>
      </w:r>
      <w:r w:rsidR="000B6EC2">
        <w:t xml:space="preserve">an </w:t>
      </w:r>
      <w:r w:rsidRPr="000B6817">
        <w:t>increased participation rate for the target age</w:t>
      </w:r>
      <w:r w:rsidR="00EA194A">
        <w:t xml:space="preserve"> group of 50</w:t>
      </w:r>
      <w:r w:rsidR="00890584">
        <w:t xml:space="preserve"> to </w:t>
      </w:r>
      <w:r w:rsidR="00EA194A">
        <w:t xml:space="preserve">74. The target age </w:t>
      </w:r>
      <w:r w:rsidRPr="000B6817">
        <w:t xml:space="preserve">group </w:t>
      </w:r>
      <w:r w:rsidR="00C737E0">
        <w:t xml:space="preserve">which was previously 50 to 69 has been </w:t>
      </w:r>
      <w:r w:rsidRPr="000B6817">
        <w:t xml:space="preserve">increased to </w:t>
      </w:r>
      <w:r w:rsidR="00C737E0">
        <w:t xml:space="preserve">50 to </w:t>
      </w:r>
      <w:r w:rsidR="00EA194A">
        <w:t>74 in</w:t>
      </w:r>
      <w:r w:rsidR="00030990">
        <w:t xml:space="preserve"> </w:t>
      </w:r>
      <w:r w:rsidR="00EA194A">
        <w:t>line with National Indicators.</w:t>
      </w:r>
    </w:p>
    <w:p w:rsidR="00281F97" w:rsidRDefault="00765F6E" w:rsidP="00281F97">
      <w:pPr>
        <w:pStyle w:val="Heading3"/>
        <w:keepNext w:val="0"/>
        <w:rPr>
          <w:szCs w:val="22"/>
        </w:rPr>
      </w:pPr>
      <w:r>
        <w:rPr>
          <w:b w:val="0"/>
          <w:bCs w:val="0"/>
        </w:rPr>
        <w:br w:type="column"/>
      </w:r>
      <w:bookmarkStart w:id="28" w:name="_Toc514764109"/>
      <w:bookmarkStart w:id="29" w:name="_Toc514765737"/>
      <w:bookmarkStart w:id="30" w:name="_Toc514832361"/>
      <w:bookmarkStart w:id="31" w:name="_Toc514832544"/>
      <w:r>
        <w:lastRenderedPageBreak/>
        <w:t>Strategic Objective 5</w:t>
      </w:r>
      <w:bookmarkEnd w:id="28"/>
      <w:bookmarkEnd w:id="29"/>
      <w:bookmarkEnd w:id="30"/>
      <w:bookmarkEnd w:id="31"/>
    </w:p>
    <w:p w:rsidR="00281F97" w:rsidRDefault="005426F3" w:rsidP="00281F97">
      <w:pPr>
        <w:pStyle w:val="Heading4"/>
      </w:pPr>
      <w:r>
        <w:t>Reducing the Usage of Seclusion in Mental Health E</w:t>
      </w:r>
      <w:r w:rsidR="00765F6E">
        <w:t>pisodes</w:t>
      </w:r>
    </w:p>
    <w:p w:rsidR="00281F97" w:rsidRDefault="005426F3" w:rsidP="00281F97">
      <w:pPr>
        <w:pStyle w:val="Normal010"/>
      </w:pPr>
      <w:r>
        <w:rPr>
          <w:b/>
        </w:rPr>
        <w:t>Strategic I</w:t>
      </w:r>
      <w:r w:rsidR="00765F6E">
        <w:rPr>
          <w:b/>
        </w:rPr>
        <w:t>ndicator 5:</w:t>
      </w:r>
      <w:r w:rsidR="00765F6E">
        <w:t xml:space="preserve"> Proportion of clients with a mental health seclusion episode</w:t>
      </w:r>
    </w:p>
    <w:p w:rsidR="00281F97" w:rsidRDefault="00765F6E" w:rsidP="00281F97">
      <w:pPr>
        <w:pStyle w:val="Normal010"/>
      </w:pPr>
      <w:r>
        <w:t>This measures the effectiveness of public mental health services in the ACT over time in providing services that minimise the need for seclusion.</w:t>
      </w:r>
    </w:p>
    <w:p w:rsidR="00281F97" w:rsidRDefault="00765F6E" w:rsidP="00281F97">
      <w:pPr>
        <w:pStyle w:val="Caption0"/>
        <w:rPr>
          <w:color w:val="auto"/>
        </w:rPr>
      </w:pPr>
      <w:r>
        <w:rPr>
          <w:color w:val="auto"/>
        </w:rPr>
        <w:t xml:space="preserve">Table </w:t>
      </w:r>
      <w:r>
        <w:t>6</w:t>
      </w:r>
      <w:r>
        <w:rPr>
          <w:color w:val="auto"/>
        </w:rPr>
        <w:t>: The proportion of mental health clients who are subject to a seclusion episode while being an admitted patient in an ACT public mental health inpatient unit</w:t>
      </w:r>
    </w:p>
    <w:tbl>
      <w:tblPr>
        <w:tblW w:w="0" w:type="dxa"/>
        <w:tblInd w:w="108" w:type="dxa"/>
        <w:tblLayout w:type="fixed"/>
        <w:tblLook w:val="04A0" w:firstRow="1" w:lastRow="0" w:firstColumn="1" w:lastColumn="0" w:noHBand="0" w:noVBand="1"/>
      </w:tblPr>
      <w:tblGrid>
        <w:gridCol w:w="4848"/>
        <w:gridCol w:w="1424"/>
        <w:gridCol w:w="1424"/>
        <w:gridCol w:w="1424"/>
      </w:tblGrid>
      <w:tr w:rsidR="00237D6F" w:rsidTr="00281F97">
        <w:trPr>
          <w:trHeight w:val="147"/>
        </w:trPr>
        <w:tc>
          <w:tcPr>
            <w:tcW w:w="4848" w:type="dxa"/>
            <w:vMerge w:val="restart"/>
            <w:tcBorders>
              <w:top w:val="single" w:sz="4" w:space="0" w:color="auto"/>
              <w:left w:val="nil"/>
              <w:bottom w:val="single" w:sz="4" w:space="0" w:color="auto"/>
              <w:right w:val="nil"/>
            </w:tcBorders>
            <w:vAlign w:val="bottom"/>
            <w:hideMark/>
          </w:tcPr>
          <w:p w:rsidR="00281F97" w:rsidRDefault="00B36331" w:rsidP="00281F97">
            <w:pPr>
              <w:pStyle w:val="BStabletextbold"/>
            </w:pPr>
            <w:r>
              <w:t>Strategic I</w:t>
            </w:r>
            <w:r w:rsidR="00765F6E">
              <w:t>ndicator</w:t>
            </w:r>
          </w:p>
        </w:tc>
        <w:tc>
          <w:tcPr>
            <w:tcW w:w="1424" w:type="dxa"/>
            <w:tcBorders>
              <w:top w:val="single" w:sz="4" w:space="0" w:color="auto"/>
              <w:left w:val="nil"/>
              <w:bottom w:val="nil"/>
              <w:right w:val="nil"/>
            </w:tcBorders>
            <w:hideMark/>
          </w:tcPr>
          <w:p w:rsidR="00281F97" w:rsidRDefault="00765F6E" w:rsidP="00281F97">
            <w:pPr>
              <w:pStyle w:val="BStablefiguresbold"/>
            </w:pPr>
            <w:r>
              <w:t>2017–18</w:t>
            </w:r>
          </w:p>
        </w:tc>
        <w:tc>
          <w:tcPr>
            <w:tcW w:w="1424" w:type="dxa"/>
            <w:tcBorders>
              <w:top w:val="single" w:sz="4" w:space="0" w:color="auto"/>
              <w:left w:val="nil"/>
              <w:bottom w:val="nil"/>
              <w:right w:val="nil"/>
            </w:tcBorders>
            <w:hideMark/>
          </w:tcPr>
          <w:p w:rsidR="00281F97" w:rsidRDefault="00765F6E" w:rsidP="00281F97">
            <w:pPr>
              <w:pStyle w:val="BStablefiguresbold"/>
            </w:pPr>
            <w:r>
              <w:t>2017–18</w:t>
            </w:r>
          </w:p>
        </w:tc>
        <w:tc>
          <w:tcPr>
            <w:tcW w:w="1424" w:type="dxa"/>
            <w:tcBorders>
              <w:top w:val="single" w:sz="4" w:space="0" w:color="auto"/>
              <w:left w:val="nil"/>
              <w:bottom w:val="nil"/>
              <w:right w:val="nil"/>
            </w:tcBorders>
            <w:hideMark/>
          </w:tcPr>
          <w:p w:rsidR="00281F97" w:rsidRDefault="00765F6E" w:rsidP="00281F97">
            <w:pPr>
              <w:pStyle w:val="BStablefiguresbold"/>
            </w:pPr>
            <w:r>
              <w:t>2018–19</w:t>
            </w:r>
          </w:p>
        </w:tc>
      </w:tr>
      <w:tr w:rsidR="00237D6F" w:rsidTr="00281F97">
        <w:trPr>
          <w:trHeight w:val="263"/>
        </w:trPr>
        <w:tc>
          <w:tcPr>
            <w:tcW w:w="4848" w:type="dxa"/>
            <w:vMerge/>
            <w:tcBorders>
              <w:top w:val="single" w:sz="4" w:space="0" w:color="auto"/>
              <w:left w:val="nil"/>
              <w:bottom w:val="single" w:sz="4" w:space="0" w:color="auto"/>
              <w:right w:val="nil"/>
            </w:tcBorders>
            <w:vAlign w:val="center"/>
            <w:hideMark/>
          </w:tcPr>
          <w:p w:rsidR="00281F97" w:rsidRDefault="00281F97">
            <w:pPr>
              <w:pStyle w:val="Normal3"/>
              <w:spacing w:before="0" w:after="0"/>
              <w:rPr>
                <w:b/>
                <w:bCs/>
                <w:sz w:val="20"/>
                <w:lang w:eastAsia="en-AU"/>
              </w:rPr>
            </w:pPr>
          </w:p>
        </w:tc>
        <w:tc>
          <w:tcPr>
            <w:tcW w:w="1424" w:type="dxa"/>
            <w:tcBorders>
              <w:top w:val="nil"/>
              <w:left w:val="nil"/>
              <w:bottom w:val="single" w:sz="4" w:space="0" w:color="auto"/>
              <w:right w:val="nil"/>
            </w:tcBorders>
            <w:hideMark/>
          </w:tcPr>
          <w:p w:rsidR="00281F97" w:rsidRDefault="00B36331" w:rsidP="00281F97">
            <w:pPr>
              <w:pStyle w:val="BStablefiguresbold"/>
            </w:pPr>
            <w:r>
              <w:t>T</w:t>
            </w:r>
            <w:r w:rsidR="00765F6E">
              <w:t>arget</w:t>
            </w:r>
          </w:p>
        </w:tc>
        <w:tc>
          <w:tcPr>
            <w:tcW w:w="1424" w:type="dxa"/>
            <w:tcBorders>
              <w:top w:val="nil"/>
              <w:left w:val="nil"/>
              <w:bottom w:val="single" w:sz="4" w:space="0" w:color="auto"/>
              <w:right w:val="nil"/>
            </w:tcBorders>
            <w:hideMark/>
          </w:tcPr>
          <w:p w:rsidR="00281F97" w:rsidRDefault="00B36331" w:rsidP="00281F97">
            <w:pPr>
              <w:pStyle w:val="BStablefiguresbold"/>
            </w:pPr>
            <w:r>
              <w:t>Est. O</w:t>
            </w:r>
            <w:r w:rsidR="00765F6E">
              <w:t>utcome</w:t>
            </w:r>
            <w:r w:rsidR="00765F6E">
              <w:rPr>
                <w:szCs w:val="18"/>
                <w:vertAlign w:val="superscript"/>
              </w:rPr>
              <w:t>1</w:t>
            </w:r>
          </w:p>
        </w:tc>
        <w:tc>
          <w:tcPr>
            <w:tcW w:w="1424" w:type="dxa"/>
            <w:tcBorders>
              <w:top w:val="nil"/>
              <w:left w:val="nil"/>
              <w:bottom w:val="single" w:sz="4" w:space="0" w:color="auto"/>
              <w:right w:val="nil"/>
            </w:tcBorders>
            <w:hideMark/>
          </w:tcPr>
          <w:p w:rsidR="00281F97" w:rsidRDefault="00B36331" w:rsidP="00281F97">
            <w:pPr>
              <w:pStyle w:val="BStablefiguresbold"/>
            </w:pPr>
            <w:r>
              <w:t>T</w:t>
            </w:r>
            <w:r w:rsidR="00765F6E">
              <w:t>arget</w:t>
            </w:r>
            <w:r w:rsidR="00765F6E">
              <w:rPr>
                <w:szCs w:val="18"/>
                <w:vertAlign w:val="superscript"/>
              </w:rPr>
              <w:t>1</w:t>
            </w:r>
          </w:p>
        </w:tc>
      </w:tr>
      <w:tr w:rsidR="00237D6F" w:rsidTr="00031DE6">
        <w:trPr>
          <w:trHeight w:val="233"/>
        </w:trPr>
        <w:tc>
          <w:tcPr>
            <w:tcW w:w="4848" w:type="dxa"/>
            <w:tcBorders>
              <w:top w:val="single" w:sz="4" w:space="0" w:color="auto"/>
              <w:left w:val="nil"/>
              <w:bottom w:val="single" w:sz="4" w:space="0" w:color="auto"/>
              <w:right w:val="nil"/>
            </w:tcBorders>
            <w:hideMark/>
          </w:tcPr>
          <w:p w:rsidR="00281F97" w:rsidRDefault="00765F6E">
            <w:pPr>
              <w:pStyle w:val="BStabletext00"/>
              <w:rPr>
                <w:b/>
              </w:rPr>
            </w:pPr>
            <w:r>
              <w:t>The proportion of mental health clients who are subject to a seclusion episode while being an admitted patient in an ACT public mental health inpatient unit</w:t>
            </w:r>
          </w:p>
        </w:tc>
        <w:tc>
          <w:tcPr>
            <w:tcW w:w="1424" w:type="dxa"/>
            <w:tcBorders>
              <w:top w:val="single" w:sz="4" w:space="0" w:color="auto"/>
              <w:left w:val="nil"/>
              <w:bottom w:val="single" w:sz="4" w:space="0" w:color="auto"/>
              <w:right w:val="nil"/>
            </w:tcBorders>
            <w:hideMark/>
          </w:tcPr>
          <w:p w:rsidR="00281F97" w:rsidRDefault="00765F6E">
            <w:pPr>
              <w:pStyle w:val="BStablefigures00"/>
            </w:pPr>
            <w:r>
              <w:t>&lt;3%</w:t>
            </w:r>
          </w:p>
        </w:tc>
        <w:tc>
          <w:tcPr>
            <w:tcW w:w="1424" w:type="dxa"/>
            <w:tcBorders>
              <w:top w:val="single" w:sz="4" w:space="0" w:color="auto"/>
              <w:left w:val="nil"/>
              <w:bottom w:val="single" w:sz="4" w:space="0" w:color="auto"/>
              <w:right w:val="nil"/>
            </w:tcBorders>
            <w:hideMark/>
          </w:tcPr>
          <w:p w:rsidR="00281F97" w:rsidRDefault="00765F6E">
            <w:pPr>
              <w:pStyle w:val="BStablefigures00"/>
            </w:pPr>
            <w:r>
              <w:t>7%</w:t>
            </w:r>
          </w:p>
        </w:tc>
        <w:tc>
          <w:tcPr>
            <w:tcW w:w="1424" w:type="dxa"/>
            <w:tcBorders>
              <w:top w:val="single" w:sz="4" w:space="0" w:color="auto"/>
              <w:left w:val="nil"/>
              <w:bottom w:val="single" w:sz="4" w:space="0" w:color="auto"/>
              <w:right w:val="nil"/>
            </w:tcBorders>
            <w:hideMark/>
          </w:tcPr>
          <w:p w:rsidR="00281F97" w:rsidRDefault="00765F6E">
            <w:pPr>
              <w:pStyle w:val="BStablefigures00"/>
            </w:pPr>
            <w:r>
              <w:t>&lt;5%</w:t>
            </w:r>
          </w:p>
        </w:tc>
      </w:tr>
    </w:tbl>
    <w:p w:rsidR="00281F97" w:rsidRPr="002B2ACB" w:rsidRDefault="00765F6E" w:rsidP="00281F97">
      <w:pPr>
        <w:pStyle w:val="BSnote"/>
      </w:pPr>
      <w:r w:rsidRPr="002B2ACB">
        <w:t>Note:</w:t>
      </w:r>
    </w:p>
    <w:p w:rsidR="00281F97" w:rsidRPr="000B6817" w:rsidRDefault="00765F6E" w:rsidP="00CA0839">
      <w:pPr>
        <w:pStyle w:val="BSnoteslist1"/>
        <w:numPr>
          <w:ilvl w:val="0"/>
          <w:numId w:val="12"/>
        </w:numPr>
      </w:pPr>
      <w:proofErr w:type="spellStart"/>
      <w:r w:rsidRPr="000B6817">
        <w:t>Dhulwa</w:t>
      </w:r>
      <w:proofErr w:type="spellEnd"/>
      <w:r w:rsidRPr="000B6817">
        <w:t xml:space="preserve"> is specifically used to treat complex patients and increas</w:t>
      </w:r>
      <w:r w:rsidR="00403D92">
        <w:t xml:space="preserve">es in seclusion can be expected following the opening of </w:t>
      </w:r>
      <w:proofErr w:type="spellStart"/>
      <w:r w:rsidR="00403D92">
        <w:t>Dhulwa</w:t>
      </w:r>
      <w:proofErr w:type="spellEnd"/>
      <w:r w:rsidR="00403D92">
        <w:t xml:space="preserve">. </w:t>
      </w:r>
      <w:r w:rsidRPr="000B6817">
        <w:t xml:space="preserve">As a result of the inclusion of </w:t>
      </w:r>
      <w:proofErr w:type="spellStart"/>
      <w:r w:rsidRPr="000B6817">
        <w:t>Dhulwa</w:t>
      </w:r>
      <w:proofErr w:type="spellEnd"/>
      <w:r w:rsidRPr="000B6817">
        <w:t xml:space="preserve"> patients, ACT Health has increased the tar</w:t>
      </w:r>
      <w:r w:rsidR="000B6EC2">
        <w:t>get to less than 5 per cent for</w:t>
      </w:r>
      <w:r w:rsidRPr="000B6817">
        <w:t xml:space="preserve"> 2018–19.</w:t>
      </w:r>
    </w:p>
    <w:p w:rsidR="00281F97" w:rsidRDefault="00765F6E" w:rsidP="00281F97">
      <w:pPr>
        <w:pStyle w:val="Heading3"/>
        <w:rPr>
          <w:szCs w:val="22"/>
        </w:rPr>
      </w:pPr>
      <w:bookmarkStart w:id="32" w:name="_Toc514764110"/>
      <w:bookmarkStart w:id="33" w:name="_Toc514765738"/>
      <w:bookmarkStart w:id="34" w:name="_Toc514832362"/>
      <w:bookmarkStart w:id="35" w:name="_Toc514832545"/>
      <w:r>
        <w:t>Strategic Objective 6</w:t>
      </w:r>
      <w:bookmarkEnd w:id="32"/>
      <w:bookmarkEnd w:id="33"/>
      <w:bookmarkEnd w:id="34"/>
      <w:bookmarkEnd w:id="35"/>
      <w:r>
        <w:t xml:space="preserve"> </w:t>
      </w:r>
    </w:p>
    <w:p w:rsidR="00281F97" w:rsidRDefault="005426F3" w:rsidP="00281F97">
      <w:pPr>
        <w:pStyle w:val="Heading4"/>
      </w:pPr>
      <w:r>
        <w:t>Maintaining R</w:t>
      </w:r>
      <w:r w:rsidR="00765F6E">
        <w:t>educ</w:t>
      </w:r>
      <w:r>
        <w:t>ed Rates of Patient R</w:t>
      </w:r>
      <w:r w:rsidR="00765F6E">
        <w:t xml:space="preserve">eturn to an ACT </w:t>
      </w:r>
      <w:r>
        <w:t>Public Acute Psychiatric Inpatient U</w:t>
      </w:r>
      <w:r w:rsidR="00765F6E">
        <w:t xml:space="preserve">nit </w:t>
      </w:r>
    </w:p>
    <w:p w:rsidR="00281F97" w:rsidRDefault="005426F3" w:rsidP="00281F97">
      <w:pPr>
        <w:pStyle w:val="Normal010"/>
      </w:pPr>
      <w:r>
        <w:rPr>
          <w:b/>
        </w:rPr>
        <w:t>Strategic I</w:t>
      </w:r>
      <w:r w:rsidR="00765F6E">
        <w:rPr>
          <w:b/>
        </w:rPr>
        <w:t>ndicator 6:</w:t>
      </w:r>
      <w:r w:rsidR="00765F6E">
        <w:t xml:space="preserve"> Acute psychiatric unit patient 28 day readmission rate</w:t>
      </w:r>
    </w:p>
    <w:p w:rsidR="00281F97" w:rsidRDefault="00765F6E" w:rsidP="00281F97">
      <w:pPr>
        <w:pStyle w:val="Normal010"/>
      </w:pPr>
      <w:r>
        <w:t xml:space="preserve">This indicator reflects the quality of care provided to acute mental health patients. </w:t>
      </w:r>
    </w:p>
    <w:p w:rsidR="00281F97" w:rsidRDefault="00765F6E" w:rsidP="00281F97">
      <w:pPr>
        <w:pStyle w:val="Caption0"/>
        <w:rPr>
          <w:color w:val="auto"/>
        </w:rPr>
      </w:pPr>
      <w:r>
        <w:rPr>
          <w:color w:val="auto"/>
        </w:rPr>
        <w:t>Table 7: The proportion of clients who return to hospital within 28 days of discharge from an ACT public acute psychiatric unit following an acute episode of care</w:t>
      </w:r>
    </w:p>
    <w:tbl>
      <w:tblPr>
        <w:tblW w:w="9120" w:type="dxa"/>
        <w:tblInd w:w="108" w:type="dxa"/>
        <w:tblLayout w:type="fixed"/>
        <w:tblLook w:val="04A0" w:firstRow="1" w:lastRow="0" w:firstColumn="1" w:lastColumn="0" w:noHBand="0" w:noVBand="1"/>
      </w:tblPr>
      <w:tblGrid>
        <w:gridCol w:w="4848"/>
        <w:gridCol w:w="1424"/>
        <w:gridCol w:w="1424"/>
        <w:gridCol w:w="1424"/>
      </w:tblGrid>
      <w:tr w:rsidR="00237D6F" w:rsidTr="00281F97">
        <w:trPr>
          <w:trHeight w:val="147"/>
        </w:trPr>
        <w:tc>
          <w:tcPr>
            <w:tcW w:w="4848" w:type="dxa"/>
            <w:vMerge w:val="restart"/>
            <w:tcBorders>
              <w:top w:val="single" w:sz="4" w:space="0" w:color="auto"/>
              <w:left w:val="nil"/>
              <w:bottom w:val="single" w:sz="4" w:space="0" w:color="auto"/>
              <w:right w:val="nil"/>
            </w:tcBorders>
            <w:vAlign w:val="bottom"/>
            <w:hideMark/>
          </w:tcPr>
          <w:p w:rsidR="00281F97" w:rsidRDefault="00765F6E" w:rsidP="00B36331">
            <w:pPr>
              <w:pStyle w:val="BStabletextbold"/>
            </w:pPr>
            <w:r>
              <w:t xml:space="preserve">Strategic </w:t>
            </w:r>
            <w:r w:rsidR="00B36331">
              <w:t>I</w:t>
            </w:r>
            <w:r>
              <w:t>ndicator</w:t>
            </w:r>
          </w:p>
        </w:tc>
        <w:tc>
          <w:tcPr>
            <w:tcW w:w="1424" w:type="dxa"/>
            <w:tcBorders>
              <w:top w:val="single" w:sz="4" w:space="0" w:color="auto"/>
              <w:left w:val="nil"/>
              <w:bottom w:val="nil"/>
              <w:right w:val="nil"/>
            </w:tcBorders>
            <w:hideMark/>
          </w:tcPr>
          <w:p w:rsidR="00281F97" w:rsidRDefault="00765F6E" w:rsidP="00281F97">
            <w:pPr>
              <w:pStyle w:val="BStablefiguresbold"/>
            </w:pPr>
            <w:r>
              <w:t>2017–18</w:t>
            </w:r>
          </w:p>
        </w:tc>
        <w:tc>
          <w:tcPr>
            <w:tcW w:w="1424" w:type="dxa"/>
            <w:tcBorders>
              <w:top w:val="single" w:sz="4" w:space="0" w:color="auto"/>
              <w:left w:val="nil"/>
              <w:bottom w:val="nil"/>
              <w:right w:val="nil"/>
            </w:tcBorders>
            <w:hideMark/>
          </w:tcPr>
          <w:p w:rsidR="00281F97" w:rsidRDefault="00765F6E" w:rsidP="00281F97">
            <w:pPr>
              <w:pStyle w:val="BStablefiguresbold"/>
            </w:pPr>
            <w:r>
              <w:t>2017–18</w:t>
            </w:r>
          </w:p>
        </w:tc>
        <w:tc>
          <w:tcPr>
            <w:tcW w:w="1424" w:type="dxa"/>
            <w:tcBorders>
              <w:top w:val="single" w:sz="4" w:space="0" w:color="auto"/>
              <w:left w:val="nil"/>
              <w:bottom w:val="nil"/>
              <w:right w:val="nil"/>
            </w:tcBorders>
            <w:hideMark/>
          </w:tcPr>
          <w:p w:rsidR="00281F97" w:rsidRDefault="00765F6E" w:rsidP="00281F97">
            <w:pPr>
              <w:pStyle w:val="BStablefiguresbold"/>
            </w:pPr>
            <w:r>
              <w:t>2018–19</w:t>
            </w:r>
          </w:p>
        </w:tc>
      </w:tr>
      <w:tr w:rsidR="00237D6F" w:rsidTr="00281F97">
        <w:trPr>
          <w:trHeight w:val="263"/>
        </w:trPr>
        <w:tc>
          <w:tcPr>
            <w:tcW w:w="4848" w:type="dxa"/>
            <w:vMerge/>
            <w:tcBorders>
              <w:top w:val="single" w:sz="4" w:space="0" w:color="auto"/>
              <w:left w:val="nil"/>
              <w:bottom w:val="single" w:sz="4" w:space="0" w:color="auto"/>
              <w:right w:val="nil"/>
            </w:tcBorders>
            <w:vAlign w:val="center"/>
            <w:hideMark/>
          </w:tcPr>
          <w:p w:rsidR="00281F97" w:rsidRDefault="00281F97">
            <w:pPr>
              <w:pStyle w:val="Normal3"/>
              <w:spacing w:before="0" w:after="0"/>
              <w:rPr>
                <w:b/>
                <w:bCs/>
                <w:sz w:val="20"/>
                <w:lang w:eastAsia="en-AU"/>
              </w:rPr>
            </w:pPr>
          </w:p>
        </w:tc>
        <w:tc>
          <w:tcPr>
            <w:tcW w:w="1424" w:type="dxa"/>
            <w:tcBorders>
              <w:top w:val="nil"/>
              <w:left w:val="nil"/>
              <w:bottom w:val="single" w:sz="4" w:space="0" w:color="auto"/>
              <w:right w:val="nil"/>
            </w:tcBorders>
            <w:hideMark/>
          </w:tcPr>
          <w:p w:rsidR="00281F97" w:rsidRDefault="00B36331" w:rsidP="00281F97">
            <w:pPr>
              <w:pStyle w:val="BStablefiguresbold"/>
            </w:pPr>
            <w:r>
              <w:t>T</w:t>
            </w:r>
            <w:r w:rsidR="00765F6E">
              <w:t>arget</w:t>
            </w:r>
          </w:p>
        </w:tc>
        <w:tc>
          <w:tcPr>
            <w:tcW w:w="1424" w:type="dxa"/>
            <w:tcBorders>
              <w:top w:val="nil"/>
              <w:left w:val="nil"/>
              <w:bottom w:val="single" w:sz="4" w:space="0" w:color="auto"/>
              <w:right w:val="nil"/>
            </w:tcBorders>
            <w:hideMark/>
          </w:tcPr>
          <w:p w:rsidR="00281F97" w:rsidRDefault="00B36331" w:rsidP="00281F97">
            <w:pPr>
              <w:pStyle w:val="BStablefiguresbold"/>
            </w:pPr>
            <w:r>
              <w:t>Est. O</w:t>
            </w:r>
            <w:r w:rsidR="00765F6E">
              <w:t>utcome</w:t>
            </w:r>
            <w:r w:rsidR="00765F6E">
              <w:rPr>
                <w:szCs w:val="18"/>
                <w:vertAlign w:val="superscript"/>
              </w:rPr>
              <w:t>1</w:t>
            </w:r>
          </w:p>
        </w:tc>
        <w:tc>
          <w:tcPr>
            <w:tcW w:w="1424" w:type="dxa"/>
            <w:tcBorders>
              <w:top w:val="nil"/>
              <w:left w:val="nil"/>
              <w:bottom w:val="single" w:sz="4" w:space="0" w:color="auto"/>
              <w:right w:val="nil"/>
            </w:tcBorders>
            <w:hideMark/>
          </w:tcPr>
          <w:p w:rsidR="00281F97" w:rsidRDefault="00B36331" w:rsidP="00281F97">
            <w:pPr>
              <w:pStyle w:val="BStablefiguresbold"/>
            </w:pPr>
            <w:r>
              <w:t>T</w:t>
            </w:r>
            <w:r w:rsidR="00765F6E">
              <w:t>arget</w:t>
            </w:r>
          </w:p>
        </w:tc>
      </w:tr>
      <w:tr w:rsidR="00237D6F" w:rsidTr="00031DE6">
        <w:trPr>
          <w:trHeight w:val="233"/>
        </w:trPr>
        <w:tc>
          <w:tcPr>
            <w:tcW w:w="4848" w:type="dxa"/>
            <w:tcBorders>
              <w:top w:val="single" w:sz="4" w:space="0" w:color="auto"/>
              <w:left w:val="nil"/>
              <w:bottom w:val="single" w:sz="4" w:space="0" w:color="auto"/>
              <w:right w:val="nil"/>
            </w:tcBorders>
            <w:hideMark/>
          </w:tcPr>
          <w:p w:rsidR="00281F97" w:rsidRDefault="00765F6E">
            <w:pPr>
              <w:pStyle w:val="BStabletext00"/>
              <w:rPr>
                <w:b/>
              </w:rPr>
            </w:pPr>
            <w:r>
              <w:t>Proportion of clients who return to hospital within 28 days of discharge from an ACT acute psychiatric mental health inpatient unit</w:t>
            </w:r>
          </w:p>
        </w:tc>
        <w:tc>
          <w:tcPr>
            <w:tcW w:w="1424" w:type="dxa"/>
            <w:tcBorders>
              <w:top w:val="single" w:sz="4" w:space="0" w:color="auto"/>
              <w:left w:val="nil"/>
              <w:bottom w:val="single" w:sz="4" w:space="0" w:color="auto"/>
              <w:right w:val="nil"/>
            </w:tcBorders>
            <w:hideMark/>
          </w:tcPr>
          <w:p w:rsidR="00281F97" w:rsidRDefault="00765F6E">
            <w:pPr>
              <w:pStyle w:val="BStablefigures00"/>
            </w:pPr>
            <w:r>
              <w:t>&lt;10%</w:t>
            </w:r>
          </w:p>
        </w:tc>
        <w:tc>
          <w:tcPr>
            <w:tcW w:w="1424" w:type="dxa"/>
            <w:tcBorders>
              <w:top w:val="single" w:sz="4" w:space="0" w:color="auto"/>
              <w:left w:val="nil"/>
              <w:bottom w:val="single" w:sz="4" w:space="0" w:color="auto"/>
              <w:right w:val="nil"/>
            </w:tcBorders>
            <w:hideMark/>
          </w:tcPr>
          <w:p w:rsidR="00281F97" w:rsidRDefault="00731184">
            <w:pPr>
              <w:pStyle w:val="BStablefigures00"/>
            </w:pPr>
            <w:r>
              <w:t>n/a</w:t>
            </w:r>
          </w:p>
        </w:tc>
        <w:tc>
          <w:tcPr>
            <w:tcW w:w="1424" w:type="dxa"/>
            <w:tcBorders>
              <w:top w:val="single" w:sz="4" w:space="0" w:color="auto"/>
              <w:left w:val="nil"/>
              <w:bottom w:val="single" w:sz="4" w:space="0" w:color="auto"/>
              <w:right w:val="nil"/>
            </w:tcBorders>
            <w:hideMark/>
          </w:tcPr>
          <w:p w:rsidR="00281F97" w:rsidRDefault="00765F6E">
            <w:pPr>
              <w:pStyle w:val="BStablefigures00"/>
            </w:pPr>
            <w:r>
              <w:t>&lt;10%</w:t>
            </w:r>
          </w:p>
        </w:tc>
      </w:tr>
    </w:tbl>
    <w:p w:rsidR="00281F97" w:rsidRPr="002B2ACB" w:rsidRDefault="00765F6E" w:rsidP="00281F97">
      <w:pPr>
        <w:pStyle w:val="BSnote"/>
      </w:pPr>
      <w:r w:rsidRPr="002B2ACB">
        <w:t>Note:</w:t>
      </w:r>
    </w:p>
    <w:p w:rsidR="00281F97" w:rsidRPr="000B6817" w:rsidRDefault="00765F6E" w:rsidP="00CA0839">
      <w:pPr>
        <w:pStyle w:val="BSnoteslist1"/>
        <w:numPr>
          <w:ilvl w:val="0"/>
          <w:numId w:val="13"/>
        </w:numPr>
      </w:pPr>
      <w:r>
        <w:t>Due to</w:t>
      </w:r>
      <w:r w:rsidRPr="000B6817">
        <w:t xml:space="preserve"> consideration</w:t>
      </w:r>
      <w:r>
        <w:t>s</w:t>
      </w:r>
      <w:r w:rsidRPr="000B6817">
        <w:t xml:space="preserve"> of recommendations </w:t>
      </w:r>
      <w:r>
        <w:t>made under</w:t>
      </w:r>
      <w:r w:rsidRPr="000B6817">
        <w:t xml:space="preserve"> the ACT Auditor</w:t>
      </w:r>
      <w:r>
        <w:t xml:space="preserve"> </w:t>
      </w:r>
      <w:r w:rsidRPr="000B6817">
        <w:t xml:space="preserve">General’s </w:t>
      </w:r>
      <w:r>
        <w:t>R</w:t>
      </w:r>
      <w:r w:rsidRPr="000B6817">
        <w:t xml:space="preserve">eport:  Mental Health Services – Transition from Acute Care </w:t>
      </w:r>
      <w:r>
        <w:t xml:space="preserve">2016, </w:t>
      </w:r>
      <w:r w:rsidRPr="000B6817">
        <w:t>th</w:t>
      </w:r>
      <w:r>
        <w:t>e estimated outcome was not available at the time of publishing</w:t>
      </w:r>
      <w:r w:rsidRPr="000B6817">
        <w:t>.</w:t>
      </w:r>
    </w:p>
    <w:p w:rsidR="00281F97" w:rsidRDefault="00765F6E" w:rsidP="00281F97">
      <w:pPr>
        <w:pStyle w:val="Heading3"/>
        <w:keepNext w:val="0"/>
        <w:rPr>
          <w:szCs w:val="22"/>
        </w:rPr>
      </w:pPr>
      <w:r>
        <w:rPr>
          <w:b w:val="0"/>
          <w:bCs w:val="0"/>
        </w:rPr>
        <w:br w:type="column"/>
      </w:r>
      <w:bookmarkStart w:id="36" w:name="_Toc484069668"/>
      <w:bookmarkStart w:id="37" w:name="_Toc483919421"/>
      <w:bookmarkStart w:id="38" w:name="_Toc483560927"/>
      <w:bookmarkStart w:id="39" w:name="_Toc483492145"/>
      <w:bookmarkStart w:id="40" w:name="_Toc514764111"/>
      <w:bookmarkStart w:id="41" w:name="_Toc514765739"/>
      <w:bookmarkStart w:id="42" w:name="_Toc514832363"/>
      <w:bookmarkStart w:id="43" w:name="_Toc514832546"/>
      <w:r w:rsidR="005426F3">
        <w:lastRenderedPageBreak/>
        <w:t>Strategic O</w:t>
      </w:r>
      <w:r>
        <w:t>bjective 7</w:t>
      </w:r>
      <w:bookmarkEnd w:id="36"/>
      <w:bookmarkEnd w:id="37"/>
      <w:bookmarkEnd w:id="38"/>
      <w:bookmarkEnd w:id="39"/>
      <w:bookmarkEnd w:id="40"/>
      <w:bookmarkEnd w:id="41"/>
      <w:bookmarkEnd w:id="42"/>
      <w:bookmarkEnd w:id="43"/>
      <w:r>
        <w:t xml:space="preserve"> </w:t>
      </w:r>
    </w:p>
    <w:p w:rsidR="00281F97" w:rsidRDefault="005426F3" w:rsidP="00281F97">
      <w:pPr>
        <w:pStyle w:val="Heading4"/>
      </w:pPr>
      <w:r>
        <w:t>Reaching the Optimum Occupancy Rate for all Overnight Hospital B</w:t>
      </w:r>
      <w:r w:rsidR="00765F6E">
        <w:t>eds</w:t>
      </w:r>
    </w:p>
    <w:p w:rsidR="00281F97" w:rsidRDefault="005426F3" w:rsidP="00281F97">
      <w:pPr>
        <w:pStyle w:val="Normal010"/>
      </w:pPr>
      <w:r>
        <w:rPr>
          <w:b/>
        </w:rPr>
        <w:t>Strategic I</w:t>
      </w:r>
      <w:r w:rsidR="00765F6E">
        <w:rPr>
          <w:b/>
        </w:rPr>
        <w:t>ndicator 7:</w:t>
      </w:r>
      <w:r w:rsidR="00765F6E">
        <w:t xml:space="preserve"> Percentage of overnight hospital beds in use</w:t>
      </w:r>
    </w:p>
    <w:p w:rsidR="00281F97" w:rsidRDefault="00765F6E" w:rsidP="00281F97">
      <w:pPr>
        <w:pStyle w:val="Normal010"/>
      </w:pPr>
      <w:r>
        <w:t>This provides an indication of the efficient use of resources available for hospital services.</w:t>
      </w:r>
    </w:p>
    <w:p w:rsidR="00281F97" w:rsidRDefault="00765F6E" w:rsidP="00281F97">
      <w:pPr>
        <w:pStyle w:val="Caption0"/>
        <w:rPr>
          <w:color w:val="auto"/>
        </w:rPr>
      </w:pPr>
      <w:r>
        <w:rPr>
          <w:color w:val="auto"/>
        </w:rPr>
        <w:t>Table 8: The mean percentage of overnight hospital beds in use</w:t>
      </w:r>
    </w:p>
    <w:tbl>
      <w:tblPr>
        <w:tblW w:w="0" w:type="dxa"/>
        <w:tblInd w:w="108" w:type="dxa"/>
        <w:tblLayout w:type="fixed"/>
        <w:tblLook w:val="04A0" w:firstRow="1" w:lastRow="0" w:firstColumn="1" w:lastColumn="0" w:noHBand="0" w:noVBand="1"/>
      </w:tblPr>
      <w:tblGrid>
        <w:gridCol w:w="4678"/>
        <w:gridCol w:w="1594"/>
        <w:gridCol w:w="1424"/>
        <w:gridCol w:w="1424"/>
      </w:tblGrid>
      <w:tr w:rsidR="00237D6F" w:rsidTr="00281F97">
        <w:trPr>
          <w:trHeight w:val="147"/>
        </w:trPr>
        <w:tc>
          <w:tcPr>
            <w:tcW w:w="4678" w:type="dxa"/>
            <w:vMerge w:val="restart"/>
            <w:tcBorders>
              <w:top w:val="single" w:sz="4" w:space="0" w:color="auto"/>
              <w:left w:val="nil"/>
              <w:bottom w:val="single" w:sz="4" w:space="0" w:color="auto"/>
              <w:right w:val="nil"/>
            </w:tcBorders>
            <w:vAlign w:val="bottom"/>
            <w:hideMark/>
          </w:tcPr>
          <w:p w:rsidR="00281F97" w:rsidRDefault="00765F6E" w:rsidP="00B36331">
            <w:pPr>
              <w:pStyle w:val="BStabletextbold"/>
            </w:pPr>
            <w:r>
              <w:t xml:space="preserve">Strategic </w:t>
            </w:r>
            <w:r w:rsidR="00B36331">
              <w:t>I</w:t>
            </w:r>
            <w:r>
              <w:t>ndicator</w:t>
            </w:r>
          </w:p>
        </w:tc>
        <w:tc>
          <w:tcPr>
            <w:tcW w:w="1594" w:type="dxa"/>
            <w:tcBorders>
              <w:top w:val="single" w:sz="4" w:space="0" w:color="auto"/>
              <w:left w:val="nil"/>
              <w:bottom w:val="nil"/>
              <w:right w:val="nil"/>
            </w:tcBorders>
            <w:hideMark/>
          </w:tcPr>
          <w:p w:rsidR="00281F97" w:rsidRDefault="00765F6E" w:rsidP="00281F97">
            <w:pPr>
              <w:pStyle w:val="BStablefiguresbold"/>
            </w:pPr>
            <w:r>
              <w:t>2017–18</w:t>
            </w:r>
          </w:p>
        </w:tc>
        <w:tc>
          <w:tcPr>
            <w:tcW w:w="1424" w:type="dxa"/>
            <w:tcBorders>
              <w:top w:val="single" w:sz="4" w:space="0" w:color="auto"/>
              <w:left w:val="nil"/>
              <w:bottom w:val="nil"/>
              <w:right w:val="nil"/>
            </w:tcBorders>
            <w:hideMark/>
          </w:tcPr>
          <w:p w:rsidR="00281F97" w:rsidRDefault="00765F6E" w:rsidP="00281F97">
            <w:pPr>
              <w:pStyle w:val="BStablefiguresbold"/>
            </w:pPr>
            <w:r>
              <w:t>2017–18</w:t>
            </w:r>
          </w:p>
        </w:tc>
        <w:tc>
          <w:tcPr>
            <w:tcW w:w="1424" w:type="dxa"/>
            <w:tcBorders>
              <w:top w:val="single" w:sz="4" w:space="0" w:color="auto"/>
              <w:left w:val="nil"/>
              <w:bottom w:val="nil"/>
              <w:right w:val="nil"/>
            </w:tcBorders>
            <w:hideMark/>
          </w:tcPr>
          <w:p w:rsidR="00281F97" w:rsidRDefault="00765F6E" w:rsidP="00281F97">
            <w:pPr>
              <w:pStyle w:val="BStablefiguresbold"/>
            </w:pPr>
            <w:r>
              <w:t>2018–19</w:t>
            </w:r>
          </w:p>
        </w:tc>
      </w:tr>
      <w:tr w:rsidR="00237D6F" w:rsidTr="00281F97">
        <w:trPr>
          <w:trHeight w:val="263"/>
        </w:trPr>
        <w:tc>
          <w:tcPr>
            <w:tcW w:w="4678" w:type="dxa"/>
            <w:vMerge/>
            <w:tcBorders>
              <w:top w:val="single" w:sz="4" w:space="0" w:color="auto"/>
              <w:left w:val="nil"/>
              <w:bottom w:val="single" w:sz="4" w:space="0" w:color="auto"/>
              <w:right w:val="nil"/>
            </w:tcBorders>
            <w:vAlign w:val="center"/>
            <w:hideMark/>
          </w:tcPr>
          <w:p w:rsidR="00281F97" w:rsidRDefault="00281F97">
            <w:pPr>
              <w:pStyle w:val="Normal3"/>
              <w:spacing w:before="0" w:after="0"/>
              <w:rPr>
                <w:b/>
                <w:bCs/>
                <w:sz w:val="20"/>
                <w:lang w:eastAsia="en-AU"/>
              </w:rPr>
            </w:pPr>
          </w:p>
        </w:tc>
        <w:tc>
          <w:tcPr>
            <w:tcW w:w="1594" w:type="dxa"/>
            <w:tcBorders>
              <w:top w:val="nil"/>
              <w:left w:val="nil"/>
              <w:bottom w:val="single" w:sz="4" w:space="0" w:color="auto"/>
              <w:right w:val="nil"/>
            </w:tcBorders>
            <w:hideMark/>
          </w:tcPr>
          <w:p w:rsidR="00281F97" w:rsidRDefault="00B36331" w:rsidP="00281F97">
            <w:pPr>
              <w:pStyle w:val="BStablefiguresbold"/>
            </w:pPr>
            <w:r>
              <w:t>T</w:t>
            </w:r>
            <w:r w:rsidR="00765F6E">
              <w:t>arget</w:t>
            </w:r>
          </w:p>
        </w:tc>
        <w:tc>
          <w:tcPr>
            <w:tcW w:w="1424" w:type="dxa"/>
            <w:tcBorders>
              <w:top w:val="nil"/>
              <w:left w:val="nil"/>
              <w:bottom w:val="single" w:sz="4" w:space="0" w:color="auto"/>
              <w:right w:val="nil"/>
            </w:tcBorders>
            <w:hideMark/>
          </w:tcPr>
          <w:p w:rsidR="00281F97" w:rsidRDefault="00B36331" w:rsidP="00B36331">
            <w:pPr>
              <w:pStyle w:val="BStablefiguresbold"/>
            </w:pPr>
            <w:r>
              <w:t>E</w:t>
            </w:r>
            <w:r w:rsidR="00765F6E">
              <w:t>st. </w:t>
            </w:r>
            <w:r>
              <w:t>O</w:t>
            </w:r>
            <w:r w:rsidR="00765F6E">
              <w:t>utcome</w:t>
            </w:r>
          </w:p>
        </w:tc>
        <w:tc>
          <w:tcPr>
            <w:tcW w:w="1424" w:type="dxa"/>
            <w:tcBorders>
              <w:top w:val="nil"/>
              <w:left w:val="nil"/>
              <w:bottom w:val="single" w:sz="4" w:space="0" w:color="auto"/>
              <w:right w:val="nil"/>
            </w:tcBorders>
            <w:hideMark/>
          </w:tcPr>
          <w:p w:rsidR="00281F97" w:rsidRDefault="00B36331" w:rsidP="00281F97">
            <w:pPr>
              <w:pStyle w:val="BStablefiguresbold"/>
            </w:pPr>
            <w:r>
              <w:t>T</w:t>
            </w:r>
            <w:r w:rsidR="00765F6E">
              <w:t>arget</w:t>
            </w:r>
          </w:p>
        </w:tc>
      </w:tr>
      <w:tr w:rsidR="00237D6F" w:rsidTr="00281F97">
        <w:trPr>
          <w:trHeight w:val="233"/>
        </w:trPr>
        <w:tc>
          <w:tcPr>
            <w:tcW w:w="4678" w:type="dxa"/>
            <w:tcBorders>
              <w:top w:val="single" w:sz="4" w:space="0" w:color="auto"/>
              <w:left w:val="nil"/>
              <w:bottom w:val="single" w:sz="4" w:space="0" w:color="auto"/>
              <w:right w:val="nil"/>
            </w:tcBorders>
            <w:hideMark/>
          </w:tcPr>
          <w:p w:rsidR="00281F97" w:rsidRDefault="00765F6E">
            <w:pPr>
              <w:pStyle w:val="BStabletext00"/>
              <w:rPr>
                <w:b/>
              </w:rPr>
            </w:pPr>
            <w:r>
              <w:t>Mean percentage of overnight hospital beds in use</w:t>
            </w:r>
          </w:p>
        </w:tc>
        <w:tc>
          <w:tcPr>
            <w:tcW w:w="1594" w:type="dxa"/>
            <w:tcBorders>
              <w:top w:val="single" w:sz="4" w:space="0" w:color="auto"/>
              <w:left w:val="nil"/>
              <w:bottom w:val="single" w:sz="4" w:space="0" w:color="auto"/>
              <w:right w:val="nil"/>
            </w:tcBorders>
            <w:hideMark/>
          </w:tcPr>
          <w:p w:rsidR="00281F97" w:rsidRDefault="00765F6E">
            <w:pPr>
              <w:pStyle w:val="BStablefigures00"/>
            </w:pPr>
            <w:r>
              <w:t>90%</w:t>
            </w:r>
          </w:p>
        </w:tc>
        <w:tc>
          <w:tcPr>
            <w:tcW w:w="1424" w:type="dxa"/>
            <w:tcBorders>
              <w:top w:val="single" w:sz="4" w:space="0" w:color="auto"/>
              <w:left w:val="nil"/>
              <w:bottom w:val="single" w:sz="4" w:space="0" w:color="auto"/>
              <w:right w:val="nil"/>
            </w:tcBorders>
            <w:hideMark/>
          </w:tcPr>
          <w:p w:rsidR="00281F97" w:rsidRDefault="00765F6E">
            <w:pPr>
              <w:pStyle w:val="BStablefigures00"/>
            </w:pPr>
            <w:r>
              <w:t>86%</w:t>
            </w:r>
          </w:p>
        </w:tc>
        <w:tc>
          <w:tcPr>
            <w:tcW w:w="1424" w:type="dxa"/>
            <w:tcBorders>
              <w:top w:val="single" w:sz="4" w:space="0" w:color="auto"/>
              <w:left w:val="nil"/>
              <w:bottom w:val="single" w:sz="4" w:space="0" w:color="auto"/>
              <w:right w:val="nil"/>
            </w:tcBorders>
            <w:hideMark/>
          </w:tcPr>
          <w:p w:rsidR="00281F97" w:rsidRDefault="00765F6E">
            <w:pPr>
              <w:pStyle w:val="BStablefigures00"/>
            </w:pPr>
            <w:r>
              <w:t>90%</w:t>
            </w:r>
          </w:p>
        </w:tc>
      </w:tr>
    </w:tbl>
    <w:p w:rsidR="00281F97" w:rsidRDefault="005426F3" w:rsidP="00281F97">
      <w:pPr>
        <w:pStyle w:val="Heading3"/>
      </w:pPr>
      <w:bookmarkStart w:id="44" w:name="_Toc483919422"/>
      <w:bookmarkStart w:id="45" w:name="_Toc483560928"/>
      <w:bookmarkStart w:id="46" w:name="_Toc483492146"/>
      <w:bookmarkStart w:id="47" w:name="_Toc484069669"/>
      <w:bookmarkStart w:id="48" w:name="_Toc514764112"/>
      <w:bookmarkStart w:id="49" w:name="_Toc514765740"/>
      <w:bookmarkStart w:id="50" w:name="_Toc514832364"/>
      <w:bookmarkStart w:id="51" w:name="_Toc514832547"/>
      <w:r>
        <w:t>Strategic O</w:t>
      </w:r>
      <w:r w:rsidR="00765F6E">
        <w:t>bjective 8</w:t>
      </w:r>
      <w:bookmarkEnd w:id="44"/>
      <w:bookmarkEnd w:id="45"/>
      <w:bookmarkEnd w:id="46"/>
      <w:bookmarkEnd w:id="47"/>
      <w:bookmarkEnd w:id="48"/>
      <w:bookmarkEnd w:id="49"/>
      <w:bookmarkEnd w:id="50"/>
      <w:bookmarkEnd w:id="51"/>
      <w:r w:rsidR="00765F6E">
        <w:t xml:space="preserve"> </w:t>
      </w:r>
    </w:p>
    <w:p w:rsidR="00281F97" w:rsidRDefault="00765F6E" w:rsidP="00281F97">
      <w:pPr>
        <w:pStyle w:val="Heading4"/>
      </w:pPr>
      <w:r>
        <w:t xml:space="preserve">Management of </w:t>
      </w:r>
      <w:r w:rsidR="005426F3">
        <w:t>C</w:t>
      </w:r>
      <w:r>
        <w:t xml:space="preserve">hronic </w:t>
      </w:r>
      <w:r w:rsidR="005426F3">
        <w:t>D</w:t>
      </w:r>
      <w:r>
        <w:t xml:space="preserve">isease: </w:t>
      </w:r>
      <w:r w:rsidR="005426F3">
        <w:t>M</w:t>
      </w:r>
      <w:r>
        <w:t xml:space="preserve">aintenance of the </w:t>
      </w:r>
      <w:r w:rsidR="005426F3">
        <w:t>Highest Life E</w:t>
      </w:r>
      <w:r>
        <w:t xml:space="preserve">xpectancy at </w:t>
      </w:r>
      <w:r w:rsidR="005426F3">
        <w:t>B</w:t>
      </w:r>
      <w:r>
        <w:t>irth</w:t>
      </w:r>
    </w:p>
    <w:p w:rsidR="00281F97" w:rsidRDefault="00765F6E" w:rsidP="00281F97">
      <w:pPr>
        <w:pStyle w:val="Normal010"/>
      </w:pPr>
      <w:r>
        <w:t>Australians are living longer and gains in life expectancy are continuing.</w:t>
      </w:r>
      <w:r w:rsidR="00EA194A">
        <w:t xml:space="preserve"> </w:t>
      </w:r>
      <w:r>
        <w:t xml:space="preserve"> Potentially avoidable deaths are divided into potentially preventable deaths (those amenable to screening and primary prevention such as immunisation) and deaths from potentially treatable conditions (those amenable to therapeutic interventions). </w:t>
      </w:r>
    </w:p>
    <w:p w:rsidR="00281F97" w:rsidRDefault="005426F3" w:rsidP="00281F97">
      <w:pPr>
        <w:pStyle w:val="Normal010"/>
      </w:pPr>
      <w:r>
        <w:rPr>
          <w:b/>
        </w:rPr>
        <w:t>Strategic I</w:t>
      </w:r>
      <w:r w:rsidR="00765F6E">
        <w:rPr>
          <w:b/>
        </w:rPr>
        <w:t>ndicator 8:</w:t>
      </w:r>
      <w:r w:rsidR="00765F6E">
        <w:t xml:space="preserve"> Maintenance of the highest life expectancy at birth in Australia</w:t>
      </w:r>
    </w:p>
    <w:p w:rsidR="00281F97" w:rsidRDefault="00765F6E" w:rsidP="00281F97">
      <w:pPr>
        <w:pStyle w:val="Normal010"/>
      </w:pPr>
      <w:r>
        <w:t>Life expectancy at birth provides an indication of the general health of the population and reflects on a range of issues other than the provision of health services such as economic and environmental factors.  The ACT continues to enjoy the highest life expectancy of any jurisdiction in Australia and the Government aims to maintain this result.</w:t>
      </w:r>
    </w:p>
    <w:p w:rsidR="00281F97" w:rsidRDefault="00765F6E" w:rsidP="00281F97">
      <w:pPr>
        <w:pStyle w:val="Caption0"/>
        <w:rPr>
          <w:color w:val="auto"/>
        </w:rPr>
      </w:pPr>
      <w:r>
        <w:rPr>
          <w:color w:val="auto"/>
        </w:rPr>
        <w:t>Table 9: Life expectancy at birth in the ACT and Australia, by sex, 2014-2016</w:t>
      </w:r>
    </w:p>
    <w:tbl>
      <w:tblPr>
        <w:tblW w:w="9096" w:type="dxa"/>
        <w:tblBorders>
          <w:top w:val="single" w:sz="4" w:space="0" w:color="auto"/>
          <w:bottom w:val="single" w:sz="4" w:space="0" w:color="auto"/>
          <w:insideH w:val="single" w:sz="4" w:space="0" w:color="auto"/>
        </w:tblBorders>
        <w:tblLook w:val="00A0" w:firstRow="1" w:lastRow="0" w:firstColumn="1" w:lastColumn="0" w:noHBand="0" w:noVBand="0"/>
      </w:tblPr>
      <w:tblGrid>
        <w:gridCol w:w="1518"/>
        <w:gridCol w:w="1519"/>
        <w:gridCol w:w="1517"/>
        <w:gridCol w:w="1515"/>
        <w:gridCol w:w="1515"/>
        <w:gridCol w:w="1512"/>
      </w:tblGrid>
      <w:tr w:rsidR="00237D6F" w:rsidTr="00281F97">
        <w:trPr>
          <w:trHeight w:val="233"/>
        </w:trPr>
        <w:tc>
          <w:tcPr>
            <w:tcW w:w="1669" w:type="pct"/>
            <w:gridSpan w:val="2"/>
            <w:tcBorders>
              <w:top w:val="single" w:sz="4" w:space="0" w:color="auto"/>
              <w:left w:val="nil"/>
              <w:bottom w:val="single" w:sz="4" w:space="0" w:color="auto"/>
              <w:right w:val="nil"/>
            </w:tcBorders>
            <w:vAlign w:val="bottom"/>
            <w:hideMark/>
          </w:tcPr>
          <w:p w:rsidR="00281F97" w:rsidRDefault="00765F6E" w:rsidP="00B36331">
            <w:pPr>
              <w:pStyle w:val="BStabletextbold"/>
              <w:rPr>
                <w:rFonts w:ascii="Times New Roman" w:hAnsi="Times New Roman"/>
              </w:rPr>
            </w:pPr>
            <w:r>
              <w:t xml:space="preserve">Strategic </w:t>
            </w:r>
            <w:r w:rsidR="00B36331">
              <w:t>I</w:t>
            </w:r>
            <w:r>
              <w:t>ndicator</w:t>
            </w:r>
          </w:p>
        </w:tc>
        <w:tc>
          <w:tcPr>
            <w:tcW w:w="834" w:type="pct"/>
            <w:tcBorders>
              <w:top w:val="single" w:sz="4" w:space="0" w:color="auto"/>
              <w:left w:val="nil"/>
              <w:bottom w:val="single" w:sz="4" w:space="0" w:color="auto"/>
              <w:right w:val="nil"/>
            </w:tcBorders>
            <w:hideMark/>
          </w:tcPr>
          <w:p w:rsidR="00281F97" w:rsidRDefault="00281F97">
            <w:pPr>
              <w:pStyle w:val="Normal3"/>
              <w:rPr>
                <w:rFonts w:ascii="Times New Roman" w:hAnsi="Times New Roman"/>
              </w:rPr>
            </w:pPr>
          </w:p>
        </w:tc>
        <w:tc>
          <w:tcPr>
            <w:tcW w:w="833" w:type="pct"/>
            <w:tcBorders>
              <w:top w:val="single" w:sz="4" w:space="0" w:color="auto"/>
              <w:left w:val="nil"/>
              <w:bottom w:val="single" w:sz="4" w:space="0" w:color="auto"/>
              <w:right w:val="nil"/>
            </w:tcBorders>
            <w:hideMark/>
          </w:tcPr>
          <w:p w:rsidR="00281F97" w:rsidRDefault="00281F97">
            <w:pPr>
              <w:pStyle w:val="Normal3"/>
              <w:spacing w:before="0" w:after="0"/>
              <w:rPr>
                <w:rFonts w:ascii="Times New Roman" w:hAnsi="Times New Roman"/>
                <w:sz w:val="20"/>
                <w:lang w:eastAsia="en-AU"/>
              </w:rPr>
            </w:pPr>
          </w:p>
        </w:tc>
        <w:tc>
          <w:tcPr>
            <w:tcW w:w="833" w:type="pct"/>
            <w:tcBorders>
              <w:top w:val="single" w:sz="4" w:space="0" w:color="auto"/>
              <w:left w:val="nil"/>
              <w:bottom w:val="single" w:sz="4" w:space="0" w:color="auto"/>
              <w:right w:val="nil"/>
            </w:tcBorders>
            <w:hideMark/>
          </w:tcPr>
          <w:p w:rsidR="00281F97" w:rsidRDefault="00765F6E" w:rsidP="00281F97">
            <w:pPr>
              <w:pStyle w:val="BStablefiguresbold"/>
              <w:rPr>
                <w:rFonts w:eastAsiaTheme="minorEastAsia"/>
              </w:rPr>
            </w:pPr>
            <w:r>
              <w:rPr>
                <w:rFonts w:eastAsiaTheme="minorEastAsia"/>
              </w:rPr>
              <w:t xml:space="preserve">ACT </w:t>
            </w:r>
          </w:p>
          <w:p w:rsidR="00281F97" w:rsidRDefault="00765F6E" w:rsidP="00B36331">
            <w:pPr>
              <w:pStyle w:val="BStablefiguresbold"/>
              <w:rPr>
                <w:rFonts w:eastAsiaTheme="minorEastAsia"/>
              </w:rPr>
            </w:pPr>
            <w:r>
              <w:rPr>
                <w:rFonts w:eastAsiaTheme="minorEastAsia"/>
              </w:rPr>
              <w:t>(</w:t>
            </w:r>
            <w:r w:rsidR="00B36331">
              <w:rPr>
                <w:rFonts w:eastAsiaTheme="minorEastAsia"/>
              </w:rPr>
              <w:t>Y</w:t>
            </w:r>
            <w:r>
              <w:rPr>
                <w:rFonts w:eastAsiaTheme="minorEastAsia"/>
              </w:rPr>
              <w:t>ears)</w:t>
            </w:r>
          </w:p>
        </w:tc>
        <w:tc>
          <w:tcPr>
            <w:tcW w:w="831" w:type="pct"/>
            <w:tcBorders>
              <w:top w:val="single" w:sz="4" w:space="0" w:color="auto"/>
              <w:left w:val="nil"/>
              <w:bottom w:val="single" w:sz="4" w:space="0" w:color="auto"/>
              <w:right w:val="nil"/>
            </w:tcBorders>
            <w:hideMark/>
          </w:tcPr>
          <w:p w:rsidR="00281F97" w:rsidRDefault="00765F6E" w:rsidP="00281F97">
            <w:pPr>
              <w:pStyle w:val="BStablefiguresbold"/>
              <w:rPr>
                <w:rFonts w:eastAsiaTheme="minorEastAsia"/>
              </w:rPr>
            </w:pPr>
            <w:r>
              <w:rPr>
                <w:rFonts w:eastAsiaTheme="minorEastAsia"/>
              </w:rPr>
              <w:t>National</w:t>
            </w:r>
          </w:p>
          <w:p w:rsidR="00281F97" w:rsidRDefault="00765F6E" w:rsidP="00B36331">
            <w:pPr>
              <w:pStyle w:val="BStablefiguresbold"/>
              <w:rPr>
                <w:rFonts w:eastAsiaTheme="minorEastAsia"/>
                <w:lang w:eastAsia="ko-KR"/>
              </w:rPr>
            </w:pPr>
            <w:r>
              <w:rPr>
                <w:rFonts w:eastAsiaTheme="minorEastAsia"/>
              </w:rPr>
              <w:t xml:space="preserve"> (</w:t>
            </w:r>
            <w:r w:rsidR="00B36331">
              <w:rPr>
                <w:rFonts w:eastAsiaTheme="minorEastAsia"/>
              </w:rPr>
              <w:t>Y</w:t>
            </w:r>
            <w:r>
              <w:rPr>
                <w:rFonts w:eastAsiaTheme="minorEastAsia"/>
              </w:rPr>
              <w:t>ears)</w:t>
            </w:r>
          </w:p>
        </w:tc>
      </w:tr>
      <w:tr w:rsidR="00237D6F" w:rsidTr="00281F97">
        <w:tc>
          <w:tcPr>
            <w:tcW w:w="834" w:type="pct"/>
            <w:tcBorders>
              <w:top w:val="single" w:sz="4" w:space="0" w:color="auto"/>
              <w:left w:val="nil"/>
              <w:bottom w:val="nil"/>
              <w:right w:val="nil"/>
            </w:tcBorders>
            <w:hideMark/>
          </w:tcPr>
          <w:p w:rsidR="00281F97" w:rsidRDefault="00765F6E">
            <w:pPr>
              <w:pStyle w:val="BStabletext00"/>
            </w:pPr>
            <w:r>
              <w:t>Females</w:t>
            </w:r>
            <w:r>
              <w:tab/>
            </w:r>
          </w:p>
        </w:tc>
        <w:tc>
          <w:tcPr>
            <w:tcW w:w="834" w:type="pct"/>
            <w:tcBorders>
              <w:top w:val="single" w:sz="4" w:space="0" w:color="auto"/>
              <w:left w:val="nil"/>
              <w:bottom w:val="nil"/>
              <w:right w:val="nil"/>
            </w:tcBorders>
            <w:hideMark/>
          </w:tcPr>
          <w:p w:rsidR="00281F97" w:rsidRDefault="00281F97">
            <w:pPr>
              <w:pStyle w:val="Normal3"/>
            </w:pPr>
          </w:p>
        </w:tc>
        <w:tc>
          <w:tcPr>
            <w:tcW w:w="834" w:type="pct"/>
            <w:tcBorders>
              <w:top w:val="single" w:sz="4" w:space="0" w:color="auto"/>
              <w:left w:val="nil"/>
              <w:bottom w:val="nil"/>
              <w:right w:val="nil"/>
            </w:tcBorders>
            <w:hideMark/>
          </w:tcPr>
          <w:p w:rsidR="00281F97" w:rsidRDefault="00281F97">
            <w:pPr>
              <w:pStyle w:val="Normal3"/>
              <w:spacing w:before="0" w:after="0"/>
              <w:rPr>
                <w:rFonts w:ascii="Times New Roman" w:hAnsi="Times New Roman"/>
                <w:sz w:val="20"/>
                <w:lang w:eastAsia="en-AU"/>
              </w:rPr>
            </w:pPr>
          </w:p>
        </w:tc>
        <w:tc>
          <w:tcPr>
            <w:tcW w:w="833" w:type="pct"/>
            <w:tcBorders>
              <w:top w:val="single" w:sz="4" w:space="0" w:color="auto"/>
              <w:left w:val="nil"/>
              <w:bottom w:val="nil"/>
              <w:right w:val="nil"/>
            </w:tcBorders>
            <w:hideMark/>
          </w:tcPr>
          <w:p w:rsidR="00281F97" w:rsidRDefault="00281F97">
            <w:pPr>
              <w:pStyle w:val="Normal3"/>
              <w:spacing w:before="0" w:after="0"/>
              <w:rPr>
                <w:rFonts w:ascii="Times New Roman" w:hAnsi="Times New Roman"/>
                <w:sz w:val="20"/>
                <w:lang w:eastAsia="en-AU"/>
              </w:rPr>
            </w:pPr>
          </w:p>
        </w:tc>
        <w:tc>
          <w:tcPr>
            <w:tcW w:w="833" w:type="pct"/>
            <w:tcBorders>
              <w:top w:val="single" w:sz="4" w:space="0" w:color="auto"/>
              <w:left w:val="nil"/>
              <w:bottom w:val="nil"/>
              <w:right w:val="nil"/>
            </w:tcBorders>
            <w:hideMark/>
          </w:tcPr>
          <w:p w:rsidR="00281F97" w:rsidRDefault="00765F6E">
            <w:pPr>
              <w:pStyle w:val="BStablefigures00"/>
            </w:pPr>
            <w:r>
              <w:t>85.2</w:t>
            </w:r>
          </w:p>
        </w:tc>
        <w:tc>
          <w:tcPr>
            <w:tcW w:w="831" w:type="pct"/>
            <w:tcBorders>
              <w:top w:val="single" w:sz="4" w:space="0" w:color="auto"/>
              <w:left w:val="nil"/>
              <w:bottom w:val="nil"/>
              <w:right w:val="nil"/>
            </w:tcBorders>
            <w:hideMark/>
          </w:tcPr>
          <w:p w:rsidR="00281F97" w:rsidRDefault="00765F6E">
            <w:pPr>
              <w:pStyle w:val="BStablefigures00"/>
            </w:pPr>
            <w:r>
              <w:t>84.6</w:t>
            </w:r>
          </w:p>
        </w:tc>
      </w:tr>
      <w:tr w:rsidR="00237D6F" w:rsidTr="00281F97">
        <w:tc>
          <w:tcPr>
            <w:tcW w:w="834" w:type="pct"/>
            <w:tcBorders>
              <w:top w:val="nil"/>
              <w:left w:val="nil"/>
              <w:bottom w:val="single" w:sz="4" w:space="0" w:color="auto"/>
              <w:right w:val="nil"/>
            </w:tcBorders>
            <w:hideMark/>
          </w:tcPr>
          <w:p w:rsidR="00281F97" w:rsidRDefault="00765F6E">
            <w:pPr>
              <w:pStyle w:val="BStabletext00"/>
            </w:pPr>
            <w:r>
              <w:t>Males</w:t>
            </w:r>
            <w:r>
              <w:tab/>
            </w:r>
          </w:p>
        </w:tc>
        <w:tc>
          <w:tcPr>
            <w:tcW w:w="834" w:type="pct"/>
            <w:tcBorders>
              <w:top w:val="nil"/>
              <w:left w:val="nil"/>
              <w:bottom w:val="single" w:sz="4" w:space="0" w:color="auto"/>
              <w:right w:val="nil"/>
            </w:tcBorders>
            <w:hideMark/>
          </w:tcPr>
          <w:p w:rsidR="00281F97" w:rsidRDefault="00281F97">
            <w:pPr>
              <w:pStyle w:val="Normal3"/>
            </w:pPr>
          </w:p>
        </w:tc>
        <w:tc>
          <w:tcPr>
            <w:tcW w:w="834" w:type="pct"/>
            <w:tcBorders>
              <w:top w:val="nil"/>
              <w:left w:val="nil"/>
              <w:bottom w:val="single" w:sz="4" w:space="0" w:color="auto"/>
              <w:right w:val="nil"/>
            </w:tcBorders>
            <w:hideMark/>
          </w:tcPr>
          <w:p w:rsidR="00281F97" w:rsidRDefault="00281F97">
            <w:pPr>
              <w:pStyle w:val="Normal3"/>
              <w:spacing w:before="0" w:after="0"/>
              <w:rPr>
                <w:rFonts w:ascii="Times New Roman" w:hAnsi="Times New Roman"/>
                <w:sz w:val="20"/>
                <w:lang w:eastAsia="en-AU"/>
              </w:rPr>
            </w:pPr>
          </w:p>
        </w:tc>
        <w:tc>
          <w:tcPr>
            <w:tcW w:w="833" w:type="pct"/>
            <w:tcBorders>
              <w:top w:val="nil"/>
              <w:left w:val="nil"/>
              <w:bottom w:val="single" w:sz="4" w:space="0" w:color="auto"/>
              <w:right w:val="nil"/>
            </w:tcBorders>
            <w:hideMark/>
          </w:tcPr>
          <w:p w:rsidR="00281F97" w:rsidRDefault="00281F97">
            <w:pPr>
              <w:pStyle w:val="Normal3"/>
              <w:spacing w:before="0" w:after="0"/>
              <w:rPr>
                <w:rFonts w:ascii="Times New Roman" w:hAnsi="Times New Roman"/>
                <w:sz w:val="20"/>
                <w:lang w:eastAsia="en-AU"/>
              </w:rPr>
            </w:pPr>
          </w:p>
        </w:tc>
        <w:tc>
          <w:tcPr>
            <w:tcW w:w="833" w:type="pct"/>
            <w:tcBorders>
              <w:top w:val="nil"/>
              <w:left w:val="nil"/>
              <w:bottom w:val="single" w:sz="4" w:space="0" w:color="auto"/>
              <w:right w:val="nil"/>
            </w:tcBorders>
            <w:hideMark/>
          </w:tcPr>
          <w:p w:rsidR="00281F97" w:rsidRDefault="00765F6E">
            <w:pPr>
              <w:pStyle w:val="BStablefigures00"/>
            </w:pPr>
            <w:r>
              <w:t>81.3</w:t>
            </w:r>
          </w:p>
        </w:tc>
        <w:tc>
          <w:tcPr>
            <w:tcW w:w="831" w:type="pct"/>
            <w:tcBorders>
              <w:top w:val="nil"/>
              <w:left w:val="nil"/>
              <w:bottom w:val="single" w:sz="4" w:space="0" w:color="auto"/>
              <w:right w:val="nil"/>
            </w:tcBorders>
            <w:hideMark/>
          </w:tcPr>
          <w:p w:rsidR="00281F97" w:rsidRDefault="00765F6E">
            <w:pPr>
              <w:pStyle w:val="BStablefigures00"/>
            </w:pPr>
            <w:r>
              <w:t>80.4</w:t>
            </w:r>
          </w:p>
        </w:tc>
      </w:tr>
    </w:tbl>
    <w:p w:rsidR="001311D3" w:rsidRDefault="001311D3" w:rsidP="00281F97">
      <w:pPr>
        <w:pStyle w:val="BSnoteslist0"/>
        <w:ind w:left="360" w:hanging="360"/>
        <w:rPr>
          <w:i/>
          <w:sz w:val="16"/>
          <w:szCs w:val="16"/>
        </w:rPr>
      </w:pPr>
    </w:p>
    <w:p w:rsidR="00281F97" w:rsidRPr="001311D3" w:rsidRDefault="00765F6E" w:rsidP="00281F97">
      <w:pPr>
        <w:pStyle w:val="BSnoteslist0"/>
        <w:ind w:left="360" w:hanging="360"/>
        <w:rPr>
          <w:i/>
          <w:sz w:val="16"/>
          <w:szCs w:val="16"/>
        </w:rPr>
      </w:pPr>
      <w:r w:rsidRPr="001311D3">
        <w:rPr>
          <w:i/>
          <w:sz w:val="16"/>
          <w:szCs w:val="16"/>
        </w:rPr>
        <w:t>Source:  Australian Bureau of Statistics (ABS) 2017. Cat. no.33302.0.55.001, ABS, Canberra.</w:t>
      </w:r>
    </w:p>
    <w:p w:rsidR="00281F97" w:rsidRDefault="00765F6E" w:rsidP="00281F97">
      <w:pPr>
        <w:pStyle w:val="Heading3"/>
        <w:rPr>
          <w:color w:val="FF0000"/>
          <w:szCs w:val="22"/>
        </w:rPr>
      </w:pPr>
      <w:r>
        <w:rPr>
          <w:b w:val="0"/>
          <w:bCs w:val="0"/>
          <w:sz w:val="22"/>
          <w:szCs w:val="22"/>
        </w:rPr>
        <w:br w:type="column"/>
      </w:r>
      <w:bookmarkStart w:id="52" w:name="_Toc484069670"/>
      <w:bookmarkStart w:id="53" w:name="_Toc483919423"/>
      <w:bookmarkStart w:id="54" w:name="_Toc483560929"/>
      <w:bookmarkStart w:id="55" w:name="_Toc483492147"/>
      <w:bookmarkStart w:id="56" w:name="_Toc514764113"/>
      <w:bookmarkStart w:id="57" w:name="_Toc514765741"/>
      <w:bookmarkStart w:id="58" w:name="_Toc514832365"/>
      <w:bookmarkStart w:id="59" w:name="_Toc514832548"/>
      <w:r w:rsidR="005426F3">
        <w:lastRenderedPageBreak/>
        <w:t>Strategic O</w:t>
      </w:r>
      <w:r>
        <w:t>bjective 9</w:t>
      </w:r>
      <w:bookmarkEnd w:id="52"/>
      <w:bookmarkEnd w:id="53"/>
      <w:bookmarkEnd w:id="54"/>
      <w:bookmarkEnd w:id="55"/>
      <w:bookmarkEnd w:id="56"/>
      <w:bookmarkEnd w:id="57"/>
      <w:bookmarkEnd w:id="58"/>
      <w:bookmarkEnd w:id="59"/>
    </w:p>
    <w:p w:rsidR="00281F97" w:rsidRDefault="005426F3" w:rsidP="00281F97">
      <w:pPr>
        <w:pStyle w:val="Heading4"/>
      </w:pPr>
      <w:r>
        <w:t>Lower P</w:t>
      </w:r>
      <w:r w:rsidR="00765F6E">
        <w:t xml:space="preserve">revalence of </w:t>
      </w:r>
      <w:r>
        <w:t>C</w:t>
      </w:r>
      <w:r w:rsidR="00765F6E">
        <w:t xml:space="preserve">irculatory </w:t>
      </w:r>
      <w:r>
        <w:t>Disease than the National A</w:t>
      </w:r>
      <w:r w:rsidR="00765F6E">
        <w:t xml:space="preserve">verage </w:t>
      </w:r>
    </w:p>
    <w:p w:rsidR="00281F97" w:rsidRDefault="005426F3" w:rsidP="00281F97">
      <w:pPr>
        <w:pStyle w:val="Normal010"/>
      </w:pPr>
      <w:r>
        <w:rPr>
          <w:b/>
        </w:rPr>
        <w:t>Strategic I</w:t>
      </w:r>
      <w:r w:rsidR="00765F6E">
        <w:rPr>
          <w:b/>
        </w:rPr>
        <w:t>ndicator 9:</w:t>
      </w:r>
      <w:r w:rsidR="00765F6E">
        <w:t xml:space="preserve"> The proportion of the ACT population with heart or vascular disease, including stroke</w:t>
      </w:r>
    </w:p>
    <w:p w:rsidR="00281F97" w:rsidRDefault="00765F6E" w:rsidP="00281F97">
      <w:pPr>
        <w:pStyle w:val="Normal010"/>
        <w:spacing w:before="0" w:after="120"/>
        <w:rPr>
          <w:rFonts w:cs="Calibri"/>
          <w:szCs w:val="24"/>
        </w:rPr>
      </w:pPr>
      <w:r>
        <w:rPr>
          <w:rFonts w:cs="Calibri"/>
          <w:szCs w:val="24"/>
        </w:rPr>
        <w:t>The prevalence of cardiovascular disease is an important indicator of general population health as it is a major cause of mortality and morbidity.</w:t>
      </w:r>
    </w:p>
    <w:p w:rsidR="00281F97" w:rsidRDefault="00765F6E" w:rsidP="00281F97">
      <w:pPr>
        <w:pStyle w:val="Normal010"/>
      </w:pPr>
      <w:r>
        <w:t xml:space="preserve">While people of all ages can present with a chronic disease, the ageing of the population and longer life spans mean that chronic diseases will place major demands on the health system for workforce and financial resources.  </w:t>
      </w:r>
    </w:p>
    <w:p w:rsidR="00281F97" w:rsidRDefault="00765F6E" w:rsidP="00281F97">
      <w:pPr>
        <w:pStyle w:val="Caption0"/>
        <w:rPr>
          <w:color w:val="auto"/>
        </w:rPr>
      </w:pPr>
      <w:r>
        <w:rPr>
          <w:color w:val="auto"/>
        </w:rPr>
        <w:t xml:space="preserve">Table 10: Proportion of the ACT population with heart or vascular disease, including stroke </w:t>
      </w:r>
    </w:p>
    <w:tbl>
      <w:tblPr>
        <w:tblW w:w="9244" w:type="dxa"/>
        <w:tblBorders>
          <w:top w:val="single" w:sz="4" w:space="0" w:color="auto"/>
          <w:bottom w:val="single" w:sz="4" w:space="0" w:color="auto"/>
        </w:tblBorders>
        <w:tblLook w:val="01E0" w:firstRow="1" w:lastRow="1" w:firstColumn="1" w:lastColumn="1" w:noHBand="0" w:noVBand="0"/>
      </w:tblPr>
      <w:tblGrid>
        <w:gridCol w:w="4454"/>
        <w:gridCol w:w="1597"/>
        <w:gridCol w:w="1597"/>
        <w:gridCol w:w="1596"/>
      </w:tblGrid>
      <w:tr w:rsidR="00237D6F" w:rsidTr="00281F97">
        <w:trPr>
          <w:tblHeader/>
        </w:trPr>
        <w:tc>
          <w:tcPr>
            <w:tcW w:w="2409" w:type="pct"/>
            <w:tcBorders>
              <w:top w:val="single" w:sz="4" w:space="0" w:color="auto"/>
              <w:left w:val="nil"/>
              <w:bottom w:val="single" w:sz="4" w:space="0" w:color="auto"/>
              <w:right w:val="nil"/>
            </w:tcBorders>
            <w:hideMark/>
          </w:tcPr>
          <w:p w:rsidR="00281F97" w:rsidRDefault="00765F6E" w:rsidP="005A051A">
            <w:pPr>
              <w:pStyle w:val="BStabletextbold"/>
            </w:pPr>
            <w:r>
              <w:t xml:space="preserve">Strategic </w:t>
            </w:r>
            <w:r w:rsidR="005A051A">
              <w:t>I</w:t>
            </w:r>
            <w:r>
              <w:t>ndicator</w:t>
            </w:r>
          </w:p>
        </w:tc>
        <w:tc>
          <w:tcPr>
            <w:tcW w:w="864" w:type="pct"/>
            <w:tcBorders>
              <w:top w:val="single" w:sz="4" w:space="0" w:color="auto"/>
              <w:left w:val="nil"/>
              <w:bottom w:val="single" w:sz="4" w:space="0" w:color="auto"/>
              <w:right w:val="nil"/>
            </w:tcBorders>
            <w:hideMark/>
          </w:tcPr>
          <w:p w:rsidR="00281F97" w:rsidRDefault="00281F97">
            <w:pPr>
              <w:pStyle w:val="Normal3"/>
            </w:pPr>
          </w:p>
        </w:tc>
        <w:tc>
          <w:tcPr>
            <w:tcW w:w="864" w:type="pct"/>
            <w:tcBorders>
              <w:top w:val="single" w:sz="4" w:space="0" w:color="auto"/>
              <w:left w:val="nil"/>
              <w:bottom w:val="single" w:sz="4" w:space="0" w:color="auto"/>
              <w:right w:val="nil"/>
            </w:tcBorders>
            <w:hideMark/>
          </w:tcPr>
          <w:p w:rsidR="00281F97" w:rsidRDefault="005A051A" w:rsidP="00281F97">
            <w:pPr>
              <w:pStyle w:val="BStablefiguresbold"/>
            </w:pPr>
            <w:r>
              <w:t>ACT R</w:t>
            </w:r>
            <w:r w:rsidR="00765F6E">
              <w:t>ate</w:t>
            </w:r>
          </w:p>
        </w:tc>
        <w:tc>
          <w:tcPr>
            <w:tcW w:w="863" w:type="pct"/>
            <w:tcBorders>
              <w:top w:val="single" w:sz="4" w:space="0" w:color="auto"/>
              <w:left w:val="nil"/>
              <w:bottom w:val="single" w:sz="4" w:space="0" w:color="auto"/>
              <w:right w:val="nil"/>
            </w:tcBorders>
            <w:hideMark/>
          </w:tcPr>
          <w:p w:rsidR="00281F97" w:rsidRDefault="00765F6E" w:rsidP="005A051A">
            <w:pPr>
              <w:pStyle w:val="BStablefiguresbold"/>
            </w:pPr>
            <w:r>
              <w:t xml:space="preserve">National </w:t>
            </w:r>
            <w:r w:rsidR="005A051A">
              <w:t>R</w:t>
            </w:r>
            <w:r>
              <w:t>ate</w:t>
            </w:r>
          </w:p>
        </w:tc>
      </w:tr>
      <w:tr w:rsidR="00237D6F" w:rsidTr="00031DE6">
        <w:tc>
          <w:tcPr>
            <w:tcW w:w="2409" w:type="pct"/>
            <w:tcBorders>
              <w:top w:val="single" w:sz="4" w:space="0" w:color="auto"/>
              <w:left w:val="nil"/>
              <w:bottom w:val="single" w:sz="4" w:space="0" w:color="auto"/>
              <w:right w:val="nil"/>
            </w:tcBorders>
            <w:hideMark/>
          </w:tcPr>
          <w:p w:rsidR="00281F97" w:rsidRDefault="00765F6E">
            <w:pPr>
              <w:pStyle w:val="BStabletext00"/>
              <w:rPr>
                <w:b/>
              </w:rPr>
            </w:pPr>
            <w:r>
              <w:t>Proportion of the population diagnosed with heart, or vascular disease, including st</w:t>
            </w:r>
            <w:r w:rsidR="001A19D5">
              <w:t>r</w:t>
            </w:r>
            <w:r>
              <w:t>oke</w:t>
            </w:r>
            <w:r>
              <w:rPr>
                <w:vertAlign w:val="superscript"/>
              </w:rPr>
              <w:t>1</w:t>
            </w:r>
          </w:p>
        </w:tc>
        <w:tc>
          <w:tcPr>
            <w:tcW w:w="864" w:type="pct"/>
            <w:tcBorders>
              <w:top w:val="single" w:sz="4" w:space="0" w:color="auto"/>
              <w:left w:val="nil"/>
              <w:bottom w:val="single" w:sz="4" w:space="0" w:color="auto"/>
              <w:right w:val="nil"/>
            </w:tcBorders>
          </w:tcPr>
          <w:p w:rsidR="00281F97" w:rsidRDefault="00281F97">
            <w:pPr>
              <w:pStyle w:val="Normal010"/>
              <w:spacing w:before="0" w:after="0"/>
              <w:ind w:left="227" w:hanging="227"/>
              <w:rPr>
                <w:sz w:val="18"/>
                <w:szCs w:val="18"/>
                <w:lang w:eastAsia="en-AU"/>
              </w:rPr>
            </w:pPr>
          </w:p>
        </w:tc>
        <w:tc>
          <w:tcPr>
            <w:tcW w:w="864" w:type="pct"/>
            <w:tcBorders>
              <w:top w:val="single" w:sz="4" w:space="0" w:color="auto"/>
              <w:left w:val="nil"/>
              <w:bottom w:val="single" w:sz="4" w:space="0" w:color="auto"/>
              <w:right w:val="nil"/>
            </w:tcBorders>
            <w:hideMark/>
          </w:tcPr>
          <w:p w:rsidR="00281F97" w:rsidRDefault="00765F6E">
            <w:pPr>
              <w:pStyle w:val="BStablefigures00"/>
            </w:pPr>
            <w:r>
              <w:t>3.9%</w:t>
            </w:r>
          </w:p>
        </w:tc>
        <w:tc>
          <w:tcPr>
            <w:tcW w:w="863" w:type="pct"/>
            <w:tcBorders>
              <w:top w:val="single" w:sz="4" w:space="0" w:color="auto"/>
              <w:left w:val="nil"/>
              <w:bottom w:val="single" w:sz="4" w:space="0" w:color="auto"/>
              <w:right w:val="nil"/>
            </w:tcBorders>
            <w:hideMark/>
          </w:tcPr>
          <w:p w:rsidR="00281F97" w:rsidRDefault="00765F6E">
            <w:pPr>
              <w:pStyle w:val="BStablefigures00"/>
            </w:pPr>
            <w:r>
              <w:t>4.7%</w:t>
            </w:r>
          </w:p>
        </w:tc>
      </w:tr>
    </w:tbl>
    <w:p w:rsidR="001311D3" w:rsidRDefault="001311D3" w:rsidP="00281F97">
      <w:pPr>
        <w:pStyle w:val="BSnoteslist0"/>
        <w:rPr>
          <w:i/>
          <w:sz w:val="16"/>
          <w:szCs w:val="16"/>
        </w:rPr>
      </w:pPr>
    </w:p>
    <w:p w:rsidR="00281F97" w:rsidRPr="001311D3" w:rsidRDefault="00765F6E" w:rsidP="00281F97">
      <w:pPr>
        <w:pStyle w:val="BSnoteslist0"/>
        <w:rPr>
          <w:i/>
          <w:sz w:val="16"/>
          <w:szCs w:val="16"/>
        </w:rPr>
      </w:pPr>
      <w:r w:rsidRPr="001311D3">
        <w:rPr>
          <w:i/>
          <w:sz w:val="16"/>
          <w:szCs w:val="16"/>
        </w:rPr>
        <w:t>Source:  Australian Bureau of Statistics 2015 National Health Survey: First Results, 2014–15. Cat no. 4364.0.55.001. ABS, Canberra.</w:t>
      </w:r>
    </w:p>
    <w:p w:rsidR="00281F97" w:rsidRPr="002B2ACB" w:rsidRDefault="00765F6E" w:rsidP="00281F97">
      <w:pPr>
        <w:pStyle w:val="BSnote"/>
      </w:pPr>
      <w:r w:rsidRPr="002B2ACB">
        <w:t xml:space="preserve">Note: </w:t>
      </w:r>
    </w:p>
    <w:p w:rsidR="00281F97" w:rsidRPr="000B6817" w:rsidRDefault="00765F6E" w:rsidP="00CA0839">
      <w:pPr>
        <w:pStyle w:val="BSnoteslist1"/>
        <w:numPr>
          <w:ilvl w:val="0"/>
          <w:numId w:val="14"/>
        </w:numPr>
      </w:pPr>
      <w:r w:rsidRPr="000B6817">
        <w:t xml:space="preserve">The measure of heart or vascular disease includes angina, heart attack, other ischaemic heart diseases, stroke, other cerebrovascular diseases, oedema, heart failure, diseases of the arteries, arterioles and capillaries. </w:t>
      </w:r>
    </w:p>
    <w:p w:rsidR="00281F97" w:rsidRDefault="005426F3" w:rsidP="00281F97">
      <w:pPr>
        <w:pStyle w:val="Heading3"/>
        <w:rPr>
          <w:color w:val="FF0000"/>
        </w:rPr>
      </w:pPr>
      <w:bookmarkStart w:id="60" w:name="_Toc484069671"/>
      <w:bookmarkStart w:id="61" w:name="_Toc483919424"/>
      <w:bookmarkStart w:id="62" w:name="_Toc483560930"/>
      <w:bookmarkStart w:id="63" w:name="_Toc483492148"/>
      <w:bookmarkStart w:id="64" w:name="_Toc514764114"/>
      <w:bookmarkStart w:id="65" w:name="_Toc514765742"/>
      <w:bookmarkStart w:id="66" w:name="_Toc514832366"/>
      <w:bookmarkStart w:id="67" w:name="_Toc514832549"/>
      <w:r>
        <w:t>Strategic O</w:t>
      </w:r>
      <w:r w:rsidR="00765F6E">
        <w:t>bjective 10</w:t>
      </w:r>
      <w:bookmarkEnd w:id="60"/>
      <w:bookmarkEnd w:id="61"/>
      <w:bookmarkEnd w:id="62"/>
      <w:bookmarkEnd w:id="63"/>
      <w:bookmarkEnd w:id="64"/>
      <w:bookmarkEnd w:id="65"/>
      <w:bookmarkEnd w:id="66"/>
      <w:bookmarkEnd w:id="67"/>
      <w:r w:rsidR="00765F6E">
        <w:t xml:space="preserve"> </w:t>
      </w:r>
    </w:p>
    <w:p w:rsidR="00281F97" w:rsidRDefault="00765F6E" w:rsidP="00281F97">
      <w:pPr>
        <w:pStyle w:val="Heading4"/>
      </w:pPr>
      <w:r>
        <w:t xml:space="preserve">Lower </w:t>
      </w:r>
      <w:r w:rsidR="005426F3">
        <w:t>Prevalence of Overweight and O</w:t>
      </w:r>
      <w:r>
        <w:t xml:space="preserve">bese </w:t>
      </w:r>
      <w:r w:rsidR="005426F3">
        <w:t>P</w:t>
      </w:r>
      <w:r>
        <w:t xml:space="preserve">eople </w:t>
      </w:r>
    </w:p>
    <w:p w:rsidR="00281F97" w:rsidRDefault="00765F6E" w:rsidP="00281F97">
      <w:pPr>
        <w:pStyle w:val="Normal010"/>
        <w:rPr>
          <w:kern w:val="28"/>
        </w:rPr>
      </w:pPr>
      <w:r>
        <w:rPr>
          <w:b/>
        </w:rPr>
        <w:t xml:space="preserve">Strategic </w:t>
      </w:r>
      <w:r w:rsidR="005426F3">
        <w:rPr>
          <w:b/>
        </w:rPr>
        <w:t>I</w:t>
      </w:r>
      <w:r>
        <w:rPr>
          <w:b/>
        </w:rPr>
        <w:t>ndicator 10:</w:t>
      </w:r>
      <w:r>
        <w:t xml:space="preserve"> </w:t>
      </w:r>
      <w:r>
        <w:rPr>
          <w:kern w:val="28"/>
        </w:rPr>
        <w:t>The proportion of the ACT population that are overweight and obese</w:t>
      </w:r>
    </w:p>
    <w:p w:rsidR="00281F97" w:rsidRDefault="00765F6E" w:rsidP="00281F97">
      <w:pPr>
        <w:pStyle w:val="Normal010"/>
        <w:rPr>
          <w:szCs w:val="24"/>
        </w:rPr>
      </w:pPr>
      <w:r>
        <w:rPr>
          <w:szCs w:val="24"/>
        </w:rPr>
        <w:t xml:space="preserve">This indicator provides a marker of the success of healthy weight initiatives.  Being overweight or obese is the most significant risk factor leading to Type 2 diabetes.  </w:t>
      </w:r>
    </w:p>
    <w:p w:rsidR="00281F97" w:rsidRDefault="00765F6E" w:rsidP="00281F97">
      <w:pPr>
        <w:pStyle w:val="Caption0"/>
        <w:rPr>
          <w:color w:val="auto"/>
        </w:rPr>
      </w:pPr>
      <w:r>
        <w:rPr>
          <w:color w:val="auto"/>
        </w:rPr>
        <w:t xml:space="preserve">Table 11: </w:t>
      </w:r>
      <w:r>
        <w:rPr>
          <w:color w:val="auto"/>
          <w:kern w:val="28"/>
        </w:rPr>
        <w:t>Proportion of the ACT population that are overweight and obese</w:t>
      </w:r>
    </w:p>
    <w:tbl>
      <w:tblPr>
        <w:tblW w:w="0" w:type="dxa"/>
        <w:tblInd w:w="113" w:type="dxa"/>
        <w:tblLayout w:type="fixed"/>
        <w:tblLook w:val="04A0" w:firstRow="1" w:lastRow="0" w:firstColumn="1" w:lastColumn="0" w:noHBand="0" w:noVBand="1"/>
      </w:tblPr>
      <w:tblGrid>
        <w:gridCol w:w="6215"/>
        <w:gridCol w:w="1434"/>
        <w:gridCol w:w="1451"/>
      </w:tblGrid>
      <w:tr w:rsidR="00237D6F" w:rsidTr="00281F97">
        <w:trPr>
          <w:cantSplit/>
        </w:trPr>
        <w:tc>
          <w:tcPr>
            <w:tcW w:w="6215" w:type="dxa"/>
            <w:tcBorders>
              <w:top w:val="single" w:sz="4" w:space="0" w:color="auto"/>
              <w:left w:val="nil"/>
              <w:bottom w:val="single" w:sz="4" w:space="0" w:color="auto"/>
              <w:right w:val="nil"/>
            </w:tcBorders>
            <w:vAlign w:val="bottom"/>
            <w:hideMark/>
          </w:tcPr>
          <w:p w:rsidR="00281F97" w:rsidRDefault="00765F6E" w:rsidP="005A051A">
            <w:pPr>
              <w:pStyle w:val="BStabletextbold"/>
            </w:pPr>
            <w:r>
              <w:t xml:space="preserve">Strategic </w:t>
            </w:r>
            <w:r w:rsidR="005A051A">
              <w:t>I</w:t>
            </w:r>
            <w:r>
              <w:t>ndicator</w:t>
            </w:r>
          </w:p>
        </w:tc>
        <w:tc>
          <w:tcPr>
            <w:tcW w:w="1434" w:type="dxa"/>
            <w:tcBorders>
              <w:top w:val="single" w:sz="4" w:space="0" w:color="auto"/>
              <w:left w:val="nil"/>
              <w:bottom w:val="single" w:sz="4" w:space="0" w:color="auto"/>
              <w:right w:val="nil"/>
            </w:tcBorders>
            <w:vAlign w:val="bottom"/>
            <w:hideMark/>
          </w:tcPr>
          <w:p w:rsidR="00281F97" w:rsidRDefault="00765F6E" w:rsidP="00281F97">
            <w:pPr>
              <w:pStyle w:val="BStablefiguresbold"/>
            </w:pPr>
            <w:r>
              <w:t>Rate</w:t>
            </w:r>
          </w:p>
        </w:tc>
        <w:tc>
          <w:tcPr>
            <w:tcW w:w="1451" w:type="dxa"/>
            <w:tcBorders>
              <w:top w:val="single" w:sz="4" w:space="0" w:color="auto"/>
              <w:left w:val="nil"/>
              <w:bottom w:val="single" w:sz="4" w:space="0" w:color="auto"/>
              <w:right w:val="nil"/>
            </w:tcBorders>
            <w:vAlign w:val="bottom"/>
            <w:hideMark/>
          </w:tcPr>
          <w:p w:rsidR="00281F97" w:rsidRDefault="005A051A" w:rsidP="00281F97">
            <w:pPr>
              <w:pStyle w:val="BStablefiguresbold"/>
            </w:pPr>
            <w:r>
              <w:t>2018–19 T</w:t>
            </w:r>
            <w:r w:rsidR="00765F6E">
              <w:t>arget</w:t>
            </w:r>
          </w:p>
        </w:tc>
      </w:tr>
      <w:tr w:rsidR="00237D6F" w:rsidTr="00281F97">
        <w:trPr>
          <w:cantSplit/>
        </w:trPr>
        <w:tc>
          <w:tcPr>
            <w:tcW w:w="6215" w:type="dxa"/>
            <w:tcBorders>
              <w:top w:val="single" w:sz="4" w:space="0" w:color="auto"/>
              <w:left w:val="nil"/>
              <w:bottom w:val="single" w:sz="4" w:space="0" w:color="auto"/>
              <w:right w:val="nil"/>
            </w:tcBorders>
            <w:hideMark/>
          </w:tcPr>
          <w:p w:rsidR="00281F97" w:rsidRDefault="00765F6E">
            <w:pPr>
              <w:pStyle w:val="BStabletext00"/>
              <w:rPr>
                <w:b/>
              </w:rPr>
            </w:pPr>
            <w:r>
              <w:t xml:space="preserve">ACT </w:t>
            </w:r>
          </w:p>
          <w:p w:rsidR="00281F97" w:rsidRDefault="00765F6E">
            <w:pPr>
              <w:pStyle w:val="BStabletext00"/>
              <w:rPr>
                <w:b/>
              </w:rPr>
            </w:pPr>
            <w:r>
              <w:t xml:space="preserve">National </w:t>
            </w:r>
          </w:p>
        </w:tc>
        <w:tc>
          <w:tcPr>
            <w:tcW w:w="1434" w:type="dxa"/>
            <w:tcBorders>
              <w:top w:val="single" w:sz="4" w:space="0" w:color="auto"/>
              <w:left w:val="nil"/>
              <w:bottom w:val="single" w:sz="4" w:space="0" w:color="auto"/>
              <w:right w:val="nil"/>
            </w:tcBorders>
            <w:vAlign w:val="bottom"/>
            <w:hideMark/>
          </w:tcPr>
          <w:p w:rsidR="00281F97" w:rsidRDefault="00765F6E">
            <w:pPr>
              <w:pStyle w:val="BStablefigures00"/>
            </w:pPr>
            <w:r>
              <w:t>63.5%</w:t>
            </w:r>
          </w:p>
          <w:p w:rsidR="00281F97" w:rsidRDefault="00765F6E">
            <w:pPr>
              <w:pStyle w:val="BStablefigures00"/>
            </w:pPr>
            <w:r>
              <w:t>62.8%</w:t>
            </w:r>
          </w:p>
        </w:tc>
        <w:tc>
          <w:tcPr>
            <w:tcW w:w="1451" w:type="dxa"/>
            <w:tcBorders>
              <w:top w:val="single" w:sz="4" w:space="0" w:color="auto"/>
              <w:left w:val="nil"/>
              <w:bottom w:val="single" w:sz="4" w:space="0" w:color="auto"/>
              <w:right w:val="nil"/>
            </w:tcBorders>
            <w:vAlign w:val="bottom"/>
            <w:hideMark/>
          </w:tcPr>
          <w:p w:rsidR="00281F97" w:rsidRDefault="00765F6E" w:rsidP="00281F97">
            <w:pPr>
              <w:pStyle w:val="BStablefigures00"/>
            </w:pPr>
            <w:r>
              <w:t>≤63.0%</w:t>
            </w:r>
          </w:p>
          <w:p w:rsidR="00281F97" w:rsidRDefault="00765F6E">
            <w:pPr>
              <w:pStyle w:val="BStablefigures00"/>
            </w:pPr>
            <w:r>
              <w:t>n/a</w:t>
            </w:r>
          </w:p>
        </w:tc>
      </w:tr>
    </w:tbl>
    <w:p w:rsidR="001311D3" w:rsidRDefault="001311D3" w:rsidP="00281F97">
      <w:pPr>
        <w:pStyle w:val="BSnoteslist0"/>
        <w:ind w:left="142"/>
        <w:rPr>
          <w:i/>
          <w:sz w:val="16"/>
          <w:szCs w:val="16"/>
        </w:rPr>
      </w:pPr>
    </w:p>
    <w:p w:rsidR="00281F97" w:rsidRPr="001311D3" w:rsidRDefault="00765F6E" w:rsidP="00281F97">
      <w:pPr>
        <w:pStyle w:val="BSnoteslist0"/>
        <w:ind w:left="142"/>
        <w:rPr>
          <w:i/>
          <w:sz w:val="16"/>
          <w:szCs w:val="16"/>
        </w:rPr>
      </w:pPr>
      <w:r w:rsidRPr="001311D3">
        <w:rPr>
          <w:i/>
          <w:sz w:val="16"/>
          <w:szCs w:val="16"/>
        </w:rPr>
        <w:t>Source:  Australian Bureau of Statistics 2015 National Health Survey: First Results, 2014–15. Cat no. 4364.0.55.001. ABS, Canberra.</w:t>
      </w:r>
    </w:p>
    <w:p w:rsidR="00281F97" w:rsidRDefault="00765F6E" w:rsidP="00281F97">
      <w:pPr>
        <w:pStyle w:val="Heading3"/>
      </w:pPr>
      <w:r>
        <w:rPr>
          <w:sz w:val="16"/>
          <w:szCs w:val="16"/>
        </w:rPr>
        <w:br w:type="column"/>
      </w:r>
      <w:bookmarkStart w:id="68" w:name="_Toc484069672"/>
      <w:bookmarkStart w:id="69" w:name="_Toc483919425"/>
      <w:bookmarkStart w:id="70" w:name="_Toc483560931"/>
      <w:bookmarkStart w:id="71" w:name="_Toc483492149"/>
      <w:bookmarkStart w:id="72" w:name="_Toc514764115"/>
      <w:bookmarkStart w:id="73" w:name="_Toc514765743"/>
      <w:bookmarkStart w:id="74" w:name="_Toc514832367"/>
      <w:bookmarkStart w:id="75" w:name="_Toc514832550"/>
      <w:r w:rsidR="001311D3">
        <w:lastRenderedPageBreak/>
        <w:t>Strategic O</w:t>
      </w:r>
      <w:r>
        <w:t>bjective 11</w:t>
      </w:r>
      <w:bookmarkEnd w:id="68"/>
      <w:bookmarkEnd w:id="69"/>
      <w:bookmarkEnd w:id="70"/>
      <w:bookmarkEnd w:id="71"/>
      <w:bookmarkEnd w:id="72"/>
      <w:bookmarkEnd w:id="73"/>
      <w:bookmarkEnd w:id="74"/>
      <w:bookmarkEnd w:id="75"/>
      <w:r>
        <w:t xml:space="preserve"> </w:t>
      </w:r>
    </w:p>
    <w:p w:rsidR="00281F97" w:rsidRDefault="001311D3" w:rsidP="00281F97">
      <w:pPr>
        <w:pStyle w:val="Heading4"/>
      </w:pPr>
      <w:r>
        <w:t>Addressing G</w:t>
      </w:r>
      <w:r w:rsidR="00765F6E">
        <w:t xml:space="preserve">aps in Aboriginal and Torres Strait Islander </w:t>
      </w:r>
      <w:r>
        <w:t>I</w:t>
      </w:r>
      <w:r w:rsidR="00765F6E">
        <w:t xml:space="preserve">mmunisation </w:t>
      </w:r>
      <w:r>
        <w:t>S</w:t>
      </w:r>
      <w:r w:rsidR="00765F6E">
        <w:t>tatus</w:t>
      </w:r>
    </w:p>
    <w:p w:rsidR="00281F97" w:rsidRDefault="001311D3" w:rsidP="00281F97">
      <w:pPr>
        <w:pStyle w:val="Normal010"/>
        <w:rPr>
          <w:kern w:val="28"/>
        </w:rPr>
      </w:pPr>
      <w:r>
        <w:rPr>
          <w:b/>
        </w:rPr>
        <w:t>Strategic I</w:t>
      </w:r>
      <w:r w:rsidR="00765F6E">
        <w:rPr>
          <w:b/>
        </w:rPr>
        <w:t>ndicator 11:</w:t>
      </w:r>
      <w:r w:rsidR="00765F6E">
        <w:t xml:space="preserve"> </w:t>
      </w:r>
      <w:r w:rsidR="00765F6E">
        <w:rPr>
          <w:kern w:val="28"/>
        </w:rPr>
        <w:t>Immunisation rates—ACT Aboriginal and Torres Strait Islander population</w:t>
      </w:r>
    </w:p>
    <w:p w:rsidR="00281F97" w:rsidRDefault="00765F6E" w:rsidP="00281F97">
      <w:pPr>
        <w:pStyle w:val="Normal010"/>
      </w:pPr>
      <w:r>
        <w:t xml:space="preserve">The immunisation rate provides an indication of the success of programs and services to minimise the incidence of vaccine preventable diseases. </w:t>
      </w:r>
      <w:r w:rsidR="00EA194A">
        <w:t xml:space="preserve"> </w:t>
      </w:r>
      <w:r>
        <w:t>The Aboriginal and Torres Strait Islander population is at higher risk of vaccine</w:t>
      </w:r>
      <w:r w:rsidR="001A19D5">
        <w:t xml:space="preserve"> </w:t>
      </w:r>
      <w:r>
        <w:t xml:space="preserve">preventable diseases and associated complications. </w:t>
      </w:r>
      <w:r w:rsidR="00EA194A">
        <w:t xml:space="preserve"> </w:t>
      </w:r>
      <w:r>
        <w:t>Although immunisation coverage rates for Aboriginal and Torres Strait Islander people fluctuate quarterly, annualised data indicates numbers are similar to the non-indigenous population.</w:t>
      </w:r>
    </w:p>
    <w:p w:rsidR="00281F97" w:rsidRDefault="00765F6E" w:rsidP="00281F97">
      <w:pPr>
        <w:pStyle w:val="Caption0"/>
        <w:rPr>
          <w:color w:val="auto"/>
        </w:rPr>
      </w:pPr>
      <w:r>
        <w:rPr>
          <w:color w:val="auto"/>
        </w:rPr>
        <w:t xml:space="preserve">Table 12: </w:t>
      </w:r>
      <w:r>
        <w:rPr>
          <w:color w:val="auto"/>
          <w:kern w:val="28"/>
        </w:rPr>
        <w:t>Immunisation rates—ACT Aboriginal and Torres Strait Islander population</w:t>
      </w:r>
    </w:p>
    <w:tbl>
      <w:tblPr>
        <w:tblW w:w="0" w:type="dxa"/>
        <w:tblInd w:w="108" w:type="dxa"/>
        <w:tblLayout w:type="fixed"/>
        <w:tblLook w:val="04A0" w:firstRow="1" w:lastRow="0" w:firstColumn="1" w:lastColumn="0" w:noHBand="0" w:noVBand="1"/>
      </w:tblPr>
      <w:tblGrid>
        <w:gridCol w:w="4848"/>
        <w:gridCol w:w="1424"/>
        <w:gridCol w:w="1424"/>
        <w:gridCol w:w="1424"/>
      </w:tblGrid>
      <w:tr w:rsidR="00237D6F" w:rsidTr="00281F97">
        <w:trPr>
          <w:trHeight w:val="147"/>
        </w:trPr>
        <w:tc>
          <w:tcPr>
            <w:tcW w:w="4848" w:type="dxa"/>
            <w:vMerge w:val="restart"/>
            <w:tcBorders>
              <w:top w:val="single" w:sz="4" w:space="0" w:color="auto"/>
              <w:left w:val="nil"/>
              <w:bottom w:val="single" w:sz="4" w:space="0" w:color="auto"/>
              <w:right w:val="nil"/>
            </w:tcBorders>
            <w:vAlign w:val="bottom"/>
            <w:hideMark/>
          </w:tcPr>
          <w:p w:rsidR="00281F97" w:rsidRDefault="005A051A" w:rsidP="00281F97">
            <w:pPr>
              <w:pStyle w:val="BStabletextbold"/>
            </w:pPr>
            <w:r>
              <w:t>Strategic I</w:t>
            </w:r>
            <w:r w:rsidR="00765F6E">
              <w:t>ndicator</w:t>
            </w:r>
          </w:p>
        </w:tc>
        <w:tc>
          <w:tcPr>
            <w:tcW w:w="1424" w:type="dxa"/>
            <w:tcBorders>
              <w:top w:val="single" w:sz="4" w:space="0" w:color="auto"/>
              <w:left w:val="nil"/>
              <w:bottom w:val="nil"/>
              <w:right w:val="nil"/>
            </w:tcBorders>
            <w:hideMark/>
          </w:tcPr>
          <w:p w:rsidR="00281F97" w:rsidRDefault="00765F6E" w:rsidP="00281F97">
            <w:pPr>
              <w:pStyle w:val="BStablefiguresbold"/>
            </w:pPr>
            <w:r>
              <w:t>2017–18</w:t>
            </w:r>
          </w:p>
        </w:tc>
        <w:tc>
          <w:tcPr>
            <w:tcW w:w="1424" w:type="dxa"/>
            <w:tcBorders>
              <w:top w:val="single" w:sz="4" w:space="0" w:color="auto"/>
              <w:left w:val="nil"/>
              <w:bottom w:val="nil"/>
              <w:right w:val="nil"/>
            </w:tcBorders>
            <w:hideMark/>
          </w:tcPr>
          <w:p w:rsidR="00281F97" w:rsidRDefault="00765F6E" w:rsidP="00281F97">
            <w:pPr>
              <w:pStyle w:val="BStablefiguresbold"/>
            </w:pPr>
            <w:r>
              <w:t>2017–18</w:t>
            </w:r>
          </w:p>
        </w:tc>
        <w:tc>
          <w:tcPr>
            <w:tcW w:w="1424" w:type="dxa"/>
            <w:tcBorders>
              <w:top w:val="single" w:sz="4" w:space="0" w:color="auto"/>
              <w:left w:val="nil"/>
              <w:bottom w:val="nil"/>
              <w:right w:val="nil"/>
            </w:tcBorders>
            <w:hideMark/>
          </w:tcPr>
          <w:p w:rsidR="00281F97" w:rsidRDefault="00765F6E" w:rsidP="00281F97">
            <w:pPr>
              <w:pStyle w:val="BStablefiguresbold"/>
            </w:pPr>
            <w:r>
              <w:t>2018–19</w:t>
            </w:r>
          </w:p>
        </w:tc>
      </w:tr>
      <w:tr w:rsidR="00237D6F" w:rsidTr="00281F97">
        <w:trPr>
          <w:trHeight w:val="263"/>
        </w:trPr>
        <w:tc>
          <w:tcPr>
            <w:tcW w:w="4848" w:type="dxa"/>
            <w:vMerge/>
            <w:tcBorders>
              <w:top w:val="single" w:sz="4" w:space="0" w:color="auto"/>
              <w:left w:val="nil"/>
              <w:bottom w:val="single" w:sz="4" w:space="0" w:color="auto"/>
              <w:right w:val="nil"/>
            </w:tcBorders>
            <w:vAlign w:val="center"/>
            <w:hideMark/>
          </w:tcPr>
          <w:p w:rsidR="00281F97" w:rsidRDefault="00281F97">
            <w:pPr>
              <w:pStyle w:val="Normal3"/>
              <w:spacing w:before="0" w:after="0"/>
              <w:rPr>
                <w:b/>
                <w:bCs/>
                <w:sz w:val="20"/>
                <w:lang w:eastAsia="en-AU"/>
              </w:rPr>
            </w:pPr>
          </w:p>
        </w:tc>
        <w:tc>
          <w:tcPr>
            <w:tcW w:w="1424" w:type="dxa"/>
            <w:tcBorders>
              <w:top w:val="nil"/>
              <w:left w:val="nil"/>
              <w:bottom w:val="single" w:sz="4" w:space="0" w:color="auto"/>
              <w:right w:val="nil"/>
            </w:tcBorders>
            <w:hideMark/>
          </w:tcPr>
          <w:p w:rsidR="00281F97" w:rsidRDefault="005A051A" w:rsidP="00281F97">
            <w:pPr>
              <w:pStyle w:val="BStablefiguresbold"/>
            </w:pPr>
            <w:r>
              <w:t>T</w:t>
            </w:r>
            <w:r w:rsidR="00765F6E">
              <w:t>arget</w:t>
            </w:r>
          </w:p>
        </w:tc>
        <w:tc>
          <w:tcPr>
            <w:tcW w:w="1424" w:type="dxa"/>
            <w:tcBorders>
              <w:top w:val="nil"/>
              <w:left w:val="nil"/>
              <w:bottom w:val="single" w:sz="4" w:space="0" w:color="auto"/>
              <w:right w:val="nil"/>
            </w:tcBorders>
            <w:hideMark/>
          </w:tcPr>
          <w:p w:rsidR="00281F97" w:rsidRDefault="005A051A" w:rsidP="00281F97">
            <w:pPr>
              <w:pStyle w:val="BStablefiguresbold"/>
            </w:pPr>
            <w:r>
              <w:t>Est. O</w:t>
            </w:r>
            <w:r w:rsidR="00765F6E">
              <w:t>utcome</w:t>
            </w:r>
            <w:r w:rsidR="00765F6E">
              <w:rPr>
                <w:vertAlign w:val="superscript"/>
              </w:rPr>
              <w:t>1</w:t>
            </w:r>
          </w:p>
        </w:tc>
        <w:tc>
          <w:tcPr>
            <w:tcW w:w="1424" w:type="dxa"/>
            <w:tcBorders>
              <w:top w:val="nil"/>
              <w:left w:val="nil"/>
              <w:bottom w:val="single" w:sz="4" w:space="0" w:color="auto"/>
              <w:right w:val="nil"/>
            </w:tcBorders>
            <w:hideMark/>
          </w:tcPr>
          <w:p w:rsidR="00281F97" w:rsidRDefault="005A051A" w:rsidP="00281F97">
            <w:pPr>
              <w:pStyle w:val="BStablefiguresbold"/>
            </w:pPr>
            <w:r>
              <w:t>T</w:t>
            </w:r>
            <w:r w:rsidR="00765F6E">
              <w:t>arget</w:t>
            </w:r>
          </w:p>
        </w:tc>
      </w:tr>
      <w:tr w:rsidR="00237D6F" w:rsidTr="00281F97">
        <w:trPr>
          <w:trHeight w:val="233"/>
        </w:trPr>
        <w:tc>
          <w:tcPr>
            <w:tcW w:w="4848" w:type="dxa"/>
            <w:tcBorders>
              <w:top w:val="single" w:sz="4" w:space="0" w:color="auto"/>
              <w:left w:val="nil"/>
              <w:bottom w:val="nil"/>
              <w:right w:val="nil"/>
            </w:tcBorders>
            <w:hideMark/>
          </w:tcPr>
          <w:p w:rsidR="00281F97" w:rsidRDefault="00765F6E">
            <w:pPr>
              <w:pStyle w:val="BStabletext00"/>
              <w:rPr>
                <w:b/>
              </w:rPr>
            </w:pPr>
            <w:r>
              <w:t>Immunisation rates for vaccines in the national schedule for the ACT Indigenous population:</w:t>
            </w:r>
          </w:p>
        </w:tc>
        <w:tc>
          <w:tcPr>
            <w:tcW w:w="1424" w:type="dxa"/>
            <w:tcBorders>
              <w:top w:val="single" w:sz="4" w:space="0" w:color="auto"/>
              <w:left w:val="nil"/>
              <w:bottom w:val="nil"/>
              <w:right w:val="nil"/>
            </w:tcBorders>
          </w:tcPr>
          <w:p w:rsidR="00281F97" w:rsidRDefault="00281F97">
            <w:pPr>
              <w:pStyle w:val="Normal010"/>
              <w:spacing w:before="0" w:after="0"/>
              <w:ind w:left="227" w:hanging="227"/>
              <w:rPr>
                <w:b/>
                <w:sz w:val="20"/>
                <w:lang w:eastAsia="en-AU"/>
              </w:rPr>
            </w:pPr>
          </w:p>
        </w:tc>
        <w:tc>
          <w:tcPr>
            <w:tcW w:w="1424" w:type="dxa"/>
            <w:tcBorders>
              <w:top w:val="single" w:sz="4" w:space="0" w:color="auto"/>
              <w:left w:val="nil"/>
              <w:bottom w:val="nil"/>
              <w:right w:val="nil"/>
            </w:tcBorders>
          </w:tcPr>
          <w:p w:rsidR="00281F97" w:rsidRDefault="00281F97">
            <w:pPr>
              <w:pStyle w:val="Normal010"/>
              <w:spacing w:before="0" w:after="0"/>
              <w:ind w:left="227" w:hanging="227"/>
              <w:rPr>
                <w:b/>
                <w:sz w:val="20"/>
                <w:lang w:eastAsia="en-AU"/>
              </w:rPr>
            </w:pPr>
          </w:p>
        </w:tc>
        <w:tc>
          <w:tcPr>
            <w:tcW w:w="1424" w:type="dxa"/>
            <w:tcBorders>
              <w:top w:val="single" w:sz="4" w:space="0" w:color="auto"/>
              <w:left w:val="nil"/>
              <w:bottom w:val="nil"/>
              <w:right w:val="nil"/>
            </w:tcBorders>
          </w:tcPr>
          <w:p w:rsidR="00281F97" w:rsidRDefault="00281F97">
            <w:pPr>
              <w:pStyle w:val="Normal010"/>
              <w:spacing w:before="0" w:after="0"/>
              <w:ind w:left="227" w:hanging="227"/>
              <w:rPr>
                <w:b/>
                <w:sz w:val="20"/>
                <w:lang w:eastAsia="en-AU"/>
              </w:rPr>
            </w:pPr>
          </w:p>
        </w:tc>
      </w:tr>
      <w:tr w:rsidR="00237D6F" w:rsidTr="00281F97">
        <w:trPr>
          <w:trHeight w:val="233"/>
        </w:trPr>
        <w:tc>
          <w:tcPr>
            <w:tcW w:w="4848" w:type="dxa"/>
            <w:hideMark/>
          </w:tcPr>
          <w:p w:rsidR="00281F97" w:rsidRDefault="00765F6E">
            <w:pPr>
              <w:pStyle w:val="BStabletext00"/>
              <w:ind w:left="210"/>
              <w:rPr>
                <w:b/>
              </w:rPr>
            </w:pPr>
            <w:r>
              <w:t>12 to 15 months</w:t>
            </w:r>
          </w:p>
        </w:tc>
        <w:tc>
          <w:tcPr>
            <w:tcW w:w="1424" w:type="dxa"/>
            <w:hideMark/>
          </w:tcPr>
          <w:p w:rsidR="00281F97" w:rsidRDefault="00765F6E">
            <w:pPr>
              <w:pStyle w:val="BStablefigures00"/>
            </w:pPr>
            <w:r>
              <w:t>≥95%</w:t>
            </w:r>
          </w:p>
        </w:tc>
        <w:tc>
          <w:tcPr>
            <w:tcW w:w="1424" w:type="dxa"/>
            <w:hideMark/>
          </w:tcPr>
          <w:p w:rsidR="00281F97" w:rsidRPr="00221674" w:rsidRDefault="00765F6E" w:rsidP="00281F97">
            <w:pPr>
              <w:pStyle w:val="BStablefigures0"/>
            </w:pPr>
            <w:r w:rsidRPr="00221674">
              <w:t>93%</w:t>
            </w:r>
          </w:p>
        </w:tc>
        <w:tc>
          <w:tcPr>
            <w:tcW w:w="1424" w:type="dxa"/>
            <w:hideMark/>
          </w:tcPr>
          <w:p w:rsidR="00281F97" w:rsidRPr="00221674" w:rsidRDefault="00765F6E" w:rsidP="00281F97">
            <w:pPr>
              <w:pStyle w:val="BStablefigures0"/>
              <w:rPr>
                <w:highlight w:val="yellow"/>
              </w:rPr>
            </w:pPr>
            <w:r w:rsidRPr="00221674">
              <w:t>≥95%</w:t>
            </w:r>
          </w:p>
        </w:tc>
      </w:tr>
      <w:tr w:rsidR="00237D6F" w:rsidTr="00281F97">
        <w:trPr>
          <w:trHeight w:val="233"/>
        </w:trPr>
        <w:tc>
          <w:tcPr>
            <w:tcW w:w="4848" w:type="dxa"/>
            <w:hideMark/>
          </w:tcPr>
          <w:p w:rsidR="00281F97" w:rsidRDefault="00765F6E">
            <w:pPr>
              <w:pStyle w:val="BStabletext00"/>
              <w:ind w:left="210"/>
            </w:pPr>
            <w:r>
              <w:t>24 to 27 months</w:t>
            </w:r>
          </w:p>
        </w:tc>
        <w:tc>
          <w:tcPr>
            <w:tcW w:w="1424" w:type="dxa"/>
            <w:hideMark/>
          </w:tcPr>
          <w:p w:rsidR="00281F97" w:rsidRDefault="00765F6E">
            <w:pPr>
              <w:pStyle w:val="BStablefigures00"/>
            </w:pPr>
            <w:r>
              <w:t>≥95%</w:t>
            </w:r>
          </w:p>
        </w:tc>
        <w:tc>
          <w:tcPr>
            <w:tcW w:w="1424" w:type="dxa"/>
            <w:hideMark/>
          </w:tcPr>
          <w:p w:rsidR="00281F97" w:rsidRPr="00221674" w:rsidRDefault="00765F6E" w:rsidP="00281F97">
            <w:pPr>
              <w:pStyle w:val="BStablefigures0"/>
            </w:pPr>
            <w:r w:rsidRPr="00221674">
              <w:t>90%</w:t>
            </w:r>
          </w:p>
        </w:tc>
        <w:tc>
          <w:tcPr>
            <w:tcW w:w="1424" w:type="dxa"/>
            <w:hideMark/>
          </w:tcPr>
          <w:p w:rsidR="00281F97" w:rsidRPr="00221674" w:rsidRDefault="00765F6E" w:rsidP="00281F97">
            <w:pPr>
              <w:pStyle w:val="BStablefigures0"/>
              <w:rPr>
                <w:highlight w:val="yellow"/>
              </w:rPr>
            </w:pPr>
            <w:r w:rsidRPr="00221674">
              <w:t>≥95%</w:t>
            </w:r>
          </w:p>
        </w:tc>
      </w:tr>
      <w:tr w:rsidR="00237D6F" w:rsidTr="00281F97">
        <w:trPr>
          <w:trHeight w:val="233"/>
        </w:trPr>
        <w:tc>
          <w:tcPr>
            <w:tcW w:w="4848" w:type="dxa"/>
            <w:hideMark/>
          </w:tcPr>
          <w:p w:rsidR="00281F97" w:rsidRDefault="00765F6E">
            <w:pPr>
              <w:pStyle w:val="BStabletext00"/>
              <w:ind w:left="210"/>
            </w:pPr>
            <w:r>
              <w:t>60 to 63 months</w:t>
            </w:r>
          </w:p>
        </w:tc>
        <w:tc>
          <w:tcPr>
            <w:tcW w:w="1424" w:type="dxa"/>
            <w:hideMark/>
          </w:tcPr>
          <w:p w:rsidR="00281F97" w:rsidRDefault="00765F6E">
            <w:pPr>
              <w:pStyle w:val="BStablefigures00"/>
            </w:pPr>
            <w:r>
              <w:t>≥95%</w:t>
            </w:r>
          </w:p>
        </w:tc>
        <w:tc>
          <w:tcPr>
            <w:tcW w:w="1424" w:type="dxa"/>
            <w:hideMark/>
          </w:tcPr>
          <w:p w:rsidR="00281F97" w:rsidRPr="00221674" w:rsidRDefault="00765F6E" w:rsidP="00281F97">
            <w:pPr>
              <w:pStyle w:val="BStablefigures0"/>
            </w:pPr>
            <w:r w:rsidRPr="00221674">
              <w:t>96%</w:t>
            </w:r>
          </w:p>
        </w:tc>
        <w:tc>
          <w:tcPr>
            <w:tcW w:w="1424" w:type="dxa"/>
            <w:hideMark/>
          </w:tcPr>
          <w:p w:rsidR="00281F97" w:rsidRPr="00221674" w:rsidRDefault="00765F6E" w:rsidP="00281F97">
            <w:pPr>
              <w:pStyle w:val="BStablefigures0"/>
              <w:rPr>
                <w:highlight w:val="yellow"/>
              </w:rPr>
            </w:pPr>
            <w:r w:rsidRPr="00221674">
              <w:t>≥95%</w:t>
            </w:r>
          </w:p>
        </w:tc>
      </w:tr>
      <w:tr w:rsidR="00237D6F" w:rsidTr="00281F97">
        <w:trPr>
          <w:trHeight w:val="233"/>
        </w:trPr>
        <w:tc>
          <w:tcPr>
            <w:tcW w:w="4848" w:type="dxa"/>
            <w:tcBorders>
              <w:top w:val="nil"/>
              <w:left w:val="nil"/>
              <w:bottom w:val="single" w:sz="4" w:space="0" w:color="auto"/>
              <w:right w:val="nil"/>
            </w:tcBorders>
            <w:hideMark/>
          </w:tcPr>
          <w:p w:rsidR="00281F97" w:rsidRDefault="00765F6E">
            <w:pPr>
              <w:pStyle w:val="BStabletext00"/>
              <w:rPr>
                <w:b/>
              </w:rPr>
            </w:pPr>
            <w:r>
              <w:t>All</w:t>
            </w:r>
          </w:p>
        </w:tc>
        <w:tc>
          <w:tcPr>
            <w:tcW w:w="1424" w:type="dxa"/>
            <w:tcBorders>
              <w:top w:val="nil"/>
              <w:left w:val="nil"/>
              <w:bottom w:val="single" w:sz="4" w:space="0" w:color="auto"/>
              <w:right w:val="nil"/>
            </w:tcBorders>
            <w:hideMark/>
          </w:tcPr>
          <w:p w:rsidR="00281F97" w:rsidRDefault="00765F6E">
            <w:pPr>
              <w:pStyle w:val="BStablefigures00"/>
            </w:pPr>
            <w:r>
              <w:t>≥95%</w:t>
            </w:r>
          </w:p>
        </w:tc>
        <w:tc>
          <w:tcPr>
            <w:tcW w:w="1424" w:type="dxa"/>
            <w:tcBorders>
              <w:top w:val="nil"/>
              <w:left w:val="nil"/>
              <w:bottom w:val="single" w:sz="4" w:space="0" w:color="auto"/>
              <w:right w:val="nil"/>
            </w:tcBorders>
            <w:hideMark/>
          </w:tcPr>
          <w:p w:rsidR="00281F97" w:rsidRPr="00221674" w:rsidRDefault="00765F6E" w:rsidP="00281F97">
            <w:pPr>
              <w:pStyle w:val="BStablefigures0"/>
            </w:pPr>
            <w:r w:rsidRPr="00221674">
              <w:t>93%</w:t>
            </w:r>
          </w:p>
        </w:tc>
        <w:tc>
          <w:tcPr>
            <w:tcW w:w="1424" w:type="dxa"/>
            <w:tcBorders>
              <w:top w:val="nil"/>
              <w:left w:val="nil"/>
              <w:bottom w:val="single" w:sz="4" w:space="0" w:color="auto"/>
              <w:right w:val="nil"/>
            </w:tcBorders>
            <w:hideMark/>
          </w:tcPr>
          <w:p w:rsidR="00281F97" w:rsidRPr="00221674" w:rsidRDefault="00765F6E" w:rsidP="00281F97">
            <w:pPr>
              <w:pStyle w:val="BStablefigures0"/>
              <w:rPr>
                <w:highlight w:val="yellow"/>
              </w:rPr>
            </w:pPr>
            <w:r w:rsidRPr="00221674">
              <w:t>≥95%</w:t>
            </w:r>
          </w:p>
        </w:tc>
      </w:tr>
    </w:tbl>
    <w:p w:rsidR="00281F97" w:rsidRPr="002B2ACB" w:rsidRDefault="00765F6E" w:rsidP="00281F97">
      <w:pPr>
        <w:pStyle w:val="BSnote"/>
      </w:pPr>
      <w:r w:rsidRPr="002B2ACB">
        <w:t xml:space="preserve">Note: </w:t>
      </w:r>
    </w:p>
    <w:p w:rsidR="00281F97" w:rsidRPr="000B6817" w:rsidRDefault="00765F6E" w:rsidP="00CA0839">
      <w:pPr>
        <w:pStyle w:val="BSnoteslist1"/>
        <w:numPr>
          <w:ilvl w:val="0"/>
          <w:numId w:val="15"/>
        </w:numPr>
      </w:pPr>
      <w:r w:rsidRPr="000B6817">
        <w:t>The very low numbers of Aboriginal and Torres Strait Islander children in the ACT means that the ACT Aboriginal and Torres Strait Islander coverage data should be read with caution.  This small population can cause rate fluctuations.</w:t>
      </w:r>
    </w:p>
    <w:p w:rsidR="00281F97" w:rsidRDefault="00765F6E" w:rsidP="00281F97">
      <w:pPr>
        <w:pStyle w:val="Heading3"/>
        <w:rPr>
          <w:color w:val="FF0000"/>
          <w:sz w:val="22"/>
          <w:szCs w:val="22"/>
        </w:rPr>
      </w:pPr>
      <w:r>
        <w:t xml:space="preserve"> </w:t>
      </w:r>
      <w:bookmarkStart w:id="76" w:name="_Toc484069673"/>
      <w:bookmarkStart w:id="77" w:name="_Toc483919426"/>
      <w:bookmarkStart w:id="78" w:name="_Toc483560932"/>
      <w:bookmarkStart w:id="79" w:name="_Toc483492150"/>
      <w:bookmarkStart w:id="80" w:name="_Toc514764116"/>
      <w:bookmarkStart w:id="81" w:name="_Toc514765744"/>
      <w:bookmarkStart w:id="82" w:name="_Toc514832368"/>
      <w:bookmarkStart w:id="83" w:name="_Toc514832551"/>
      <w:r>
        <w:t xml:space="preserve">Strategic </w:t>
      </w:r>
      <w:r w:rsidR="001311D3">
        <w:t>O</w:t>
      </w:r>
      <w:r>
        <w:t>bjective 12</w:t>
      </w:r>
      <w:bookmarkEnd w:id="76"/>
      <w:bookmarkEnd w:id="77"/>
      <w:bookmarkEnd w:id="78"/>
      <w:bookmarkEnd w:id="79"/>
      <w:bookmarkEnd w:id="80"/>
      <w:bookmarkEnd w:id="81"/>
      <w:bookmarkEnd w:id="82"/>
      <w:bookmarkEnd w:id="83"/>
      <w:r>
        <w:t xml:space="preserve"> </w:t>
      </w:r>
    </w:p>
    <w:p w:rsidR="00281F97" w:rsidRDefault="001311D3" w:rsidP="00281F97">
      <w:pPr>
        <w:pStyle w:val="Heading4"/>
      </w:pPr>
      <w:r>
        <w:t>Higher Participation R</w:t>
      </w:r>
      <w:r w:rsidR="00765F6E">
        <w:t>ate in the Cervi</w:t>
      </w:r>
      <w:r>
        <w:t>cal Screening Program than the National A</w:t>
      </w:r>
      <w:r w:rsidR="00765F6E">
        <w:t>verage</w:t>
      </w:r>
    </w:p>
    <w:p w:rsidR="00281F97" w:rsidRDefault="00765F6E" w:rsidP="00281F97">
      <w:pPr>
        <w:pStyle w:val="Normal010"/>
      </w:pPr>
      <w:r>
        <w:rPr>
          <w:b/>
        </w:rPr>
        <w:t xml:space="preserve">Strategic </w:t>
      </w:r>
      <w:r w:rsidR="001311D3">
        <w:rPr>
          <w:b/>
        </w:rPr>
        <w:t>I</w:t>
      </w:r>
      <w:r>
        <w:rPr>
          <w:b/>
        </w:rPr>
        <w:t>ndicator 12:</w:t>
      </w:r>
      <w:r>
        <w:t xml:space="preserve"> </w:t>
      </w:r>
      <w:r>
        <w:rPr>
          <w:kern w:val="28"/>
        </w:rPr>
        <w:t>Two year participation rate in the Cervical Screening Program</w:t>
      </w:r>
    </w:p>
    <w:p w:rsidR="00281F97" w:rsidRDefault="00765F6E" w:rsidP="00281F97">
      <w:pPr>
        <w:pStyle w:val="Normal010"/>
      </w:pPr>
      <w:r>
        <w:t>The two year participation rate provides an indication of the effectiveness of early intervention health messages.  The ACT aims to exceed the national average for this indicator.</w:t>
      </w:r>
    </w:p>
    <w:p w:rsidR="00281F97" w:rsidRDefault="00765F6E" w:rsidP="00281F97">
      <w:pPr>
        <w:pStyle w:val="Caption0"/>
        <w:rPr>
          <w:color w:val="auto"/>
        </w:rPr>
      </w:pPr>
      <w:r>
        <w:rPr>
          <w:color w:val="auto"/>
        </w:rPr>
        <w:t>Table 13:</w:t>
      </w:r>
      <w:r>
        <w:rPr>
          <w:color w:val="auto"/>
          <w:kern w:val="28"/>
        </w:rPr>
        <w:t xml:space="preserve"> Two year participation rate in the Cervical Screening Program</w:t>
      </w:r>
    </w:p>
    <w:tbl>
      <w:tblPr>
        <w:tblW w:w="0" w:type="dxa"/>
        <w:tblInd w:w="113" w:type="dxa"/>
        <w:tblLayout w:type="fixed"/>
        <w:tblLook w:val="04A0" w:firstRow="1" w:lastRow="0" w:firstColumn="1" w:lastColumn="0" w:noHBand="0" w:noVBand="1"/>
      </w:tblPr>
      <w:tblGrid>
        <w:gridCol w:w="6354"/>
        <w:gridCol w:w="1435"/>
        <w:gridCol w:w="1452"/>
      </w:tblGrid>
      <w:tr w:rsidR="00237D6F" w:rsidTr="00281F97">
        <w:tc>
          <w:tcPr>
            <w:tcW w:w="6354" w:type="dxa"/>
            <w:tcBorders>
              <w:top w:val="single" w:sz="4" w:space="0" w:color="auto"/>
              <w:left w:val="nil"/>
              <w:bottom w:val="single" w:sz="4" w:space="0" w:color="auto"/>
              <w:right w:val="nil"/>
            </w:tcBorders>
            <w:hideMark/>
          </w:tcPr>
          <w:p w:rsidR="00281F97" w:rsidRDefault="005A051A" w:rsidP="00281F97">
            <w:pPr>
              <w:pStyle w:val="BStabletextbold"/>
            </w:pPr>
            <w:r>
              <w:t>Strategic I</w:t>
            </w:r>
            <w:r w:rsidR="00765F6E">
              <w:t>ndicator</w:t>
            </w:r>
          </w:p>
        </w:tc>
        <w:tc>
          <w:tcPr>
            <w:tcW w:w="1435" w:type="dxa"/>
            <w:tcBorders>
              <w:top w:val="single" w:sz="4" w:space="0" w:color="auto"/>
              <w:left w:val="nil"/>
              <w:bottom w:val="single" w:sz="4" w:space="0" w:color="auto"/>
              <w:right w:val="nil"/>
            </w:tcBorders>
            <w:hideMark/>
          </w:tcPr>
          <w:p w:rsidR="00281F97" w:rsidRDefault="005A051A" w:rsidP="00281F97">
            <w:pPr>
              <w:pStyle w:val="BStablefiguresbold"/>
            </w:pPr>
            <w:r>
              <w:t>ACT R</w:t>
            </w:r>
            <w:r w:rsidR="00765F6E">
              <w:t>ate</w:t>
            </w:r>
          </w:p>
        </w:tc>
        <w:tc>
          <w:tcPr>
            <w:tcW w:w="1452" w:type="dxa"/>
            <w:tcBorders>
              <w:top w:val="single" w:sz="4" w:space="0" w:color="auto"/>
              <w:left w:val="nil"/>
              <w:bottom w:val="single" w:sz="4" w:space="0" w:color="auto"/>
              <w:right w:val="nil"/>
            </w:tcBorders>
            <w:hideMark/>
          </w:tcPr>
          <w:p w:rsidR="00281F97" w:rsidRDefault="005A051A" w:rsidP="00281F97">
            <w:pPr>
              <w:pStyle w:val="BStablefiguresbold"/>
            </w:pPr>
            <w:r>
              <w:t>National R</w:t>
            </w:r>
            <w:r w:rsidR="00765F6E">
              <w:t>ate</w:t>
            </w:r>
          </w:p>
        </w:tc>
      </w:tr>
      <w:tr w:rsidR="00237D6F" w:rsidTr="00281F97">
        <w:tc>
          <w:tcPr>
            <w:tcW w:w="6354" w:type="dxa"/>
            <w:tcBorders>
              <w:top w:val="single" w:sz="4" w:space="0" w:color="auto"/>
              <w:left w:val="nil"/>
              <w:bottom w:val="single" w:sz="4" w:space="0" w:color="auto"/>
              <w:right w:val="nil"/>
            </w:tcBorders>
            <w:hideMark/>
          </w:tcPr>
          <w:p w:rsidR="00281F97" w:rsidRDefault="00765F6E">
            <w:pPr>
              <w:pStyle w:val="BStabletext00"/>
              <w:rPr>
                <w:b/>
              </w:rPr>
            </w:pPr>
            <w:r>
              <w:t>Two year participation rate</w:t>
            </w:r>
            <w:r>
              <w:rPr>
                <w:vertAlign w:val="superscript"/>
              </w:rPr>
              <w:t>1</w:t>
            </w:r>
          </w:p>
        </w:tc>
        <w:tc>
          <w:tcPr>
            <w:tcW w:w="1435" w:type="dxa"/>
            <w:tcBorders>
              <w:top w:val="single" w:sz="4" w:space="0" w:color="auto"/>
              <w:left w:val="nil"/>
              <w:bottom w:val="single" w:sz="4" w:space="0" w:color="auto"/>
              <w:right w:val="nil"/>
            </w:tcBorders>
            <w:hideMark/>
          </w:tcPr>
          <w:p w:rsidR="00281F97" w:rsidRDefault="00765F6E">
            <w:pPr>
              <w:pStyle w:val="BStablefigures00"/>
            </w:pPr>
            <w:r>
              <w:t>56.2%</w:t>
            </w:r>
          </w:p>
        </w:tc>
        <w:tc>
          <w:tcPr>
            <w:tcW w:w="1452" w:type="dxa"/>
            <w:tcBorders>
              <w:top w:val="single" w:sz="4" w:space="0" w:color="auto"/>
              <w:left w:val="nil"/>
              <w:bottom w:val="single" w:sz="4" w:space="0" w:color="auto"/>
              <w:right w:val="nil"/>
            </w:tcBorders>
            <w:hideMark/>
          </w:tcPr>
          <w:p w:rsidR="00281F97" w:rsidRDefault="00765F6E">
            <w:pPr>
              <w:pStyle w:val="BStablefigures00"/>
            </w:pPr>
            <w:r>
              <w:t>56.9%</w:t>
            </w:r>
          </w:p>
        </w:tc>
      </w:tr>
    </w:tbl>
    <w:p w:rsidR="001311D3" w:rsidRDefault="001311D3" w:rsidP="00281F97">
      <w:pPr>
        <w:pStyle w:val="BSnoteslist0"/>
        <w:ind w:left="142"/>
        <w:rPr>
          <w:i/>
          <w:sz w:val="16"/>
          <w:szCs w:val="16"/>
        </w:rPr>
      </w:pPr>
    </w:p>
    <w:p w:rsidR="00281F97" w:rsidRPr="001311D3" w:rsidRDefault="00765F6E" w:rsidP="00281F97">
      <w:pPr>
        <w:pStyle w:val="BSnoteslist0"/>
        <w:ind w:left="142"/>
        <w:rPr>
          <w:i/>
          <w:sz w:val="16"/>
          <w:szCs w:val="16"/>
        </w:rPr>
      </w:pPr>
      <w:r w:rsidRPr="001311D3">
        <w:rPr>
          <w:i/>
          <w:sz w:val="16"/>
          <w:szCs w:val="16"/>
        </w:rPr>
        <w:t>Source:  Cervical Screening in Australia 2014-15 (Published:  Australian Institute of Health and Welfare, 2017).</w:t>
      </w:r>
    </w:p>
    <w:p w:rsidR="00281F97" w:rsidRPr="002B2ACB" w:rsidRDefault="00765F6E" w:rsidP="00281F97">
      <w:pPr>
        <w:pStyle w:val="BSnote"/>
      </w:pPr>
      <w:r w:rsidRPr="002B2ACB">
        <w:t xml:space="preserve">Note: </w:t>
      </w:r>
    </w:p>
    <w:p w:rsidR="00281F97" w:rsidRPr="000B6817" w:rsidRDefault="00765F6E" w:rsidP="00CA0839">
      <w:pPr>
        <w:pStyle w:val="BSnoteslist1"/>
        <w:numPr>
          <w:ilvl w:val="0"/>
          <w:numId w:val="16"/>
        </w:numPr>
      </w:pPr>
      <w:r w:rsidRPr="000B6817">
        <w:t>This is the age standardised participati</w:t>
      </w:r>
      <w:r w:rsidR="001A19D5">
        <w:t>on rate for women aged between 5</w:t>
      </w:r>
      <w:r w:rsidRPr="000B6817">
        <w:t xml:space="preserve">0 and 69 years. </w:t>
      </w:r>
    </w:p>
    <w:p w:rsidR="00281F97" w:rsidRDefault="00765F6E" w:rsidP="00281F97">
      <w:pPr>
        <w:pStyle w:val="Heading3"/>
      </w:pPr>
      <w:r>
        <w:br w:type="column"/>
      </w:r>
      <w:bookmarkStart w:id="84" w:name="_Toc484069674"/>
      <w:bookmarkStart w:id="85" w:name="_Toc483919427"/>
      <w:bookmarkStart w:id="86" w:name="_Toc483560933"/>
      <w:bookmarkStart w:id="87" w:name="_Toc483492151"/>
      <w:bookmarkStart w:id="88" w:name="_Toc514764117"/>
      <w:bookmarkStart w:id="89" w:name="_Toc514765745"/>
      <w:bookmarkStart w:id="90" w:name="_Toc514832369"/>
      <w:bookmarkStart w:id="91" w:name="_Toc514832552"/>
      <w:r w:rsidR="001311D3">
        <w:lastRenderedPageBreak/>
        <w:t>Strategic O</w:t>
      </w:r>
      <w:r>
        <w:t>bjective 13</w:t>
      </w:r>
      <w:bookmarkEnd w:id="84"/>
      <w:bookmarkEnd w:id="85"/>
      <w:bookmarkEnd w:id="86"/>
      <w:bookmarkEnd w:id="87"/>
      <w:bookmarkEnd w:id="88"/>
      <w:bookmarkEnd w:id="89"/>
      <w:bookmarkEnd w:id="90"/>
      <w:bookmarkEnd w:id="91"/>
      <w:r>
        <w:t xml:space="preserve"> </w:t>
      </w:r>
    </w:p>
    <w:p w:rsidR="00281F97" w:rsidRDefault="001311D3" w:rsidP="00281F97">
      <w:pPr>
        <w:pStyle w:val="Heading4"/>
      </w:pPr>
      <w:r>
        <w:t>Achieve Lower than the Australian A</w:t>
      </w:r>
      <w:r w:rsidR="00765F6E">
        <w:t>verage in the Decayed, Missing or Filled Teeth (DMFT) Index</w:t>
      </w:r>
    </w:p>
    <w:p w:rsidR="00281F97" w:rsidRDefault="001311D3" w:rsidP="00281F97">
      <w:pPr>
        <w:pStyle w:val="Normal010"/>
      </w:pPr>
      <w:r>
        <w:rPr>
          <w:b/>
        </w:rPr>
        <w:t>Strategic I</w:t>
      </w:r>
      <w:r w:rsidR="00765F6E">
        <w:rPr>
          <w:b/>
        </w:rPr>
        <w:t>ndicator 13:</w:t>
      </w:r>
      <w:r w:rsidR="00765F6E">
        <w:t xml:space="preserve"> The mean number of teeth with dental decay, missing or filled teeth at ages 6 and 12</w:t>
      </w:r>
    </w:p>
    <w:p w:rsidR="00281F97" w:rsidRDefault="00765F6E" w:rsidP="00281F97">
      <w:pPr>
        <w:pStyle w:val="Normal010"/>
      </w:pPr>
      <w:r>
        <w:t>This gives an indication of the effectiveness of dental prevention, early intervention and treatment services in the ACT.  The aim for the ACT is to better the national average on the DMFT.</w:t>
      </w:r>
    </w:p>
    <w:p w:rsidR="00281F97" w:rsidRDefault="00765F6E" w:rsidP="00281F97">
      <w:pPr>
        <w:pStyle w:val="Caption0"/>
        <w:rPr>
          <w:color w:val="auto"/>
        </w:rPr>
      </w:pPr>
      <w:r>
        <w:rPr>
          <w:color w:val="auto"/>
        </w:rPr>
        <w:t>Table 14: The mean number of teeth with dental decay, missing or filled teeth at ages 6 and 12</w:t>
      </w:r>
    </w:p>
    <w:tbl>
      <w:tblPr>
        <w:tblW w:w="0" w:type="dxa"/>
        <w:tblInd w:w="113" w:type="dxa"/>
        <w:tblLayout w:type="fixed"/>
        <w:tblLook w:val="04A0" w:firstRow="1" w:lastRow="0" w:firstColumn="1" w:lastColumn="0" w:noHBand="0" w:noVBand="1"/>
      </w:tblPr>
      <w:tblGrid>
        <w:gridCol w:w="6397"/>
        <w:gridCol w:w="1435"/>
        <w:gridCol w:w="1452"/>
      </w:tblGrid>
      <w:tr w:rsidR="00237D6F" w:rsidTr="00281F97">
        <w:tc>
          <w:tcPr>
            <w:tcW w:w="6397" w:type="dxa"/>
            <w:tcBorders>
              <w:top w:val="single" w:sz="4" w:space="0" w:color="auto"/>
              <w:left w:val="nil"/>
              <w:bottom w:val="nil"/>
              <w:right w:val="nil"/>
            </w:tcBorders>
            <w:hideMark/>
          </w:tcPr>
          <w:p w:rsidR="00281F97" w:rsidRDefault="00765F6E" w:rsidP="005A051A">
            <w:pPr>
              <w:pStyle w:val="BStabletextbold"/>
            </w:pPr>
            <w:r>
              <w:t xml:space="preserve">Strategic </w:t>
            </w:r>
            <w:r w:rsidR="005A051A">
              <w:t>I</w:t>
            </w:r>
            <w:r>
              <w:t>ndicator</w:t>
            </w:r>
          </w:p>
        </w:tc>
        <w:tc>
          <w:tcPr>
            <w:tcW w:w="1435" w:type="dxa"/>
            <w:tcBorders>
              <w:top w:val="single" w:sz="4" w:space="0" w:color="auto"/>
              <w:left w:val="nil"/>
              <w:bottom w:val="nil"/>
              <w:right w:val="nil"/>
            </w:tcBorders>
            <w:hideMark/>
          </w:tcPr>
          <w:p w:rsidR="00281F97" w:rsidRDefault="00765F6E" w:rsidP="00281F97">
            <w:pPr>
              <w:pStyle w:val="BStablefiguresbold"/>
            </w:pPr>
            <w:r>
              <w:t>A</w:t>
            </w:r>
            <w:r w:rsidR="005A051A">
              <w:t>CT R</w:t>
            </w:r>
            <w:r>
              <w:t>ate</w:t>
            </w:r>
            <w:r>
              <w:rPr>
                <w:vertAlign w:val="superscript"/>
              </w:rPr>
              <w:t>1</w:t>
            </w:r>
          </w:p>
        </w:tc>
        <w:tc>
          <w:tcPr>
            <w:tcW w:w="1452" w:type="dxa"/>
            <w:tcBorders>
              <w:top w:val="single" w:sz="4" w:space="0" w:color="auto"/>
              <w:left w:val="nil"/>
              <w:bottom w:val="nil"/>
              <w:right w:val="nil"/>
            </w:tcBorders>
            <w:hideMark/>
          </w:tcPr>
          <w:p w:rsidR="00281F97" w:rsidRDefault="00765F6E" w:rsidP="005A051A">
            <w:pPr>
              <w:pStyle w:val="BStablefiguresbold"/>
            </w:pPr>
            <w:r>
              <w:t xml:space="preserve">National </w:t>
            </w:r>
            <w:r w:rsidR="005A051A">
              <w:t>R</w:t>
            </w:r>
            <w:r>
              <w:t>ate</w:t>
            </w:r>
          </w:p>
        </w:tc>
      </w:tr>
      <w:tr w:rsidR="00237D6F" w:rsidTr="00281F97">
        <w:tc>
          <w:tcPr>
            <w:tcW w:w="6397" w:type="dxa"/>
            <w:tcBorders>
              <w:top w:val="single" w:sz="4" w:space="0" w:color="auto"/>
              <w:left w:val="nil"/>
              <w:bottom w:val="nil"/>
              <w:right w:val="nil"/>
            </w:tcBorders>
            <w:hideMark/>
          </w:tcPr>
          <w:p w:rsidR="00281F97" w:rsidRDefault="00765F6E">
            <w:pPr>
              <w:pStyle w:val="BStabletext00"/>
              <w:rPr>
                <w:b/>
              </w:rPr>
            </w:pPr>
            <w:r>
              <w:t>DMFT Index at 6 years</w:t>
            </w:r>
          </w:p>
        </w:tc>
        <w:tc>
          <w:tcPr>
            <w:tcW w:w="1435" w:type="dxa"/>
            <w:tcBorders>
              <w:top w:val="single" w:sz="4" w:space="0" w:color="auto"/>
              <w:left w:val="nil"/>
              <w:bottom w:val="nil"/>
              <w:right w:val="nil"/>
            </w:tcBorders>
            <w:hideMark/>
          </w:tcPr>
          <w:p w:rsidR="00281F97" w:rsidRDefault="00765F6E">
            <w:pPr>
              <w:pStyle w:val="BStablefigures00"/>
            </w:pPr>
            <w:r>
              <w:t>0.90</w:t>
            </w:r>
          </w:p>
        </w:tc>
        <w:tc>
          <w:tcPr>
            <w:tcW w:w="1452" w:type="dxa"/>
            <w:tcBorders>
              <w:top w:val="single" w:sz="4" w:space="0" w:color="auto"/>
              <w:left w:val="nil"/>
              <w:bottom w:val="nil"/>
              <w:right w:val="nil"/>
            </w:tcBorders>
            <w:hideMark/>
          </w:tcPr>
          <w:p w:rsidR="00281F97" w:rsidRDefault="00765F6E">
            <w:pPr>
              <w:pStyle w:val="BStablefigures00"/>
            </w:pPr>
            <w:r>
              <w:t>1.30</w:t>
            </w:r>
          </w:p>
        </w:tc>
      </w:tr>
      <w:tr w:rsidR="00237D6F" w:rsidTr="00281F97">
        <w:tc>
          <w:tcPr>
            <w:tcW w:w="6397" w:type="dxa"/>
            <w:tcBorders>
              <w:top w:val="nil"/>
              <w:left w:val="nil"/>
              <w:bottom w:val="single" w:sz="4" w:space="0" w:color="auto"/>
              <w:right w:val="nil"/>
            </w:tcBorders>
            <w:hideMark/>
          </w:tcPr>
          <w:p w:rsidR="00281F97" w:rsidRDefault="00765F6E">
            <w:pPr>
              <w:pStyle w:val="BStabletext00"/>
              <w:rPr>
                <w:b/>
              </w:rPr>
            </w:pPr>
            <w:r>
              <w:t>DMFT Index at 12 years</w:t>
            </w:r>
          </w:p>
        </w:tc>
        <w:tc>
          <w:tcPr>
            <w:tcW w:w="1435" w:type="dxa"/>
            <w:tcBorders>
              <w:top w:val="nil"/>
              <w:left w:val="nil"/>
              <w:bottom w:val="single" w:sz="4" w:space="0" w:color="auto"/>
              <w:right w:val="nil"/>
            </w:tcBorders>
            <w:hideMark/>
          </w:tcPr>
          <w:p w:rsidR="00281F97" w:rsidRDefault="00765F6E">
            <w:pPr>
              <w:pStyle w:val="BStablefigures00"/>
            </w:pPr>
            <w:r>
              <w:t>0.30</w:t>
            </w:r>
          </w:p>
        </w:tc>
        <w:tc>
          <w:tcPr>
            <w:tcW w:w="1452" w:type="dxa"/>
            <w:tcBorders>
              <w:top w:val="nil"/>
              <w:left w:val="nil"/>
              <w:bottom w:val="single" w:sz="4" w:space="0" w:color="auto"/>
              <w:right w:val="nil"/>
            </w:tcBorders>
            <w:hideMark/>
          </w:tcPr>
          <w:p w:rsidR="00281F97" w:rsidRDefault="00765F6E">
            <w:pPr>
              <w:pStyle w:val="BStablefigures00"/>
            </w:pPr>
            <w:r>
              <w:t>0.90</w:t>
            </w:r>
          </w:p>
        </w:tc>
      </w:tr>
    </w:tbl>
    <w:p w:rsidR="001311D3" w:rsidRDefault="001311D3" w:rsidP="00281F97">
      <w:pPr>
        <w:pStyle w:val="BSnoteslist0"/>
        <w:ind w:left="142"/>
        <w:rPr>
          <w:i/>
          <w:sz w:val="16"/>
          <w:szCs w:val="16"/>
        </w:rPr>
      </w:pPr>
    </w:p>
    <w:p w:rsidR="00281F97" w:rsidRPr="001311D3" w:rsidRDefault="00765F6E" w:rsidP="00281F97">
      <w:pPr>
        <w:pStyle w:val="BSnoteslist0"/>
        <w:ind w:left="142"/>
        <w:rPr>
          <w:i/>
          <w:sz w:val="16"/>
          <w:szCs w:val="16"/>
        </w:rPr>
      </w:pPr>
      <w:r w:rsidRPr="001311D3">
        <w:rPr>
          <w:i/>
          <w:sz w:val="16"/>
          <w:szCs w:val="16"/>
        </w:rPr>
        <w:t>Source:  Oral Health of Australian Children – The National Child Oral Health Study 2012-14, (Published: University of Adelaide Press, 2016).</w:t>
      </w:r>
    </w:p>
    <w:p w:rsidR="00281F97" w:rsidRPr="002B2ACB" w:rsidRDefault="00765F6E" w:rsidP="00281F97">
      <w:pPr>
        <w:pStyle w:val="BSnote"/>
      </w:pPr>
      <w:r w:rsidRPr="002B2ACB">
        <w:t xml:space="preserve">Note: </w:t>
      </w:r>
    </w:p>
    <w:p w:rsidR="00281F97" w:rsidRPr="000B6817" w:rsidRDefault="00765F6E" w:rsidP="00CA0839">
      <w:pPr>
        <w:pStyle w:val="BSnoteslist1"/>
        <w:numPr>
          <w:ilvl w:val="0"/>
          <w:numId w:val="17"/>
        </w:numPr>
      </w:pPr>
      <w:r w:rsidRPr="000B6817">
        <w:t>The ACT rate is lower than the national average.</w:t>
      </w:r>
    </w:p>
    <w:p w:rsidR="00281F97" w:rsidRDefault="001311D3" w:rsidP="00281F97">
      <w:pPr>
        <w:pStyle w:val="Heading3"/>
      </w:pPr>
      <w:bookmarkStart w:id="92" w:name="_Toc484069675"/>
      <w:bookmarkStart w:id="93" w:name="_Toc483919428"/>
      <w:bookmarkStart w:id="94" w:name="_Toc483560934"/>
      <w:bookmarkStart w:id="95" w:name="_Toc483492152"/>
      <w:bookmarkStart w:id="96" w:name="_Toc514764118"/>
      <w:bookmarkStart w:id="97" w:name="_Toc514765746"/>
      <w:bookmarkStart w:id="98" w:name="_Toc514832370"/>
      <w:bookmarkStart w:id="99" w:name="_Toc514832553"/>
      <w:r>
        <w:t>Strategic O</w:t>
      </w:r>
      <w:r w:rsidR="00765F6E">
        <w:t>bjective 14</w:t>
      </w:r>
      <w:bookmarkEnd w:id="92"/>
      <w:bookmarkEnd w:id="93"/>
      <w:bookmarkEnd w:id="94"/>
      <w:bookmarkEnd w:id="95"/>
      <w:bookmarkEnd w:id="96"/>
      <w:bookmarkEnd w:id="97"/>
      <w:bookmarkEnd w:id="98"/>
      <w:bookmarkEnd w:id="99"/>
      <w:r w:rsidR="00765F6E">
        <w:t xml:space="preserve"> </w:t>
      </w:r>
    </w:p>
    <w:p w:rsidR="00281F97" w:rsidRDefault="001311D3" w:rsidP="00281F97">
      <w:pPr>
        <w:pStyle w:val="Heading4"/>
      </w:pPr>
      <w:r>
        <w:t>Reducing the Risk of Fracture</w:t>
      </w:r>
      <w:r w:rsidR="00B82C47">
        <w:t>d Femurs in ACT Residents Aged o</w:t>
      </w:r>
      <w:r w:rsidR="00765F6E">
        <w:t>ver 75 years</w:t>
      </w:r>
    </w:p>
    <w:p w:rsidR="00281F97" w:rsidRDefault="00765F6E" w:rsidP="00281F97">
      <w:pPr>
        <w:pStyle w:val="Normal010"/>
        <w:rPr>
          <w:szCs w:val="24"/>
        </w:rPr>
      </w:pPr>
      <w:r>
        <w:rPr>
          <w:b/>
        </w:rPr>
        <w:t>Strat</w:t>
      </w:r>
      <w:r w:rsidR="001311D3">
        <w:rPr>
          <w:b/>
        </w:rPr>
        <w:t>egic I</w:t>
      </w:r>
      <w:r>
        <w:rPr>
          <w:b/>
        </w:rPr>
        <w:t>ndicator 14:</w:t>
      </w:r>
      <w:r>
        <w:t xml:space="preserve"> </w:t>
      </w:r>
      <w:r>
        <w:rPr>
          <w:szCs w:val="24"/>
        </w:rPr>
        <w:t>Reduction in the rate of broken hips (fractured neck of femur)</w:t>
      </w:r>
    </w:p>
    <w:p w:rsidR="00281F97" w:rsidRDefault="00765F6E" w:rsidP="00281F97">
      <w:pPr>
        <w:pStyle w:val="Normal010"/>
        <w:rPr>
          <w:szCs w:val="24"/>
        </w:rPr>
      </w:pPr>
      <w:r>
        <w:t>This indicator provides an indication of the success of public and community health initiatives to prevent hip fractures.  In 2015</w:t>
      </w:r>
      <w:r w:rsidR="00030990">
        <w:t>-</w:t>
      </w:r>
      <w:r>
        <w:t>16, the ACT rate of admissions in persons aged 75 years and over with a fractured neck of femur was 6.6 per 1,000 persons in the ACT population.  This is slightly above the long term target and follows a generally decreasing trend over a 10 year period.</w:t>
      </w:r>
    </w:p>
    <w:p w:rsidR="00281F97" w:rsidRDefault="00765F6E" w:rsidP="00281F97">
      <w:pPr>
        <w:pStyle w:val="Caption0"/>
        <w:rPr>
          <w:color w:val="auto"/>
        </w:rPr>
      </w:pPr>
      <w:r>
        <w:rPr>
          <w:color w:val="auto"/>
        </w:rPr>
        <w:t>Table 15: Reduction in the rate of broken hips (fractured neck of femur)</w:t>
      </w:r>
    </w:p>
    <w:tbl>
      <w:tblPr>
        <w:tblW w:w="0" w:type="dxa"/>
        <w:tblInd w:w="113" w:type="dxa"/>
        <w:tblLayout w:type="fixed"/>
        <w:tblLook w:val="04A0" w:firstRow="1" w:lastRow="0" w:firstColumn="1" w:lastColumn="0" w:noHBand="0" w:noVBand="1"/>
      </w:tblPr>
      <w:tblGrid>
        <w:gridCol w:w="6354"/>
        <w:gridCol w:w="1435"/>
        <w:gridCol w:w="1452"/>
      </w:tblGrid>
      <w:tr w:rsidR="00237D6F" w:rsidTr="00281F97">
        <w:tc>
          <w:tcPr>
            <w:tcW w:w="6354" w:type="dxa"/>
            <w:tcBorders>
              <w:top w:val="single" w:sz="4" w:space="0" w:color="auto"/>
              <w:left w:val="nil"/>
              <w:bottom w:val="single" w:sz="4" w:space="0" w:color="auto"/>
              <w:right w:val="nil"/>
            </w:tcBorders>
            <w:vAlign w:val="bottom"/>
            <w:hideMark/>
          </w:tcPr>
          <w:p w:rsidR="00281F97" w:rsidRDefault="005A051A" w:rsidP="00281F97">
            <w:pPr>
              <w:pStyle w:val="BStabletextbold"/>
            </w:pPr>
            <w:r>
              <w:t>Strategic I</w:t>
            </w:r>
            <w:r w:rsidR="00765F6E">
              <w:t>ndicator</w:t>
            </w:r>
          </w:p>
        </w:tc>
        <w:tc>
          <w:tcPr>
            <w:tcW w:w="1435" w:type="dxa"/>
            <w:tcBorders>
              <w:top w:val="single" w:sz="4" w:space="0" w:color="auto"/>
              <w:left w:val="nil"/>
              <w:bottom w:val="single" w:sz="4" w:space="0" w:color="auto"/>
              <w:right w:val="nil"/>
            </w:tcBorders>
            <w:hideMark/>
          </w:tcPr>
          <w:p w:rsidR="00281F97" w:rsidRDefault="00765F6E" w:rsidP="00281F97">
            <w:pPr>
              <w:pStyle w:val="BStablefiguresbold"/>
            </w:pPr>
            <w:r>
              <w:t xml:space="preserve">2015–16 </w:t>
            </w:r>
          </w:p>
          <w:p w:rsidR="00281F97" w:rsidRDefault="00765F6E" w:rsidP="001311D3">
            <w:pPr>
              <w:pStyle w:val="BStablefiguresbold"/>
              <w:rPr>
                <w:highlight w:val="yellow"/>
              </w:rPr>
            </w:pPr>
            <w:r>
              <w:t xml:space="preserve">ACT </w:t>
            </w:r>
            <w:r w:rsidR="001311D3">
              <w:t>R</w:t>
            </w:r>
            <w:r>
              <w:t>ate</w:t>
            </w:r>
          </w:p>
        </w:tc>
        <w:tc>
          <w:tcPr>
            <w:tcW w:w="1452" w:type="dxa"/>
            <w:tcBorders>
              <w:top w:val="single" w:sz="4" w:space="0" w:color="auto"/>
              <w:left w:val="nil"/>
              <w:bottom w:val="single" w:sz="4" w:space="0" w:color="auto"/>
              <w:right w:val="nil"/>
            </w:tcBorders>
            <w:hideMark/>
          </w:tcPr>
          <w:p w:rsidR="00281F97" w:rsidRDefault="00765F6E" w:rsidP="001311D3">
            <w:pPr>
              <w:pStyle w:val="BStablefiguresbold"/>
            </w:pPr>
            <w:r>
              <w:t xml:space="preserve">Long </w:t>
            </w:r>
            <w:r w:rsidR="001311D3">
              <w:t>Term T</w:t>
            </w:r>
            <w:r>
              <w:t>arget</w:t>
            </w:r>
          </w:p>
        </w:tc>
      </w:tr>
      <w:tr w:rsidR="00237D6F" w:rsidTr="00281F97">
        <w:tc>
          <w:tcPr>
            <w:tcW w:w="6354" w:type="dxa"/>
            <w:tcBorders>
              <w:top w:val="single" w:sz="4" w:space="0" w:color="auto"/>
              <w:left w:val="nil"/>
              <w:bottom w:val="single" w:sz="4" w:space="0" w:color="auto"/>
              <w:right w:val="nil"/>
            </w:tcBorders>
            <w:hideMark/>
          </w:tcPr>
          <w:p w:rsidR="00281F97" w:rsidRDefault="00765F6E">
            <w:pPr>
              <w:pStyle w:val="BStabletext00"/>
              <w:rPr>
                <w:b/>
              </w:rPr>
            </w:pPr>
            <w:r>
              <w:t>Rate per 1,000 people</w:t>
            </w:r>
          </w:p>
        </w:tc>
        <w:tc>
          <w:tcPr>
            <w:tcW w:w="1435" w:type="dxa"/>
            <w:tcBorders>
              <w:top w:val="single" w:sz="4" w:space="0" w:color="auto"/>
              <w:left w:val="nil"/>
              <w:bottom w:val="single" w:sz="4" w:space="0" w:color="auto"/>
              <w:right w:val="nil"/>
            </w:tcBorders>
            <w:hideMark/>
          </w:tcPr>
          <w:p w:rsidR="00281F97" w:rsidRDefault="00765F6E">
            <w:pPr>
              <w:pStyle w:val="BStablefigures00"/>
              <w:rPr>
                <w:highlight w:val="yellow"/>
              </w:rPr>
            </w:pPr>
            <w:r>
              <w:t>6.6</w:t>
            </w:r>
          </w:p>
        </w:tc>
        <w:tc>
          <w:tcPr>
            <w:tcW w:w="1452" w:type="dxa"/>
            <w:tcBorders>
              <w:top w:val="single" w:sz="4" w:space="0" w:color="auto"/>
              <w:left w:val="nil"/>
              <w:bottom w:val="single" w:sz="4" w:space="0" w:color="auto"/>
              <w:right w:val="nil"/>
            </w:tcBorders>
            <w:hideMark/>
          </w:tcPr>
          <w:p w:rsidR="00281F97" w:rsidRDefault="00765F6E">
            <w:pPr>
              <w:pStyle w:val="BStablefigures00"/>
            </w:pPr>
            <w:r>
              <w:t>5.3</w:t>
            </w:r>
          </w:p>
        </w:tc>
      </w:tr>
    </w:tbl>
    <w:p w:rsidR="001311D3" w:rsidRDefault="001311D3" w:rsidP="00281F97">
      <w:pPr>
        <w:pStyle w:val="BSnoteslist0"/>
        <w:ind w:left="142"/>
        <w:rPr>
          <w:i/>
          <w:sz w:val="16"/>
          <w:szCs w:val="16"/>
        </w:rPr>
      </w:pPr>
    </w:p>
    <w:p w:rsidR="00281F97" w:rsidRPr="001311D3" w:rsidRDefault="00765F6E" w:rsidP="00281F97">
      <w:pPr>
        <w:pStyle w:val="BSnoteslist0"/>
        <w:ind w:left="142"/>
        <w:rPr>
          <w:i/>
          <w:sz w:val="16"/>
          <w:szCs w:val="16"/>
        </w:rPr>
      </w:pPr>
      <w:r w:rsidRPr="001311D3">
        <w:rPr>
          <w:i/>
          <w:sz w:val="16"/>
          <w:szCs w:val="16"/>
        </w:rPr>
        <w:t>Source:  ACT Admitted Patient Care data</w:t>
      </w:r>
    </w:p>
    <w:p w:rsidR="00281F97" w:rsidRDefault="00281F97" w:rsidP="00281F97">
      <w:pPr>
        <w:pStyle w:val="Normal3"/>
        <w:spacing w:before="0" w:after="0"/>
        <w:rPr>
          <w:b/>
          <w:bCs/>
          <w:sz w:val="28"/>
          <w:szCs w:val="26"/>
        </w:rPr>
      </w:pPr>
    </w:p>
    <w:p w:rsidR="00281F97" w:rsidRDefault="00281F97" w:rsidP="00281F97">
      <w:pPr>
        <w:pStyle w:val="Heading3"/>
      </w:pPr>
      <w:bookmarkStart w:id="100" w:name="_Toc484069676"/>
      <w:bookmarkStart w:id="101" w:name="_Toc483919429"/>
    </w:p>
    <w:p w:rsidR="00281F97" w:rsidRDefault="00281F97" w:rsidP="00281F97">
      <w:pPr>
        <w:pStyle w:val="Heading3"/>
      </w:pPr>
    </w:p>
    <w:p w:rsidR="00281F97" w:rsidRPr="00EA7A1D" w:rsidRDefault="00281F97" w:rsidP="00281F97">
      <w:pPr>
        <w:pStyle w:val="Normal3"/>
      </w:pPr>
    </w:p>
    <w:p w:rsidR="00281F97" w:rsidRPr="005D6268" w:rsidRDefault="001311D3" w:rsidP="00281F97">
      <w:pPr>
        <w:pStyle w:val="Heading3"/>
      </w:pPr>
      <w:bookmarkStart w:id="102" w:name="_Toc514764119"/>
      <w:bookmarkStart w:id="103" w:name="_Toc514765747"/>
      <w:bookmarkStart w:id="104" w:name="_Toc514832371"/>
      <w:bookmarkStart w:id="105" w:name="_Toc514832554"/>
      <w:r>
        <w:lastRenderedPageBreak/>
        <w:t>Strategic O</w:t>
      </w:r>
      <w:r w:rsidR="00765F6E">
        <w:t>bjective 15</w:t>
      </w:r>
      <w:bookmarkEnd w:id="100"/>
      <w:bookmarkEnd w:id="101"/>
      <w:bookmarkEnd w:id="102"/>
      <w:bookmarkEnd w:id="103"/>
      <w:bookmarkEnd w:id="104"/>
      <w:bookmarkEnd w:id="105"/>
      <w:r w:rsidR="00765F6E">
        <w:t xml:space="preserve"> </w:t>
      </w:r>
    </w:p>
    <w:p w:rsidR="00281F97" w:rsidRDefault="001311D3" w:rsidP="00281F97">
      <w:pPr>
        <w:pStyle w:val="Heading4"/>
      </w:pPr>
      <w:r>
        <w:t>Reduction i</w:t>
      </w:r>
      <w:r w:rsidR="00765F6E">
        <w:t xml:space="preserve">n the </w:t>
      </w:r>
      <w:r>
        <w:t>Y</w:t>
      </w:r>
      <w:r w:rsidR="00765F6E">
        <w:t xml:space="preserve">outh </w:t>
      </w:r>
      <w:r>
        <w:t>Smoking R</w:t>
      </w:r>
      <w:r w:rsidR="00765F6E">
        <w:t>ate</w:t>
      </w:r>
    </w:p>
    <w:p w:rsidR="00281F97" w:rsidRDefault="001311D3" w:rsidP="00281F97">
      <w:pPr>
        <w:pStyle w:val="Normal01"/>
        <w:rPr>
          <w:szCs w:val="24"/>
        </w:rPr>
      </w:pPr>
      <w:r>
        <w:rPr>
          <w:b/>
        </w:rPr>
        <w:t>Strategic I</w:t>
      </w:r>
      <w:r w:rsidR="00765F6E">
        <w:rPr>
          <w:b/>
        </w:rPr>
        <w:t xml:space="preserve">ndicator 15: </w:t>
      </w:r>
      <w:r w:rsidR="00765F6E">
        <w:rPr>
          <w:szCs w:val="24"/>
        </w:rPr>
        <w:t>Percentage of persons aged 12 to 17 years who smoke regularly</w:t>
      </w:r>
    </w:p>
    <w:p w:rsidR="00281F97" w:rsidRDefault="00765F6E" w:rsidP="00281F97">
      <w:pPr>
        <w:pStyle w:val="Normal01"/>
      </w:pPr>
      <w:r>
        <w:rPr>
          <w:szCs w:val="24"/>
        </w:rPr>
        <w:t>Results from the 2014 Australian Secondary School Alcohol and Drug (ASSAD) Survey show that 5.2 per cent of students in the ACT were current smokers in that year.  This demonstrates a</w:t>
      </w:r>
      <w:r>
        <w:t xml:space="preserve"> continued decline in current smoking from 15.3 per cent in 2002, 6.7 per cent in 2008 and 5.8 per cent in 2011.  </w:t>
      </w:r>
    </w:p>
    <w:p w:rsidR="00281F97" w:rsidRDefault="00765F6E" w:rsidP="00281F97">
      <w:pPr>
        <w:pStyle w:val="Normal01"/>
      </w:pPr>
      <w:r>
        <w:t>The national rate for current smoking in youths in 2014 was 5.1 per cent.</w:t>
      </w:r>
    </w:p>
    <w:p w:rsidR="00281F97" w:rsidRDefault="00765F6E" w:rsidP="00281F97">
      <w:pPr>
        <w:pStyle w:val="Caption1"/>
        <w:rPr>
          <w:color w:val="auto"/>
        </w:rPr>
      </w:pPr>
      <w:r>
        <w:rPr>
          <w:color w:val="auto"/>
        </w:rPr>
        <w:t>Table 16: Percentage of persons aged 12 to 17 years who smoke regularly</w:t>
      </w:r>
    </w:p>
    <w:tbl>
      <w:tblPr>
        <w:tblW w:w="0" w:type="dxa"/>
        <w:tblInd w:w="108" w:type="dxa"/>
        <w:tblLayout w:type="fixed"/>
        <w:tblLook w:val="04A0" w:firstRow="1" w:lastRow="0" w:firstColumn="1" w:lastColumn="0" w:noHBand="0" w:noVBand="1"/>
      </w:tblPr>
      <w:tblGrid>
        <w:gridCol w:w="4848"/>
        <w:gridCol w:w="1424"/>
        <w:gridCol w:w="1424"/>
        <w:gridCol w:w="1424"/>
      </w:tblGrid>
      <w:tr w:rsidR="00237D6F" w:rsidTr="00281F97">
        <w:trPr>
          <w:trHeight w:val="147"/>
        </w:trPr>
        <w:tc>
          <w:tcPr>
            <w:tcW w:w="4848" w:type="dxa"/>
            <w:vMerge w:val="restart"/>
            <w:tcBorders>
              <w:top w:val="single" w:sz="4" w:space="0" w:color="auto"/>
              <w:left w:val="nil"/>
              <w:bottom w:val="single" w:sz="4" w:space="0" w:color="auto"/>
              <w:right w:val="nil"/>
            </w:tcBorders>
            <w:vAlign w:val="bottom"/>
            <w:hideMark/>
          </w:tcPr>
          <w:p w:rsidR="00281F97" w:rsidRDefault="00765F6E" w:rsidP="005A051A">
            <w:pPr>
              <w:pStyle w:val="BStabletextbold"/>
            </w:pPr>
            <w:r>
              <w:t xml:space="preserve">Strategic </w:t>
            </w:r>
            <w:r w:rsidR="005A051A">
              <w:t>I</w:t>
            </w:r>
            <w:r>
              <w:t>ndicator</w:t>
            </w:r>
          </w:p>
        </w:tc>
        <w:tc>
          <w:tcPr>
            <w:tcW w:w="1424" w:type="dxa"/>
            <w:tcBorders>
              <w:top w:val="single" w:sz="4" w:space="0" w:color="auto"/>
              <w:left w:val="nil"/>
              <w:bottom w:val="nil"/>
              <w:right w:val="nil"/>
            </w:tcBorders>
            <w:hideMark/>
          </w:tcPr>
          <w:p w:rsidR="00281F97" w:rsidRDefault="00765F6E" w:rsidP="00281F97">
            <w:pPr>
              <w:pStyle w:val="BStablefiguresbold"/>
            </w:pPr>
            <w:r>
              <w:t>2014 ACT</w:t>
            </w:r>
          </w:p>
        </w:tc>
        <w:tc>
          <w:tcPr>
            <w:tcW w:w="1424" w:type="dxa"/>
            <w:tcBorders>
              <w:top w:val="single" w:sz="4" w:space="0" w:color="auto"/>
              <w:left w:val="nil"/>
              <w:bottom w:val="nil"/>
              <w:right w:val="nil"/>
            </w:tcBorders>
            <w:hideMark/>
          </w:tcPr>
          <w:p w:rsidR="00281F97" w:rsidRDefault="001311D3" w:rsidP="00281F97">
            <w:pPr>
              <w:pStyle w:val="BStablefiguresbold"/>
            </w:pPr>
            <w:r>
              <w:t>2014 N</w:t>
            </w:r>
            <w:r w:rsidR="00765F6E">
              <w:t>ational</w:t>
            </w:r>
          </w:p>
        </w:tc>
        <w:tc>
          <w:tcPr>
            <w:tcW w:w="1424" w:type="dxa"/>
            <w:tcBorders>
              <w:top w:val="single" w:sz="4" w:space="0" w:color="auto"/>
              <w:left w:val="nil"/>
              <w:bottom w:val="nil"/>
              <w:right w:val="nil"/>
            </w:tcBorders>
            <w:hideMark/>
          </w:tcPr>
          <w:p w:rsidR="00281F97" w:rsidRDefault="001311D3" w:rsidP="00281F97">
            <w:pPr>
              <w:pStyle w:val="BStablefiguresbold"/>
            </w:pPr>
            <w:r>
              <w:t>Long T</w:t>
            </w:r>
            <w:r w:rsidR="00765F6E">
              <w:t>erm</w:t>
            </w:r>
          </w:p>
        </w:tc>
      </w:tr>
      <w:tr w:rsidR="00237D6F" w:rsidTr="00281F97">
        <w:trPr>
          <w:trHeight w:val="263"/>
        </w:trPr>
        <w:tc>
          <w:tcPr>
            <w:tcW w:w="4848" w:type="dxa"/>
            <w:vMerge/>
            <w:tcBorders>
              <w:top w:val="single" w:sz="4" w:space="0" w:color="auto"/>
              <w:left w:val="nil"/>
              <w:bottom w:val="single" w:sz="4" w:space="0" w:color="auto"/>
              <w:right w:val="nil"/>
            </w:tcBorders>
            <w:vAlign w:val="center"/>
            <w:hideMark/>
          </w:tcPr>
          <w:p w:rsidR="00281F97" w:rsidRDefault="00281F97">
            <w:pPr>
              <w:pStyle w:val="Normal3"/>
              <w:spacing w:before="0" w:after="0"/>
              <w:rPr>
                <w:b/>
                <w:bCs/>
                <w:sz w:val="20"/>
                <w:lang w:eastAsia="en-AU"/>
              </w:rPr>
            </w:pPr>
          </w:p>
        </w:tc>
        <w:tc>
          <w:tcPr>
            <w:tcW w:w="1424" w:type="dxa"/>
            <w:tcBorders>
              <w:top w:val="nil"/>
              <w:left w:val="nil"/>
              <w:bottom w:val="single" w:sz="4" w:space="0" w:color="auto"/>
              <w:right w:val="nil"/>
            </w:tcBorders>
            <w:hideMark/>
          </w:tcPr>
          <w:p w:rsidR="00281F97" w:rsidRDefault="001311D3" w:rsidP="00281F97">
            <w:pPr>
              <w:pStyle w:val="BStablefiguresbold"/>
            </w:pPr>
            <w:r>
              <w:t>R</w:t>
            </w:r>
            <w:r w:rsidR="00765F6E">
              <w:t>ate</w:t>
            </w:r>
          </w:p>
        </w:tc>
        <w:tc>
          <w:tcPr>
            <w:tcW w:w="1424" w:type="dxa"/>
            <w:tcBorders>
              <w:top w:val="nil"/>
              <w:left w:val="nil"/>
              <w:bottom w:val="single" w:sz="4" w:space="0" w:color="auto"/>
              <w:right w:val="nil"/>
            </w:tcBorders>
            <w:hideMark/>
          </w:tcPr>
          <w:p w:rsidR="00281F97" w:rsidRDefault="001311D3" w:rsidP="00281F97">
            <w:pPr>
              <w:pStyle w:val="BStablefiguresbold"/>
            </w:pPr>
            <w:r>
              <w:t>R</w:t>
            </w:r>
            <w:r w:rsidR="00765F6E">
              <w:t>ate</w:t>
            </w:r>
          </w:p>
        </w:tc>
        <w:tc>
          <w:tcPr>
            <w:tcW w:w="1424" w:type="dxa"/>
            <w:tcBorders>
              <w:top w:val="nil"/>
              <w:left w:val="nil"/>
              <w:bottom w:val="single" w:sz="4" w:space="0" w:color="auto"/>
              <w:right w:val="nil"/>
            </w:tcBorders>
            <w:hideMark/>
          </w:tcPr>
          <w:p w:rsidR="00281F97" w:rsidRDefault="001311D3" w:rsidP="00281F97">
            <w:pPr>
              <w:pStyle w:val="BStablefiguresbold"/>
            </w:pPr>
            <w:r>
              <w:t>T</w:t>
            </w:r>
            <w:r w:rsidR="00765F6E">
              <w:t>arget</w:t>
            </w:r>
          </w:p>
        </w:tc>
      </w:tr>
      <w:tr w:rsidR="00237D6F" w:rsidTr="00031DE6">
        <w:trPr>
          <w:trHeight w:val="233"/>
        </w:trPr>
        <w:tc>
          <w:tcPr>
            <w:tcW w:w="4848" w:type="dxa"/>
            <w:tcBorders>
              <w:top w:val="single" w:sz="4" w:space="0" w:color="auto"/>
              <w:left w:val="nil"/>
              <w:bottom w:val="single" w:sz="4" w:space="0" w:color="auto"/>
              <w:right w:val="nil"/>
            </w:tcBorders>
            <w:hideMark/>
          </w:tcPr>
          <w:p w:rsidR="00281F97" w:rsidRDefault="00765F6E" w:rsidP="00281F97">
            <w:pPr>
              <w:pStyle w:val="BStabletext0"/>
            </w:pPr>
            <w:r>
              <w:t>Percentage of persons aged 12 to 17 who are current smokers</w:t>
            </w:r>
          </w:p>
        </w:tc>
        <w:tc>
          <w:tcPr>
            <w:tcW w:w="1424" w:type="dxa"/>
            <w:tcBorders>
              <w:top w:val="single" w:sz="4" w:space="0" w:color="auto"/>
              <w:left w:val="nil"/>
              <w:bottom w:val="single" w:sz="4" w:space="0" w:color="auto"/>
              <w:right w:val="nil"/>
            </w:tcBorders>
            <w:hideMark/>
          </w:tcPr>
          <w:p w:rsidR="00281F97" w:rsidRDefault="00765F6E" w:rsidP="00281F97">
            <w:pPr>
              <w:pStyle w:val="BStablefigures0"/>
            </w:pPr>
            <w:r>
              <w:t>5.2%</w:t>
            </w:r>
          </w:p>
        </w:tc>
        <w:tc>
          <w:tcPr>
            <w:tcW w:w="1424" w:type="dxa"/>
            <w:tcBorders>
              <w:top w:val="single" w:sz="4" w:space="0" w:color="auto"/>
              <w:left w:val="nil"/>
              <w:bottom w:val="single" w:sz="4" w:space="0" w:color="auto"/>
              <w:right w:val="nil"/>
            </w:tcBorders>
            <w:hideMark/>
          </w:tcPr>
          <w:p w:rsidR="00281F97" w:rsidRDefault="00765F6E" w:rsidP="00281F97">
            <w:pPr>
              <w:pStyle w:val="BStablefigures0"/>
            </w:pPr>
            <w:r>
              <w:t>5.1%</w:t>
            </w:r>
          </w:p>
        </w:tc>
        <w:tc>
          <w:tcPr>
            <w:tcW w:w="1424" w:type="dxa"/>
            <w:tcBorders>
              <w:top w:val="single" w:sz="4" w:space="0" w:color="auto"/>
              <w:left w:val="nil"/>
              <w:bottom w:val="single" w:sz="4" w:space="0" w:color="auto"/>
              <w:right w:val="nil"/>
            </w:tcBorders>
            <w:hideMark/>
          </w:tcPr>
          <w:p w:rsidR="00281F97" w:rsidRDefault="00765F6E" w:rsidP="00281F97">
            <w:pPr>
              <w:pStyle w:val="BStablefigures0"/>
            </w:pPr>
            <w:r>
              <w:t>≤5%</w:t>
            </w:r>
          </w:p>
        </w:tc>
      </w:tr>
    </w:tbl>
    <w:p w:rsidR="001311D3" w:rsidRDefault="001311D3" w:rsidP="00281F97">
      <w:pPr>
        <w:pStyle w:val="BSnoteslist0"/>
        <w:ind w:left="142"/>
        <w:rPr>
          <w:i/>
          <w:sz w:val="16"/>
          <w:szCs w:val="16"/>
        </w:rPr>
      </w:pPr>
      <w:bookmarkStart w:id="106" w:name="_Toc447800361"/>
    </w:p>
    <w:p w:rsidR="00281F97" w:rsidRPr="001311D3" w:rsidRDefault="00765F6E" w:rsidP="00281F97">
      <w:pPr>
        <w:pStyle w:val="BSnoteslist0"/>
        <w:ind w:left="142"/>
        <w:rPr>
          <w:i/>
          <w:sz w:val="16"/>
          <w:szCs w:val="16"/>
        </w:rPr>
      </w:pPr>
      <w:r w:rsidRPr="001311D3">
        <w:rPr>
          <w:i/>
          <w:sz w:val="16"/>
          <w:szCs w:val="16"/>
        </w:rPr>
        <w:t xml:space="preserve">Sources:  Australian Secondary Students’ Alcohol and Drug (ASSAD) Survey </w:t>
      </w:r>
      <w:proofErr w:type="spellStart"/>
      <w:r w:rsidRPr="001311D3">
        <w:rPr>
          <w:i/>
          <w:sz w:val="16"/>
          <w:szCs w:val="16"/>
        </w:rPr>
        <w:t>confidentialised</w:t>
      </w:r>
      <w:proofErr w:type="spellEnd"/>
      <w:r w:rsidRPr="001311D3">
        <w:rPr>
          <w:i/>
          <w:sz w:val="16"/>
          <w:szCs w:val="16"/>
        </w:rPr>
        <w:t xml:space="preserve"> unit record files 2014, ACT Health:  Australian secondary school students’ use of tobacco, alcohol, and over-the-counter and illicit substances in 2014 report, Centre for Behavioural Research in Cancer, Cancer Council Victoria, October 2016.</w:t>
      </w:r>
      <w:bookmarkEnd w:id="106"/>
    </w:p>
    <w:p w:rsidR="00281F97" w:rsidRDefault="00765F6E" w:rsidP="00281F97">
      <w:pPr>
        <w:pStyle w:val="Normal3"/>
        <w:spacing w:before="0" w:after="0"/>
        <w:rPr>
          <w:b/>
          <w:bCs/>
          <w:sz w:val="28"/>
          <w:szCs w:val="26"/>
        </w:rPr>
      </w:pPr>
      <w:r>
        <w:t xml:space="preserve"> </w:t>
      </w:r>
    </w:p>
    <w:p w:rsidR="00281F97" w:rsidRDefault="00765F6E" w:rsidP="00281F97">
      <w:pPr>
        <w:pStyle w:val="Heading22"/>
        <w:pageBreakBefore/>
      </w:pPr>
      <w:bookmarkStart w:id="107" w:name="_Toc452467799"/>
      <w:bookmarkStart w:id="108" w:name="_Toc514832555"/>
      <w:r>
        <w:lastRenderedPageBreak/>
        <w:t>Output Classes</w:t>
      </w:r>
      <w:bookmarkEnd w:id="107"/>
      <w:bookmarkEnd w:id="108"/>
    </w:p>
    <w:p w:rsidR="00281F97" w:rsidRDefault="00765F6E" w:rsidP="00281F97">
      <w:pPr>
        <w:pStyle w:val="Normal02"/>
      </w:pPr>
      <w:r>
        <w:t>The Health Directorate aims to deliver the best possible healthcare and health related services in Australia.  It will do this through its public hospitals and related health services through: Acute Services; Mental Health, Justice Health and Alcohol and Drug Services; Population Health; Cancer Services; and Rehabilitation, Aged and Community Care.</w:t>
      </w:r>
    </w:p>
    <w:p w:rsidR="00281F97" w:rsidRPr="00446921" w:rsidRDefault="00765F6E" w:rsidP="00281F97">
      <w:pPr>
        <w:pStyle w:val="Heading30"/>
      </w:pPr>
      <w:bookmarkStart w:id="109" w:name="_Toc514764121"/>
      <w:bookmarkStart w:id="110" w:name="_Toc514765749"/>
      <w:bookmarkStart w:id="111" w:name="_Toc514832373"/>
      <w:bookmarkStart w:id="112" w:name="_Toc514832556"/>
      <w:r>
        <w:t xml:space="preserve">Output Class 1: </w:t>
      </w:r>
      <w:r w:rsidRPr="00446921">
        <w:t>Health and Community Care</w:t>
      </w:r>
      <w:bookmarkEnd w:id="109"/>
      <w:bookmarkEnd w:id="110"/>
      <w:bookmarkEnd w:id="111"/>
      <w:bookmarkEnd w:id="112"/>
    </w:p>
    <w:p w:rsidR="00281F97" w:rsidRDefault="00765F6E" w:rsidP="00281F97">
      <w:pPr>
        <w:pStyle w:val="Caption2"/>
      </w:pPr>
      <w:r w:rsidRPr="00446921">
        <w:t>Table 17: Output Class 1: Health and Community Care</w:t>
      </w:r>
    </w:p>
    <w:tbl>
      <w:tblPr>
        <w:tblW w:w="0" w:type="dxa"/>
        <w:tblLayout w:type="fixed"/>
        <w:tblLook w:val="0600" w:firstRow="0" w:lastRow="0" w:firstColumn="0" w:lastColumn="0" w:noHBand="1" w:noVBand="1"/>
      </w:tblPr>
      <w:tblGrid>
        <w:gridCol w:w="4695"/>
        <w:gridCol w:w="540"/>
        <w:gridCol w:w="2175"/>
        <w:gridCol w:w="1650"/>
      </w:tblGrid>
      <w:tr w:rsidR="00237D6F" w:rsidTr="00281F97">
        <w:trPr>
          <w:trHeight w:hRule="exact" w:val="240"/>
        </w:trPr>
        <w:tc>
          <w:tcPr>
            <w:tcW w:w="4695" w:type="dxa"/>
            <w:tcBorders>
              <w:top w:val="single" w:sz="4" w:space="0" w:color="000000"/>
              <w:left w:val="nil"/>
              <w:bottom w:val="nil"/>
              <w:right w:val="nil"/>
            </w:tcBorders>
            <w:noWrap/>
            <w:tcMar>
              <w:top w:w="0" w:type="dxa"/>
              <w:left w:w="40" w:type="dxa"/>
              <w:bottom w:w="0" w:type="dxa"/>
              <w:right w:w="40" w:type="dxa"/>
            </w:tcMar>
          </w:tcPr>
          <w:p w:rsidR="00281F97" w:rsidRDefault="00281F97">
            <w:pPr>
              <w:pStyle w:val="Normal02"/>
              <w:spacing w:before="0" w:after="0"/>
              <w:rPr>
                <w:rFonts w:eastAsia="Calibri" w:cs="Calibri"/>
                <w:color w:val="000000"/>
                <w:sz w:val="18"/>
              </w:rPr>
            </w:pPr>
          </w:p>
        </w:tc>
        <w:tc>
          <w:tcPr>
            <w:tcW w:w="540" w:type="dxa"/>
            <w:tcBorders>
              <w:top w:val="single" w:sz="4" w:space="0" w:color="000000"/>
              <w:left w:val="nil"/>
              <w:bottom w:val="nil"/>
              <w:right w:val="nil"/>
            </w:tcBorders>
            <w:noWrap/>
            <w:tcMar>
              <w:top w:w="0" w:type="dxa"/>
              <w:left w:w="40" w:type="dxa"/>
              <w:bottom w:w="0" w:type="dxa"/>
              <w:right w:w="40" w:type="dxa"/>
            </w:tcMar>
          </w:tcPr>
          <w:p w:rsidR="00281F97" w:rsidRDefault="00281F97">
            <w:pPr>
              <w:pStyle w:val="Normal02"/>
              <w:spacing w:before="0" w:after="0"/>
              <w:rPr>
                <w:rFonts w:eastAsia="Calibri" w:cs="Calibri"/>
                <w:color w:val="000000"/>
                <w:sz w:val="18"/>
              </w:rPr>
            </w:pPr>
          </w:p>
        </w:tc>
        <w:tc>
          <w:tcPr>
            <w:tcW w:w="2175" w:type="dxa"/>
            <w:tcBorders>
              <w:top w:val="single" w:sz="4" w:space="0" w:color="000000"/>
              <w:left w:val="nil"/>
              <w:bottom w:val="nil"/>
              <w:right w:val="nil"/>
            </w:tcBorders>
            <w:noWrap/>
            <w:tcMar>
              <w:top w:w="0" w:type="dxa"/>
              <w:left w:w="40" w:type="dxa"/>
              <w:bottom w:w="0" w:type="dxa"/>
              <w:right w:w="40" w:type="dxa"/>
            </w:tcMar>
            <w:hideMark/>
          </w:tcPr>
          <w:p w:rsidR="00281F97" w:rsidRDefault="00765F6E">
            <w:pPr>
              <w:pStyle w:val="Normal02"/>
              <w:spacing w:before="0" w:after="0"/>
              <w:jc w:val="right"/>
              <w:rPr>
                <w:rFonts w:eastAsia="Calibri" w:cs="Calibri"/>
                <w:b/>
                <w:color w:val="000000"/>
                <w:sz w:val="18"/>
              </w:rPr>
            </w:pPr>
            <w:r>
              <w:rPr>
                <w:rFonts w:eastAsia="Calibri" w:cs="Calibri"/>
                <w:b/>
                <w:color w:val="000000"/>
                <w:sz w:val="18"/>
              </w:rPr>
              <w:t>2017-18</w:t>
            </w:r>
          </w:p>
        </w:tc>
        <w:tc>
          <w:tcPr>
            <w:tcW w:w="1650" w:type="dxa"/>
            <w:tcBorders>
              <w:top w:val="single" w:sz="4" w:space="0" w:color="000000"/>
              <w:left w:val="nil"/>
              <w:bottom w:val="nil"/>
              <w:right w:val="nil"/>
            </w:tcBorders>
            <w:noWrap/>
            <w:tcMar>
              <w:top w:w="0" w:type="dxa"/>
              <w:left w:w="40" w:type="dxa"/>
              <w:bottom w:w="0" w:type="dxa"/>
              <w:right w:w="40" w:type="dxa"/>
            </w:tcMar>
            <w:hideMark/>
          </w:tcPr>
          <w:p w:rsidR="00281F97" w:rsidRDefault="00765F6E">
            <w:pPr>
              <w:pStyle w:val="Normal02"/>
              <w:spacing w:before="0" w:after="0"/>
              <w:jc w:val="right"/>
              <w:rPr>
                <w:rFonts w:eastAsia="Calibri" w:cs="Calibri"/>
                <w:b/>
                <w:color w:val="000000"/>
                <w:sz w:val="18"/>
              </w:rPr>
            </w:pPr>
            <w:r>
              <w:rPr>
                <w:rFonts w:eastAsia="Calibri" w:cs="Calibri"/>
                <w:b/>
                <w:color w:val="000000"/>
                <w:sz w:val="18"/>
              </w:rPr>
              <w:t>2018-19</w:t>
            </w:r>
          </w:p>
        </w:tc>
      </w:tr>
      <w:tr w:rsidR="00237D6F" w:rsidTr="00281F97">
        <w:trPr>
          <w:trHeight w:hRule="exact" w:val="240"/>
        </w:trPr>
        <w:tc>
          <w:tcPr>
            <w:tcW w:w="4695" w:type="dxa"/>
            <w:noWrap/>
            <w:tcMar>
              <w:top w:w="0" w:type="dxa"/>
              <w:left w:w="40" w:type="dxa"/>
              <w:bottom w:w="0" w:type="dxa"/>
              <w:right w:w="40" w:type="dxa"/>
            </w:tcMar>
          </w:tcPr>
          <w:p w:rsidR="00281F97" w:rsidRDefault="00281F97">
            <w:pPr>
              <w:pStyle w:val="Normal02"/>
              <w:spacing w:before="0" w:after="0"/>
              <w:rPr>
                <w:rFonts w:eastAsia="Calibri" w:cs="Calibri"/>
                <w:color w:val="000000"/>
                <w:sz w:val="18"/>
              </w:rPr>
            </w:pPr>
          </w:p>
        </w:tc>
        <w:tc>
          <w:tcPr>
            <w:tcW w:w="540" w:type="dxa"/>
            <w:noWrap/>
            <w:tcMar>
              <w:top w:w="0" w:type="dxa"/>
              <w:left w:w="40" w:type="dxa"/>
              <w:bottom w:w="0" w:type="dxa"/>
              <w:right w:w="40" w:type="dxa"/>
            </w:tcMar>
          </w:tcPr>
          <w:p w:rsidR="00281F97" w:rsidRDefault="00281F97">
            <w:pPr>
              <w:pStyle w:val="Normal02"/>
              <w:spacing w:before="0" w:after="0"/>
              <w:rPr>
                <w:rFonts w:eastAsia="Calibri" w:cs="Calibri"/>
                <w:color w:val="000000"/>
                <w:sz w:val="18"/>
              </w:rPr>
            </w:pPr>
          </w:p>
        </w:tc>
        <w:tc>
          <w:tcPr>
            <w:tcW w:w="2175" w:type="dxa"/>
            <w:noWrap/>
            <w:tcMar>
              <w:top w:w="0" w:type="dxa"/>
              <w:left w:w="40" w:type="dxa"/>
              <w:bottom w:w="0" w:type="dxa"/>
              <w:right w:w="40" w:type="dxa"/>
            </w:tcMar>
            <w:hideMark/>
          </w:tcPr>
          <w:p w:rsidR="00281F97" w:rsidRDefault="00765F6E">
            <w:pPr>
              <w:pStyle w:val="Normal02"/>
              <w:spacing w:before="0" w:after="0"/>
              <w:jc w:val="right"/>
              <w:rPr>
                <w:rFonts w:eastAsia="Calibri" w:cs="Calibri"/>
                <w:b/>
                <w:color w:val="000000"/>
                <w:sz w:val="18"/>
              </w:rPr>
            </w:pPr>
            <w:r>
              <w:rPr>
                <w:rFonts w:eastAsia="Calibri" w:cs="Calibri"/>
                <w:b/>
                <w:color w:val="000000"/>
                <w:sz w:val="18"/>
              </w:rPr>
              <w:t>Estimated Outcome</w:t>
            </w:r>
          </w:p>
        </w:tc>
        <w:tc>
          <w:tcPr>
            <w:tcW w:w="1650" w:type="dxa"/>
            <w:noWrap/>
            <w:tcMar>
              <w:top w:w="0" w:type="dxa"/>
              <w:left w:w="40" w:type="dxa"/>
              <w:bottom w:w="0" w:type="dxa"/>
              <w:right w:w="40" w:type="dxa"/>
            </w:tcMar>
            <w:hideMark/>
          </w:tcPr>
          <w:p w:rsidR="00281F97" w:rsidRDefault="00765F6E">
            <w:pPr>
              <w:pStyle w:val="Normal02"/>
              <w:spacing w:before="0" w:after="0"/>
              <w:jc w:val="right"/>
              <w:rPr>
                <w:rFonts w:eastAsia="Calibri" w:cs="Calibri"/>
                <w:b/>
                <w:color w:val="000000"/>
                <w:sz w:val="18"/>
              </w:rPr>
            </w:pPr>
            <w:r>
              <w:rPr>
                <w:rFonts w:eastAsia="Calibri" w:cs="Calibri"/>
                <w:b/>
                <w:color w:val="000000"/>
                <w:sz w:val="18"/>
              </w:rPr>
              <w:t>Budget</w:t>
            </w:r>
          </w:p>
        </w:tc>
      </w:tr>
      <w:tr w:rsidR="00237D6F" w:rsidTr="00281F97">
        <w:trPr>
          <w:trHeight w:hRule="exact" w:val="300"/>
        </w:trPr>
        <w:tc>
          <w:tcPr>
            <w:tcW w:w="4695" w:type="dxa"/>
            <w:tcBorders>
              <w:top w:val="nil"/>
              <w:left w:val="nil"/>
              <w:bottom w:val="single" w:sz="4" w:space="0" w:color="000000"/>
              <w:right w:val="nil"/>
            </w:tcBorders>
            <w:noWrap/>
            <w:tcMar>
              <w:top w:w="0" w:type="dxa"/>
              <w:left w:w="40" w:type="dxa"/>
              <w:bottom w:w="0" w:type="dxa"/>
              <w:right w:w="40" w:type="dxa"/>
            </w:tcMar>
          </w:tcPr>
          <w:p w:rsidR="00281F97" w:rsidRDefault="00281F97">
            <w:pPr>
              <w:pStyle w:val="Normal02"/>
              <w:spacing w:before="0" w:after="0"/>
              <w:rPr>
                <w:rFonts w:eastAsia="Calibri" w:cs="Calibri"/>
                <w:color w:val="000000"/>
                <w:sz w:val="18"/>
              </w:rPr>
            </w:pPr>
          </w:p>
        </w:tc>
        <w:tc>
          <w:tcPr>
            <w:tcW w:w="540" w:type="dxa"/>
            <w:tcBorders>
              <w:top w:val="nil"/>
              <w:left w:val="nil"/>
              <w:bottom w:val="single" w:sz="4" w:space="0" w:color="000000"/>
              <w:right w:val="nil"/>
            </w:tcBorders>
            <w:noWrap/>
            <w:tcMar>
              <w:top w:w="0" w:type="dxa"/>
              <w:left w:w="40" w:type="dxa"/>
              <w:bottom w:w="0" w:type="dxa"/>
              <w:right w:w="40" w:type="dxa"/>
            </w:tcMar>
          </w:tcPr>
          <w:p w:rsidR="00281F97" w:rsidRDefault="00281F97">
            <w:pPr>
              <w:pStyle w:val="Normal02"/>
              <w:spacing w:before="0" w:after="0"/>
              <w:rPr>
                <w:rFonts w:eastAsia="Calibri" w:cs="Calibri"/>
                <w:color w:val="000000"/>
                <w:sz w:val="18"/>
              </w:rPr>
            </w:pPr>
          </w:p>
        </w:tc>
        <w:tc>
          <w:tcPr>
            <w:tcW w:w="2175" w:type="dxa"/>
            <w:tcBorders>
              <w:top w:val="nil"/>
              <w:left w:val="nil"/>
              <w:bottom w:val="single" w:sz="4" w:space="0" w:color="000000"/>
              <w:right w:val="nil"/>
            </w:tcBorders>
            <w:noWrap/>
            <w:tcMar>
              <w:top w:w="0" w:type="dxa"/>
              <w:left w:w="40" w:type="dxa"/>
              <w:bottom w:w="0" w:type="dxa"/>
              <w:right w:w="40" w:type="dxa"/>
            </w:tcMar>
            <w:hideMark/>
          </w:tcPr>
          <w:p w:rsidR="00281F97" w:rsidRDefault="00765F6E">
            <w:pPr>
              <w:pStyle w:val="Normal02"/>
              <w:spacing w:before="0" w:after="0"/>
              <w:jc w:val="right"/>
              <w:rPr>
                <w:rFonts w:eastAsia="Calibri" w:cs="Calibri"/>
                <w:b/>
                <w:color w:val="000000"/>
                <w:sz w:val="18"/>
              </w:rPr>
            </w:pPr>
            <w:r>
              <w:rPr>
                <w:rFonts w:eastAsia="Calibri" w:cs="Calibri"/>
                <w:b/>
                <w:color w:val="000000"/>
                <w:sz w:val="18"/>
              </w:rPr>
              <w:t>$'000</w:t>
            </w:r>
          </w:p>
        </w:tc>
        <w:tc>
          <w:tcPr>
            <w:tcW w:w="1650" w:type="dxa"/>
            <w:tcBorders>
              <w:top w:val="nil"/>
              <w:left w:val="nil"/>
              <w:bottom w:val="single" w:sz="4" w:space="0" w:color="000000"/>
              <w:right w:val="nil"/>
            </w:tcBorders>
            <w:noWrap/>
            <w:tcMar>
              <w:top w:w="0" w:type="dxa"/>
              <w:left w:w="40" w:type="dxa"/>
              <w:bottom w:w="0" w:type="dxa"/>
              <w:right w:w="40" w:type="dxa"/>
            </w:tcMar>
            <w:hideMark/>
          </w:tcPr>
          <w:p w:rsidR="00281F97" w:rsidRDefault="00765F6E">
            <w:pPr>
              <w:pStyle w:val="Normal02"/>
              <w:spacing w:before="0" w:after="0"/>
              <w:jc w:val="right"/>
              <w:rPr>
                <w:rFonts w:eastAsia="Calibri" w:cs="Calibri"/>
                <w:b/>
                <w:color w:val="000000"/>
                <w:sz w:val="18"/>
              </w:rPr>
            </w:pPr>
            <w:r>
              <w:rPr>
                <w:rFonts w:eastAsia="Calibri" w:cs="Calibri"/>
                <w:b/>
                <w:color w:val="000000"/>
                <w:sz w:val="18"/>
              </w:rPr>
              <w:t>$'000</w:t>
            </w:r>
          </w:p>
        </w:tc>
      </w:tr>
      <w:tr w:rsidR="00237D6F" w:rsidTr="00281F97">
        <w:trPr>
          <w:trHeight w:hRule="exact" w:val="240"/>
        </w:trPr>
        <w:tc>
          <w:tcPr>
            <w:tcW w:w="4695" w:type="dxa"/>
            <w:tcBorders>
              <w:top w:val="single" w:sz="4" w:space="0" w:color="000000"/>
              <w:left w:val="nil"/>
              <w:bottom w:val="nil"/>
              <w:right w:val="nil"/>
            </w:tcBorders>
            <w:noWrap/>
            <w:tcMar>
              <w:top w:w="0" w:type="dxa"/>
              <w:left w:w="40" w:type="dxa"/>
              <w:bottom w:w="0" w:type="dxa"/>
              <w:right w:w="40" w:type="dxa"/>
            </w:tcMar>
            <w:hideMark/>
          </w:tcPr>
          <w:p w:rsidR="00281F97" w:rsidRDefault="00765F6E">
            <w:pPr>
              <w:pStyle w:val="Normal02"/>
              <w:spacing w:before="0" w:after="0"/>
              <w:rPr>
                <w:rFonts w:eastAsia="Calibri" w:cs="Calibri"/>
                <w:color w:val="000000"/>
                <w:sz w:val="18"/>
              </w:rPr>
            </w:pPr>
            <w:r>
              <w:rPr>
                <w:rFonts w:eastAsia="Calibri" w:cs="Calibri"/>
                <w:color w:val="000000"/>
                <w:sz w:val="18"/>
              </w:rPr>
              <w:t>Total Cost</w:t>
            </w:r>
            <w:r>
              <w:rPr>
                <w:rFonts w:eastAsia="Calibri" w:cs="Calibri"/>
                <w:color w:val="000000"/>
                <w:sz w:val="18"/>
                <w:vertAlign w:val="superscript"/>
              </w:rPr>
              <w:t>1</w:t>
            </w:r>
          </w:p>
        </w:tc>
        <w:tc>
          <w:tcPr>
            <w:tcW w:w="540" w:type="dxa"/>
            <w:tcBorders>
              <w:top w:val="single" w:sz="4" w:space="0" w:color="000000"/>
              <w:left w:val="nil"/>
              <w:bottom w:val="nil"/>
              <w:right w:val="nil"/>
            </w:tcBorders>
            <w:noWrap/>
            <w:tcMar>
              <w:top w:w="0" w:type="dxa"/>
              <w:left w:w="40" w:type="dxa"/>
              <w:bottom w:w="0" w:type="dxa"/>
              <w:right w:w="40" w:type="dxa"/>
            </w:tcMar>
          </w:tcPr>
          <w:p w:rsidR="00281F97" w:rsidRDefault="00281F97">
            <w:pPr>
              <w:pStyle w:val="Normal02"/>
              <w:spacing w:before="0" w:after="0"/>
              <w:rPr>
                <w:rFonts w:eastAsia="Calibri" w:cs="Calibri"/>
                <w:b/>
                <w:color w:val="000000"/>
                <w:sz w:val="18"/>
              </w:rPr>
            </w:pPr>
          </w:p>
        </w:tc>
        <w:tc>
          <w:tcPr>
            <w:tcW w:w="2175" w:type="dxa"/>
            <w:tcBorders>
              <w:top w:val="single" w:sz="4" w:space="0" w:color="000000"/>
              <w:left w:val="nil"/>
              <w:bottom w:val="nil"/>
              <w:right w:val="nil"/>
            </w:tcBorders>
            <w:noWrap/>
            <w:tcMar>
              <w:top w:w="0" w:type="dxa"/>
              <w:left w:w="40" w:type="dxa"/>
              <w:bottom w:w="0" w:type="dxa"/>
              <w:right w:w="40" w:type="dxa"/>
            </w:tcMar>
            <w:hideMark/>
          </w:tcPr>
          <w:p w:rsidR="00281F97" w:rsidRDefault="00765F6E">
            <w:pPr>
              <w:pStyle w:val="Normal02"/>
              <w:spacing w:before="0" w:after="0"/>
              <w:jc w:val="right"/>
              <w:rPr>
                <w:rFonts w:eastAsia="Calibri" w:cs="Calibri"/>
                <w:color w:val="000000"/>
                <w:sz w:val="18"/>
              </w:rPr>
            </w:pPr>
            <w:r>
              <w:rPr>
                <w:rFonts w:eastAsia="Calibri" w:cs="Calibri"/>
                <w:color w:val="000000"/>
                <w:sz w:val="18"/>
              </w:rPr>
              <w:t>1,395,951</w:t>
            </w:r>
          </w:p>
        </w:tc>
        <w:tc>
          <w:tcPr>
            <w:tcW w:w="1650" w:type="dxa"/>
            <w:tcBorders>
              <w:top w:val="single" w:sz="4" w:space="0" w:color="000000"/>
              <w:left w:val="nil"/>
              <w:bottom w:val="nil"/>
              <w:right w:val="nil"/>
            </w:tcBorders>
            <w:noWrap/>
            <w:tcMar>
              <w:top w:w="0" w:type="dxa"/>
              <w:left w:w="40" w:type="dxa"/>
              <w:bottom w:w="0" w:type="dxa"/>
              <w:right w:w="40" w:type="dxa"/>
            </w:tcMar>
            <w:hideMark/>
          </w:tcPr>
          <w:p w:rsidR="00281F97" w:rsidRDefault="00765F6E" w:rsidP="00281F97">
            <w:pPr>
              <w:pStyle w:val="Normal02"/>
              <w:spacing w:before="0" w:after="0"/>
              <w:jc w:val="right"/>
              <w:rPr>
                <w:rFonts w:eastAsia="Calibri" w:cs="Calibri"/>
                <w:color w:val="000000"/>
                <w:sz w:val="18"/>
              </w:rPr>
            </w:pPr>
            <w:r>
              <w:rPr>
                <w:rFonts w:eastAsia="Calibri" w:cs="Calibri"/>
                <w:color w:val="000000"/>
                <w:sz w:val="18"/>
              </w:rPr>
              <w:t>1,443,974</w:t>
            </w:r>
          </w:p>
        </w:tc>
      </w:tr>
      <w:tr w:rsidR="00237D6F" w:rsidTr="00281F97">
        <w:trPr>
          <w:trHeight w:hRule="exact" w:val="300"/>
        </w:trPr>
        <w:tc>
          <w:tcPr>
            <w:tcW w:w="4695" w:type="dxa"/>
            <w:tcBorders>
              <w:top w:val="nil"/>
              <w:left w:val="nil"/>
              <w:bottom w:val="single" w:sz="4" w:space="0" w:color="000000"/>
              <w:right w:val="nil"/>
            </w:tcBorders>
            <w:noWrap/>
            <w:tcMar>
              <w:top w:w="0" w:type="dxa"/>
              <w:left w:w="40" w:type="dxa"/>
              <w:bottom w:w="0" w:type="dxa"/>
              <w:right w:w="40" w:type="dxa"/>
            </w:tcMar>
            <w:hideMark/>
          </w:tcPr>
          <w:p w:rsidR="00281F97" w:rsidRDefault="00765F6E">
            <w:pPr>
              <w:pStyle w:val="Normal02"/>
              <w:spacing w:before="0" w:after="0"/>
              <w:rPr>
                <w:rFonts w:eastAsia="Calibri" w:cs="Calibri"/>
                <w:color w:val="000000"/>
                <w:sz w:val="18"/>
              </w:rPr>
            </w:pPr>
            <w:r>
              <w:rPr>
                <w:rFonts w:eastAsia="Calibri" w:cs="Calibri"/>
                <w:color w:val="000000"/>
                <w:sz w:val="18"/>
              </w:rPr>
              <w:t>Controlled Recurrent Payments</w:t>
            </w:r>
          </w:p>
        </w:tc>
        <w:tc>
          <w:tcPr>
            <w:tcW w:w="540" w:type="dxa"/>
            <w:tcBorders>
              <w:top w:val="nil"/>
              <w:left w:val="nil"/>
              <w:bottom w:val="single" w:sz="4" w:space="0" w:color="000000"/>
              <w:right w:val="nil"/>
            </w:tcBorders>
            <w:noWrap/>
            <w:tcMar>
              <w:top w:w="0" w:type="dxa"/>
              <w:left w:w="40" w:type="dxa"/>
              <w:bottom w:w="0" w:type="dxa"/>
              <w:right w:w="40" w:type="dxa"/>
            </w:tcMar>
          </w:tcPr>
          <w:p w:rsidR="00281F97" w:rsidRDefault="00281F97">
            <w:pPr>
              <w:pStyle w:val="Normal02"/>
              <w:spacing w:before="0" w:after="0"/>
              <w:rPr>
                <w:rFonts w:eastAsia="Calibri" w:cs="Calibri"/>
                <w:b/>
                <w:color w:val="000000"/>
                <w:sz w:val="18"/>
              </w:rPr>
            </w:pPr>
          </w:p>
        </w:tc>
        <w:tc>
          <w:tcPr>
            <w:tcW w:w="2175" w:type="dxa"/>
            <w:tcBorders>
              <w:top w:val="nil"/>
              <w:left w:val="nil"/>
              <w:bottom w:val="single" w:sz="4" w:space="0" w:color="000000"/>
              <w:right w:val="nil"/>
            </w:tcBorders>
            <w:noWrap/>
            <w:tcMar>
              <w:top w:w="0" w:type="dxa"/>
              <w:left w:w="40" w:type="dxa"/>
              <w:bottom w:w="0" w:type="dxa"/>
              <w:right w:w="40" w:type="dxa"/>
            </w:tcMar>
            <w:hideMark/>
          </w:tcPr>
          <w:p w:rsidR="00281F97" w:rsidRDefault="00765F6E">
            <w:pPr>
              <w:pStyle w:val="Normal02"/>
              <w:spacing w:before="0" w:after="0"/>
              <w:jc w:val="right"/>
              <w:rPr>
                <w:rFonts w:eastAsia="Calibri" w:cs="Calibri"/>
                <w:color w:val="000000"/>
                <w:sz w:val="18"/>
              </w:rPr>
            </w:pPr>
            <w:r>
              <w:rPr>
                <w:rFonts w:eastAsia="Calibri" w:cs="Calibri"/>
                <w:color w:val="000000"/>
                <w:sz w:val="18"/>
              </w:rPr>
              <w:t>297,851</w:t>
            </w:r>
          </w:p>
        </w:tc>
        <w:tc>
          <w:tcPr>
            <w:tcW w:w="1650" w:type="dxa"/>
            <w:tcBorders>
              <w:top w:val="nil"/>
              <w:left w:val="nil"/>
              <w:bottom w:val="single" w:sz="4" w:space="0" w:color="000000"/>
              <w:right w:val="nil"/>
            </w:tcBorders>
            <w:noWrap/>
            <w:tcMar>
              <w:top w:w="0" w:type="dxa"/>
              <w:left w:w="40" w:type="dxa"/>
              <w:bottom w:w="0" w:type="dxa"/>
              <w:right w:w="40" w:type="dxa"/>
            </w:tcMar>
            <w:hideMark/>
          </w:tcPr>
          <w:p w:rsidR="00281F97" w:rsidRDefault="00765F6E" w:rsidP="00281F97">
            <w:pPr>
              <w:pStyle w:val="Normal02"/>
              <w:spacing w:before="0" w:after="0"/>
              <w:jc w:val="right"/>
              <w:rPr>
                <w:rFonts w:eastAsia="Calibri" w:cs="Calibri"/>
                <w:color w:val="000000"/>
                <w:sz w:val="18"/>
              </w:rPr>
            </w:pPr>
            <w:r>
              <w:rPr>
                <w:rFonts w:eastAsia="Calibri" w:cs="Calibri"/>
                <w:color w:val="000000"/>
                <w:sz w:val="18"/>
              </w:rPr>
              <w:t>310,654</w:t>
            </w:r>
          </w:p>
        </w:tc>
      </w:tr>
    </w:tbl>
    <w:p w:rsidR="00281F97" w:rsidRDefault="00765F6E" w:rsidP="00281F97">
      <w:pPr>
        <w:pStyle w:val="BSnote0"/>
      </w:pPr>
      <w:r>
        <w:t>Note:</w:t>
      </w:r>
    </w:p>
    <w:p w:rsidR="00281F97" w:rsidRDefault="00765F6E" w:rsidP="00CA0839">
      <w:pPr>
        <w:pStyle w:val="BSnoteslist10"/>
        <w:numPr>
          <w:ilvl w:val="0"/>
          <w:numId w:val="19"/>
        </w:numPr>
      </w:pPr>
      <w:r>
        <w:t xml:space="preserve">Total cost </w:t>
      </w:r>
      <w:r>
        <w:rPr>
          <w:szCs w:val="16"/>
        </w:rPr>
        <w:t>includes</w:t>
      </w:r>
      <w:r>
        <w:t xml:space="preserve"> depreciation and amortisation of $45.601 million in 2017-18 and $50.817 million in 2018-19.</w:t>
      </w:r>
    </w:p>
    <w:p w:rsidR="00281F97" w:rsidRDefault="00765F6E" w:rsidP="00281F97">
      <w:pPr>
        <w:pStyle w:val="Heading40"/>
      </w:pPr>
      <w:r>
        <w:t xml:space="preserve">Output 1.1: </w:t>
      </w:r>
      <w:r w:rsidRPr="00446921">
        <w:t>Acute Services</w:t>
      </w:r>
    </w:p>
    <w:p w:rsidR="00281F97" w:rsidRDefault="00765F6E" w:rsidP="00281F97">
      <w:pPr>
        <w:pStyle w:val="Normal02"/>
      </w:pPr>
      <w:r>
        <w:t>The Canberra Hospital provides a comprehensive range of acute care, including:</w:t>
      </w:r>
    </w:p>
    <w:p w:rsidR="00281F97" w:rsidRDefault="00765F6E" w:rsidP="005038F3">
      <w:pPr>
        <w:pStyle w:val="Normal02"/>
        <w:numPr>
          <w:ilvl w:val="0"/>
          <w:numId w:val="21"/>
        </w:numPr>
      </w:pPr>
      <w:r>
        <w:t>tertiary inpatient, outpatient and ambulatory services to the ACT and surrounding NSW;</w:t>
      </w:r>
    </w:p>
    <w:p w:rsidR="00281F97" w:rsidRDefault="00765F6E" w:rsidP="005038F3">
      <w:pPr>
        <w:pStyle w:val="Normal02"/>
        <w:numPr>
          <w:ilvl w:val="0"/>
          <w:numId w:val="21"/>
        </w:numPr>
      </w:pPr>
      <w:r>
        <w:t>emergency department, intensive care unit and retrieval services;</w:t>
      </w:r>
    </w:p>
    <w:p w:rsidR="00281F97" w:rsidRDefault="00765F6E" w:rsidP="005038F3">
      <w:pPr>
        <w:pStyle w:val="Normal02"/>
        <w:numPr>
          <w:ilvl w:val="0"/>
          <w:numId w:val="21"/>
        </w:numPr>
      </w:pPr>
      <w:r w:rsidRPr="005038F3">
        <w:t>a range of medical speciality services including cardiology, respiratory, gastroenterology, neurology, endocrinology, rheumatology and renal services;</w:t>
      </w:r>
    </w:p>
    <w:p w:rsidR="00281F97" w:rsidRPr="005038F3" w:rsidRDefault="00765F6E" w:rsidP="005038F3">
      <w:pPr>
        <w:pStyle w:val="Normal02"/>
        <w:numPr>
          <w:ilvl w:val="0"/>
          <w:numId w:val="21"/>
        </w:numPr>
      </w:pPr>
      <w:r w:rsidRPr="005038F3">
        <w:t>elective and emergency surgery services in general surgery; and</w:t>
      </w:r>
    </w:p>
    <w:p w:rsidR="00281F97" w:rsidRDefault="00765F6E" w:rsidP="005038F3">
      <w:pPr>
        <w:pStyle w:val="Normal02"/>
        <w:numPr>
          <w:ilvl w:val="0"/>
          <w:numId w:val="21"/>
        </w:numPr>
      </w:pPr>
      <w:r w:rsidRPr="005038F3">
        <w:t>services for women, youth and children in obstetrics, gynaecology, gynaecology surgery, paediatrics and paediatric surgery.</w:t>
      </w:r>
    </w:p>
    <w:p w:rsidR="00281F97" w:rsidRDefault="00765F6E" w:rsidP="00281F97">
      <w:pPr>
        <w:pStyle w:val="Normal02"/>
      </w:pPr>
      <w:r>
        <w:t>The key strategic priority for acute services is to deliver timely access to effective and safe hospital care services while responding to the growing demand of services.</w:t>
      </w:r>
    </w:p>
    <w:p w:rsidR="00281F97" w:rsidRDefault="00765F6E" w:rsidP="00281F97">
      <w:pPr>
        <w:pStyle w:val="Normal02"/>
      </w:pPr>
      <w:r>
        <w:t>This means focusing on:</w:t>
      </w:r>
    </w:p>
    <w:p w:rsidR="00281F97" w:rsidRDefault="00765F6E" w:rsidP="00CA0839">
      <w:pPr>
        <w:pStyle w:val="Normal02"/>
        <w:numPr>
          <w:ilvl w:val="0"/>
          <w:numId w:val="21"/>
        </w:numPr>
      </w:pPr>
      <w:r>
        <w:t xml:space="preserve">strategies to improve access to services, including for the emergency department and elective surgery; and </w:t>
      </w:r>
    </w:p>
    <w:p w:rsidR="00281F97" w:rsidRDefault="00765F6E" w:rsidP="00CA0839">
      <w:pPr>
        <w:pStyle w:val="Normal02"/>
        <w:numPr>
          <w:ilvl w:val="0"/>
          <w:numId w:val="21"/>
        </w:numPr>
      </w:pPr>
      <w:r>
        <w:t>continuing to increase the efficiency of acute care services.</w:t>
      </w:r>
    </w:p>
    <w:p w:rsidR="00281F97" w:rsidRDefault="00765F6E" w:rsidP="00281F97">
      <w:pPr>
        <w:pStyle w:val="BSbullet10"/>
        <w:keepNext/>
        <w:keepLines/>
        <w:numPr>
          <w:ilvl w:val="0"/>
          <w:numId w:val="0"/>
        </w:numPr>
        <w:tabs>
          <w:tab w:val="left" w:pos="720"/>
        </w:tabs>
        <w:jc w:val="left"/>
        <w:rPr>
          <w:b/>
        </w:rPr>
      </w:pPr>
      <w:r>
        <w:rPr>
          <w:b/>
        </w:rPr>
        <w:t>Table 18:</w:t>
      </w:r>
      <w:r w:rsidR="00263F6B">
        <w:rPr>
          <w:b/>
        </w:rPr>
        <w:t xml:space="preserve"> </w:t>
      </w:r>
      <w:r>
        <w:rPr>
          <w:b/>
        </w:rPr>
        <w:t xml:space="preserve">Output 1.1:  </w:t>
      </w:r>
      <w:r w:rsidRPr="00446921">
        <w:rPr>
          <w:b/>
        </w:rPr>
        <w:t>Acute Services</w:t>
      </w:r>
    </w:p>
    <w:tbl>
      <w:tblPr>
        <w:tblW w:w="0" w:type="dxa"/>
        <w:tblLayout w:type="fixed"/>
        <w:tblLook w:val="0600" w:firstRow="0" w:lastRow="0" w:firstColumn="0" w:lastColumn="0" w:noHBand="1" w:noVBand="1"/>
      </w:tblPr>
      <w:tblGrid>
        <w:gridCol w:w="4695"/>
        <w:gridCol w:w="540"/>
        <w:gridCol w:w="2175"/>
        <w:gridCol w:w="1650"/>
      </w:tblGrid>
      <w:tr w:rsidR="00237D6F" w:rsidTr="00281F97">
        <w:trPr>
          <w:trHeight w:hRule="exact" w:val="240"/>
        </w:trPr>
        <w:tc>
          <w:tcPr>
            <w:tcW w:w="4695" w:type="dxa"/>
            <w:tcBorders>
              <w:top w:val="single" w:sz="4" w:space="0" w:color="000000"/>
              <w:left w:val="nil"/>
              <w:bottom w:val="nil"/>
              <w:right w:val="nil"/>
            </w:tcBorders>
            <w:noWrap/>
            <w:tcMar>
              <w:top w:w="0" w:type="dxa"/>
              <w:left w:w="40" w:type="dxa"/>
              <w:bottom w:w="0" w:type="dxa"/>
              <w:right w:w="40" w:type="dxa"/>
            </w:tcMar>
          </w:tcPr>
          <w:p w:rsidR="00281F97" w:rsidRDefault="00281F97">
            <w:pPr>
              <w:pStyle w:val="Normal02"/>
              <w:spacing w:before="0" w:after="0"/>
              <w:rPr>
                <w:rFonts w:eastAsia="Calibri" w:cs="Calibri"/>
                <w:color w:val="000000"/>
                <w:sz w:val="18"/>
              </w:rPr>
            </w:pPr>
          </w:p>
        </w:tc>
        <w:tc>
          <w:tcPr>
            <w:tcW w:w="540" w:type="dxa"/>
            <w:tcBorders>
              <w:top w:val="single" w:sz="4" w:space="0" w:color="000000"/>
              <w:left w:val="nil"/>
              <w:bottom w:val="nil"/>
              <w:right w:val="nil"/>
            </w:tcBorders>
            <w:noWrap/>
            <w:tcMar>
              <w:top w:w="0" w:type="dxa"/>
              <w:left w:w="40" w:type="dxa"/>
              <w:bottom w:w="0" w:type="dxa"/>
              <w:right w:w="40" w:type="dxa"/>
            </w:tcMar>
          </w:tcPr>
          <w:p w:rsidR="00281F97" w:rsidRDefault="00281F97">
            <w:pPr>
              <w:pStyle w:val="Normal02"/>
              <w:spacing w:before="0" w:after="0"/>
              <w:rPr>
                <w:rFonts w:eastAsia="Calibri" w:cs="Calibri"/>
                <w:color w:val="000000"/>
                <w:sz w:val="18"/>
              </w:rPr>
            </w:pPr>
          </w:p>
        </w:tc>
        <w:tc>
          <w:tcPr>
            <w:tcW w:w="2175" w:type="dxa"/>
            <w:tcBorders>
              <w:top w:val="single" w:sz="4" w:space="0" w:color="000000"/>
              <w:left w:val="nil"/>
              <w:bottom w:val="nil"/>
              <w:right w:val="nil"/>
            </w:tcBorders>
            <w:noWrap/>
            <w:tcMar>
              <w:top w:w="0" w:type="dxa"/>
              <w:left w:w="40" w:type="dxa"/>
              <w:bottom w:w="0" w:type="dxa"/>
              <w:right w:w="40" w:type="dxa"/>
            </w:tcMar>
            <w:hideMark/>
          </w:tcPr>
          <w:p w:rsidR="00281F97" w:rsidRDefault="00765F6E">
            <w:pPr>
              <w:pStyle w:val="Normal02"/>
              <w:spacing w:before="0" w:after="0"/>
              <w:jc w:val="right"/>
              <w:rPr>
                <w:rFonts w:eastAsia="Calibri" w:cs="Calibri"/>
                <w:b/>
                <w:color w:val="000000"/>
                <w:sz w:val="18"/>
              </w:rPr>
            </w:pPr>
            <w:r>
              <w:rPr>
                <w:rFonts w:eastAsia="Calibri" w:cs="Calibri"/>
                <w:b/>
                <w:color w:val="000000"/>
                <w:sz w:val="18"/>
              </w:rPr>
              <w:t>2017-18</w:t>
            </w:r>
          </w:p>
        </w:tc>
        <w:tc>
          <w:tcPr>
            <w:tcW w:w="1650" w:type="dxa"/>
            <w:tcBorders>
              <w:top w:val="single" w:sz="4" w:space="0" w:color="000000"/>
              <w:left w:val="nil"/>
              <w:bottom w:val="nil"/>
              <w:right w:val="nil"/>
            </w:tcBorders>
            <w:noWrap/>
            <w:tcMar>
              <w:top w:w="0" w:type="dxa"/>
              <w:left w:w="40" w:type="dxa"/>
              <w:bottom w:w="0" w:type="dxa"/>
              <w:right w:w="40" w:type="dxa"/>
            </w:tcMar>
            <w:hideMark/>
          </w:tcPr>
          <w:p w:rsidR="00281F97" w:rsidRDefault="00765F6E">
            <w:pPr>
              <w:pStyle w:val="Normal02"/>
              <w:spacing w:before="0" w:after="0"/>
              <w:jc w:val="right"/>
              <w:rPr>
                <w:rFonts w:eastAsia="Calibri" w:cs="Calibri"/>
                <w:b/>
                <w:color w:val="000000"/>
                <w:sz w:val="18"/>
              </w:rPr>
            </w:pPr>
            <w:r>
              <w:rPr>
                <w:rFonts w:eastAsia="Calibri" w:cs="Calibri"/>
                <w:b/>
                <w:color w:val="000000"/>
                <w:sz w:val="18"/>
              </w:rPr>
              <w:t>2018-19</w:t>
            </w:r>
          </w:p>
        </w:tc>
      </w:tr>
      <w:tr w:rsidR="00237D6F" w:rsidTr="00281F97">
        <w:trPr>
          <w:trHeight w:val="240"/>
        </w:trPr>
        <w:tc>
          <w:tcPr>
            <w:tcW w:w="4695" w:type="dxa"/>
            <w:noWrap/>
            <w:tcMar>
              <w:top w:w="0" w:type="dxa"/>
              <w:left w:w="40" w:type="dxa"/>
              <w:bottom w:w="0" w:type="dxa"/>
              <w:right w:w="40" w:type="dxa"/>
            </w:tcMar>
          </w:tcPr>
          <w:p w:rsidR="00281F97" w:rsidRDefault="00281F97">
            <w:pPr>
              <w:pStyle w:val="Normal02"/>
              <w:spacing w:before="0" w:after="0"/>
              <w:rPr>
                <w:rFonts w:eastAsia="Calibri" w:cs="Calibri"/>
                <w:color w:val="000000"/>
                <w:sz w:val="18"/>
              </w:rPr>
            </w:pPr>
          </w:p>
        </w:tc>
        <w:tc>
          <w:tcPr>
            <w:tcW w:w="540" w:type="dxa"/>
            <w:noWrap/>
            <w:tcMar>
              <w:top w:w="0" w:type="dxa"/>
              <w:left w:w="40" w:type="dxa"/>
              <w:bottom w:w="0" w:type="dxa"/>
              <w:right w:w="40" w:type="dxa"/>
            </w:tcMar>
          </w:tcPr>
          <w:p w:rsidR="00281F97" w:rsidRDefault="00281F97">
            <w:pPr>
              <w:pStyle w:val="Normal02"/>
              <w:spacing w:before="0" w:after="0"/>
              <w:rPr>
                <w:rFonts w:eastAsia="Calibri" w:cs="Calibri"/>
                <w:color w:val="000000"/>
                <w:sz w:val="18"/>
              </w:rPr>
            </w:pPr>
          </w:p>
        </w:tc>
        <w:tc>
          <w:tcPr>
            <w:tcW w:w="2175" w:type="dxa"/>
            <w:tcMar>
              <w:top w:w="0" w:type="dxa"/>
              <w:left w:w="40" w:type="dxa"/>
              <w:bottom w:w="0" w:type="dxa"/>
              <w:right w:w="40" w:type="dxa"/>
            </w:tcMar>
            <w:hideMark/>
          </w:tcPr>
          <w:p w:rsidR="00281F97" w:rsidRDefault="00765F6E">
            <w:pPr>
              <w:pStyle w:val="Normal02"/>
              <w:spacing w:before="0" w:after="0"/>
              <w:jc w:val="right"/>
              <w:rPr>
                <w:rFonts w:eastAsia="Calibri" w:cs="Calibri"/>
                <w:b/>
                <w:color w:val="000000"/>
                <w:sz w:val="18"/>
              </w:rPr>
            </w:pPr>
            <w:r>
              <w:rPr>
                <w:rFonts w:eastAsia="Calibri" w:cs="Calibri"/>
                <w:b/>
                <w:color w:val="000000"/>
                <w:sz w:val="18"/>
              </w:rPr>
              <w:t>Estimated Outcome</w:t>
            </w:r>
          </w:p>
        </w:tc>
        <w:tc>
          <w:tcPr>
            <w:tcW w:w="1650" w:type="dxa"/>
            <w:noWrap/>
            <w:tcMar>
              <w:top w:w="0" w:type="dxa"/>
              <w:left w:w="40" w:type="dxa"/>
              <w:bottom w:w="0" w:type="dxa"/>
              <w:right w:w="40" w:type="dxa"/>
            </w:tcMar>
            <w:hideMark/>
          </w:tcPr>
          <w:p w:rsidR="00281F97" w:rsidRDefault="00765F6E">
            <w:pPr>
              <w:pStyle w:val="Normal02"/>
              <w:spacing w:before="0" w:after="0"/>
              <w:jc w:val="right"/>
              <w:rPr>
                <w:rFonts w:eastAsia="Calibri" w:cs="Calibri"/>
                <w:b/>
                <w:color w:val="000000"/>
                <w:sz w:val="18"/>
              </w:rPr>
            </w:pPr>
            <w:r>
              <w:rPr>
                <w:rFonts w:eastAsia="Calibri" w:cs="Calibri"/>
                <w:b/>
                <w:color w:val="000000"/>
                <w:sz w:val="18"/>
              </w:rPr>
              <w:t>Budget</w:t>
            </w:r>
          </w:p>
        </w:tc>
      </w:tr>
      <w:tr w:rsidR="00237D6F" w:rsidTr="00281F97">
        <w:trPr>
          <w:trHeight w:hRule="exact" w:val="300"/>
        </w:trPr>
        <w:tc>
          <w:tcPr>
            <w:tcW w:w="4695" w:type="dxa"/>
            <w:tcBorders>
              <w:top w:val="nil"/>
              <w:left w:val="nil"/>
              <w:bottom w:val="single" w:sz="4" w:space="0" w:color="000000"/>
              <w:right w:val="nil"/>
            </w:tcBorders>
            <w:noWrap/>
            <w:tcMar>
              <w:top w:w="0" w:type="dxa"/>
              <w:left w:w="40" w:type="dxa"/>
              <w:bottom w:w="0" w:type="dxa"/>
              <w:right w:w="40" w:type="dxa"/>
            </w:tcMar>
          </w:tcPr>
          <w:p w:rsidR="00281F97" w:rsidRDefault="00281F97">
            <w:pPr>
              <w:pStyle w:val="Normal02"/>
              <w:spacing w:before="0" w:after="0"/>
              <w:rPr>
                <w:rFonts w:eastAsia="Calibri" w:cs="Calibri"/>
                <w:color w:val="000000"/>
                <w:sz w:val="18"/>
              </w:rPr>
            </w:pPr>
          </w:p>
        </w:tc>
        <w:tc>
          <w:tcPr>
            <w:tcW w:w="540" w:type="dxa"/>
            <w:tcBorders>
              <w:top w:val="nil"/>
              <w:left w:val="nil"/>
              <w:bottom w:val="single" w:sz="4" w:space="0" w:color="000000"/>
              <w:right w:val="nil"/>
            </w:tcBorders>
            <w:noWrap/>
            <w:tcMar>
              <w:top w:w="0" w:type="dxa"/>
              <w:left w:w="40" w:type="dxa"/>
              <w:bottom w:w="0" w:type="dxa"/>
              <w:right w:w="40" w:type="dxa"/>
            </w:tcMar>
          </w:tcPr>
          <w:p w:rsidR="00281F97" w:rsidRDefault="00281F97">
            <w:pPr>
              <w:pStyle w:val="Normal02"/>
              <w:spacing w:before="0" w:after="0"/>
              <w:rPr>
                <w:rFonts w:eastAsia="Calibri" w:cs="Calibri"/>
                <w:color w:val="000000"/>
                <w:sz w:val="18"/>
              </w:rPr>
            </w:pPr>
          </w:p>
        </w:tc>
        <w:tc>
          <w:tcPr>
            <w:tcW w:w="2175" w:type="dxa"/>
            <w:tcBorders>
              <w:top w:val="nil"/>
              <w:left w:val="nil"/>
              <w:bottom w:val="single" w:sz="4" w:space="0" w:color="000000"/>
              <w:right w:val="nil"/>
            </w:tcBorders>
            <w:noWrap/>
            <w:tcMar>
              <w:top w:w="0" w:type="dxa"/>
              <w:left w:w="40" w:type="dxa"/>
              <w:bottom w:w="0" w:type="dxa"/>
              <w:right w:w="40" w:type="dxa"/>
            </w:tcMar>
            <w:hideMark/>
          </w:tcPr>
          <w:p w:rsidR="00281F97" w:rsidRDefault="00765F6E">
            <w:pPr>
              <w:pStyle w:val="Normal02"/>
              <w:spacing w:before="0" w:after="0"/>
              <w:jc w:val="right"/>
              <w:rPr>
                <w:rFonts w:eastAsia="Calibri" w:cs="Calibri"/>
                <w:b/>
                <w:color w:val="000000"/>
                <w:sz w:val="18"/>
              </w:rPr>
            </w:pPr>
            <w:r>
              <w:rPr>
                <w:rFonts w:eastAsia="Calibri" w:cs="Calibri"/>
                <w:b/>
                <w:color w:val="000000"/>
                <w:sz w:val="18"/>
              </w:rPr>
              <w:t>$'000</w:t>
            </w:r>
          </w:p>
        </w:tc>
        <w:tc>
          <w:tcPr>
            <w:tcW w:w="1650" w:type="dxa"/>
            <w:tcBorders>
              <w:top w:val="nil"/>
              <w:left w:val="nil"/>
              <w:bottom w:val="single" w:sz="4" w:space="0" w:color="000000"/>
              <w:right w:val="nil"/>
            </w:tcBorders>
            <w:noWrap/>
            <w:tcMar>
              <w:top w:w="0" w:type="dxa"/>
              <w:left w:w="40" w:type="dxa"/>
              <w:bottom w:w="0" w:type="dxa"/>
              <w:right w:w="40" w:type="dxa"/>
            </w:tcMar>
            <w:hideMark/>
          </w:tcPr>
          <w:p w:rsidR="00281F97" w:rsidRDefault="00765F6E">
            <w:pPr>
              <w:pStyle w:val="Normal02"/>
              <w:spacing w:before="0" w:after="0"/>
              <w:jc w:val="right"/>
              <w:rPr>
                <w:rFonts w:eastAsia="Calibri" w:cs="Calibri"/>
                <w:b/>
                <w:color w:val="000000"/>
                <w:sz w:val="18"/>
              </w:rPr>
            </w:pPr>
            <w:r>
              <w:rPr>
                <w:rFonts w:eastAsia="Calibri" w:cs="Calibri"/>
                <w:b/>
                <w:color w:val="000000"/>
                <w:sz w:val="18"/>
              </w:rPr>
              <w:t>$'000</w:t>
            </w:r>
          </w:p>
        </w:tc>
      </w:tr>
      <w:tr w:rsidR="00237D6F" w:rsidTr="00281F97">
        <w:trPr>
          <w:trHeight w:hRule="exact" w:val="240"/>
        </w:trPr>
        <w:tc>
          <w:tcPr>
            <w:tcW w:w="4695" w:type="dxa"/>
            <w:tcBorders>
              <w:top w:val="single" w:sz="4" w:space="0" w:color="000000"/>
              <w:left w:val="nil"/>
              <w:bottom w:val="nil"/>
              <w:right w:val="nil"/>
            </w:tcBorders>
            <w:noWrap/>
            <w:tcMar>
              <w:top w:w="0" w:type="dxa"/>
              <w:left w:w="40" w:type="dxa"/>
              <w:bottom w:w="0" w:type="dxa"/>
              <w:right w:w="40" w:type="dxa"/>
            </w:tcMar>
            <w:hideMark/>
          </w:tcPr>
          <w:p w:rsidR="00281F97" w:rsidRDefault="00765F6E">
            <w:pPr>
              <w:pStyle w:val="Normal02"/>
              <w:spacing w:before="0" w:after="0"/>
              <w:rPr>
                <w:rFonts w:eastAsia="Calibri" w:cs="Calibri"/>
                <w:color w:val="000000"/>
                <w:sz w:val="18"/>
              </w:rPr>
            </w:pPr>
            <w:r>
              <w:rPr>
                <w:rFonts w:eastAsia="Calibri" w:cs="Calibri"/>
                <w:color w:val="000000"/>
                <w:sz w:val="18"/>
              </w:rPr>
              <w:t>Total Cost</w:t>
            </w:r>
          </w:p>
        </w:tc>
        <w:tc>
          <w:tcPr>
            <w:tcW w:w="540" w:type="dxa"/>
            <w:tcBorders>
              <w:top w:val="single" w:sz="4" w:space="0" w:color="000000"/>
              <w:left w:val="nil"/>
              <w:bottom w:val="nil"/>
              <w:right w:val="nil"/>
            </w:tcBorders>
            <w:noWrap/>
            <w:tcMar>
              <w:top w:w="0" w:type="dxa"/>
              <w:left w:w="40" w:type="dxa"/>
              <w:bottom w:w="0" w:type="dxa"/>
              <w:right w:w="40" w:type="dxa"/>
            </w:tcMar>
          </w:tcPr>
          <w:p w:rsidR="00281F97" w:rsidRDefault="00281F97">
            <w:pPr>
              <w:pStyle w:val="Normal02"/>
              <w:spacing w:before="0" w:after="0"/>
              <w:rPr>
                <w:rFonts w:eastAsia="Calibri" w:cs="Calibri"/>
                <w:b/>
                <w:color w:val="000000"/>
                <w:sz w:val="18"/>
              </w:rPr>
            </w:pPr>
          </w:p>
        </w:tc>
        <w:tc>
          <w:tcPr>
            <w:tcW w:w="2175" w:type="dxa"/>
            <w:tcBorders>
              <w:top w:val="single" w:sz="4" w:space="0" w:color="000000"/>
              <w:left w:val="nil"/>
              <w:bottom w:val="nil"/>
              <w:right w:val="nil"/>
            </w:tcBorders>
            <w:noWrap/>
            <w:tcMar>
              <w:top w:w="0" w:type="dxa"/>
              <w:left w:w="40" w:type="dxa"/>
              <w:bottom w:w="0" w:type="dxa"/>
              <w:right w:w="40" w:type="dxa"/>
            </w:tcMar>
            <w:hideMark/>
          </w:tcPr>
          <w:p w:rsidR="00281F97" w:rsidRDefault="00765F6E">
            <w:pPr>
              <w:pStyle w:val="Normal02"/>
              <w:spacing w:before="0" w:after="0"/>
              <w:jc w:val="right"/>
              <w:rPr>
                <w:rFonts w:eastAsia="Calibri" w:cs="Calibri"/>
                <w:color w:val="000000"/>
                <w:sz w:val="18"/>
              </w:rPr>
            </w:pPr>
            <w:r>
              <w:rPr>
                <w:rFonts w:eastAsia="Calibri" w:cs="Calibri"/>
                <w:color w:val="000000"/>
                <w:sz w:val="18"/>
              </w:rPr>
              <w:t>872,076</w:t>
            </w:r>
          </w:p>
        </w:tc>
        <w:tc>
          <w:tcPr>
            <w:tcW w:w="1650" w:type="dxa"/>
            <w:tcBorders>
              <w:top w:val="single" w:sz="4" w:space="0" w:color="000000"/>
              <w:left w:val="nil"/>
              <w:bottom w:val="nil"/>
              <w:right w:val="nil"/>
            </w:tcBorders>
            <w:noWrap/>
            <w:tcMar>
              <w:top w:w="0" w:type="dxa"/>
              <w:left w:w="40" w:type="dxa"/>
              <w:bottom w:w="0" w:type="dxa"/>
              <w:right w:w="40" w:type="dxa"/>
            </w:tcMar>
            <w:hideMark/>
          </w:tcPr>
          <w:p w:rsidR="00281F97" w:rsidRDefault="00765F6E">
            <w:pPr>
              <w:pStyle w:val="Normal02"/>
              <w:spacing w:before="0" w:after="0"/>
              <w:jc w:val="right"/>
              <w:rPr>
                <w:rFonts w:eastAsia="Calibri" w:cs="Calibri"/>
                <w:color w:val="000000"/>
                <w:sz w:val="18"/>
              </w:rPr>
            </w:pPr>
            <w:r>
              <w:rPr>
                <w:rFonts w:eastAsia="Calibri" w:cs="Calibri"/>
                <w:color w:val="000000"/>
                <w:sz w:val="18"/>
              </w:rPr>
              <w:t>915,942</w:t>
            </w:r>
          </w:p>
        </w:tc>
      </w:tr>
      <w:tr w:rsidR="00237D6F" w:rsidTr="00281F97">
        <w:trPr>
          <w:trHeight w:hRule="exact" w:val="300"/>
        </w:trPr>
        <w:tc>
          <w:tcPr>
            <w:tcW w:w="4695" w:type="dxa"/>
            <w:tcBorders>
              <w:top w:val="nil"/>
              <w:left w:val="nil"/>
              <w:bottom w:val="single" w:sz="4" w:space="0" w:color="000000"/>
              <w:right w:val="nil"/>
            </w:tcBorders>
            <w:noWrap/>
            <w:tcMar>
              <w:top w:w="0" w:type="dxa"/>
              <w:left w:w="40" w:type="dxa"/>
              <w:bottom w:w="0" w:type="dxa"/>
              <w:right w:w="40" w:type="dxa"/>
            </w:tcMar>
            <w:hideMark/>
          </w:tcPr>
          <w:p w:rsidR="00281F97" w:rsidRDefault="00765F6E">
            <w:pPr>
              <w:pStyle w:val="Normal02"/>
              <w:spacing w:before="0" w:after="0"/>
              <w:rPr>
                <w:rFonts w:eastAsia="Calibri" w:cs="Calibri"/>
                <w:color w:val="000000"/>
                <w:sz w:val="18"/>
              </w:rPr>
            </w:pPr>
            <w:r>
              <w:rPr>
                <w:rFonts w:eastAsia="Calibri" w:cs="Calibri"/>
                <w:color w:val="000000"/>
                <w:sz w:val="18"/>
              </w:rPr>
              <w:t>Controlled Recurrent Payments</w:t>
            </w:r>
          </w:p>
        </w:tc>
        <w:tc>
          <w:tcPr>
            <w:tcW w:w="540" w:type="dxa"/>
            <w:tcBorders>
              <w:top w:val="nil"/>
              <w:left w:val="nil"/>
              <w:bottom w:val="single" w:sz="4" w:space="0" w:color="000000"/>
              <w:right w:val="nil"/>
            </w:tcBorders>
            <w:noWrap/>
            <w:tcMar>
              <w:top w:w="0" w:type="dxa"/>
              <w:left w:w="40" w:type="dxa"/>
              <w:bottom w:w="0" w:type="dxa"/>
              <w:right w:w="40" w:type="dxa"/>
            </w:tcMar>
          </w:tcPr>
          <w:p w:rsidR="00281F97" w:rsidRDefault="00281F97">
            <w:pPr>
              <w:pStyle w:val="Normal02"/>
              <w:spacing w:before="0" w:after="0"/>
              <w:rPr>
                <w:rFonts w:eastAsia="Calibri" w:cs="Calibri"/>
                <w:b/>
                <w:color w:val="000000"/>
                <w:sz w:val="18"/>
              </w:rPr>
            </w:pPr>
          </w:p>
        </w:tc>
        <w:tc>
          <w:tcPr>
            <w:tcW w:w="2175" w:type="dxa"/>
            <w:tcBorders>
              <w:top w:val="nil"/>
              <w:left w:val="nil"/>
              <w:bottom w:val="single" w:sz="4" w:space="0" w:color="000000"/>
              <w:right w:val="nil"/>
            </w:tcBorders>
            <w:noWrap/>
            <w:tcMar>
              <w:top w:w="0" w:type="dxa"/>
              <w:left w:w="40" w:type="dxa"/>
              <w:bottom w:w="0" w:type="dxa"/>
              <w:right w:w="40" w:type="dxa"/>
            </w:tcMar>
            <w:hideMark/>
          </w:tcPr>
          <w:p w:rsidR="00281F97" w:rsidRDefault="00765F6E">
            <w:pPr>
              <w:pStyle w:val="Normal02"/>
              <w:spacing w:before="0" w:after="0"/>
              <w:jc w:val="right"/>
              <w:rPr>
                <w:rFonts w:eastAsia="Calibri" w:cs="Calibri"/>
                <w:color w:val="000000"/>
                <w:sz w:val="18"/>
              </w:rPr>
            </w:pPr>
            <w:r>
              <w:rPr>
                <w:rFonts w:eastAsia="Calibri" w:cs="Calibri"/>
                <w:color w:val="000000"/>
                <w:sz w:val="18"/>
              </w:rPr>
              <w:t>114,557</w:t>
            </w:r>
          </w:p>
        </w:tc>
        <w:tc>
          <w:tcPr>
            <w:tcW w:w="1650" w:type="dxa"/>
            <w:tcBorders>
              <w:top w:val="nil"/>
              <w:left w:val="nil"/>
              <w:bottom w:val="single" w:sz="4" w:space="0" w:color="000000"/>
              <w:right w:val="nil"/>
            </w:tcBorders>
            <w:noWrap/>
            <w:tcMar>
              <w:top w:w="0" w:type="dxa"/>
              <w:left w:w="40" w:type="dxa"/>
              <w:bottom w:w="0" w:type="dxa"/>
              <w:right w:w="40" w:type="dxa"/>
            </w:tcMar>
            <w:hideMark/>
          </w:tcPr>
          <w:p w:rsidR="00281F97" w:rsidRDefault="00765F6E">
            <w:pPr>
              <w:pStyle w:val="Normal02"/>
              <w:spacing w:before="0" w:after="0"/>
              <w:jc w:val="right"/>
              <w:rPr>
                <w:rFonts w:eastAsia="Calibri" w:cs="Calibri"/>
                <w:color w:val="000000"/>
                <w:sz w:val="18"/>
              </w:rPr>
            </w:pPr>
            <w:r>
              <w:rPr>
                <w:rFonts w:eastAsia="Calibri" w:cs="Calibri"/>
                <w:color w:val="000000"/>
                <w:sz w:val="18"/>
              </w:rPr>
              <w:t>116,477</w:t>
            </w:r>
          </w:p>
        </w:tc>
      </w:tr>
    </w:tbl>
    <w:p w:rsidR="00281F97" w:rsidRDefault="00765F6E" w:rsidP="00281F97">
      <w:pPr>
        <w:pStyle w:val="Heading40"/>
      </w:pPr>
      <w:r>
        <w:lastRenderedPageBreak/>
        <w:t xml:space="preserve">Output 1.2: </w:t>
      </w:r>
      <w:r w:rsidRPr="00446921">
        <w:t>Mental Health, Justice Health and Alcohol and Drug Services</w:t>
      </w:r>
    </w:p>
    <w:p w:rsidR="00281F97" w:rsidRDefault="00765F6E" w:rsidP="00281F97">
      <w:pPr>
        <w:pStyle w:val="Normal02"/>
      </w:pPr>
      <w:r>
        <w:t xml:space="preserve">The Health Directorate provides a range of Mental Health, Justice Health and Alcohol and Drug Services through the public and community sectors in hospitals, community health centres and other community settings, adult and youth correctional facilities and people’s homes across the Territory. </w:t>
      </w:r>
      <w:r w:rsidR="00EA194A">
        <w:t xml:space="preserve"> </w:t>
      </w:r>
      <w:r>
        <w:t>These services work to provide integrated and responsive care to a range of services including hospital based specialist services, therapeutic rehabilitation, counselling, supported accommodation services and other community based services.</w:t>
      </w:r>
    </w:p>
    <w:p w:rsidR="00281F97" w:rsidRDefault="00765F6E" w:rsidP="00281F97">
      <w:pPr>
        <w:pStyle w:val="Normal02"/>
      </w:pPr>
      <w:r>
        <w:t>The key priorities for Mental Health, Justice Health and Alcohol and Drug Services are ensuring that people’s health needs are met in a timely fashion and that care is integrated across hospital, community, and residential support services.</w:t>
      </w:r>
    </w:p>
    <w:p w:rsidR="00281F97" w:rsidRDefault="00765F6E" w:rsidP="00281F97">
      <w:pPr>
        <w:pStyle w:val="Normal02"/>
      </w:pPr>
      <w:r>
        <w:t>This means focusing on:</w:t>
      </w:r>
    </w:p>
    <w:p w:rsidR="00281F97" w:rsidRDefault="00765F6E" w:rsidP="00CA0839">
      <w:pPr>
        <w:pStyle w:val="Normal02"/>
        <w:numPr>
          <w:ilvl w:val="0"/>
          <w:numId w:val="23"/>
        </w:numPr>
      </w:pPr>
      <w:r>
        <w:t>ensuring timely access to emergency mental health care;</w:t>
      </w:r>
    </w:p>
    <w:p w:rsidR="00281F97" w:rsidRDefault="00765F6E" w:rsidP="00CA0839">
      <w:pPr>
        <w:pStyle w:val="Normal02"/>
        <w:numPr>
          <w:ilvl w:val="0"/>
          <w:numId w:val="23"/>
        </w:numPr>
      </w:pPr>
      <w:r>
        <w:t>ensuring that public and community mental health services in the ACT provide people with appropriate assessment, treatment and care that result in improved mental health outcomes;</w:t>
      </w:r>
    </w:p>
    <w:p w:rsidR="00281F97" w:rsidRDefault="00765F6E" w:rsidP="00CA0839">
      <w:pPr>
        <w:pStyle w:val="Normal02"/>
        <w:numPr>
          <w:ilvl w:val="0"/>
          <w:numId w:val="23"/>
        </w:numPr>
      </w:pPr>
      <w:r>
        <w:t>providing community and hospital based alcohol and drug services;</w:t>
      </w:r>
    </w:p>
    <w:p w:rsidR="00281F97" w:rsidRDefault="00765F6E" w:rsidP="00CA0839">
      <w:pPr>
        <w:pStyle w:val="Normal02"/>
        <w:numPr>
          <w:ilvl w:val="0"/>
          <w:numId w:val="23"/>
        </w:numPr>
      </w:pPr>
      <w:r>
        <w:t>providing health assessments and care for people detained in corrective facilities; and</w:t>
      </w:r>
    </w:p>
    <w:p w:rsidR="00281F97" w:rsidRDefault="00765F6E" w:rsidP="00CA0839">
      <w:pPr>
        <w:pStyle w:val="Normal02"/>
        <w:numPr>
          <w:ilvl w:val="0"/>
          <w:numId w:val="23"/>
        </w:numPr>
      </w:pPr>
      <w:r>
        <w:t>engagement and liaison with community sector services, primary care and other government agencies providing support and shared care arrangements.</w:t>
      </w:r>
    </w:p>
    <w:p w:rsidR="00281F97" w:rsidRDefault="00765F6E" w:rsidP="00281F97">
      <w:pPr>
        <w:pStyle w:val="BSbullet10"/>
        <w:keepNext/>
        <w:keepLines/>
        <w:numPr>
          <w:ilvl w:val="0"/>
          <w:numId w:val="0"/>
        </w:numPr>
        <w:tabs>
          <w:tab w:val="left" w:pos="720"/>
        </w:tabs>
        <w:jc w:val="left"/>
        <w:rPr>
          <w:b/>
        </w:rPr>
      </w:pPr>
      <w:r>
        <w:rPr>
          <w:b/>
        </w:rPr>
        <w:t>Table 19:</w:t>
      </w:r>
      <w:r w:rsidR="00263F6B">
        <w:rPr>
          <w:b/>
        </w:rPr>
        <w:t xml:space="preserve"> </w:t>
      </w:r>
      <w:r>
        <w:rPr>
          <w:b/>
        </w:rPr>
        <w:t xml:space="preserve">Output 1.2:  </w:t>
      </w:r>
      <w:r w:rsidRPr="00446921">
        <w:rPr>
          <w:b/>
        </w:rPr>
        <w:t>Mental Health, Justice Health and Alcohol and Drug Services</w:t>
      </w:r>
    </w:p>
    <w:tbl>
      <w:tblPr>
        <w:tblW w:w="9060" w:type="dxa"/>
        <w:tblLayout w:type="fixed"/>
        <w:tblLook w:val="0600" w:firstRow="0" w:lastRow="0" w:firstColumn="0" w:lastColumn="0" w:noHBand="1" w:noVBand="1"/>
      </w:tblPr>
      <w:tblGrid>
        <w:gridCol w:w="4695"/>
        <w:gridCol w:w="540"/>
        <w:gridCol w:w="2175"/>
        <w:gridCol w:w="1650"/>
      </w:tblGrid>
      <w:tr w:rsidR="00237D6F" w:rsidTr="00281F97">
        <w:trPr>
          <w:trHeight w:hRule="exact" w:val="240"/>
        </w:trPr>
        <w:tc>
          <w:tcPr>
            <w:tcW w:w="4695" w:type="dxa"/>
            <w:tcBorders>
              <w:top w:val="single" w:sz="4" w:space="0" w:color="000000"/>
              <w:left w:val="nil"/>
              <w:bottom w:val="nil"/>
              <w:right w:val="nil"/>
            </w:tcBorders>
            <w:noWrap/>
            <w:tcMar>
              <w:top w:w="0" w:type="dxa"/>
              <w:left w:w="40" w:type="dxa"/>
              <w:bottom w:w="0" w:type="dxa"/>
              <w:right w:w="40" w:type="dxa"/>
            </w:tcMar>
          </w:tcPr>
          <w:p w:rsidR="00281F97" w:rsidRDefault="00281F97">
            <w:pPr>
              <w:pStyle w:val="Normal03"/>
              <w:spacing w:before="0" w:after="0"/>
              <w:rPr>
                <w:rFonts w:eastAsia="Calibri" w:cs="Calibri"/>
                <w:color w:val="000000"/>
                <w:sz w:val="18"/>
              </w:rPr>
            </w:pPr>
          </w:p>
        </w:tc>
        <w:tc>
          <w:tcPr>
            <w:tcW w:w="540" w:type="dxa"/>
            <w:tcBorders>
              <w:top w:val="single" w:sz="4" w:space="0" w:color="000000"/>
              <w:left w:val="nil"/>
              <w:bottom w:val="nil"/>
              <w:right w:val="nil"/>
            </w:tcBorders>
            <w:noWrap/>
            <w:tcMar>
              <w:top w:w="0" w:type="dxa"/>
              <w:left w:w="40" w:type="dxa"/>
              <w:bottom w:w="0" w:type="dxa"/>
              <w:right w:w="40" w:type="dxa"/>
            </w:tcMar>
          </w:tcPr>
          <w:p w:rsidR="00281F97" w:rsidRDefault="00281F97">
            <w:pPr>
              <w:pStyle w:val="Normal03"/>
              <w:spacing w:before="0" w:after="0"/>
              <w:rPr>
                <w:rFonts w:eastAsia="Calibri" w:cs="Calibri"/>
                <w:color w:val="000000"/>
                <w:sz w:val="18"/>
              </w:rPr>
            </w:pPr>
          </w:p>
        </w:tc>
        <w:tc>
          <w:tcPr>
            <w:tcW w:w="2175" w:type="dxa"/>
            <w:tcBorders>
              <w:top w:val="single" w:sz="4" w:space="0" w:color="000000"/>
              <w:left w:val="nil"/>
              <w:bottom w:val="nil"/>
              <w:right w:val="nil"/>
            </w:tcBorders>
            <w:noWrap/>
            <w:tcMar>
              <w:top w:w="0" w:type="dxa"/>
              <w:left w:w="40" w:type="dxa"/>
              <w:bottom w:w="0" w:type="dxa"/>
              <w:right w:w="40" w:type="dxa"/>
            </w:tcMar>
            <w:hideMark/>
          </w:tcPr>
          <w:p w:rsidR="00281F97" w:rsidRDefault="00765F6E" w:rsidP="00281F97">
            <w:pPr>
              <w:pStyle w:val="Normal03"/>
              <w:spacing w:before="0" w:after="0"/>
              <w:jc w:val="right"/>
              <w:rPr>
                <w:rFonts w:eastAsia="Calibri" w:cs="Calibri"/>
                <w:b/>
                <w:color w:val="000000"/>
                <w:sz w:val="18"/>
              </w:rPr>
            </w:pPr>
            <w:r>
              <w:rPr>
                <w:rFonts w:eastAsia="Calibri" w:cs="Calibri"/>
                <w:b/>
                <w:color w:val="000000"/>
                <w:sz w:val="18"/>
              </w:rPr>
              <w:t>2017-18</w:t>
            </w:r>
          </w:p>
        </w:tc>
        <w:tc>
          <w:tcPr>
            <w:tcW w:w="1650" w:type="dxa"/>
            <w:tcBorders>
              <w:top w:val="single" w:sz="4" w:space="0" w:color="000000"/>
              <w:left w:val="nil"/>
              <w:bottom w:val="nil"/>
              <w:right w:val="nil"/>
            </w:tcBorders>
            <w:noWrap/>
            <w:tcMar>
              <w:top w:w="0" w:type="dxa"/>
              <w:left w:w="40" w:type="dxa"/>
              <w:bottom w:w="0" w:type="dxa"/>
              <w:right w:w="40" w:type="dxa"/>
            </w:tcMar>
            <w:hideMark/>
          </w:tcPr>
          <w:p w:rsidR="00281F97" w:rsidRDefault="00765F6E" w:rsidP="00281F97">
            <w:pPr>
              <w:pStyle w:val="Normal03"/>
              <w:spacing w:before="0" w:after="0"/>
              <w:jc w:val="right"/>
              <w:rPr>
                <w:rFonts w:eastAsia="Calibri" w:cs="Calibri"/>
                <w:b/>
                <w:color w:val="000000"/>
                <w:sz w:val="18"/>
              </w:rPr>
            </w:pPr>
            <w:r>
              <w:rPr>
                <w:rFonts w:eastAsia="Calibri" w:cs="Calibri"/>
                <w:b/>
                <w:color w:val="000000"/>
                <w:sz w:val="18"/>
              </w:rPr>
              <w:t>2018-19</w:t>
            </w:r>
          </w:p>
        </w:tc>
      </w:tr>
      <w:tr w:rsidR="00237D6F" w:rsidTr="00281F97">
        <w:trPr>
          <w:trHeight w:val="240"/>
        </w:trPr>
        <w:tc>
          <w:tcPr>
            <w:tcW w:w="4695" w:type="dxa"/>
            <w:noWrap/>
            <w:tcMar>
              <w:top w:w="0" w:type="dxa"/>
              <w:left w:w="40" w:type="dxa"/>
              <w:bottom w:w="0" w:type="dxa"/>
              <w:right w:w="40" w:type="dxa"/>
            </w:tcMar>
          </w:tcPr>
          <w:p w:rsidR="00281F97" w:rsidRDefault="00281F97">
            <w:pPr>
              <w:pStyle w:val="Normal03"/>
              <w:spacing w:before="0" w:after="0"/>
              <w:rPr>
                <w:rFonts w:eastAsia="Calibri" w:cs="Calibri"/>
                <w:color w:val="000000"/>
                <w:sz w:val="18"/>
              </w:rPr>
            </w:pPr>
          </w:p>
        </w:tc>
        <w:tc>
          <w:tcPr>
            <w:tcW w:w="540" w:type="dxa"/>
            <w:noWrap/>
            <w:tcMar>
              <w:top w:w="0" w:type="dxa"/>
              <w:left w:w="40" w:type="dxa"/>
              <w:bottom w:w="0" w:type="dxa"/>
              <w:right w:w="40" w:type="dxa"/>
            </w:tcMar>
          </w:tcPr>
          <w:p w:rsidR="00281F97" w:rsidRDefault="00281F97">
            <w:pPr>
              <w:pStyle w:val="Normal03"/>
              <w:spacing w:before="0" w:after="0"/>
              <w:rPr>
                <w:rFonts w:eastAsia="Calibri" w:cs="Calibri"/>
                <w:color w:val="000000"/>
                <w:sz w:val="18"/>
              </w:rPr>
            </w:pPr>
          </w:p>
        </w:tc>
        <w:tc>
          <w:tcPr>
            <w:tcW w:w="2175" w:type="dxa"/>
            <w:tcMar>
              <w:top w:w="0" w:type="dxa"/>
              <w:left w:w="40" w:type="dxa"/>
              <w:bottom w:w="0" w:type="dxa"/>
              <w:right w:w="40" w:type="dxa"/>
            </w:tcMar>
            <w:hideMark/>
          </w:tcPr>
          <w:p w:rsidR="00281F97" w:rsidRDefault="00765F6E">
            <w:pPr>
              <w:pStyle w:val="Normal03"/>
              <w:spacing w:before="0" w:after="0"/>
              <w:jc w:val="right"/>
              <w:rPr>
                <w:rFonts w:eastAsia="Calibri" w:cs="Calibri"/>
                <w:b/>
                <w:color w:val="000000"/>
                <w:sz w:val="18"/>
              </w:rPr>
            </w:pPr>
            <w:r>
              <w:rPr>
                <w:rFonts w:eastAsia="Calibri" w:cs="Calibri"/>
                <w:b/>
                <w:color w:val="000000"/>
                <w:sz w:val="18"/>
              </w:rPr>
              <w:t>Estimated Outcome</w:t>
            </w:r>
          </w:p>
        </w:tc>
        <w:tc>
          <w:tcPr>
            <w:tcW w:w="1650" w:type="dxa"/>
            <w:noWrap/>
            <w:tcMar>
              <w:top w:w="0" w:type="dxa"/>
              <w:left w:w="40" w:type="dxa"/>
              <w:bottom w:w="0" w:type="dxa"/>
              <w:right w:w="40" w:type="dxa"/>
            </w:tcMar>
            <w:hideMark/>
          </w:tcPr>
          <w:p w:rsidR="00281F97" w:rsidRDefault="00765F6E">
            <w:pPr>
              <w:pStyle w:val="Normal03"/>
              <w:spacing w:before="0" w:after="0"/>
              <w:jc w:val="right"/>
              <w:rPr>
                <w:rFonts w:eastAsia="Calibri" w:cs="Calibri"/>
                <w:b/>
                <w:color w:val="000000"/>
                <w:sz w:val="18"/>
              </w:rPr>
            </w:pPr>
            <w:r>
              <w:rPr>
                <w:rFonts w:eastAsia="Calibri" w:cs="Calibri"/>
                <w:b/>
                <w:color w:val="000000"/>
                <w:sz w:val="18"/>
              </w:rPr>
              <w:t>Budget</w:t>
            </w:r>
          </w:p>
        </w:tc>
      </w:tr>
      <w:tr w:rsidR="00237D6F" w:rsidTr="00281F97">
        <w:trPr>
          <w:trHeight w:hRule="exact" w:val="300"/>
        </w:trPr>
        <w:tc>
          <w:tcPr>
            <w:tcW w:w="4695" w:type="dxa"/>
            <w:tcBorders>
              <w:top w:val="nil"/>
              <w:left w:val="nil"/>
              <w:bottom w:val="single" w:sz="4" w:space="0" w:color="000000"/>
              <w:right w:val="nil"/>
            </w:tcBorders>
            <w:noWrap/>
            <w:tcMar>
              <w:top w:w="0" w:type="dxa"/>
              <w:left w:w="40" w:type="dxa"/>
              <w:bottom w:w="0" w:type="dxa"/>
              <w:right w:w="40" w:type="dxa"/>
            </w:tcMar>
          </w:tcPr>
          <w:p w:rsidR="00281F97" w:rsidRDefault="00281F97">
            <w:pPr>
              <w:pStyle w:val="Normal03"/>
              <w:spacing w:before="0" w:after="0"/>
              <w:rPr>
                <w:rFonts w:eastAsia="Calibri" w:cs="Calibri"/>
                <w:color w:val="000000"/>
                <w:sz w:val="18"/>
              </w:rPr>
            </w:pPr>
          </w:p>
        </w:tc>
        <w:tc>
          <w:tcPr>
            <w:tcW w:w="540" w:type="dxa"/>
            <w:tcBorders>
              <w:top w:val="nil"/>
              <w:left w:val="nil"/>
              <w:bottom w:val="single" w:sz="4" w:space="0" w:color="000000"/>
              <w:right w:val="nil"/>
            </w:tcBorders>
            <w:noWrap/>
            <w:tcMar>
              <w:top w:w="0" w:type="dxa"/>
              <w:left w:w="40" w:type="dxa"/>
              <w:bottom w:w="0" w:type="dxa"/>
              <w:right w:w="40" w:type="dxa"/>
            </w:tcMar>
          </w:tcPr>
          <w:p w:rsidR="00281F97" w:rsidRDefault="00281F97">
            <w:pPr>
              <w:pStyle w:val="Normal03"/>
              <w:spacing w:before="0" w:after="0"/>
              <w:rPr>
                <w:rFonts w:eastAsia="Calibri" w:cs="Calibri"/>
                <w:color w:val="000000"/>
                <w:sz w:val="18"/>
              </w:rPr>
            </w:pPr>
          </w:p>
        </w:tc>
        <w:tc>
          <w:tcPr>
            <w:tcW w:w="2175" w:type="dxa"/>
            <w:tcBorders>
              <w:top w:val="nil"/>
              <w:left w:val="nil"/>
              <w:bottom w:val="single" w:sz="4" w:space="0" w:color="000000"/>
              <w:right w:val="nil"/>
            </w:tcBorders>
            <w:noWrap/>
            <w:tcMar>
              <w:top w:w="0" w:type="dxa"/>
              <w:left w:w="40" w:type="dxa"/>
              <w:bottom w:w="0" w:type="dxa"/>
              <w:right w:w="40" w:type="dxa"/>
            </w:tcMar>
            <w:hideMark/>
          </w:tcPr>
          <w:p w:rsidR="00281F97" w:rsidRDefault="00765F6E">
            <w:pPr>
              <w:pStyle w:val="Normal03"/>
              <w:spacing w:before="0" w:after="0"/>
              <w:jc w:val="right"/>
              <w:rPr>
                <w:rFonts w:eastAsia="Calibri" w:cs="Calibri"/>
                <w:b/>
                <w:color w:val="000000"/>
                <w:sz w:val="18"/>
              </w:rPr>
            </w:pPr>
            <w:r>
              <w:rPr>
                <w:rFonts w:eastAsia="Calibri" w:cs="Calibri"/>
                <w:b/>
                <w:color w:val="000000"/>
                <w:sz w:val="18"/>
              </w:rPr>
              <w:t>$'000</w:t>
            </w:r>
          </w:p>
        </w:tc>
        <w:tc>
          <w:tcPr>
            <w:tcW w:w="1650" w:type="dxa"/>
            <w:tcBorders>
              <w:top w:val="nil"/>
              <w:left w:val="nil"/>
              <w:bottom w:val="single" w:sz="4" w:space="0" w:color="000000"/>
              <w:right w:val="nil"/>
            </w:tcBorders>
            <w:noWrap/>
            <w:tcMar>
              <w:top w:w="0" w:type="dxa"/>
              <w:left w:w="40" w:type="dxa"/>
              <w:bottom w:w="0" w:type="dxa"/>
              <w:right w:w="40" w:type="dxa"/>
            </w:tcMar>
            <w:hideMark/>
          </w:tcPr>
          <w:p w:rsidR="00281F97" w:rsidRDefault="00765F6E">
            <w:pPr>
              <w:pStyle w:val="Normal03"/>
              <w:spacing w:before="0" w:after="0"/>
              <w:jc w:val="right"/>
              <w:rPr>
                <w:rFonts w:eastAsia="Calibri" w:cs="Calibri"/>
                <w:b/>
                <w:color w:val="000000"/>
                <w:sz w:val="18"/>
              </w:rPr>
            </w:pPr>
            <w:r>
              <w:rPr>
                <w:rFonts w:eastAsia="Calibri" w:cs="Calibri"/>
                <w:b/>
                <w:color w:val="000000"/>
                <w:sz w:val="18"/>
              </w:rPr>
              <w:t>$'000</w:t>
            </w:r>
          </w:p>
        </w:tc>
      </w:tr>
      <w:tr w:rsidR="00237D6F" w:rsidTr="00281F97">
        <w:trPr>
          <w:trHeight w:hRule="exact" w:val="240"/>
        </w:trPr>
        <w:tc>
          <w:tcPr>
            <w:tcW w:w="4695" w:type="dxa"/>
            <w:tcBorders>
              <w:top w:val="single" w:sz="4" w:space="0" w:color="000000"/>
              <w:left w:val="nil"/>
              <w:bottom w:val="nil"/>
              <w:right w:val="nil"/>
            </w:tcBorders>
            <w:noWrap/>
            <w:tcMar>
              <w:top w:w="0" w:type="dxa"/>
              <w:left w:w="40" w:type="dxa"/>
              <w:bottom w:w="0" w:type="dxa"/>
              <w:right w:w="40" w:type="dxa"/>
            </w:tcMar>
            <w:hideMark/>
          </w:tcPr>
          <w:p w:rsidR="00281F97" w:rsidRPr="0038545F" w:rsidRDefault="00765F6E" w:rsidP="00281F97">
            <w:pPr>
              <w:pStyle w:val="Normal03"/>
              <w:spacing w:before="0" w:after="0"/>
              <w:rPr>
                <w:rFonts w:eastAsia="Calibri" w:cs="Calibri"/>
                <w:color w:val="000000"/>
                <w:sz w:val="18"/>
              </w:rPr>
            </w:pPr>
            <w:r w:rsidRPr="0038545F">
              <w:rPr>
                <w:rFonts w:eastAsia="Calibri" w:cs="Calibri"/>
                <w:color w:val="000000"/>
                <w:sz w:val="18"/>
              </w:rPr>
              <w:t>Total Cost</w:t>
            </w:r>
          </w:p>
        </w:tc>
        <w:tc>
          <w:tcPr>
            <w:tcW w:w="540" w:type="dxa"/>
            <w:tcBorders>
              <w:top w:val="single" w:sz="4" w:space="0" w:color="000000"/>
              <w:left w:val="nil"/>
              <w:bottom w:val="nil"/>
              <w:right w:val="nil"/>
            </w:tcBorders>
            <w:noWrap/>
            <w:tcMar>
              <w:top w:w="0" w:type="dxa"/>
              <w:left w:w="40" w:type="dxa"/>
              <w:bottom w:w="0" w:type="dxa"/>
              <w:right w:w="40" w:type="dxa"/>
            </w:tcMar>
          </w:tcPr>
          <w:p w:rsidR="00281F97" w:rsidRDefault="00281F97" w:rsidP="00281F97">
            <w:pPr>
              <w:pStyle w:val="Normal03"/>
              <w:spacing w:before="0" w:after="0"/>
              <w:rPr>
                <w:rFonts w:eastAsia="Calibri" w:cs="Calibri"/>
                <w:b/>
                <w:color w:val="000000"/>
                <w:sz w:val="18"/>
              </w:rPr>
            </w:pPr>
          </w:p>
        </w:tc>
        <w:tc>
          <w:tcPr>
            <w:tcW w:w="2175" w:type="dxa"/>
            <w:tcBorders>
              <w:top w:val="single" w:sz="4" w:space="0" w:color="000000"/>
              <w:left w:val="nil"/>
              <w:bottom w:val="nil"/>
              <w:right w:val="nil"/>
            </w:tcBorders>
            <w:noWrap/>
            <w:tcMar>
              <w:top w:w="0" w:type="dxa"/>
              <w:left w:w="40" w:type="dxa"/>
              <w:bottom w:w="0" w:type="dxa"/>
              <w:right w:w="40" w:type="dxa"/>
            </w:tcMar>
            <w:hideMark/>
          </w:tcPr>
          <w:p w:rsidR="00281F97" w:rsidRDefault="00765F6E" w:rsidP="00281F97">
            <w:pPr>
              <w:pStyle w:val="Normal02"/>
              <w:spacing w:before="0" w:after="0"/>
              <w:jc w:val="right"/>
              <w:rPr>
                <w:rFonts w:eastAsia="Calibri" w:cs="Calibri"/>
                <w:color w:val="000000"/>
                <w:sz w:val="18"/>
              </w:rPr>
            </w:pPr>
            <w:r>
              <w:rPr>
                <w:rFonts w:eastAsia="Calibri" w:cs="Calibri"/>
                <w:color w:val="000000"/>
                <w:sz w:val="18"/>
              </w:rPr>
              <w:t>186,931</w:t>
            </w:r>
          </w:p>
        </w:tc>
        <w:tc>
          <w:tcPr>
            <w:tcW w:w="1650" w:type="dxa"/>
            <w:tcBorders>
              <w:top w:val="single" w:sz="4" w:space="0" w:color="000000"/>
              <w:left w:val="nil"/>
              <w:bottom w:val="nil"/>
              <w:right w:val="nil"/>
            </w:tcBorders>
            <w:noWrap/>
            <w:tcMar>
              <w:top w:w="0" w:type="dxa"/>
              <w:left w:w="40" w:type="dxa"/>
              <w:bottom w:w="0" w:type="dxa"/>
              <w:right w:w="40" w:type="dxa"/>
            </w:tcMar>
            <w:hideMark/>
          </w:tcPr>
          <w:p w:rsidR="00281F97" w:rsidRDefault="00765F6E" w:rsidP="00281F97">
            <w:pPr>
              <w:pStyle w:val="Normal02"/>
              <w:spacing w:before="0" w:after="0"/>
              <w:jc w:val="right"/>
              <w:rPr>
                <w:rFonts w:eastAsia="Calibri" w:cs="Calibri"/>
                <w:color w:val="000000"/>
                <w:sz w:val="18"/>
              </w:rPr>
            </w:pPr>
            <w:r>
              <w:rPr>
                <w:rFonts w:eastAsia="Calibri" w:cs="Calibri"/>
                <w:color w:val="000000"/>
                <w:sz w:val="18"/>
              </w:rPr>
              <w:t>195,377</w:t>
            </w:r>
          </w:p>
        </w:tc>
      </w:tr>
      <w:tr w:rsidR="00237D6F" w:rsidTr="00281F97">
        <w:trPr>
          <w:trHeight w:hRule="exact" w:val="300"/>
        </w:trPr>
        <w:tc>
          <w:tcPr>
            <w:tcW w:w="4695" w:type="dxa"/>
            <w:tcBorders>
              <w:top w:val="nil"/>
              <w:left w:val="nil"/>
              <w:bottom w:val="single" w:sz="4" w:space="0" w:color="000000"/>
              <w:right w:val="nil"/>
            </w:tcBorders>
            <w:noWrap/>
            <w:tcMar>
              <w:top w:w="0" w:type="dxa"/>
              <w:left w:w="40" w:type="dxa"/>
              <w:bottom w:w="0" w:type="dxa"/>
              <w:right w:w="40" w:type="dxa"/>
            </w:tcMar>
            <w:hideMark/>
          </w:tcPr>
          <w:p w:rsidR="00281F97" w:rsidRPr="0038545F" w:rsidRDefault="00765F6E" w:rsidP="00281F97">
            <w:pPr>
              <w:pStyle w:val="Normal03"/>
              <w:spacing w:before="0" w:after="0"/>
              <w:rPr>
                <w:rFonts w:eastAsia="Calibri" w:cs="Calibri"/>
                <w:color w:val="000000"/>
                <w:sz w:val="18"/>
              </w:rPr>
            </w:pPr>
            <w:r w:rsidRPr="0038545F">
              <w:rPr>
                <w:rFonts w:eastAsia="Calibri" w:cs="Calibri"/>
                <w:color w:val="000000"/>
                <w:sz w:val="18"/>
              </w:rPr>
              <w:t>Controlled Recurrent Payments</w:t>
            </w:r>
          </w:p>
        </w:tc>
        <w:tc>
          <w:tcPr>
            <w:tcW w:w="540" w:type="dxa"/>
            <w:tcBorders>
              <w:top w:val="nil"/>
              <w:left w:val="nil"/>
              <w:bottom w:val="single" w:sz="4" w:space="0" w:color="000000"/>
              <w:right w:val="nil"/>
            </w:tcBorders>
            <w:noWrap/>
            <w:tcMar>
              <w:top w:w="0" w:type="dxa"/>
              <w:left w:w="40" w:type="dxa"/>
              <w:bottom w:w="0" w:type="dxa"/>
              <w:right w:w="40" w:type="dxa"/>
            </w:tcMar>
          </w:tcPr>
          <w:p w:rsidR="00281F97" w:rsidRDefault="00281F97" w:rsidP="00281F97">
            <w:pPr>
              <w:pStyle w:val="Normal03"/>
              <w:spacing w:before="0" w:after="0"/>
              <w:rPr>
                <w:rFonts w:eastAsia="Calibri" w:cs="Calibri"/>
                <w:b/>
                <w:color w:val="000000"/>
                <w:sz w:val="18"/>
              </w:rPr>
            </w:pPr>
          </w:p>
        </w:tc>
        <w:tc>
          <w:tcPr>
            <w:tcW w:w="2175" w:type="dxa"/>
            <w:tcBorders>
              <w:top w:val="nil"/>
              <w:left w:val="nil"/>
              <w:bottom w:val="single" w:sz="4" w:space="0" w:color="000000"/>
              <w:right w:val="nil"/>
            </w:tcBorders>
            <w:noWrap/>
            <w:tcMar>
              <w:top w:w="0" w:type="dxa"/>
              <w:left w:w="40" w:type="dxa"/>
              <w:bottom w:w="0" w:type="dxa"/>
              <w:right w:w="40" w:type="dxa"/>
            </w:tcMar>
            <w:hideMark/>
          </w:tcPr>
          <w:p w:rsidR="00281F97" w:rsidRDefault="00765F6E" w:rsidP="00281F97">
            <w:pPr>
              <w:pStyle w:val="Normal02"/>
              <w:spacing w:before="0" w:after="0"/>
              <w:jc w:val="right"/>
              <w:rPr>
                <w:rFonts w:eastAsia="Calibri" w:cs="Calibri"/>
                <w:color w:val="000000"/>
                <w:sz w:val="18"/>
              </w:rPr>
            </w:pPr>
            <w:r>
              <w:rPr>
                <w:rFonts w:eastAsia="Calibri" w:cs="Calibri"/>
                <w:color w:val="000000"/>
                <w:sz w:val="18"/>
              </w:rPr>
              <w:t>59,226</w:t>
            </w:r>
          </w:p>
        </w:tc>
        <w:tc>
          <w:tcPr>
            <w:tcW w:w="1650" w:type="dxa"/>
            <w:tcBorders>
              <w:top w:val="nil"/>
              <w:left w:val="nil"/>
              <w:bottom w:val="single" w:sz="4" w:space="0" w:color="000000"/>
              <w:right w:val="nil"/>
            </w:tcBorders>
            <w:noWrap/>
            <w:tcMar>
              <w:top w:w="0" w:type="dxa"/>
              <w:left w:w="40" w:type="dxa"/>
              <w:bottom w:w="0" w:type="dxa"/>
              <w:right w:w="40" w:type="dxa"/>
            </w:tcMar>
            <w:hideMark/>
          </w:tcPr>
          <w:p w:rsidR="00281F97" w:rsidRDefault="00765F6E" w:rsidP="00281F97">
            <w:pPr>
              <w:pStyle w:val="Normal02"/>
              <w:spacing w:before="0" w:after="0"/>
              <w:jc w:val="right"/>
              <w:rPr>
                <w:rFonts w:eastAsia="Calibri" w:cs="Calibri"/>
                <w:color w:val="000000"/>
                <w:sz w:val="18"/>
              </w:rPr>
            </w:pPr>
            <w:r>
              <w:rPr>
                <w:rFonts w:eastAsia="Calibri" w:cs="Calibri"/>
                <w:color w:val="000000"/>
                <w:sz w:val="18"/>
              </w:rPr>
              <w:t>63,282</w:t>
            </w:r>
          </w:p>
        </w:tc>
      </w:tr>
    </w:tbl>
    <w:p w:rsidR="00281F97" w:rsidRDefault="00281F97" w:rsidP="00281F97">
      <w:pPr>
        <w:pStyle w:val="BSnoteslist2"/>
        <w:numPr>
          <w:ilvl w:val="0"/>
          <w:numId w:val="0"/>
        </w:numPr>
        <w:ind w:left="360" w:hanging="360"/>
      </w:pPr>
    </w:p>
    <w:p w:rsidR="00281F97" w:rsidRDefault="00281F97" w:rsidP="00281F97">
      <w:pPr>
        <w:pStyle w:val="Heading40"/>
      </w:pPr>
    </w:p>
    <w:p w:rsidR="00281F97" w:rsidRDefault="00281F97" w:rsidP="00281F97">
      <w:pPr>
        <w:pStyle w:val="Heading40"/>
      </w:pPr>
    </w:p>
    <w:p w:rsidR="00281F97" w:rsidRDefault="00281F97" w:rsidP="00281F97">
      <w:pPr>
        <w:pStyle w:val="Heading40"/>
      </w:pPr>
    </w:p>
    <w:p w:rsidR="00281F97" w:rsidRDefault="00281F97" w:rsidP="00281F97">
      <w:pPr>
        <w:pStyle w:val="Heading40"/>
        <w:keepNext w:val="0"/>
      </w:pPr>
    </w:p>
    <w:p w:rsidR="005038F3" w:rsidRDefault="005038F3">
      <w:pPr>
        <w:spacing w:before="0" w:after="0"/>
        <w:rPr>
          <w:b/>
          <w:i/>
        </w:rPr>
      </w:pPr>
      <w:r>
        <w:br w:type="page"/>
      </w:r>
    </w:p>
    <w:p w:rsidR="00281F97" w:rsidRDefault="00765F6E" w:rsidP="00281F97">
      <w:pPr>
        <w:pStyle w:val="Heading40"/>
        <w:keepNext w:val="0"/>
      </w:pPr>
      <w:r>
        <w:lastRenderedPageBreak/>
        <w:t xml:space="preserve">Output 1.3: </w:t>
      </w:r>
      <w:r w:rsidRPr="00446921">
        <w:t>Population Health</w:t>
      </w:r>
    </w:p>
    <w:p w:rsidR="00281F97" w:rsidRDefault="00765F6E" w:rsidP="00281F97">
      <w:pPr>
        <w:pStyle w:val="Normal40"/>
      </w:pPr>
      <w:r>
        <w:t>In the ACT, about 80 per</w:t>
      </w:r>
      <w:r w:rsidR="005A051A">
        <w:t xml:space="preserve"> </w:t>
      </w:r>
      <w:r>
        <w:t>cent of the burden of disease is attributable to chronic conditions which can be managed but not cured, and for which prevention is the only means of reducing overall burden in the population.</w:t>
      </w:r>
      <w:r w:rsidR="00EA194A">
        <w:t xml:space="preserve"> </w:t>
      </w:r>
      <w:r>
        <w:t xml:space="preserve"> The ageing of the ACT population, in combination with risk factors such as obesity, smoking, harmful alcohol consumption, poor nutrition and lack of physical activity present a major challenge for ACT Health. </w:t>
      </w:r>
    </w:p>
    <w:p w:rsidR="00281F97" w:rsidRDefault="00765F6E" w:rsidP="00281F97">
      <w:pPr>
        <w:pStyle w:val="Normal40"/>
      </w:pPr>
      <w:r>
        <w:t>Population Health seeks to improve the health status of the ACT population through applyi</w:t>
      </w:r>
      <w:r w:rsidR="00EA194A">
        <w:t>ng primary prevent</w:t>
      </w:r>
      <w:r w:rsidR="00362396">
        <w:t>at</w:t>
      </w:r>
      <w:r w:rsidR="00EA194A">
        <w:t xml:space="preserve">ive measures.  </w:t>
      </w:r>
      <w:r>
        <w:t xml:space="preserve">This involves the promotion of healthy behaviours and environments, as well as interventions to reduce hazards to health in the well population recognising that many of the social determinants of health such as income disparity, access to education, employment opportunities and quality housing are outside the sphere of influence of the health sector. </w:t>
      </w:r>
      <w:r w:rsidR="00EA194A">
        <w:t xml:space="preserve"> </w:t>
      </w:r>
      <w:r>
        <w:t xml:space="preserve">These actions are not limited to the Health portfolio, but their aim is the improvement of the health of the population. </w:t>
      </w:r>
      <w:r w:rsidR="00EA194A">
        <w:t xml:space="preserve"> </w:t>
      </w:r>
      <w:r>
        <w:t>The optimum preventive strategy depends on the disease to be prevented, the distribution of its risk factors in the population and the likelihood of achieving the desired reduction in the risk factors.</w:t>
      </w:r>
    </w:p>
    <w:p w:rsidR="00281F97" w:rsidRDefault="00765F6E" w:rsidP="00281F97">
      <w:pPr>
        <w:pStyle w:val="BSbullet10"/>
        <w:keepNext/>
        <w:keepLines/>
        <w:numPr>
          <w:ilvl w:val="0"/>
          <w:numId w:val="0"/>
        </w:numPr>
        <w:tabs>
          <w:tab w:val="left" w:pos="720"/>
        </w:tabs>
        <w:jc w:val="left"/>
        <w:rPr>
          <w:b/>
        </w:rPr>
      </w:pPr>
      <w:r>
        <w:rPr>
          <w:b/>
        </w:rPr>
        <w:t>Table 20:</w:t>
      </w:r>
      <w:r w:rsidR="00263F6B">
        <w:rPr>
          <w:b/>
        </w:rPr>
        <w:t xml:space="preserve"> </w:t>
      </w:r>
      <w:r>
        <w:rPr>
          <w:b/>
        </w:rPr>
        <w:t xml:space="preserve">Output 1.3:  </w:t>
      </w:r>
      <w:r w:rsidRPr="00446921">
        <w:rPr>
          <w:b/>
        </w:rPr>
        <w:t>Population Health</w:t>
      </w:r>
    </w:p>
    <w:tbl>
      <w:tblPr>
        <w:tblW w:w="9060" w:type="dxa"/>
        <w:tblLayout w:type="fixed"/>
        <w:tblLook w:val="0600" w:firstRow="0" w:lastRow="0" w:firstColumn="0" w:lastColumn="0" w:noHBand="1" w:noVBand="1"/>
      </w:tblPr>
      <w:tblGrid>
        <w:gridCol w:w="4695"/>
        <w:gridCol w:w="540"/>
        <w:gridCol w:w="2175"/>
        <w:gridCol w:w="1650"/>
      </w:tblGrid>
      <w:tr w:rsidR="00237D6F" w:rsidTr="00281F97">
        <w:trPr>
          <w:trHeight w:hRule="exact" w:val="240"/>
        </w:trPr>
        <w:tc>
          <w:tcPr>
            <w:tcW w:w="4695" w:type="dxa"/>
            <w:tcBorders>
              <w:top w:val="single" w:sz="4" w:space="0" w:color="000000"/>
              <w:left w:val="nil"/>
              <w:bottom w:val="nil"/>
              <w:right w:val="nil"/>
            </w:tcBorders>
            <w:noWrap/>
            <w:tcMar>
              <w:top w:w="0" w:type="dxa"/>
              <w:left w:w="40" w:type="dxa"/>
              <w:bottom w:w="0" w:type="dxa"/>
              <w:right w:w="40" w:type="dxa"/>
            </w:tcMar>
          </w:tcPr>
          <w:p w:rsidR="00281F97" w:rsidRDefault="00281F97">
            <w:pPr>
              <w:pStyle w:val="Normal03"/>
              <w:spacing w:before="0" w:after="0"/>
              <w:rPr>
                <w:rFonts w:eastAsia="Calibri" w:cs="Calibri"/>
                <w:color w:val="000000"/>
                <w:sz w:val="18"/>
              </w:rPr>
            </w:pPr>
          </w:p>
        </w:tc>
        <w:tc>
          <w:tcPr>
            <w:tcW w:w="540" w:type="dxa"/>
            <w:tcBorders>
              <w:top w:val="single" w:sz="4" w:space="0" w:color="000000"/>
              <w:left w:val="nil"/>
              <w:bottom w:val="nil"/>
              <w:right w:val="nil"/>
            </w:tcBorders>
            <w:noWrap/>
            <w:tcMar>
              <w:top w:w="0" w:type="dxa"/>
              <w:left w:w="40" w:type="dxa"/>
              <w:bottom w:w="0" w:type="dxa"/>
              <w:right w:w="40" w:type="dxa"/>
            </w:tcMar>
          </w:tcPr>
          <w:p w:rsidR="00281F97" w:rsidRDefault="00281F97">
            <w:pPr>
              <w:pStyle w:val="Normal03"/>
              <w:spacing w:before="0" w:after="0"/>
              <w:rPr>
                <w:rFonts w:eastAsia="Calibri" w:cs="Calibri"/>
                <w:color w:val="000000"/>
                <w:sz w:val="18"/>
              </w:rPr>
            </w:pPr>
          </w:p>
        </w:tc>
        <w:tc>
          <w:tcPr>
            <w:tcW w:w="2175" w:type="dxa"/>
            <w:tcBorders>
              <w:top w:val="single" w:sz="4" w:space="0" w:color="000000"/>
              <w:left w:val="nil"/>
              <w:bottom w:val="nil"/>
              <w:right w:val="nil"/>
            </w:tcBorders>
            <w:noWrap/>
            <w:tcMar>
              <w:top w:w="0" w:type="dxa"/>
              <w:left w:w="40" w:type="dxa"/>
              <w:bottom w:w="0" w:type="dxa"/>
              <w:right w:w="40" w:type="dxa"/>
            </w:tcMar>
            <w:hideMark/>
          </w:tcPr>
          <w:p w:rsidR="00281F97" w:rsidRDefault="00765F6E" w:rsidP="00281F97">
            <w:pPr>
              <w:pStyle w:val="Normal03"/>
              <w:spacing w:before="0" w:after="0"/>
              <w:jc w:val="right"/>
              <w:rPr>
                <w:rFonts w:eastAsia="Calibri" w:cs="Calibri"/>
                <w:b/>
                <w:color w:val="000000"/>
                <w:sz w:val="18"/>
              </w:rPr>
            </w:pPr>
            <w:r>
              <w:rPr>
                <w:rFonts w:eastAsia="Calibri" w:cs="Calibri"/>
                <w:b/>
                <w:color w:val="000000"/>
                <w:sz w:val="18"/>
              </w:rPr>
              <w:t>2017-18</w:t>
            </w:r>
          </w:p>
        </w:tc>
        <w:tc>
          <w:tcPr>
            <w:tcW w:w="1650" w:type="dxa"/>
            <w:tcBorders>
              <w:top w:val="single" w:sz="4" w:space="0" w:color="000000"/>
              <w:left w:val="nil"/>
              <w:bottom w:val="nil"/>
              <w:right w:val="nil"/>
            </w:tcBorders>
            <w:noWrap/>
            <w:tcMar>
              <w:top w:w="0" w:type="dxa"/>
              <w:left w:w="40" w:type="dxa"/>
              <w:bottom w:w="0" w:type="dxa"/>
              <w:right w:w="40" w:type="dxa"/>
            </w:tcMar>
            <w:hideMark/>
          </w:tcPr>
          <w:p w:rsidR="00281F97" w:rsidRDefault="00765F6E" w:rsidP="00281F97">
            <w:pPr>
              <w:pStyle w:val="Normal03"/>
              <w:spacing w:before="0" w:after="0"/>
              <w:jc w:val="right"/>
              <w:rPr>
                <w:rFonts w:eastAsia="Calibri" w:cs="Calibri"/>
                <w:b/>
                <w:color w:val="000000"/>
                <w:sz w:val="18"/>
              </w:rPr>
            </w:pPr>
            <w:r>
              <w:rPr>
                <w:rFonts w:eastAsia="Calibri" w:cs="Calibri"/>
                <w:b/>
                <w:color w:val="000000"/>
                <w:sz w:val="18"/>
              </w:rPr>
              <w:t>2018-19</w:t>
            </w:r>
          </w:p>
        </w:tc>
      </w:tr>
      <w:tr w:rsidR="00237D6F" w:rsidTr="00281F97">
        <w:trPr>
          <w:trHeight w:val="240"/>
        </w:trPr>
        <w:tc>
          <w:tcPr>
            <w:tcW w:w="4695" w:type="dxa"/>
            <w:noWrap/>
            <w:tcMar>
              <w:top w:w="0" w:type="dxa"/>
              <w:left w:w="40" w:type="dxa"/>
              <w:bottom w:w="0" w:type="dxa"/>
              <w:right w:w="40" w:type="dxa"/>
            </w:tcMar>
          </w:tcPr>
          <w:p w:rsidR="00281F97" w:rsidRDefault="00281F97">
            <w:pPr>
              <w:pStyle w:val="Normal03"/>
              <w:spacing w:before="0" w:after="0"/>
              <w:rPr>
                <w:rFonts w:eastAsia="Calibri" w:cs="Calibri"/>
                <w:color w:val="000000"/>
                <w:sz w:val="18"/>
              </w:rPr>
            </w:pPr>
          </w:p>
        </w:tc>
        <w:tc>
          <w:tcPr>
            <w:tcW w:w="540" w:type="dxa"/>
            <w:noWrap/>
            <w:tcMar>
              <w:top w:w="0" w:type="dxa"/>
              <w:left w:w="40" w:type="dxa"/>
              <w:bottom w:w="0" w:type="dxa"/>
              <w:right w:w="40" w:type="dxa"/>
            </w:tcMar>
          </w:tcPr>
          <w:p w:rsidR="00281F97" w:rsidRDefault="00281F97">
            <w:pPr>
              <w:pStyle w:val="Normal03"/>
              <w:spacing w:before="0" w:after="0"/>
              <w:rPr>
                <w:rFonts w:eastAsia="Calibri" w:cs="Calibri"/>
                <w:color w:val="000000"/>
                <w:sz w:val="18"/>
              </w:rPr>
            </w:pPr>
          </w:p>
        </w:tc>
        <w:tc>
          <w:tcPr>
            <w:tcW w:w="2175" w:type="dxa"/>
            <w:tcMar>
              <w:top w:w="0" w:type="dxa"/>
              <w:left w:w="40" w:type="dxa"/>
              <w:bottom w:w="0" w:type="dxa"/>
              <w:right w:w="40" w:type="dxa"/>
            </w:tcMar>
            <w:hideMark/>
          </w:tcPr>
          <w:p w:rsidR="00281F97" w:rsidRDefault="00765F6E">
            <w:pPr>
              <w:pStyle w:val="Normal03"/>
              <w:spacing w:before="0" w:after="0"/>
              <w:jc w:val="right"/>
              <w:rPr>
                <w:rFonts w:eastAsia="Calibri" w:cs="Calibri"/>
                <w:b/>
                <w:color w:val="000000"/>
                <w:sz w:val="18"/>
              </w:rPr>
            </w:pPr>
            <w:r>
              <w:rPr>
                <w:rFonts w:eastAsia="Calibri" w:cs="Calibri"/>
                <w:b/>
                <w:color w:val="000000"/>
                <w:sz w:val="18"/>
              </w:rPr>
              <w:t>Estimated Outcome</w:t>
            </w:r>
          </w:p>
        </w:tc>
        <w:tc>
          <w:tcPr>
            <w:tcW w:w="1650" w:type="dxa"/>
            <w:noWrap/>
            <w:tcMar>
              <w:top w:w="0" w:type="dxa"/>
              <w:left w:w="40" w:type="dxa"/>
              <w:bottom w:w="0" w:type="dxa"/>
              <w:right w:w="40" w:type="dxa"/>
            </w:tcMar>
            <w:hideMark/>
          </w:tcPr>
          <w:p w:rsidR="00281F97" w:rsidRDefault="00765F6E">
            <w:pPr>
              <w:pStyle w:val="Normal03"/>
              <w:spacing w:before="0" w:after="0"/>
              <w:jc w:val="right"/>
              <w:rPr>
                <w:rFonts w:eastAsia="Calibri" w:cs="Calibri"/>
                <w:b/>
                <w:color w:val="000000"/>
                <w:sz w:val="18"/>
              </w:rPr>
            </w:pPr>
            <w:r>
              <w:rPr>
                <w:rFonts w:eastAsia="Calibri" w:cs="Calibri"/>
                <w:b/>
                <w:color w:val="000000"/>
                <w:sz w:val="18"/>
              </w:rPr>
              <w:t>Budget</w:t>
            </w:r>
          </w:p>
        </w:tc>
      </w:tr>
      <w:tr w:rsidR="00237D6F" w:rsidTr="00281F97">
        <w:trPr>
          <w:trHeight w:hRule="exact" w:val="300"/>
        </w:trPr>
        <w:tc>
          <w:tcPr>
            <w:tcW w:w="4695" w:type="dxa"/>
            <w:tcBorders>
              <w:top w:val="nil"/>
              <w:left w:val="nil"/>
              <w:bottom w:val="single" w:sz="4" w:space="0" w:color="000000"/>
              <w:right w:val="nil"/>
            </w:tcBorders>
            <w:noWrap/>
            <w:tcMar>
              <w:top w:w="0" w:type="dxa"/>
              <w:left w:w="40" w:type="dxa"/>
              <w:bottom w:w="0" w:type="dxa"/>
              <w:right w:w="40" w:type="dxa"/>
            </w:tcMar>
          </w:tcPr>
          <w:p w:rsidR="00281F97" w:rsidRDefault="00281F97">
            <w:pPr>
              <w:pStyle w:val="Normal03"/>
              <w:spacing w:before="0" w:after="0"/>
              <w:rPr>
                <w:rFonts w:eastAsia="Calibri" w:cs="Calibri"/>
                <w:color w:val="000000"/>
                <w:sz w:val="18"/>
              </w:rPr>
            </w:pPr>
          </w:p>
        </w:tc>
        <w:tc>
          <w:tcPr>
            <w:tcW w:w="540" w:type="dxa"/>
            <w:tcBorders>
              <w:top w:val="nil"/>
              <w:left w:val="nil"/>
              <w:bottom w:val="single" w:sz="4" w:space="0" w:color="000000"/>
              <w:right w:val="nil"/>
            </w:tcBorders>
            <w:noWrap/>
            <w:tcMar>
              <w:top w:w="0" w:type="dxa"/>
              <w:left w:w="40" w:type="dxa"/>
              <w:bottom w:w="0" w:type="dxa"/>
              <w:right w:w="40" w:type="dxa"/>
            </w:tcMar>
          </w:tcPr>
          <w:p w:rsidR="00281F97" w:rsidRDefault="00281F97">
            <w:pPr>
              <w:pStyle w:val="Normal03"/>
              <w:spacing w:before="0" w:after="0"/>
              <w:rPr>
                <w:rFonts w:eastAsia="Calibri" w:cs="Calibri"/>
                <w:color w:val="000000"/>
                <w:sz w:val="18"/>
              </w:rPr>
            </w:pPr>
          </w:p>
        </w:tc>
        <w:tc>
          <w:tcPr>
            <w:tcW w:w="2175" w:type="dxa"/>
            <w:tcBorders>
              <w:top w:val="nil"/>
              <w:left w:val="nil"/>
              <w:bottom w:val="single" w:sz="4" w:space="0" w:color="000000"/>
              <w:right w:val="nil"/>
            </w:tcBorders>
            <w:noWrap/>
            <w:tcMar>
              <w:top w:w="0" w:type="dxa"/>
              <w:left w:w="40" w:type="dxa"/>
              <w:bottom w:w="0" w:type="dxa"/>
              <w:right w:w="40" w:type="dxa"/>
            </w:tcMar>
            <w:hideMark/>
          </w:tcPr>
          <w:p w:rsidR="00281F97" w:rsidRDefault="00765F6E">
            <w:pPr>
              <w:pStyle w:val="Normal03"/>
              <w:spacing w:before="0" w:after="0"/>
              <w:jc w:val="right"/>
              <w:rPr>
                <w:rFonts w:eastAsia="Calibri" w:cs="Calibri"/>
                <w:b/>
                <w:color w:val="000000"/>
                <w:sz w:val="18"/>
              </w:rPr>
            </w:pPr>
            <w:r>
              <w:rPr>
                <w:rFonts w:eastAsia="Calibri" w:cs="Calibri"/>
                <w:b/>
                <w:color w:val="000000"/>
                <w:sz w:val="18"/>
              </w:rPr>
              <w:t>$'000</w:t>
            </w:r>
          </w:p>
        </w:tc>
        <w:tc>
          <w:tcPr>
            <w:tcW w:w="1650" w:type="dxa"/>
            <w:tcBorders>
              <w:top w:val="nil"/>
              <w:left w:val="nil"/>
              <w:bottom w:val="single" w:sz="4" w:space="0" w:color="000000"/>
              <w:right w:val="nil"/>
            </w:tcBorders>
            <w:noWrap/>
            <w:tcMar>
              <w:top w:w="0" w:type="dxa"/>
              <w:left w:w="40" w:type="dxa"/>
              <w:bottom w:w="0" w:type="dxa"/>
              <w:right w:w="40" w:type="dxa"/>
            </w:tcMar>
            <w:hideMark/>
          </w:tcPr>
          <w:p w:rsidR="00281F97" w:rsidRDefault="00765F6E">
            <w:pPr>
              <w:pStyle w:val="Normal03"/>
              <w:spacing w:before="0" w:after="0"/>
              <w:jc w:val="right"/>
              <w:rPr>
                <w:rFonts w:eastAsia="Calibri" w:cs="Calibri"/>
                <w:b/>
                <w:color w:val="000000"/>
                <w:sz w:val="18"/>
              </w:rPr>
            </w:pPr>
            <w:r>
              <w:rPr>
                <w:rFonts w:eastAsia="Calibri" w:cs="Calibri"/>
                <w:b/>
                <w:color w:val="000000"/>
                <w:sz w:val="18"/>
              </w:rPr>
              <w:t>$'000</w:t>
            </w:r>
          </w:p>
        </w:tc>
      </w:tr>
      <w:tr w:rsidR="00237D6F" w:rsidTr="00281F97">
        <w:trPr>
          <w:trHeight w:hRule="exact" w:val="240"/>
        </w:trPr>
        <w:tc>
          <w:tcPr>
            <w:tcW w:w="4695" w:type="dxa"/>
            <w:tcBorders>
              <w:top w:val="single" w:sz="4" w:space="0" w:color="000000"/>
              <w:left w:val="nil"/>
              <w:bottom w:val="nil"/>
              <w:right w:val="nil"/>
            </w:tcBorders>
            <w:noWrap/>
            <w:tcMar>
              <w:top w:w="0" w:type="dxa"/>
              <w:left w:w="40" w:type="dxa"/>
              <w:bottom w:w="0" w:type="dxa"/>
              <w:right w:w="40" w:type="dxa"/>
            </w:tcMar>
            <w:hideMark/>
          </w:tcPr>
          <w:p w:rsidR="00281F97" w:rsidRPr="0038545F" w:rsidRDefault="00765F6E" w:rsidP="00281F97">
            <w:pPr>
              <w:pStyle w:val="Normal03"/>
              <w:spacing w:before="0" w:after="0"/>
              <w:rPr>
                <w:rFonts w:eastAsia="Calibri" w:cs="Calibri"/>
                <w:color w:val="000000"/>
                <w:sz w:val="18"/>
              </w:rPr>
            </w:pPr>
            <w:r w:rsidRPr="0038545F">
              <w:rPr>
                <w:rFonts w:eastAsia="Calibri" w:cs="Calibri"/>
                <w:color w:val="000000"/>
                <w:sz w:val="18"/>
              </w:rPr>
              <w:t>Total Cost</w:t>
            </w:r>
          </w:p>
        </w:tc>
        <w:tc>
          <w:tcPr>
            <w:tcW w:w="540" w:type="dxa"/>
            <w:tcBorders>
              <w:top w:val="single" w:sz="4" w:space="0" w:color="000000"/>
              <w:left w:val="nil"/>
              <w:bottom w:val="nil"/>
              <w:right w:val="nil"/>
            </w:tcBorders>
            <w:noWrap/>
            <w:tcMar>
              <w:top w:w="0" w:type="dxa"/>
              <w:left w:w="40" w:type="dxa"/>
              <w:bottom w:w="0" w:type="dxa"/>
              <w:right w:w="40" w:type="dxa"/>
            </w:tcMar>
          </w:tcPr>
          <w:p w:rsidR="00281F97" w:rsidRDefault="00281F97" w:rsidP="00281F97">
            <w:pPr>
              <w:pStyle w:val="Normal03"/>
              <w:spacing w:before="0" w:after="0"/>
              <w:rPr>
                <w:rFonts w:eastAsia="Calibri" w:cs="Calibri"/>
                <w:b/>
                <w:color w:val="000000"/>
                <w:sz w:val="18"/>
              </w:rPr>
            </w:pPr>
          </w:p>
        </w:tc>
        <w:tc>
          <w:tcPr>
            <w:tcW w:w="2175" w:type="dxa"/>
            <w:tcBorders>
              <w:top w:val="single" w:sz="4" w:space="0" w:color="000000"/>
              <w:left w:val="nil"/>
              <w:bottom w:val="nil"/>
              <w:right w:val="nil"/>
            </w:tcBorders>
            <w:noWrap/>
            <w:tcMar>
              <w:top w:w="0" w:type="dxa"/>
              <w:left w:w="40" w:type="dxa"/>
              <w:bottom w:w="0" w:type="dxa"/>
              <w:right w:w="40" w:type="dxa"/>
            </w:tcMar>
            <w:hideMark/>
          </w:tcPr>
          <w:p w:rsidR="00281F97" w:rsidRDefault="00765F6E" w:rsidP="00281F97">
            <w:pPr>
              <w:pStyle w:val="Normal02"/>
              <w:spacing w:before="0" w:after="0"/>
              <w:jc w:val="right"/>
              <w:rPr>
                <w:rFonts w:eastAsia="Calibri" w:cs="Calibri"/>
                <w:color w:val="000000"/>
                <w:sz w:val="18"/>
              </w:rPr>
            </w:pPr>
            <w:r>
              <w:rPr>
                <w:rFonts w:eastAsia="Calibri" w:cs="Calibri"/>
                <w:color w:val="000000"/>
                <w:sz w:val="18"/>
              </w:rPr>
              <w:t>53,180</w:t>
            </w:r>
          </w:p>
        </w:tc>
        <w:tc>
          <w:tcPr>
            <w:tcW w:w="1650" w:type="dxa"/>
            <w:tcBorders>
              <w:top w:val="single" w:sz="4" w:space="0" w:color="000000"/>
              <w:left w:val="nil"/>
              <w:bottom w:val="nil"/>
              <w:right w:val="nil"/>
            </w:tcBorders>
            <w:noWrap/>
            <w:tcMar>
              <w:top w:w="0" w:type="dxa"/>
              <w:left w:w="40" w:type="dxa"/>
              <w:bottom w:w="0" w:type="dxa"/>
              <w:right w:w="40" w:type="dxa"/>
            </w:tcMar>
            <w:hideMark/>
          </w:tcPr>
          <w:p w:rsidR="00281F97" w:rsidRDefault="00765F6E" w:rsidP="00281F97">
            <w:pPr>
              <w:pStyle w:val="Normal02"/>
              <w:spacing w:before="0" w:after="0"/>
              <w:jc w:val="right"/>
              <w:rPr>
                <w:rFonts w:eastAsia="Calibri" w:cs="Calibri"/>
                <w:color w:val="000000"/>
                <w:sz w:val="18"/>
              </w:rPr>
            </w:pPr>
            <w:r>
              <w:rPr>
                <w:rFonts w:eastAsia="Calibri" w:cs="Calibri"/>
                <w:color w:val="000000"/>
                <w:sz w:val="18"/>
              </w:rPr>
              <w:t>52,934</w:t>
            </w:r>
          </w:p>
        </w:tc>
      </w:tr>
      <w:tr w:rsidR="00237D6F" w:rsidTr="00281F97">
        <w:trPr>
          <w:trHeight w:hRule="exact" w:val="300"/>
        </w:trPr>
        <w:tc>
          <w:tcPr>
            <w:tcW w:w="4695" w:type="dxa"/>
            <w:tcBorders>
              <w:top w:val="nil"/>
              <w:left w:val="nil"/>
              <w:bottom w:val="single" w:sz="4" w:space="0" w:color="000000"/>
              <w:right w:val="nil"/>
            </w:tcBorders>
            <w:noWrap/>
            <w:tcMar>
              <w:top w:w="0" w:type="dxa"/>
              <w:left w:w="40" w:type="dxa"/>
              <w:bottom w:w="0" w:type="dxa"/>
              <w:right w:w="40" w:type="dxa"/>
            </w:tcMar>
            <w:hideMark/>
          </w:tcPr>
          <w:p w:rsidR="00281F97" w:rsidRPr="0038545F" w:rsidRDefault="00765F6E" w:rsidP="00281F97">
            <w:pPr>
              <w:pStyle w:val="Normal03"/>
              <w:spacing w:before="0" w:after="0"/>
              <w:rPr>
                <w:rFonts w:eastAsia="Calibri" w:cs="Calibri"/>
                <w:color w:val="000000"/>
                <w:sz w:val="18"/>
              </w:rPr>
            </w:pPr>
            <w:r w:rsidRPr="0038545F">
              <w:rPr>
                <w:rFonts w:eastAsia="Calibri" w:cs="Calibri"/>
                <w:color w:val="000000"/>
                <w:sz w:val="18"/>
              </w:rPr>
              <w:t>Controlled Recurrent Payments</w:t>
            </w:r>
          </w:p>
        </w:tc>
        <w:tc>
          <w:tcPr>
            <w:tcW w:w="540" w:type="dxa"/>
            <w:tcBorders>
              <w:top w:val="nil"/>
              <w:left w:val="nil"/>
              <w:bottom w:val="single" w:sz="4" w:space="0" w:color="000000"/>
              <w:right w:val="nil"/>
            </w:tcBorders>
            <w:noWrap/>
            <w:tcMar>
              <w:top w:w="0" w:type="dxa"/>
              <w:left w:w="40" w:type="dxa"/>
              <w:bottom w:w="0" w:type="dxa"/>
              <w:right w:w="40" w:type="dxa"/>
            </w:tcMar>
          </w:tcPr>
          <w:p w:rsidR="00281F97" w:rsidRDefault="00281F97" w:rsidP="00281F97">
            <w:pPr>
              <w:pStyle w:val="Normal03"/>
              <w:spacing w:before="0" w:after="0"/>
              <w:rPr>
                <w:rFonts w:eastAsia="Calibri" w:cs="Calibri"/>
                <w:b/>
                <w:color w:val="000000"/>
                <w:sz w:val="18"/>
              </w:rPr>
            </w:pPr>
          </w:p>
        </w:tc>
        <w:tc>
          <w:tcPr>
            <w:tcW w:w="2175" w:type="dxa"/>
            <w:tcBorders>
              <w:top w:val="nil"/>
              <w:left w:val="nil"/>
              <w:bottom w:val="single" w:sz="4" w:space="0" w:color="000000"/>
              <w:right w:val="nil"/>
            </w:tcBorders>
            <w:noWrap/>
            <w:tcMar>
              <w:top w:w="0" w:type="dxa"/>
              <w:left w:w="40" w:type="dxa"/>
              <w:bottom w:w="0" w:type="dxa"/>
              <w:right w:w="40" w:type="dxa"/>
            </w:tcMar>
            <w:hideMark/>
          </w:tcPr>
          <w:p w:rsidR="00281F97" w:rsidRDefault="00765F6E" w:rsidP="00281F97">
            <w:pPr>
              <w:pStyle w:val="Normal02"/>
              <w:spacing w:before="0" w:after="0"/>
              <w:jc w:val="right"/>
              <w:rPr>
                <w:rFonts w:eastAsia="Calibri" w:cs="Calibri"/>
                <w:color w:val="000000"/>
                <w:sz w:val="18"/>
              </w:rPr>
            </w:pPr>
            <w:r>
              <w:rPr>
                <w:rFonts w:eastAsia="Calibri" w:cs="Calibri"/>
                <w:color w:val="000000"/>
                <w:sz w:val="18"/>
              </w:rPr>
              <w:t>38,213</w:t>
            </w:r>
          </w:p>
        </w:tc>
        <w:tc>
          <w:tcPr>
            <w:tcW w:w="1650" w:type="dxa"/>
            <w:tcBorders>
              <w:top w:val="nil"/>
              <w:left w:val="nil"/>
              <w:bottom w:val="single" w:sz="4" w:space="0" w:color="000000"/>
              <w:right w:val="nil"/>
            </w:tcBorders>
            <w:noWrap/>
            <w:tcMar>
              <w:top w:w="0" w:type="dxa"/>
              <w:left w:w="40" w:type="dxa"/>
              <w:bottom w:w="0" w:type="dxa"/>
              <w:right w:w="40" w:type="dxa"/>
            </w:tcMar>
            <w:hideMark/>
          </w:tcPr>
          <w:p w:rsidR="00281F97" w:rsidRDefault="00765F6E" w:rsidP="00281F97">
            <w:pPr>
              <w:pStyle w:val="Normal02"/>
              <w:spacing w:before="0" w:after="0"/>
              <w:jc w:val="right"/>
              <w:rPr>
                <w:rFonts w:eastAsia="Calibri" w:cs="Calibri"/>
                <w:color w:val="000000"/>
                <w:sz w:val="18"/>
              </w:rPr>
            </w:pPr>
            <w:r>
              <w:rPr>
                <w:rFonts w:eastAsia="Calibri" w:cs="Calibri"/>
                <w:color w:val="000000"/>
                <w:sz w:val="18"/>
              </w:rPr>
              <w:t>39,954</w:t>
            </w:r>
          </w:p>
        </w:tc>
      </w:tr>
    </w:tbl>
    <w:p w:rsidR="00281F97" w:rsidRDefault="00765F6E" w:rsidP="00281F97">
      <w:pPr>
        <w:pStyle w:val="Heading40"/>
      </w:pPr>
      <w:r>
        <w:t xml:space="preserve">Output 1.4: </w:t>
      </w:r>
      <w:r w:rsidRPr="00446921">
        <w:t>Cancer Services</w:t>
      </w:r>
    </w:p>
    <w:p w:rsidR="00281F97" w:rsidRDefault="00765F6E" w:rsidP="00281F97">
      <w:pPr>
        <w:pStyle w:val="Normal02"/>
      </w:pPr>
      <w:r>
        <w:t>Canberra Hospital and Health Services provides a comprehensive range of screening, assessment, diagnostic, treatment and palliative care services.  Services are provided in inpatient, outpatient and community settings.</w:t>
      </w:r>
    </w:p>
    <w:p w:rsidR="00281F97" w:rsidRDefault="00765F6E" w:rsidP="00281F97">
      <w:pPr>
        <w:pStyle w:val="Normal02"/>
      </w:pPr>
      <w:r>
        <w:t>The key priorities for cancer care services are early detection and timely access to diagnostic and treatment services.  These include ensuring that population screening rates for breast cancer meet targets, waiting time for access to essential services such as radiotherapy are consistent with agreed benchmarks and there is timely access to chemotherapy and haematological treatments.</w:t>
      </w:r>
    </w:p>
    <w:p w:rsidR="00281F97" w:rsidRPr="00B86090" w:rsidRDefault="00765F6E" w:rsidP="00281F97">
      <w:pPr>
        <w:pStyle w:val="Normal4"/>
        <w:rPr>
          <w:b/>
        </w:rPr>
      </w:pPr>
      <w:r w:rsidRPr="00B86090">
        <w:rPr>
          <w:b/>
        </w:rPr>
        <w:t xml:space="preserve">Table </w:t>
      </w:r>
      <w:r>
        <w:rPr>
          <w:b/>
        </w:rPr>
        <w:t>21</w:t>
      </w:r>
      <w:r w:rsidRPr="00B86090">
        <w:rPr>
          <w:b/>
        </w:rPr>
        <w:t>:</w:t>
      </w:r>
      <w:r w:rsidR="00263F6B">
        <w:rPr>
          <w:b/>
        </w:rPr>
        <w:t xml:space="preserve"> </w:t>
      </w:r>
      <w:r w:rsidRPr="00B86090">
        <w:rPr>
          <w:b/>
        </w:rPr>
        <w:t xml:space="preserve">Output 1.4:  </w:t>
      </w:r>
      <w:r w:rsidRPr="00446921">
        <w:rPr>
          <w:b/>
        </w:rPr>
        <w:t>Cancer Services</w:t>
      </w:r>
    </w:p>
    <w:tbl>
      <w:tblPr>
        <w:tblW w:w="9060" w:type="dxa"/>
        <w:tblLayout w:type="fixed"/>
        <w:tblLook w:val="0600" w:firstRow="0" w:lastRow="0" w:firstColumn="0" w:lastColumn="0" w:noHBand="1" w:noVBand="1"/>
      </w:tblPr>
      <w:tblGrid>
        <w:gridCol w:w="4695"/>
        <w:gridCol w:w="540"/>
        <w:gridCol w:w="2175"/>
        <w:gridCol w:w="1650"/>
      </w:tblGrid>
      <w:tr w:rsidR="00237D6F" w:rsidTr="00281F97">
        <w:trPr>
          <w:trHeight w:hRule="exact" w:val="240"/>
        </w:trPr>
        <w:tc>
          <w:tcPr>
            <w:tcW w:w="4695" w:type="dxa"/>
            <w:tcBorders>
              <w:top w:val="single" w:sz="4" w:space="0" w:color="000000"/>
              <w:left w:val="nil"/>
              <w:bottom w:val="nil"/>
              <w:right w:val="nil"/>
            </w:tcBorders>
            <w:noWrap/>
            <w:tcMar>
              <w:top w:w="0" w:type="dxa"/>
              <w:left w:w="40" w:type="dxa"/>
              <w:bottom w:w="0" w:type="dxa"/>
              <w:right w:w="40" w:type="dxa"/>
            </w:tcMar>
          </w:tcPr>
          <w:p w:rsidR="00281F97" w:rsidRDefault="00281F97">
            <w:pPr>
              <w:pStyle w:val="Normal03"/>
              <w:spacing w:before="0" w:after="0"/>
              <w:rPr>
                <w:rFonts w:eastAsia="Calibri" w:cs="Calibri"/>
                <w:color w:val="000000"/>
                <w:sz w:val="18"/>
              </w:rPr>
            </w:pPr>
          </w:p>
        </w:tc>
        <w:tc>
          <w:tcPr>
            <w:tcW w:w="540" w:type="dxa"/>
            <w:tcBorders>
              <w:top w:val="single" w:sz="4" w:space="0" w:color="000000"/>
              <w:left w:val="nil"/>
              <w:bottom w:val="nil"/>
              <w:right w:val="nil"/>
            </w:tcBorders>
            <w:noWrap/>
            <w:tcMar>
              <w:top w:w="0" w:type="dxa"/>
              <w:left w:w="40" w:type="dxa"/>
              <w:bottom w:w="0" w:type="dxa"/>
              <w:right w:w="40" w:type="dxa"/>
            </w:tcMar>
          </w:tcPr>
          <w:p w:rsidR="00281F97" w:rsidRDefault="00281F97">
            <w:pPr>
              <w:pStyle w:val="Normal03"/>
              <w:spacing w:before="0" w:after="0"/>
              <w:rPr>
                <w:rFonts w:eastAsia="Calibri" w:cs="Calibri"/>
                <w:color w:val="000000"/>
                <w:sz w:val="18"/>
              </w:rPr>
            </w:pPr>
          </w:p>
        </w:tc>
        <w:tc>
          <w:tcPr>
            <w:tcW w:w="2175" w:type="dxa"/>
            <w:tcBorders>
              <w:top w:val="single" w:sz="4" w:space="0" w:color="000000"/>
              <w:left w:val="nil"/>
              <w:bottom w:val="nil"/>
              <w:right w:val="nil"/>
            </w:tcBorders>
            <w:noWrap/>
            <w:tcMar>
              <w:top w:w="0" w:type="dxa"/>
              <w:left w:w="40" w:type="dxa"/>
              <w:bottom w:w="0" w:type="dxa"/>
              <w:right w:w="40" w:type="dxa"/>
            </w:tcMar>
            <w:hideMark/>
          </w:tcPr>
          <w:p w:rsidR="00281F97" w:rsidRDefault="00765F6E" w:rsidP="00281F97">
            <w:pPr>
              <w:pStyle w:val="Normal03"/>
              <w:spacing w:before="0" w:after="0"/>
              <w:jc w:val="right"/>
              <w:rPr>
                <w:rFonts w:eastAsia="Calibri" w:cs="Calibri"/>
                <w:b/>
                <w:color w:val="000000"/>
                <w:sz w:val="18"/>
              </w:rPr>
            </w:pPr>
            <w:r>
              <w:rPr>
                <w:rFonts w:eastAsia="Calibri" w:cs="Calibri"/>
                <w:b/>
                <w:color w:val="000000"/>
                <w:sz w:val="18"/>
              </w:rPr>
              <w:t>2017-18</w:t>
            </w:r>
          </w:p>
        </w:tc>
        <w:tc>
          <w:tcPr>
            <w:tcW w:w="1650" w:type="dxa"/>
            <w:tcBorders>
              <w:top w:val="single" w:sz="4" w:space="0" w:color="000000"/>
              <w:left w:val="nil"/>
              <w:bottom w:val="nil"/>
              <w:right w:val="nil"/>
            </w:tcBorders>
            <w:noWrap/>
            <w:tcMar>
              <w:top w:w="0" w:type="dxa"/>
              <w:left w:w="40" w:type="dxa"/>
              <w:bottom w:w="0" w:type="dxa"/>
              <w:right w:w="40" w:type="dxa"/>
            </w:tcMar>
            <w:hideMark/>
          </w:tcPr>
          <w:p w:rsidR="00281F97" w:rsidRDefault="00765F6E" w:rsidP="00281F97">
            <w:pPr>
              <w:pStyle w:val="Normal03"/>
              <w:spacing w:before="0" w:after="0"/>
              <w:jc w:val="right"/>
              <w:rPr>
                <w:rFonts w:eastAsia="Calibri" w:cs="Calibri"/>
                <w:b/>
                <w:color w:val="000000"/>
                <w:sz w:val="18"/>
              </w:rPr>
            </w:pPr>
            <w:r>
              <w:rPr>
                <w:rFonts w:eastAsia="Calibri" w:cs="Calibri"/>
                <w:b/>
                <w:color w:val="000000"/>
                <w:sz w:val="18"/>
              </w:rPr>
              <w:t>2018-19</w:t>
            </w:r>
          </w:p>
        </w:tc>
      </w:tr>
      <w:tr w:rsidR="00237D6F" w:rsidTr="00281F97">
        <w:trPr>
          <w:trHeight w:val="240"/>
        </w:trPr>
        <w:tc>
          <w:tcPr>
            <w:tcW w:w="4695" w:type="dxa"/>
            <w:noWrap/>
            <w:tcMar>
              <w:top w:w="0" w:type="dxa"/>
              <w:left w:w="40" w:type="dxa"/>
              <w:bottom w:w="0" w:type="dxa"/>
              <w:right w:w="40" w:type="dxa"/>
            </w:tcMar>
          </w:tcPr>
          <w:p w:rsidR="00281F97" w:rsidRDefault="00281F97">
            <w:pPr>
              <w:pStyle w:val="Normal03"/>
              <w:spacing w:before="0" w:after="0"/>
              <w:rPr>
                <w:rFonts w:eastAsia="Calibri" w:cs="Calibri"/>
                <w:color w:val="000000"/>
                <w:sz w:val="18"/>
              </w:rPr>
            </w:pPr>
          </w:p>
        </w:tc>
        <w:tc>
          <w:tcPr>
            <w:tcW w:w="540" w:type="dxa"/>
            <w:noWrap/>
            <w:tcMar>
              <w:top w:w="0" w:type="dxa"/>
              <w:left w:w="40" w:type="dxa"/>
              <w:bottom w:w="0" w:type="dxa"/>
              <w:right w:w="40" w:type="dxa"/>
            </w:tcMar>
          </w:tcPr>
          <w:p w:rsidR="00281F97" w:rsidRDefault="00281F97">
            <w:pPr>
              <w:pStyle w:val="Normal03"/>
              <w:spacing w:before="0" w:after="0"/>
              <w:rPr>
                <w:rFonts w:eastAsia="Calibri" w:cs="Calibri"/>
                <w:color w:val="000000"/>
                <w:sz w:val="18"/>
              </w:rPr>
            </w:pPr>
          </w:p>
        </w:tc>
        <w:tc>
          <w:tcPr>
            <w:tcW w:w="2175" w:type="dxa"/>
            <w:tcMar>
              <w:top w:w="0" w:type="dxa"/>
              <w:left w:w="40" w:type="dxa"/>
              <w:bottom w:w="0" w:type="dxa"/>
              <w:right w:w="40" w:type="dxa"/>
            </w:tcMar>
            <w:hideMark/>
          </w:tcPr>
          <w:p w:rsidR="00281F97" w:rsidRDefault="00765F6E">
            <w:pPr>
              <w:pStyle w:val="Normal03"/>
              <w:spacing w:before="0" w:after="0"/>
              <w:jc w:val="right"/>
              <w:rPr>
                <w:rFonts w:eastAsia="Calibri" w:cs="Calibri"/>
                <w:b/>
                <w:color w:val="000000"/>
                <w:sz w:val="18"/>
              </w:rPr>
            </w:pPr>
            <w:r>
              <w:rPr>
                <w:rFonts w:eastAsia="Calibri" w:cs="Calibri"/>
                <w:b/>
                <w:color w:val="000000"/>
                <w:sz w:val="18"/>
              </w:rPr>
              <w:t>Estimated Outcome</w:t>
            </w:r>
          </w:p>
        </w:tc>
        <w:tc>
          <w:tcPr>
            <w:tcW w:w="1650" w:type="dxa"/>
            <w:noWrap/>
            <w:tcMar>
              <w:top w:w="0" w:type="dxa"/>
              <w:left w:w="40" w:type="dxa"/>
              <w:bottom w:w="0" w:type="dxa"/>
              <w:right w:w="40" w:type="dxa"/>
            </w:tcMar>
            <w:hideMark/>
          </w:tcPr>
          <w:p w:rsidR="00281F97" w:rsidRDefault="00765F6E">
            <w:pPr>
              <w:pStyle w:val="Normal03"/>
              <w:spacing w:before="0" w:after="0"/>
              <w:jc w:val="right"/>
              <w:rPr>
                <w:rFonts w:eastAsia="Calibri" w:cs="Calibri"/>
                <w:b/>
                <w:color w:val="000000"/>
                <w:sz w:val="18"/>
              </w:rPr>
            </w:pPr>
            <w:r>
              <w:rPr>
                <w:rFonts w:eastAsia="Calibri" w:cs="Calibri"/>
                <w:b/>
                <w:color w:val="000000"/>
                <w:sz w:val="18"/>
              </w:rPr>
              <w:t>Budget</w:t>
            </w:r>
          </w:p>
        </w:tc>
      </w:tr>
      <w:tr w:rsidR="00237D6F" w:rsidTr="00281F97">
        <w:trPr>
          <w:trHeight w:hRule="exact" w:val="300"/>
        </w:trPr>
        <w:tc>
          <w:tcPr>
            <w:tcW w:w="4695" w:type="dxa"/>
            <w:tcBorders>
              <w:top w:val="nil"/>
              <w:left w:val="nil"/>
              <w:bottom w:val="single" w:sz="4" w:space="0" w:color="000000"/>
              <w:right w:val="nil"/>
            </w:tcBorders>
            <w:noWrap/>
            <w:tcMar>
              <w:top w:w="0" w:type="dxa"/>
              <w:left w:w="40" w:type="dxa"/>
              <w:bottom w:w="0" w:type="dxa"/>
              <w:right w:w="40" w:type="dxa"/>
            </w:tcMar>
          </w:tcPr>
          <w:p w:rsidR="00281F97" w:rsidRDefault="00281F97">
            <w:pPr>
              <w:pStyle w:val="Normal03"/>
              <w:spacing w:before="0" w:after="0"/>
              <w:rPr>
                <w:rFonts w:eastAsia="Calibri" w:cs="Calibri"/>
                <w:color w:val="000000"/>
                <w:sz w:val="18"/>
              </w:rPr>
            </w:pPr>
          </w:p>
        </w:tc>
        <w:tc>
          <w:tcPr>
            <w:tcW w:w="540" w:type="dxa"/>
            <w:tcBorders>
              <w:top w:val="nil"/>
              <w:left w:val="nil"/>
              <w:bottom w:val="single" w:sz="4" w:space="0" w:color="000000"/>
              <w:right w:val="nil"/>
            </w:tcBorders>
            <w:noWrap/>
            <w:tcMar>
              <w:top w:w="0" w:type="dxa"/>
              <w:left w:w="40" w:type="dxa"/>
              <w:bottom w:w="0" w:type="dxa"/>
              <w:right w:w="40" w:type="dxa"/>
            </w:tcMar>
          </w:tcPr>
          <w:p w:rsidR="00281F97" w:rsidRDefault="00281F97">
            <w:pPr>
              <w:pStyle w:val="Normal03"/>
              <w:spacing w:before="0" w:after="0"/>
              <w:rPr>
                <w:rFonts w:eastAsia="Calibri" w:cs="Calibri"/>
                <w:color w:val="000000"/>
                <w:sz w:val="18"/>
              </w:rPr>
            </w:pPr>
          </w:p>
        </w:tc>
        <w:tc>
          <w:tcPr>
            <w:tcW w:w="2175" w:type="dxa"/>
            <w:tcBorders>
              <w:top w:val="nil"/>
              <w:left w:val="nil"/>
              <w:bottom w:val="single" w:sz="4" w:space="0" w:color="000000"/>
              <w:right w:val="nil"/>
            </w:tcBorders>
            <w:noWrap/>
            <w:tcMar>
              <w:top w:w="0" w:type="dxa"/>
              <w:left w:w="40" w:type="dxa"/>
              <w:bottom w:w="0" w:type="dxa"/>
              <w:right w:w="40" w:type="dxa"/>
            </w:tcMar>
            <w:hideMark/>
          </w:tcPr>
          <w:p w:rsidR="00281F97" w:rsidRDefault="00765F6E">
            <w:pPr>
              <w:pStyle w:val="Normal03"/>
              <w:spacing w:before="0" w:after="0"/>
              <w:jc w:val="right"/>
              <w:rPr>
                <w:rFonts w:eastAsia="Calibri" w:cs="Calibri"/>
                <w:b/>
                <w:color w:val="000000"/>
                <w:sz w:val="18"/>
              </w:rPr>
            </w:pPr>
            <w:r>
              <w:rPr>
                <w:rFonts w:eastAsia="Calibri" w:cs="Calibri"/>
                <w:b/>
                <w:color w:val="000000"/>
                <w:sz w:val="18"/>
              </w:rPr>
              <w:t>$'000</w:t>
            </w:r>
          </w:p>
        </w:tc>
        <w:tc>
          <w:tcPr>
            <w:tcW w:w="1650" w:type="dxa"/>
            <w:tcBorders>
              <w:top w:val="nil"/>
              <w:left w:val="nil"/>
              <w:bottom w:val="single" w:sz="4" w:space="0" w:color="000000"/>
              <w:right w:val="nil"/>
            </w:tcBorders>
            <w:noWrap/>
            <w:tcMar>
              <w:top w:w="0" w:type="dxa"/>
              <w:left w:w="40" w:type="dxa"/>
              <w:bottom w:w="0" w:type="dxa"/>
              <w:right w:w="40" w:type="dxa"/>
            </w:tcMar>
            <w:hideMark/>
          </w:tcPr>
          <w:p w:rsidR="00281F97" w:rsidRDefault="00765F6E">
            <w:pPr>
              <w:pStyle w:val="Normal03"/>
              <w:spacing w:before="0" w:after="0"/>
              <w:jc w:val="right"/>
              <w:rPr>
                <w:rFonts w:eastAsia="Calibri" w:cs="Calibri"/>
                <w:b/>
                <w:color w:val="000000"/>
                <w:sz w:val="18"/>
              </w:rPr>
            </w:pPr>
            <w:r>
              <w:rPr>
                <w:rFonts w:eastAsia="Calibri" w:cs="Calibri"/>
                <w:b/>
                <w:color w:val="000000"/>
                <w:sz w:val="18"/>
              </w:rPr>
              <w:t>$'000</w:t>
            </w:r>
          </w:p>
        </w:tc>
      </w:tr>
      <w:tr w:rsidR="00237D6F" w:rsidTr="00281F97">
        <w:trPr>
          <w:trHeight w:hRule="exact" w:val="240"/>
        </w:trPr>
        <w:tc>
          <w:tcPr>
            <w:tcW w:w="4695" w:type="dxa"/>
            <w:tcBorders>
              <w:top w:val="single" w:sz="4" w:space="0" w:color="000000"/>
              <w:left w:val="nil"/>
              <w:bottom w:val="nil"/>
              <w:right w:val="nil"/>
            </w:tcBorders>
            <w:noWrap/>
            <w:tcMar>
              <w:top w:w="0" w:type="dxa"/>
              <w:left w:w="40" w:type="dxa"/>
              <w:bottom w:w="0" w:type="dxa"/>
              <w:right w:w="40" w:type="dxa"/>
            </w:tcMar>
            <w:hideMark/>
          </w:tcPr>
          <w:p w:rsidR="00281F97" w:rsidRPr="0038545F" w:rsidRDefault="00765F6E" w:rsidP="00281F97">
            <w:pPr>
              <w:pStyle w:val="Normal03"/>
              <w:spacing w:before="0" w:after="0"/>
              <w:rPr>
                <w:rFonts w:eastAsia="Calibri" w:cs="Calibri"/>
                <w:color w:val="000000"/>
                <w:sz w:val="18"/>
              </w:rPr>
            </w:pPr>
            <w:r w:rsidRPr="0038545F">
              <w:rPr>
                <w:rFonts w:eastAsia="Calibri" w:cs="Calibri"/>
                <w:color w:val="000000"/>
                <w:sz w:val="18"/>
              </w:rPr>
              <w:t>Total Cost</w:t>
            </w:r>
          </w:p>
        </w:tc>
        <w:tc>
          <w:tcPr>
            <w:tcW w:w="540" w:type="dxa"/>
            <w:tcBorders>
              <w:top w:val="single" w:sz="4" w:space="0" w:color="000000"/>
              <w:left w:val="nil"/>
              <w:bottom w:val="nil"/>
              <w:right w:val="nil"/>
            </w:tcBorders>
            <w:noWrap/>
            <w:tcMar>
              <w:top w:w="0" w:type="dxa"/>
              <w:left w:w="40" w:type="dxa"/>
              <w:bottom w:w="0" w:type="dxa"/>
              <w:right w:w="40" w:type="dxa"/>
            </w:tcMar>
          </w:tcPr>
          <w:p w:rsidR="00281F97" w:rsidRDefault="00281F97" w:rsidP="00281F97">
            <w:pPr>
              <w:pStyle w:val="Normal03"/>
              <w:spacing w:before="0" w:after="0"/>
              <w:rPr>
                <w:rFonts w:eastAsia="Calibri" w:cs="Calibri"/>
                <w:b/>
                <w:color w:val="000000"/>
                <w:sz w:val="18"/>
              </w:rPr>
            </w:pPr>
          </w:p>
        </w:tc>
        <w:tc>
          <w:tcPr>
            <w:tcW w:w="2175" w:type="dxa"/>
            <w:tcBorders>
              <w:top w:val="single" w:sz="4" w:space="0" w:color="000000"/>
              <w:left w:val="nil"/>
              <w:bottom w:val="nil"/>
              <w:right w:val="nil"/>
            </w:tcBorders>
            <w:noWrap/>
            <w:tcMar>
              <w:top w:w="0" w:type="dxa"/>
              <w:left w:w="40" w:type="dxa"/>
              <w:bottom w:w="0" w:type="dxa"/>
              <w:right w:w="40" w:type="dxa"/>
            </w:tcMar>
            <w:hideMark/>
          </w:tcPr>
          <w:p w:rsidR="00281F97" w:rsidRDefault="00765F6E" w:rsidP="00281F97">
            <w:pPr>
              <w:pStyle w:val="Normal02"/>
              <w:spacing w:before="0" w:after="0"/>
              <w:jc w:val="right"/>
              <w:rPr>
                <w:rFonts w:eastAsia="Calibri" w:cs="Calibri"/>
                <w:color w:val="000000"/>
                <w:sz w:val="18"/>
              </w:rPr>
            </w:pPr>
            <w:r>
              <w:rPr>
                <w:rFonts w:eastAsia="Calibri" w:cs="Calibri"/>
                <w:color w:val="000000"/>
                <w:sz w:val="18"/>
              </w:rPr>
              <w:t>84,845</w:t>
            </w:r>
          </w:p>
        </w:tc>
        <w:tc>
          <w:tcPr>
            <w:tcW w:w="1650" w:type="dxa"/>
            <w:tcBorders>
              <w:top w:val="single" w:sz="4" w:space="0" w:color="000000"/>
              <w:left w:val="nil"/>
              <w:bottom w:val="nil"/>
              <w:right w:val="nil"/>
            </w:tcBorders>
            <w:noWrap/>
            <w:tcMar>
              <w:top w:w="0" w:type="dxa"/>
              <w:left w:w="40" w:type="dxa"/>
              <w:bottom w:w="0" w:type="dxa"/>
              <w:right w:w="40" w:type="dxa"/>
            </w:tcMar>
            <w:hideMark/>
          </w:tcPr>
          <w:p w:rsidR="00281F97" w:rsidRDefault="00765F6E" w:rsidP="00281F97">
            <w:pPr>
              <w:pStyle w:val="Normal02"/>
              <w:spacing w:before="0" w:after="0"/>
              <w:jc w:val="right"/>
              <w:rPr>
                <w:rFonts w:eastAsia="Calibri" w:cs="Calibri"/>
                <w:color w:val="000000"/>
                <w:sz w:val="18"/>
              </w:rPr>
            </w:pPr>
            <w:r>
              <w:rPr>
                <w:rFonts w:eastAsia="Calibri" w:cs="Calibri"/>
                <w:color w:val="000000"/>
                <w:sz w:val="18"/>
              </w:rPr>
              <w:t>85,570</w:t>
            </w:r>
          </w:p>
        </w:tc>
      </w:tr>
      <w:tr w:rsidR="00237D6F" w:rsidTr="00281F97">
        <w:trPr>
          <w:trHeight w:hRule="exact" w:val="300"/>
        </w:trPr>
        <w:tc>
          <w:tcPr>
            <w:tcW w:w="4695" w:type="dxa"/>
            <w:tcBorders>
              <w:top w:val="nil"/>
              <w:left w:val="nil"/>
              <w:bottom w:val="single" w:sz="4" w:space="0" w:color="000000"/>
              <w:right w:val="nil"/>
            </w:tcBorders>
            <w:noWrap/>
            <w:tcMar>
              <w:top w:w="0" w:type="dxa"/>
              <w:left w:w="40" w:type="dxa"/>
              <w:bottom w:w="0" w:type="dxa"/>
              <w:right w:w="40" w:type="dxa"/>
            </w:tcMar>
            <w:hideMark/>
          </w:tcPr>
          <w:p w:rsidR="00281F97" w:rsidRPr="0038545F" w:rsidRDefault="00765F6E" w:rsidP="00281F97">
            <w:pPr>
              <w:pStyle w:val="Normal03"/>
              <w:spacing w:before="0" w:after="0"/>
              <w:rPr>
                <w:rFonts w:eastAsia="Calibri" w:cs="Calibri"/>
                <w:color w:val="000000"/>
                <w:sz w:val="18"/>
              </w:rPr>
            </w:pPr>
            <w:r w:rsidRPr="0038545F">
              <w:rPr>
                <w:rFonts w:eastAsia="Calibri" w:cs="Calibri"/>
                <w:color w:val="000000"/>
                <w:sz w:val="18"/>
              </w:rPr>
              <w:t>Controlled Recurrent Payments</w:t>
            </w:r>
          </w:p>
        </w:tc>
        <w:tc>
          <w:tcPr>
            <w:tcW w:w="540" w:type="dxa"/>
            <w:tcBorders>
              <w:top w:val="nil"/>
              <w:left w:val="nil"/>
              <w:bottom w:val="single" w:sz="4" w:space="0" w:color="000000"/>
              <w:right w:val="nil"/>
            </w:tcBorders>
            <w:noWrap/>
            <w:tcMar>
              <w:top w:w="0" w:type="dxa"/>
              <w:left w:w="40" w:type="dxa"/>
              <w:bottom w:w="0" w:type="dxa"/>
              <w:right w:w="40" w:type="dxa"/>
            </w:tcMar>
          </w:tcPr>
          <w:p w:rsidR="00281F97" w:rsidRDefault="00281F97" w:rsidP="00281F97">
            <w:pPr>
              <w:pStyle w:val="Normal03"/>
              <w:spacing w:before="0" w:after="0"/>
              <w:rPr>
                <w:rFonts w:eastAsia="Calibri" w:cs="Calibri"/>
                <w:b/>
                <w:color w:val="000000"/>
                <w:sz w:val="18"/>
              </w:rPr>
            </w:pPr>
          </w:p>
        </w:tc>
        <w:tc>
          <w:tcPr>
            <w:tcW w:w="2175" w:type="dxa"/>
            <w:tcBorders>
              <w:top w:val="nil"/>
              <w:left w:val="nil"/>
              <w:bottom w:val="single" w:sz="4" w:space="0" w:color="000000"/>
              <w:right w:val="nil"/>
            </w:tcBorders>
            <w:noWrap/>
            <w:tcMar>
              <w:top w:w="0" w:type="dxa"/>
              <w:left w:w="40" w:type="dxa"/>
              <w:bottom w:w="0" w:type="dxa"/>
              <w:right w:w="40" w:type="dxa"/>
            </w:tcMar>
            <w:hideMark/>
          </w:tcPr>
          <w:p w:rsidR="00281F97" w:rsidRDefault="00765F6E" w:rsidP="00281F97">
            <w:pPr>
              <w:pStyle w:val="Normal02"/>
              <w:spacing w:before="0" w:after="0"/>
              <w:jc w:val="right"/>
              <w:rPr>
                <w:rFonts w:eastAsia="Calibri" w:cs="Calibri"/>
                <w:color w:val="000000"/>
                <w:sz w:val="18"/>
              </w:rPr>
            </w:pPr>
            <w:r>
              <w:rPr>
                <w:rFonts w:eastAsia="Calibri" w:cs="Calibri"/>
                <w:color w:val="000000"/>
                <w:sz w:val="18"/>
              </w:rPr>
              <w:t>9,259</w:t>
            </w:r>
          </w:p>
        </w:tc>
        <w:tc>
          <w:tcPr>
            <w:tcW w:w="1650" w:type="dxa"/>
            <w:tcBorders>
              <w:top w:val="nil"/>
              <w:left w:val="nil"/>
              <w:bottom w:val="single" w:sz="4" w:space="0" w:color="000000"/>
              <w:right w:val="nil"/>
            </w:tcBorders>
            <w:noWrap/>
            <w:tcMar>
              <w:top w:w="0" w:type="dxa"/>
              <w:left w:w="40" w:type="dxa"/>
              <w:bottom w:w="0" w:type="dxa"/>
              <w:right w:w="40" w:type="dxa"/>
            </w:tcMar>
            <w:hideMark/>
          </w:tcPr>
          <w:p w:rsidR="00281F97" w:rsidRDefault="00765F6E" w:rsidP="00281F97">
            <w:pPr>
              <w:pStyle w:val="Normal02"/>
              <w:spacing w:before="0" w:after="0"/>
              <w:jc w:val="right"/>
              <w:rPr>
                <w:rFonts w:eastAsia="Calibri" w:cs="Calibri"/>
                <w:color w:val="000000"/>
                <w:sz w:val="18"/>
              </w:rPr>
            </w:pPr>
            <w:r>
              <w:rPr>
                <w:rFonts w:eastAsia="Calibri" w:cs="Calibri"/>
                <w:color w:val="000000"/>
                <w:sz w:val="18"/>
              </w:rPr>
              <w:t>10,881</w:t>
            </w:r>
          </w:p>
        </w:tc>
      </w:tr>
    </w:tbl>
    <w:p w:rsidR="00281F97" w:rsidRDefault="00281F97" w:rsidP="00281F97">
      <w:pPr>
        <w:pStyle w:val="BSnoteslist2"/>
        <w:numPr>
          <w:ilvl w:val="0"/>
          <w:numId w:val="0"/>
        </w:numPr>
        <w:ind w:left="360" w:hanging="360"/>
      </w:pPr>
    </w:p>
    <w:p w:rsidR="00281F97" w:rsidRDefault="00281F97" w:rsidP="00281F97">
      <w:pPr>
        <w:pStyle w:val="Heading40"/>
        <w:keepNext w:val="0"/>
      </w:pPr>
    </w:p>
    <w:p w:rsidR="00281F97" w:rsidRPr="004661A3" w:rsidRDefault="00281F97" w:rsidP="00281F97">
      <w:pPr>
        <w:pStyle w:val="Normal4"/>
      </w:pPr>
    </w:p>
    <w:p w:rsidR="00281F97" w:rsidRPr="007D441E" w:rsidRDefault="00765F6E" w:rsidP="00281F97">
      <w:pPr>
        <w:pStyle w:val="Heading40"/>
        <w:keepNext w:val="0"/>
      </w:pPr>
      <w:r w:rsidRPr="007D441E">
        <w:lastRenderedPageBreak/>
        <w:t xml:space="preserve">Output 1.5: </w:t>
      </w:r>
      <w:r w:rsidRPr="00446921">
        <w:t>Rehabilitation, Aged and Community Care</w:t>
      </w:r>
    </w:p>
    <w:p w:rsidR="00281F97" w:rsidRDefault="00765F6E" w:rsidP="00281F97">
      <w:pPr>
        <w:pStyle w:val="Normal02"/>
      </w:pPr>
      <w:r>
        <w:t>The provision of an integrated, effective and timely response to rehabilitation, aged care and community care services in inpatient, outpatient, emergency department, sub-acute and community based settings.</w:t>
      </w:r>
    </w:p>
    <w:p w:rsidR="00281F97" w:rsidRDefault="00765F6E" w:rsidP="00281F97">
      <w:pPr>
        <w:pStyle w:val="Normal02"/>
      </w:pPr>
      <w:r>
        <w:t>The key priorities for Rehabilitation, Aged and Community Care are:</w:t>
      </w:r>
    </w:p>
    <w:p w:rsidR="00281F97" w:rsidRDefault="00765F6E" w:rsidP="00CA0839">
      <w:pPr>
        <w:pStyle w:val="ListParagraph1"/>
        <w:numPr>
          <w:ilvl w:val="0"/>
          <w:numId w:val="26"/>
        </w:numPr>
        <w:spacing w:before="0"/>
        <w:rPr>
          <w:sz w:val="24"/>
        </w:rPr>
      </w:pPr>
      <w:r>
        <w:rPr>
          <w:sz w:val="24"/>
        </w:rPr>
        <w:t>Opening of University of Canberra Hospital, transfer of appropriate services from Canberra Hospital and ensuring high quality of care at University of Canberra Hospital;</w:t>
      </w:r>
    </w:p>
    <w:p w:rsidR="00281F97" w:rsidRDefault="00281F97" w:rsidP="00281F97">
      <w:pPr>
        <w:pStyle w:val="ListParagraph1"/>
        <w:spacing w:before="0"/>
        <w:ind w:left="360" w:firstLine="0"/>
        <w:rPr>
          <w:sz w:val="24"/>
        </w:rPr>
      </w:pPr>
    </w:p>
    <w:p w:rsidR="00281F97" w:rsidRDefault="00765F6E" w:rsidP="00CA0839">
      <w:pPr>
        <w:pStyle w:val="ListParagraph1"/>
        <w:numPr>
          <w:ilvl w:val="0"/>
          <w:numId w:val="26"/>
        </w:numPr>
        <w:spacing w:before="0"/>
        <w:rPr>
          <w:sz w:val="24"/>
        </w:rPr>
      </w:pPr>
      <w:r>
        <w:rPr>
          <w:sz w:val="24"/>
        </w:rPr>
        <w:t>Ensuring effective planning for discharge from public hospitals, including comprehensive aged care assessment where necessary, in order to provide appropriate support for independent living and minimise unplanned readmissions</w:t>
      </w:r>
      <w:r w:rsidR="00CB29E7">
        <w:rPr>
          <w:sz w:val="24"/>
        </w:rPr>
        <w:t>;</w:t>
      </w:r>
      <w:r>
        <w:rPr>
          <w:sz w:val="24"/>
        </w:rPr>
        <w:t xml:space="preserve"> and</w:t>
      </w:r>
    </w:p>
    <w:p w:rsidR="00281F97" w:rsidRDefault="00281F97" w:rsidP="00281F97">
      <w:pPr>
        <w:pStyle w:val="Normal4"/>
        <w:spacing w:before="0" w:after="0"/>
      </w:pPr>
    </w:p>
    <w:p w:rsidR="00281F97" w:rsidRDefault="00765F6E" w:rsidP="00CA0839">
      <w:pPr>
        <w:pStyle w:val="ListParagraph1"/>
        <w:numPr>
          <w:ilvl w:val="0"/>
          <w:numId w:val="26"/>
        </w:numPr>
        <w:spacing w:before="0"/>
        <w:rPr>
          <w:sz w:val="24"/>
        </w:rPr>
      </w:pPr>
      <w:r>
        <w:rPr>
          <w:sz w:val="24"/>
        </w:rPr>
        <w:t>Ensuring that access is consistent with clinical need and timely for community based nursing and allied health services.</w:t>
      </w:r>
    </w:p>
    <w:p w:rsidR="00281F97" w:rsidRPr="00B86090" w:rsidRDefault="00765F6E" w:rsidP="00281F97">
      <w:pPr>
        <w:pStyle w:val="BSbullet10"/>
        <w:keepNext/>
        <w:keepLines/>
        <w:numPr>
          <w:ilvl w:val="0"/>
          <w:numId w:val="0"/>
        </w:numPr>
        <w:jc w:val="left"/>
        <w:rPr>
          <w:b/>
        </w:rPr>
      </w:pPr>
      <w:r w:rsidRPr="00B86090">
        <w:rPr>
          <w:b/>
        </w:rPr>
        <w:t xml:space="preserve">Table </w:t>
      </w:r>
      <w:r>
        <w:rPr>
          <w:b/>
        </w:rPr>
        <w:t>22</w:t>
      </w:r>
      <w:r w:rsidRPr="00B86090">
        <w:rPr>
          <w:b/>
        </w:rPr>
        <w:t>:</w:t>
      </w:r>
      <w:r w:rsidR="00263F6B">
        <w:rPr>
          <w:b/>
        </w:rPr>
        <w:t xml:space="preserve"> </w:t>
      </w:r>
      <w:r w:rsidRPr="00B86090">
        <w:rPr>
          <w:b/>
        </w:rPr>
        <w:t xml:space="preserve">Output 1.5:  </w:t>
      </w:r>
      <w:r w:rsidRPr="00446921">
        <w:rPr>
          <w:b/>
        </w:rPr>
        <w:t>Rehabilitation, Aged and Community Care</w:t>
      </w:r>
    </w:p>
    <w:tbl>
      <w:tblPr>
        <w:tblW w:w="9060" w:type="dxa"/>
        <w:tblLayout w:type="fixed"/>
        <w:tblLook w:val="0600" w:firstRow="0" w:lastRow="0" w:firstColumn="0" w:lastColumn="0" w:noHBand="1" w:noVBand="1"/>
      </w:tblPr>
      <w:tblGrid>
        <w:gridCol w:w="4695"/>
        <w:gridCol w:w="540"/>
        <w:gridCol w:w="2175"/>
        <w:gridCol w:w="1650"/>
      </w:tblGrid>
      <w:tr w:rsidR="00237D6F" w:rsidTr="00281F97">
        <w:trPr>
          <w:trHeight w:hRule="exact" w:val="240"/>
        </w:trPr>
        <w:tc>
          <w:tcPr>
            <w:tcW w:w="4695" w:type="dxa"/>
            <w:tcBorders>
              <w:top w:val="single" w:sz="4" w:space="0" w:color="000000"/>
              <w:left w:val="nil"/>
              <w:bottom w:val="nil"/>
              <w:right w:val="nil"/>
            </w:tcBorders>
            <w:noWrap/>
            <w:tcMar>
              <w:top w:w="0" w:type="dxa"/>
              <w:left w:w="40" w:type="dxa"/>
              <w:bottom w:w="0" w:type="dxa"/>
              <w:right w:w="40" w:type="dxa"/>
            </w:tcMar>
          </w:tcPr>
          <w:p w:rsidR="00281F97" w:rsidRDefault="00281F97" w:rsidP="00281F97">
            <w:pPr>
              <w:pStyle w:val="Normal03"/>
              <w:spacing w:before="0" w:after="0"/>
              <w:rPr>
                <w:rFonts w:eastAsia="Calibri" w:cs="Calibri"/>
                <w:color w:val="000000"/>
                <w:sz w:val="18"/>
              </w:rPr>
            </w:pPr>
          </w:p>
        </w:tc>
        <w:tc>
          <w:tcPr>
            <w:tcW w:w="540" w:type="dxa"/>
            <w:tcBorders>
              <w:top w:val="single" w:sz="4" w:space="0" w:color="000000"/>
              <w:left w:val="nil"/>
              <w:bottom w:val="nil"/>
              <w:right w:val="nil"/>
            </w:tcBorders>
            <w:noWrap/>
            <w:tcMar>
              <w:top w:w="0" w:type="dxa"/>
              <w:left w:w="40" w:type="dxa"/>
              <w:bottom w:w="0" w:type="dxa"/>
              <w:right w:w="40" w:type="dxa"/>
            </w:tcMar>
          </w:tcPr>
          <w:p w:rsidR="00281F97" w:rsidRDefault="00281F97" w:rsidP="00281F97">
            <w:pPr>
              <w:pStyle w:val="Normal03"/>
              <w:spacing w:before="0" w:after="0"/>
              <w:rPr>
                <w:rFonts w:eastAsia="Calibri" w:cs="Calibri"/>
                <w:color w:val="000000"/>
                <w:sz w:val="18"/>
              </w:rPr>
            </w:pPr>
          </w:p>
        </w:tc>
        <w:tc>
          <w:tcPr>
            <w:tcW w:w="2175" w:type="dxa"/>
            <w:tcBorders>
              <w:top w:val="single" w:sz="4" w:space="0" w:color="000000"/>
              <w:left w:val="nil"/>
              <w:bottom w:val="nil"/>
              <w:right w:val="nil"/>
            </w:tcBorders>
            <w:noWrap/>
            <w:tcMar>
              <w:top w:w="0" w:type="dxa"/>
              <w:left w:w="40" w:type="dxa"/>
              <w:bottom w:w="0" w:type="dxa"/>
              <w:right w:w="40" w:type="dxa"/>
            </w:tcMar>
            <w:hideMark/>
          </w:tcPr>
          <w:p w:rsidR="00281F97" w:rsidRDefault="00765F6E" w:rsidP="00281F97">
            <w:pPr>
              <w:pStyle w:val="Normal02"/>
              <w:spacing w:before="0" w:after="0"/>
              <w:jc w:val="right"/>
              <w:rPr>
                <w:rFonts w:eastAsia="Calibri" w:cs="Calibri"/>
                <w:b/>
                <w:color w:val="000000"/>
                <w:sz w:val="18"/>
              </w:rPr>
            </w:pPr>
            <w:r>
              <w:rPr>
                <w:rFonts w:eastAsia="Calibri" w:cs="Calibri"/>
                <w:b/>
                <w:color w:val="000000"/>
                <w:sz w:val="18"/>
              </w:rPr>
              <w:t>2017-18</w:t>
            </w:r>
          </w:p>
        </w:tc>
        <w:tc>
          <w:tcPr>
            <w:tcW w:w="1650" w:type="dxa"/>
            <w:tcBorders>
              <w:top w:val="single" w:sz="4" w:space="0" w:color="000000"/>
              <w:left w:val="nil"/>
              <w:bottom w:val="nil"/>
              <w:right w:val="nil"/>
            </w:tcBorders>
            <w:noWrap/>
            <w:tcMar>
              <w:top w:w="0" w:type="dxa"/>
              <w:left w:w="40" w:type="dxa"/>
              <w:bottom w:w="0" w:type="dxa"/>
              <w:right w:w="40" w:type="dxa"/>
            </w:tcMar>
            <w:hideMark/>
          </w:tcPr>
          <w:p w:rsidR="00281F97" w:rsidRDefault="00765F6E" w:rsidP="00281F97">
            <w:pPr>
              <w:pStyle w:val="Normal02"/>
              <w:spacing w:before="0" w:after="0"/>
              <w:jc w:val="right"/>
              <w:rPr>
                <w:rFonts w:eastAsia="Calibri" w:cs="Calibri"/>
                <w:b/>
                <w:color w:val="000000"/>
                <w:sz w:val="18"/>
              </w:rPr>
            </w:pPr>
            <w:r>
              <w:rPr>
                <w:rFonts w:eastAsia="Calibri" w:cs="Calibri"/>
                <w:b/>
                <w:color w:val="000000"/>
                <w:sz w:val="18"/>
              </w:rPr>
              <w:t>2018-19</w:t>
            </w:r>
          </w:p>
        </w:tc>
      </w:tr>
      <w:tr w:rsidR="00237D6F" w:rsidTr="00281F97">
        <w:trPr>
          <w:trHeight w:val="240"/>
        </w:trPr>
        <w:tc>
          <w:tcPr>
            <w:tcW w:w="4695" w:type="dxa"/>
            <w:noWrap/>
            <w:tcMar>
              <w:top w:w="0" w:type="dxa"/>
              <w:left w:w="40" w:type="dxa"/>
              <w:bottom w:w="0" w:type="dxa"/>
              <w:right w:w="40" w:type="dxa"/>
            </w:tcMar>
          </w:tcPr>
          <w:p w:rsidR="00281F97" w:rsidRDefault="00281F97" w:rsidP="00281F97">
            <w:pPr>
              <w:pStyle w:val="Normal03"/>
              <w:spacing w:before="0" w:after="0"/>
              <w:rPr>
                <w:rFonts w:eastAsia="Calibri" w:cs="Calibri"/>
                <w:color w:val="000000"/>
                <w:sz w:val="18"/>
              </w:rPr>
            </w:pPr>
          </w:p>
        </w:tc>
        <w:tc>
          <w:tcPr>
            <w:tcW w:w="540" w:type="dxa"/>
            <w:noWrap/>
            <w:tcMar>
              <w:top w:w="0" w:type="dxa"/>
              <w:left w:w="40" w:type="dxa"/>
              <w:bottom w:w="0" w:type="dxa"/>
              <w:right w:w="40" w:type="dxa"/>
            </w:tcMar>
          </w:tcPr>
          <w:p w:rsidR="00281F97" w:rsidRDefault="00281F97" w:rsidP="00281F97">
            <w:pPr>
              <w:pStyle w:val="Normal03"/>
              <w:spacing w:before="0" w:after="0"/>
              <w:rPr>
                <w:rFonts w:eastAsia="Calibri" w:cs="Calibri"/>
                <w:color w:val="000000"/>
                <w:sz w:val="18"/>
              </w:rPr>
            </w:pPr>
          </w:p>
        </w:tc>
        <w:tc>
          <w:tcPr>
            <w:tcW w:w="2175" w:type="dxa"/>
            <w:tcMar>
              <w:top w:w="0" w:type="dxa"/>
              <w:left w:w="40" w:type="dxa"/>
              <w:bottom w:w="0" w:type="dxa"/>
              <w:right w:w="40" w:type="dxa"/>
            </w:tcMar>
            <w:hideMark/>
          </w:tcPr>
          <w:p w:rsidR="00281F97" w:rsidRDefault="00765F6E" w:rsidP="00281F97">
            <w:pPr>
              <w:pStyle w:val="Normal02"/>
              <w:spacing w:before="0" w:after="0"/>
              <w:jc w:val="right"/>
              <w:rPr>
                <w:rFonts w:eastAsia="Calibri" w:cs="Calibri"/>
                <w:b/>
                <w:color w:val="000000"/>
                <w:sz w:val="18"/>
              </w:rPr>
            </w:pPr>
            <w:r>
              <w:rPr>
                <w:rFonts w:eastAsia="Calibri" w:cs="Calibri"/>
                <w:b/>
                <w:color w:val="000000"/>
                <w:sz w:val="18"/>
              </w:rPr>
              <w:t>Estimated Outcome</w:t>
            </w:r>
          </w:p>
        </w:tc>
        <w:tc>
          <w:tcPr>
            <w:tcW w:w="1650" w:type="dxa"/>
            <w:noWrap/>
            <w:tcMar>
              <w:top w:w="0" w:type="dxa"/>
              <w:left w:w="40" w:type="dxa"/>
              <w:bottom w:w="0" w:type="dxa"/>
              <w:right w:w="40" w:type="dxa"/>
            </w:tcMar>
            <w:hideMark/>
          </w:tcPr>
          <w:p w:rsidR="00281F97" w:rsidRDefault="00765F6E" w:rsidP="00281F97">
            <w:pPr>
              <w:pStyle w:val="Normal02"/>
              <w:spacing w:before="0" w:after="0"/>
              <w:jc w:val="right"/>
              <w:rPr>
                <w:rFonts w:eastAsia="Calibri" w:cs="Calibri"/>
                <w:b/>
                <w:color w:val="000000"/>
                <w:sz w:val="18"/>
              </w:rPr>
            </w:pPr>
            <w:r>
              <w:rPr>
                <w:rFonts w:eastAsia="Calibri" w:cs="Calibri"/>
                <w:b/>
                <w:color w:val="000000"/>
                <w:sz w:val="18"/>
              </w:rPr>
              <w:t>Budget</w:t>
            </w:r>
          </w:p>
        </w:tc>
      </w:tr>
      <w:tr w:rsidR="00237D6F" w:rsidTr="00281F97">
        <w:trPr>
          <w:trHeight w:hRule="exact" w:val="300"/>
        </w:trPr>
        <w:tc>
          <w:tcPr>
            <w:tcW w:w="4695" w:type="dxa"/>
            <w:tcBorders>
              <w:top w:val="nil"/>
              <w:left w:val="nil"/>
              <w:bottom w:val="single" w:sz="4" w:space="0" w:color="000000"/>
              <w:right w:val="nil"/>
            </w:tcBorders>
            <w:noWrap/>
            <w:tcMar>
              <w:top w:w="0" w:type="dxa"/>
              <w:left w:w="40" w:type="dxa"/>
              <w:bottom w:w="0" w:type="dxa"/>
              <w:right w:w="40" w:type="dxa"/>
            </w:tcMar>
          </w:tcPr>
          <w:p w:rsidR="00281F97" w:rsidRDefault="00281F97" w:rsidP="00281F97">
            <w:pPr>
              <w:pStyle w:val="Normal03"/>
              <w:spacing w:before="0" w:after="0"/>
              <w:rPr>
                <w:rFonts w:eastAsia="Calibri" w:cs="Calibri"/>
                <w:color w:val="000000"/>
                <w:sz w:val="18"/>
              </w:rPr>
            </w:pPr>
          </w:p>
        </w:tc>
        <w:tc>
          <w:tcPr>
            <w:tcW w:w="540" w:type="dxa"/>
            <w:tcBorders>
              <w:top w:val="nil"/>
              <w:left w:val="nil"/>
              <w:bottom w:val="single" w:sz="4" w:space="0" w:color="000000"/>
              <w:right w:val="nil"/>
            </w:tcBorders>
            <w:noWrap/>
            <w:tcMar>
              <w:top w:w="0" w:type="dxa"/>
              <w:left w:w="40" w:type="dxa"/>
              <w:bottom w:w="0" w:type="dxa"/>
              <w:right w:w="40" w:type="dxa"/>
            </w:tcMar>
          </w:tcPr>
          <w:p w:rsidR="00281F97" w:rsidRDefault="00281F97" w:rsidP="00281F97">
            <w:pPr>
              <w:pStyle w:val="Normal03"/>
              <w:spacing w:before="0" w:after="0"/>
              <w:rPr>
                <w:rFonts w:eastAsia="Calibri" w:cs="Calibri"/>
                <w:color w:val="000000"/>
                <w:sz w:val="18"/>
              </w:rPr>
            </w:pPr>
          </w:p>
        </w:tc>
        <w:tc>
          <w:tcPr>
            <w:tcW w:w="2175" w:type="dxa"/>
            <w:tcBorders>
              <w:top w:val="nil"/>
              <w:left w:val="nil"/>
              <w:bottom w:val="single" w:sz="4" w:space="0" w:color="000000"/>
              <w:right w:val="nil"/>
            </w:tcBorders>
            <w:noWrap/>
            <w:tcMar>
              <w:top w:w="0" w:type="dxa"/>
              <w:left w:w="40" w:type="dxa"/>
              <w:bottom w:w="0" w:type="dxa"/>
              <w:right w:w="40" w:type="dxa"/>
            </w:tcMar>
            <w:hideMark/>
          </w:tcPr>
          <w:p w:rsidR="00281F97" w:rsidRDefault="00765F6E" w:rsidP="00281F97">
            <w:pPr>
              <w:pStyle w:val="Normal02"/>
              <w:spacing w:before="0" w:after="0"/>
              <w:jc w:val="right"/>
              <w:rPr>
                <w:rFonts w:eastAsia="Calibri" w:cs="Calibri"/>
                <w:b/>
                <w:color w:val="000000"/>
                <w:sz w:val="18"/>
              </w:rPr>
            </w:pPr>
            <w:r>
              <w:rPr>
                <w:rFonts w:eastAsia="Calibri" w:cs="Calibri"/>
                <w:b/>
                <w:color w:val="000000"/>
                <w:sz w:val="18"/>
              </w:rPr>
              <w:t>$'000</w:t>
            </w:r>
          </w:p>
        </w:tc>
        <w:tc>
          <w:tcPr>
            <w:tcW w:w="1650" w:type="dxa"/>
            <w:tcBorders>
              <w:top w:val="nil"/>
              <w:left w:val="nil"/>
              <w:bottom w:val="single" w:sz="4" w:space="0" w:color="000000"/>
              <w:right w:val="nil"/>
            </w:tcBorders>
            <w:noWrap/>
            <w:tcMar>
              <w:top w:w="0" w:type="dxa"/>
              <w:left w:w="40" w:type="dxa"/>
              <w:bottom w:w="0" w:type="dxa"/>
              <w:right w:w="40" w:type="dxa"/>
            </w:tcMar>
            <w:hideMark/>
          </w:tcPr>
          <w:p w:rsidR="00281F97" w:rsidRDefault="00765F6E" w:rsidP="00281F97">
            <w:pPr>
              <w:pStyle w:val="Normal02"/>
              <w:spacing w:before="0" w:after="0"/>
              <w:jc w:val="right"/>
              <w:rPr>
                <w:rFonts w:eastAsia="Calibri" w:cs="Calibri"/>
                <w:b/>
                <w:color w:val="000000"/>
                <w:sz w:val="18"/>
              </w:rPr>
            </w:pPr>
            <w:r>
              <w:rPr>
                <w:rFonts w:eastAsia="Calibri" w:cs="Calibri"/>
                <w:b/>
                <w:color w:val="000000"/>
                <w:sz w:val="18"/>
              </w:rPr>
              <w:t>$'000</w:t>
            </w:r>
          </w:p>
        </w:tc>
      </w:tr>
      <w:tr w:rsidR="00237D6F" w:rsidTr="00281F97">
        <w:trPr>
          <w:trHeight w:hRule="exact" w:val="240"/>
        </w:trPr>
        <w:tc>
          <w:tcPr>
            <w:tcW w:w="4695" w:type="dxa"/>
            <w:tcBorders>
              <w:top w:val="single" w:sz="4" w:space="0" w:color="000000"/>
              <w:left w:val="nil"/>
              <w:bottom w:val="nil"/>
              <w:right w:val="nil"/>
            </w:tcBorders>
            <w:noWrap/>
            <w:tcMar>
              <w:top w:w="0" w:type="dxa"/>
              <w:left w:w="40" w:type="dxa"/>
              <w:bottom w:w="0" w:type="dxa"/>
              <w:right w:w="40" w:type="dxa"/>
            </w:tcMar>
            <w:hideMark/>
          </w:tcPr>
          <w:p w:rsidR="00281F97" w:rsidRPr="0038545F" w:rsidRDefault="00765F6E" w:rsidP="00281F97">
            <w:pPr>
              <w:pStyle w:val="Normal03"/>
              <w:spacing w:before="0" w:after="0"/>
              <w:rPr>
                <w:rFonts w:eastAsia="Calibri" w:cs="Calibri"/>
                <w:color w:val="000000"/>
                <w:sz w:val="18"/>
              </w:rPr>
            </w:pPr>
            <w:r w:rsidRPr="0038545F">
              <w:rPr>
                <w:rFonts w:eastAsia="Calibri" w:cs="Calibri"/>
                <w:color w:val="000000"/>
                <w:sz w:val="18"/>
              </w:rPr>
              <w:t>Total Cost</w:t>
            </w:r>
          </w:p>
        </w:tc>
        <w:tc>
          <w:tcPr>
            <w:tcW w:w="540" w:type="dxa"/>
            <w:tcBorders>
              <w:top w:val="single" w:sz="4" w:space="0" w:color="000000"/>
              <w:left w:val="nil"/>
              <w:bottom w:val="nil"/>
              <w:right w:val="nil"/>
            </w:tcBorders>
            <w:noWrap/>
            <w:tcMar>
              <w:top w:w="0" w:type="dxa"/>
              <w:left w:w="40" w:type="dxa"/>
              <w:bottom w:w="0" w:type="dxa"/>
              <w:right w:w="40" w:type="dxa"/>
            </w:tcMar>
          </w:tcPr>
          <w:p w:rsidR="00281F97" w:rsidRDefault="00281F97" w:rsidP="00281F97">
            <w:pPr>
              <w:pStyle w:val="Normal03"/>
              <w:spacing w:before="0" w:after="0"/>
              <w:rPr>
                <w:rFonts w:eastAsia="Calibri" w:cs="Calibri"/>
                <w:b/>
                <w:color w:val="000000"/>
                <w:sz w:val="18"/>
              </w:rPr>
            </w:pPr>
          </w:p>
        </w:tc>
        <w:tc>
          <w:tcPr>
            <w:tcW w:w="2175" w:type="dxa"/>
            <w:tcBorders>
              <w:top w:val="single" w:sz="4" w:space="0" w:color="000000"/>
              <w:left w:val="nil"/>
              <w:bottom w:val="nil"/>
              <w:right w:val="nil"/>
            </w:tcBorders>
            <w:noWrap/>
            <w:tcMar>
              <w:top w:w="0" w:type="dxa"/>
              <w:left w:w="40" w:type="dxa"/>
              <w:bottom w:w="0" w:type="dxa"/>
              <w:right w:w="40" w:type="dxa"/>
            </w:tcMar>
            <w:hideMark/>
          </w:tcPr>
          <w:p w:rsidR="00281F97" w:rsidRDefault="00765F6E" w:rsidP="00281F97">
            <w:pPr>
              <w:pStyle w:val="Normal02"/>
              <w:spacing w:before="0" w:after="0"/>
              <w:jc w:val="right"/>
              <w:rPr>
                <w:rFonts w:eastAsia="Calibri" w:cs="Calibri"/>
                <w:color w:val="000000"/>
                <w:sz w:val="18"/>
              </w:rPr>
            </w:pPr>
            <w:r>
              <w:rPr>
                <w:rFonts w:eastAsia="Calibri" w:cs="Calibri"/>
                <w:color w:val="000000"/>
                <w:sz w:val="18"/>
              </w:rPr>
              <w:t>198,919</w:t>
            </w:r>
          </w:p>
        </w:tc>
        <w:tc>
          <w:tcPr>
            <w:tcW w:w="1650" w:type="dxa"/>
            <w:tcBorders>
              <w:top w:val="single" w:sz="4" w:space="0" w:color="000000"/>
              <w:left w:val="nil"/>
              <w:bottom w:val="nil"/>
              <w:right w:val="nil"/>
            </w:tcBorders>
            <w:noWrap/>
            <w:tcMar>
              <w:top w:w="0" w:type="dxa"/>
              <w:left w:w="40" w:type="dxa"/>
              <w:bottom w:w="0" w:type="dxa"/>
              <w:right w:w="40" w:type="dxa"/>
            </w:tcMar>
            <w:hideMark/>
          </w:tcPr>
          <w:p w:rsidR="00281F97" w:rsidRDefault="00765F6E" w:rsidP="00281F97">
            <w:pPr>
              <w:pStyle w:val="Normal02"/>
              <w:spacing w:before="0" w:after="0"/>
              <w:jc w:val="right"/>
              <w:rPr>
                <w:rFonts w:eastAsia="Calibri" w:cs="Calibri"/>
                <w:color w:val="000000"/>
                <w:sz w:val="18"/>
              </w:rPr>
            </w:pPr>
            <w:r>
              <w:rPr>
                <w:rFonts w:eastAsia="Calibri" w:cs="Calibri"/>
                <w:color w:val="000000"/>
                <w:sz w:val="18"/>
              </w:rPr>
              <w:t>194,151</w:t>
            </w:r>
          </w:p>
        </w:tc>
      </w:tr>
      <w:tr w:rsidR="00237D6F" w:rsidTr="00281F97">
        <w:trPr>
          <w:trHeight w:hRule="exact" w:val="300"/>
        </w:trPr>
        <w:tc>
          <w:tcPr>
            <w:tcW w:w="4695" w:type="dxa"/>
            <w:tcBorders>
              <w:top w:val="nil"/>
              <w:left w:val="nil"/>
              <w:bottom w:val="single" w:sz="4" w:space="0" w:color="000000"/>
              <w:right w:val="nil"/>
            </w:tcBorders>
            <w:noWrap/>
            <w:tcMar>
              <w:top w:w="0" w:type="dxa"/>
              <w:left w:w="40" w:type="dxa"/>
              <w:bottom w:w="0" w:type="dxa"/>
              <w:right w:w="40" w:type="dxa"/>
            </w:tcMar>
            <w:hideMark/>
          </w:tcPr>
          <w:p w:rsidR="00281F97" w:rsidRPr="0038545F" w:rsidRDefault="00765F6E" w:rsidP="00281F97">
            <w:pPr>
              <w:pStyle w:val="Normal03"/>
              <w:spacing w:before="0" w:after="0"/>
              <w:rPr>
                <w:rFonts w:eastAsia="Calibri" w:cs="Calibri"/>
                <w:color w:val="000000"/>
                <w:sz w:val="18"/>
              </w:rPr>
            </w:pPr>
            <w:r w:rsidRPr="0038545F">
              <w:rPr>
                <w:rFonts w:eastAsia="Calibri" w:cs="Calibri"/>
                <w:color w:val="000000"/>
                <w:sz w:val="18"/>
              </w:rPr>
              <w:t>Controlled Recurrent Payments</w:t>
            </w:r>
          </w:p>
        </w:tc>
        <w:tc>
          <w:tcPr>
            <w:tcW w:w="540" w:type="dxa"/>
            <w:tcBorders>
              <w:top w:val="nil"/>
              <w:left w:val="nil"/>
              <w:bottom w:val="single" w:sz="4" w:space="0" w:color="000000"/>
              <w:right w:val="nil"/>
            </w:tcBorders>
            <w:noWrap/>
            <w:tcMar>
              <w:top w:w="0" w:type="dxa"/>
              <w:left w:w="40" w:type="dxa"/>
              <w:bottom w:w="0" w:type="dxa"/>
              <w:right w:w="40" w:type="dxa"/>
            </w:tcMar>
          </w:tcPr>
          <w:p w:rsidR="00281F97" w:rsidRDefault="00281F97" w:rsidP="00281F97">
            <w:pPr>
              <w:pStyle w:val="Normal03"/>
              <w:spacing w:before="0" w:after="0"/>
              <w:rPr>
                <w:rFonts w:eastAsia="Calibri" w:cs="Calibri"/>
                <w:b/>
                <w:color w:val="000000"/>
                <w:sz w:val="18"/>
              </w:rPr>
            </w:pPr>
          </w:p>
        </w:tc>
        <w:tc>
          <w:tcPr>
            <w:tcW w:w="2175" w:type="dxa"/>
            <w:tcBorders>
              <w:top w:val="nil"/>
              <w:left w:val="nil"/>
              <w:bottom w:val="single" w:sz="4" w:space="0" w:color="000000"/>
              <w:right w:val="nil"/>
            </w:tcBorders>
            <w:noWrap/>
            <w:tcMar>
              <w:top w:w="0" w:type="dxa"/>
              <w:left w:w="40" w:type="dxa"/>
              <w:bottom w:w="0" w:type="dxa"/>
              <w:right w:w="40" w:type="dxa"/>
            </w:tcMar>
            <w:hideMark/>
          </w:tcPr>
          <w:p w:rsidR="00281F97" w:rsidRDefault="00765F6E" w:rsidP="00281F97">
            <w:pPr>
              <w:pStyle w:val="Normal02"/>
              <w:spacing w:before="0" w:after="0"/>
              <w:jc w:val="right"/>
              <w:rPr>
                <w:rFonts w:eastAsia="Calibri" w:cs="Calibri"/>
                <w:color w:val="000000"/>
                <w:sz w:val="18"/>
              </w:rPr>
            </w:pPr>
            <w:r>
              <w:rPr>
                <w:rFonts w:eastAsia="Calibri" w:cs="Calibri"/>
                <w:color w:val="000000"/>
                <w:sz w:val="18"/>
              </w:rPr>
              <w:t>76,596</w:t>
            </w:r>
          </w:p>
        </w:tc>
        <w:tc>
          <w:tcPr>
            <w:tcW w:w="1650" w:type="dxa"/>
            <w:tcBorders>
              <w:top w:val="nil"/>
              <w:left w:val="nil"/>
              <w:bottom w:val="single" w:sz="4" w:space="0" w:color="000000"/>
              <w:right w:val="nil"/>
            </w:tcBorders>
            <w:noWrap/>
            <w:tcMar>
              <w:top w:w="0" w:type="dxa"/>
              <w:left w:w="40" w:type="dxa"/>
              <w:bottom w:w="0" w:type="dxa"/>
              <w:right w:w="40" w:type="dxa"/>
            </w:tcMar>
            <w:hideMark/>
          </w:tcPr>
          <w:p w:rsidR="00281F97" w:rsidRDefault="00765F6E" w:rsidP="00281F97">
            <w:pPr>
              <w:pStyle w:val="Normal02"/>
              <w:spacing w:before="0" w:after="0"/>
              <w:jc w:val="right"/>
              <w:rPr>
                <w:rFonts w:eastAsia="Calibri" w:cs="Calibri"/>
                <w:color w:val="000000"/>
                <w:sz w:val="18"/>
              </w:rPr>
            </w:pPr>
            <w:r>
              <w:rPr>
                <w:rFonts w:eastAsia="Calibri" w:cs="Calibri"/>
                <w:color w:val="000000"/>
                <w:sz w:val="18"/>
              </w:rPr>
              <w:t>80,060</w:t>
            </w:r>
          </w:p>
        </w:tc>
      </w:tr>
    </w:tbl>
    <w:p w:rsidR="00281F97" w:rsidRDefault="00765F6E" w:rsidP="00281F97">
      <w:pPr>
        <w:pStyle w:val="BSnoteslist2"/>
        <w:numPr>
          <w:ilvl w:val="0"/>
          <w:numId w:val="0"/>
        </w:numPr>
        <w:ind w:left="360" w:hanging="360"/>
      </w:pPr>
      <w:r>
        <w:t xml:space="preserve"> </w:t>
      </w:r>
    </w:p>
    <w:p w:rsidR="00281F97" w:rsidRDefault="00765F6E" w:rsidP="00281F97">
      <w:pPr>
        <w:pStyle w:val="Heading23"/>
        <w:pageBreakBefore/>
      </w:pPr>
      <w:bookmarkStart w:id="113" w:name="_Toc452467800"/>
      <w:bookmarkStart w:id="114" w:name="_Toc514832557"/>
      <w:r>
        <w:lastRenderedPageBreak/>
        <w:t>Accountability Indicators</w:t>
      </w:r>
      <w:bookmarkEnd w:id="113"/>
      <w:bookmarkEnd w:id="114"/>
    </w:p>
    <w:p w:rsidR="00281F97" w:rsidRPr="00D10B8C" w:rsidRDefault="00765F6E" w:rsidP="00281F97">
      <w:pPr>
        <w:pStyle w:val="Normal5"/>
      </w:pPr>
      <w:r>
        <w:t>Targets do not include Calvary Public Hospital and Clare Holland House activity that is included in the Local Hospital Network Directorate.</w:t>
      </w:r>
    </w:p>
    <w:p w:rsidR="00281F97" w:rsidRPr="00E33D44" w:rsidRDefault="00765F6E" w:rsidP="00281F97">
      <w:pPr>
        <w:pStyle w:val="Heading31"/>
      </w:pPr>
      <w:bookmarkStart w:id="115" w:name="_Toc514764123"/>
      <w:bookmarkStart w:id="116" w:name="_Toc514765751"/>
      <w:bookmarkStart w:id="117" w:name="_Toc514832375"/>
      <w:bookmarkStart w:id="118" w:name="_Toc514832558"/>
      <w:r>
        <w:t>Output Clas</w:t>
      </w:r>
      <w:r w:rsidRPr="00E33D44">
        <w:t>s 1: Health and Community Care</w:t>
      </w:r>
      <w:bookmarkEnd w:id="115"/>
      <w:bookmarkEnd w:id="116"/>
      <w:bookmarkEnd w:id="117"/>
      <w:bookmarkEnd w:id="118"/>
    </w:p>
    <w:p w:rsidR="00281F97" w:rsidRDefault="00765F6E" w:rsidP="00281F97">
      <w:pPr>
        <w:pStyle w:val="Heading41"/>
      </w:pPr>
      <w:r w:rsidRPr="00E33D44">
        <w:t>Output 1.1: Acute Services</w:t>
      </w:r>
    </w:p>
    <w:p w:rsidR="00281F97" w:rsidRDefault="00765F6E" w:rsidP="00281F97">
      <w:pPr>
        <w:pStyle w:val="Caption20"/>
        <w:rPr>
          <w:noProof/>
        </w:rPr>
      </w:pPr>
      <w:r>
        <w:t>Table 2</w:t>
      </w:r>
      <w:r w:rsidR="00141A32">
        <w:t>3</w:t>
      </w:r>
      <w:r>
        <w:rPr>
          <w:noProof/>
        </w:rPr>
        <w:t>:</w:t>
      </w:r>
      <w:r w:rsidR="005A051A">
        <w:t xml:space="preserve"> Accountability I</w:t>
      </w:r>
      <w:r>
        <w:t>ndicators</w:t>
      </w:r>
      <w:r w:rsidR="005A051A">
        <w:rPr>
          <w:noProof/>
        </w:rPr>
        <w:t xml:space="preserve"> O</w:t>
      </w:r>
      <w:r>
        <w:rPr>
          <w:noProof/>
        </w:rPr>
        <w:t>utput 1.1</w:t>
      </w:r>
    </w:p>
    <w:tbl>
      <w:tblPr>
        <w:tblW w:w="5000" w:type="pct"/>
        <w:tblBorders>
          <w:top w:val="single" w:sz="12" w:space="0" w:color="000000"/>
          <w:bottom w:val="single" w:sz="12" w:space="0" w:color="000000"/>
        </w:tblBorders>
        <w:tblLook w:val="04A0" w:firstRow="1" w:lastRow="0" w:firstColumn="1" w:lastColumn="0" w:noHBand="0" w:noVBand="1"/>
      </w:tblPr>
      <w:tblGrid>
        <w:gridCol w:w="4892"/>
        <w:gridCol w:w="1379"/>
        <w:gridCol w:w="1379"/>
        <w:gridCol w:w="1376"/>
      </w:tblGrid>
      <w:tr w:rsidR="00237D6F" w:rsidTr="00281F97">
        <w:trPr>
          <w:tblHeader/>
        </w:trPr>
        <w:tc>
          <w:tcPr>
            <w:tcW w:w="2710" w:type="pct"/>
            <w:tcBorders>
              <w:top w:val="single" w:sz="12" w:space="0" w:color="000000"/>
              <w:left w:val="nil"/>
              <w:bottom w:val="single" w:sz="12" w:space="0" w:color="000000"/>
              <w:right w:val="nil"/>
            </w:tcBorders>
          </w:tcPr>
          <w:p w:rsidR="00281F97" w:rsidRDefault="00281F97">
            <w:pPr>
              <w:pStyle w:val="BStabletext1"/>
            </w:pPr>
          </w:p>
        </w:tc>
        <w:tc>
          <w:tcPr>
            <w:tcW w:w="764" w:type="pct"/>
            <w:tcBorders>
              <w:top w:val="single" w:sz="12" w:space="0" w:color="000000"/>
              <w:left w:val="nil"/>
              <w:bottom w:val="single" w:sz="12" w:space="0" w:color="000000"/>
              <w:right w:val="nil"/>
            </w:tcBorders>
            <w:vAlign w:val="bottom"/>
            <w:hideMark/>
          </w:tcPr>
          <w:p w:rsidR="00281F97" w:rsidRDefault="00765F6E">
            <w:pPr>
              <w:pStyle w:val="BStableheading11"/>
              <w:framePr w:wrap="around"/>
            </w:pPr>
            <w:r>
              <w:t>2017–18</w:t>
            </w:r>
          </w:p>
          <w:p w:rsidR="00281F97" w:rsidRDefault="005A051A">
            <w:pPr>
              <w:pStyle w:val="BStableheading11"/>
              <w:framePr w:wrap="around"/>
            </w:pPr>
            <w:r>
              <w:t>T</w:t>
            </w:r>
            <w:r w:rsidR="00765F6E">
              <w:t>argets</w:t>
            </w:r>
          </w:p>
          <w:p w:rsidR="00A244C9" w:rsidRDefault="00A244C9">
            <w:pPr>
              <w:pStyle w:val="BStableheading11"/>
              <w:framePr w:wrap="around"/>
            </w:pPr>
          </w:p>
        </w:tc>
        <w:tc>
          <w:tcPr>
            <w:tcW w:w="764" w:type="pct"/>
            <w:tcBorders>
              <w:top w:val="single" w:sz="12" w:space="0" w:color="000000"/>
              <w:left w:val="nil"/>
              <w:bottom w:val="single" w:sz="12" w:space="0" w:color="000000"/>
              <w:right w:val="nil"/>
            </w:tcBorders>
            <w:vAlign w:val="bottom"/>
            <w:hideMark/>
          </w:tcPr>
          <w:p w:rsidR="00281F97" w:rsidRDefault="00765F6E">
            <w:pPr>
              <w:pStyle w:val="BStableheading11"/>
              <w:framePr w:wrap="around"/>
            </w:pPr>
            <w:r>
              <w:t>2017–18</w:t>
            </w:r>
          </w:p>
          <w:p w:rsidR="00281F97" w:rsidRDefault="005A051A">
            <w:pPr>
              <w:pStyle w:val="BStableheading11"/>
              <w:framePr w:wrap="around"/>
            </w:pPr>
            <w:r>
              <w:t>Estimated O</w:t>
            </w:r>
            <w:r w:rsidR="00765F6E">
              <w:t>utcome</w:t>
            </w:r>
          </w:p>
        </w:tc>
        <w:tc>
          <w:tcPr>
            <w:tcW w:w="762" w:type="pct"/>
            <w:tcBorders>
              <w:top w:val="single" w:sz="12" w:space="0" w:color="000000"/>
              <w:left w:val="nil"/>
              <w:bottom w:val="single" w:sz="12" w:space="0" w:color="000000"/>
              <w:right w:val="nil"/>
            </w:tcBorders>
            <w:vAlign w:val="bottom"/>
            <w:hideMark/>
          </w:tcPr>
          <w:p w:rsidR="00281F97" w:rsidRDefault="00765F6E">
            <w:pPr>
              <w:pStyle w:val="BStableheading11"/>
              <w:framePr w:wrap="around"/>
            </w:pPr>
            <w:r>
              <w:t>2018–19</w:t>
            </w:r>
          </w:p>
          <w:p w:rsidR="00281F97" w:rsidRDefault="005A051A">
            <w:pPr>
              <w:pStyle w:val="BStableheading11"/>
              <w:framePr w:wrap="around"/>
            </w:pPr>
            <w:r>
              <w:t>T</w:t>
            </w:r>
            <w:r w:rsidR="00765F6E">
              <w:t>argets</w:t>
            </w:r>
          </w:p>
          <w:p w:rsidR="00A244C9" w:rsidRDefault="00A244C9">
            <w:pPr>
              <w:pStyle w:val="BStableheading11"/>
              <w:framePr w:wrap="around"/>
            </w:pPr>
          </w:p>
        </w:tc>
      </w:tr>
      <w:tr w:rsidR="00237D6F" w:rsidTr="00281F97">
        <w:tc>
          <w:tcPr>
            <w:tcW w:w="5000" w:type="pct"/>
            <w:gridSpan w:val="4"/>
            <w:tcBorders>
              <w:top w:val="single" w:sz="12" w:space="0" w:color="000000"/>
              <w:left w:val="nil"/>
              <w:bottom w:val="nil"/>
              <w:right w:val="nil"/>
            </w:tcBorders>
            <w:vAlign w:val="bottom"/>
            <w:hideMark/>
          </w:tcPr>
          <w:p w:rsidR="00281F97" w:rsidRDefault="00281F97">
            <w:pPr>
              <w:pStyle w:val="Normal5"/>
            </w:pPr>
          </w:p>
        </w:tc>
      </w:tr>
      <w:tr w:rsidR="00237D6F" w:rsidTr="00281F97">
        <w:trPr>
          <w:trHeight w:val="283"/>
        </w:trPr>
        <w:tc>
          <w:tcPr>
            <w:tcW w:w="2710" w:type="pct"/>
            <w:tcBorders>
              <w:top w:val="nil"/>
              <w:left w:val="nil"/>
              <w:bottom w:val="nil"/>
              <w:right w:val="nil"/>
            </w:tcBorders>
            <w:hideMark/>
          </w:tcPr>
          <w:p w:rsidR="00281F97" w:rsidRDefault="00281F97">
            <w:pPr>
              <w:pStyle w:val="Normal5"/>
              <w:spacing w:before="0" w:after="0"/>
              <w:rPr>
                <w:rFonts w:ascii="Times New Roman" w:hAnsi="Times New Roman"/>
                <w:sz w:val="20"/>
                <w:lang w:eastAsia="en-AU"/>
              </w:rPr>
            </w:pPr>
          </w:p>
        </w:tc>
        <w:tc>
          <w:tcPr>
            <w:tcW w:w="764" w:type="pct"/>
            <w:tcBorders>
              <w:top w:val="nil"/>
              <w:left w:val="nil"/>
              <w:bottom w:val="nil"/>
              <w:right w:val="nil"/>
            </w:tcBorders>
            <w:vAlign w:val="bottom"/>
            <w:hideMark/>
          </w:tcPr>
          <w:p w:rsidR="00281F97" w:rsidRPr="00CD3D8B" w:rsidRDefault="00765F6E">
            <w:pPr>
              <w:pStyle w:val="BStablefigures1"/>
              <w:rPr>
                <w:lang w:eastAsia="en-US"/>
              </w:rPr>
            </w:pPr>
            <w:r w:rsidRPr="00CD3D8B">
              <w:t>NWAU{17}</w:t>
            </w:r>
          </w:p>
        </w:tc>
        <w:tc>
          <w:tcPr>
            <w:tcW w:w="764" w:type="pct"/>
            <w:tcBorders>
              <w:top w:val="nil"/>
              <w:left w:val="nil"/>
              <w:bottom w:val="nil"/>
              <w:right w:val="nil"/>
            </w:tcBorders>
            <w:vAlign w:val="bottom"/>
            <w:hideMark/>
          </w:tcPr>
          <w:p w:rsidR="00281F97" w:rsidRPr="00CD3D8B" w:rsidRDefault="00765F6E">
            <w:pPr>
              <w:pStyle w:val="BStablefigures1"/>
              <w:rPr>
                <w:lang w:eastAsia="en-US"/>
              </w:rPr>
            </w:pPr>
            <w:r w:rsidRPr="00CD3D8B">
              <w:t>NWAU{17}</w:t>
            </w:r>
          </w:p>
        </w:tc>
        <w:tc>
          <w:tcPr>
            <w:tcW w:w="762" w:type="pct"/>
            <w:tcBorders>
              <w:top w:val="nil"/>
              <w:left w:val="nil"/>
              <w:bottom w:val="nil"/>
              <w:right w:val="nil"/>
            </w:tcBorders>
            <w:vAlign w:val="bottom"/>
            <w:hideMark/>
          </w:tcPr>
          <w:p w:rsidR="00281F97" w:rsidRPr="00CD3D8B" w:rsidRDefault="00765F6E">
            <w:pPr>
              <w:pStyle w:val="BStablefigures1"/>
              <w:rPr>
                <w:lang w:eastAsia="en-US"/>
              </w:rPr>
            </w:pPr>
            <w:r w:rsidRPr="00CD3D8B">
              <w:t>NWAU{18}</w:t>
            </w:r>
          </w:p>
        </w:tc>
      </w:tr>
      <w:tr w:rsidR="00237D6F" w:rsidTr="00281F97">
        <w:trPr>
          <w:trHeight w:val="283"/>
        </w:trPr>
        <w:tc>
          <w:tcPr>
            <w:tcW w:w="2710" w:type="pct"/>
            <w:tcBorders>
              <w:top w:val="nil"/>
              <w:left w:val="nil"/>
              <w:bottom w:val="nil"/>
              <w:right w:val="nil"/>
            </w:tcBorders>
            <w:hideMark/>
          </w:tcPr>
          <w:p w:rsidR="00281F97" w:rsidRDefault="00765F6E" w:rsidP="00CA0839">
            <w:pPr>
              <w:pStyle w:val="BStablelist"/>
              <w:numPr>
                <w:ilvl w:val="0"/>
                <w:numId w:val="27"/>
              </w:numPr>
            </w:pPr>
            <w:r>
              <w:t>Admitted services</w:t>
            </w:r>
            <w:r>
              <w:rPr>
                <w:vertAlign w:val="superscript"/>
              </w:rPr>
              <w:t>1</w:t>
            </w:r>
          </w:p>
        </w:tc>
        <w:tc>
          <w:tcPr>
            <w:tcW w:w="764" w:type="pct"/>
            <w:tcBorders>
              <w:top w:val="nil"/>
              <w:left w:val="nil"/>
              <w:bottom w:val="nil"/>
              <w:right w:val="nil"/>
            </w:tcBorders>
            <w:vAlign w:val="bottom"/>
            <w:hideMark/>
          </w:tcPr>
          <w:p w:rsidR="00281F97" w:rsidRPr="00CD3D8B" w:rsidRDefault="00765F6E">
            <w:pPr>
              <w:pStyle w:val="BStablefigures1"/>
              <w:rPr>
                <w:lang w:eastAsia="en-US"/>
              </w:rPr>
            </w:pPr>
            <w:r w:rsidRPr="00CD3D8B">
              <w:t>82,273</w:t>
            </w:r>
          </w:p>
        </w:tc>
        <w:tc>
          <w:tcPr>
            <w:tcW w:w="764" w:type="pct"/>
            <w:tcBorders>
              <w:top w:val="nil"/>
              <w:left w:val="nil"/>
              <w:bottom w:val="nil"/>
              <w:right w:val="nil"/>
            </w:tcBorders>
            <w:vAlign w:val="bottom"/>
            <w:hideMark/>
          </w:tcPr>
          <w:p w:rsidR="00281F97" w:rsidRPr="00CD3D8B" w:rsidRDefault="00765F6E">
            <w:pPr>
              <w:pStyle w:val="BStablefigures1"/>
            </w:pPr>
            <w:r w:rsidRPr="00CD3D8B">
              <w:t>78,469</w:t>
            </w:r>
          </w:p>
        </w:tc>
        <w:tc>
          <w:tcPr>
            <w:tcW w:w="762" w:type="pct"/>
            <w:tcBorders>
              <w:top w:val="nil"/>
              <w:left w:val="nil"/>
              <w:bottom w:val="nil"/>
              <w:right w:val="nil"/>
            </w:tcBorders>
            <w:vAlign w:val="bottom"/>
            <w:hideMark/>
          </w:tcPr>
          <w:p w:rsidR="00281F97" w:rsidRPr="00CD3D8B" w:rsidRDefault="00765F6E">
            <w:pPr>
              <w:pStyle w:val="BStablefigures1"/>
            </w:pPr>
            <w:r w:rsidRPr="00CD3D8B">
              <w:t>83,543</w:t>
            </w:r>
          </w:p>
        </w:tc>
      </w:tr>
      <w:tr w:rsidR="00237D6F" w:rsidTr="00281F97">
        <w:trPr>
          <w:trHeight w:val="283"/>
        </w:trPr>
        <w:tc>
          <w:tcPr>
            <w:tcW w:w="2710" w:type="pct"/>
            <w:tcBorders>
              <w:top w:val="nil"/>
              <w:left w:val="nil"/>
              <w:bottom w:val="nil"/>
              <w:right w:val="nil"/>
            </w:tcBorders>
            <w:hideMark/>
          </w:tcPr>
          <w:p w:rsidR="00281F97" w:rsidRDefault="00765F6E" w:rsidP="00CA0839">
            <w:pPr>
              <w:pStyle w:val="BStablelist"/>
              <w:numPr>
                <w:ilvl w:val="0"/>
                <w:numId w:val="27"/>
              </w:numPr>
            </w:pPr>
            <w:r>
              <w:t>Non-admitted services</w:t>
            </w:r>
            <w:r>
              <w:rPr>
                <w:vertAlign w:val="superscript"/>
              </w:rPr>
              <w:t>1</w:t>
            </w:r>
          </w:p>
        </w:tc>
        <w:tc>
          <w:tcPr>
            <w:tcW w:w="764" w:type="pct"/>
            <w:tcBorders>
              <w:top w:val="nil"/>
              <w:left w:val="nil"/>
              <w:bottom w:val="nil"/>
              <w:right w:val="nil"/>
            </w:tcBorders>
            <w:vAlign w:val="bottom"/>
            <w:hideMark/>
          </w:tcPr>
          <w:p w:rsidR="00281F97" w:rsidRPr="00CD3D8B" w:rsidRDefault="00765F6E">
            <w:pPr>
              <w:pStyle w:val="BStablefigures1"/>
              <w:rPr>
                <w:lang w:eastAsia="en-US"/>
              </w:rPr>
            </w:pPr>
            <w:r w:rsidRPr="00CD3D8B">
              <w:t>24,110</w:t>
            </w:r>
          </w:p>
        </w:tc>
        <w:tc>
          <w:tcPr>
            <w:tcW w:w="764" w:type="pct"/>
            <w:tcBorders>
              <w:top w:val="nil"/>
              <w:left w:val="nil"/>
              <w:bottom w:val="nil"/>
              <w:right w:val="nil"/>
            </w:tcBorders>
            <w:vAlign w:val="bottom"/>
            <w:hideMark/>
          </w:tcPr>
          <w:p w:rsidR="00281F97" w:rsidRPr="00CD3D8B" w:rsidRDefault="00765F6E">
            <w:pPr>
              <w:pStyle w:val="BStablefigures1"/>
            </w:pPr>
            <w:r w:rsidRPr="00CD3D8B">
              <w:t>23,595</w:t>
            </w:r>
          </w:p>
        </w:tc>
        <w:tc>
          <w:tcPr>
            <w:tcW w:w="762" w:type="pct"/>
            <w:tcBorders>
              <w:top w:val="nil"/>
              <w:left w:val="nil"/>
              <w:bottom w:val="nil"/>
              <w:right w:val="nil"/>
            </w:tcBorders>
            <w:vAlign w:val="bottom"/>
            <w:hideMark/>
          </w:tcPr>
          <w:p w:rsidR="00281F97" w:rsidRPr="00CD3D8B" w:rsidRDefault="00765F6E">
            <w:pPr>
              <w:pStyle w:val="BStablefigures1"/>
            </w:pPr>
            <w:r w:rsidRPr="00CD3D8B">
              <w:t>25,944</w:t>
            </w:r>
          </w:p>
        </w:tc>
      </w:tr>
      <w:tr w:rsidR="00237D6F" w:rsidTr="00281F97">
        <w:trPr>
          <w:trHeight w:val="283"/>
        </w:trPr>
        <w:tc>
          <w:tcPr>
            <w:tcW w:w="2710" w:type="pct"/>
            <w:tcBorders>
              <w:top w:val="nil"/>
              <w:left w:val="nil"/>
              <w:bottom w:val="nil"/>
              <w:right w:val="nil"/>
            </w:tcBorders>
            <w:hideMark/>
          </w:tcPr>
          <w:p w:rsidR="00281F97" w:rsidRDefault="00765F6E" w:rsidP="00CA0839">
            <w:pPr>
              <w:pStyle w:val="BStablelist"/>
              <w:numPr>
                <w:ilvl w:val="0"/>
                <w:numId w:val="27"/>
              </w:numPr>
            </w:pPr>
            <w:r>
              <w:t>Emergency services</w:t>
            </w:r>
            <w:r>
              <w:rPr>
                <w:vertAlign w:val="superscript"/>
              </w:rPr>
              <w:t>1</w:t>
            </w:r>
          </w:p>
        </w:tc>
        <w:tc>
          <w:tcPr>
            <w:tcW w:w="764" w:type="pct"/>
            <w:tcBorders>
              <w:top w:val="nil"/>
              <w:left w:val="nil"/>
              <w:bottom w:val="nil"/>
              <w:right w:val="nil"/>
            </w:tcBorders>
            <w:vAlign w:val="bottom"/>
            <w:hideMark/>
          </w:tcPr>
          <w:p w:rsidR="00281F97" w:rsidRPr="00CD3D8B" w:rsidRDefault="00765F6E">
            <w:pPr>
              <w:pStyle w:val="BStablefigures1"/>
              <w:rPr>
                <w:lang w:eastAsia="en-US"/>
              </w:rPr>
            </w:pPr>
            <w:r w:rsidRPr="00CD3D8B">
              <w:t>11,634</w:t>
            </w:r>
          </w:p>
        </w:tc>
        <w:tc>
          <w:tcPr>
            <w:tcW w:w="764" w:type="pct"/>
            <w:tcBorders>
              <w:top w:val="nil"/>
              <w:left w:val="nil"/>
              <w:bottom w:val="nil"/>
              <w:right w:val="nil"/>
            </w:tcBorders>
            <w:vAlign w:val="bottom"/>
            <w:hideMark/>
          </w:tcPr>
          <w:p w:rsidR="00281F97" w:rsidRPr="00CD3D8B" w:rsidRDefault="00765F6E">
            <w:pPr>
              <w:pStyle w:val="BStablefigures1"/>
            </w:pPr>
            <w:r w:rsidRPr="00CD3D8B">
              <w:t>11,666</w:t>
            </w:r>
          </w:p>
        </w:tc>
        <w:tc>
          <w:tcPr>
            <w:tcW w:w="762" w:type="pct"/>
            <w:tcBorders>
              <w:top w:val="nil"/>
              <w:left w:val="nil"/>
              <w:bottom w:val="nil"/>
              <w:right w:val="nil"/>
            </w:tcBorders>
            <w:vAlign w:val="bottom"/>
            <w:hideMark/>
          </w:tcPr>
          <w:p w:rsidR="00281F97" w:rsidRPr="00CD3D8B" w:rsidRDefault="00765F6E">
            <w:pPr>
              <w:pStyle w:val="BStablefigures1"/>
            </w:pPr>
            <w:r w:rsidRPr="00CD3D8B">
              <w:t>12,415</w:t>
            </w:r>
          </w:p>
        </w:tc>
      </w:tr>
      <w:tr w:rsidR="00237D6F" w:rsidTr="00281F97">
        <w:trPr>
          <w:trHeight w:val="283"/>
        </w:trPr>
        <w:tc>
          <w:tcPr>
            <w:tcW w:w="2710" w:type="pct"/>
            <w:tcBorders>
              <w:top w:val="nil"/>
              <w:left w:val="nil"/>
              <w:bottom w:val="nil"/>
              <w:right w:val="nil"/>
            </w:tcBorders>
            <w:hideMark/>
          </w:tcPr>
          <w:p w:rsidR="00281F97" w:rsidRDefault="00765F6E" w:rsidP="00CA0839">
            <w:pPr>
              <w:pStyle w:val="BStablelist"/>
              <w:numPr>
                <w:ilvl w:val="0"/>
                <w:numId w:val="27"/>
              </w:numPr>
            </w:pPr>
            <w:r>
              <w:t>Acute admitted mental health services</w:t>
            </w:r>
            <w:r>
              <w:rPr>
                <w:vertAlign w:val="superscript"/>
              </w:rPr>
              <w:t>1</w:t>
            </w:r>
          </w:p>
        </w:tc>
        <w:tc>
          <w:tcPr>
            <w:tcW w:w="764" w:type="pct"/>
            <w:tcBorders>
              <w:top w:val="nil"/>
              <w:left w:val="nil"/>
              <w:bottom w:val="nil"/>
              <w:right w:val="nil"/>
            </w:tcBorders>
            <w:vAlign w:val="bottom"/>
            <w:hideMark/>
          </w:tcPr>
          <w:p w:rsidR="00281F97" w:rsidRPr="00CD3D8B" w:rsidRDefault="00765F6E">
            <w:pPr>
              <w:pStyle w:val="BStablefigures1"/>
              <w:rPr>
                <w:lang w:eastAsia="en-US"/>
              </w:rPr>
            </w:pPr>
            <w:r w:rsidRPr="00CD3D8B">
              <w:t>5,148</w:t>
            </w:r>
          </w:p>
        </w:tc>
        <w:tc>
          <w:tcPr>
            <w:tcW w:w="764" w:type="pct"/>
            <w:tcBorders>
              <w:top w:val="nil"/>
              <w:left w:val="nil"/>
              <w:bottom w:val="nil"/>
              <w:right w:val="nil"/>
            </w:tcBorders>
            <w:vAlign w:val="bottom"/>
            <w:hideMark/>
          </w:tcPr>
          <w:p w:rsidR="00281F97" w:rsidRPr="00CD3D8B" w:rsidRDefault="00765F6E">
            <w:pPr>
              <w:pStyle w:val="BStablefigures1"/>
            </w:pPr>
            <w:r w:rsidRPr="00CD3D8B">
              <w:t>5,701</w:t>
            </w:r>
          </w:p>
        </w:tc>
        <w:tc>
          <w:tcPr>
            <w:tcW w:w="762" w:type="pct"/>
            <w:tcBorders>
              <w:top w:val="nil"/>
              <w:left w:val="nil"/>
              <w:bottom w:val="nil"/>
              <w:right w:val="nil"/>
            </w:tcBorders>
            <w:vAlign w:val="bottom"/>
            <w:hideMark/>
          </w:tcPr>
          <w:p w:rsidR="00281F97" w:rsidRPr="00CD3D8B" w:rsidRDefault="00765F6E">
            <w:pPr>
              <w:pStyle w:val="BStablefigures1"/>
            </w:pPr>
            <w:r w:rsidRPr="00CD3D8B">
              <w:t>5,766</w:t>
            </w:r>
          </w:p>
        </w:tc>
      </w:tr>
      <w:tr w:rsidR="00237D6F" w:rsidTr="00281F97">
        <w:trPr>
          <w:trHeight w:val="283"/>
        </w:trPr>
        <w:tc>
          <w:tcPr>
            <w:tcW w:w="2710" w:type="pct"/>
            <w:tcBorders>
              <w:top w:val="nil"/>
              <w:left w:val="nil"/>
              <w:bottom w:val="nil"/>
              <w:right w:val="nil"/>
            </w:tcBorders>
            <w:hideMark/>
          </w:tcPr>
          <w:p w:rsidR="00281F97" w:rsidRDefault="00765F6E" w:rsidP="00CA0839">
            <w:pPr>
              <w:pStyle w:val="BStablelist"/>
              <w:numPr>
                <w:ilvl w:val="0"/>
                <w:numId w:val="27"/>
              </w:numPr>
            </w:pPr>
            <w:proofErr w:type="spellStart"/>
            <w:r>
              <w:t>Sub acute</w:t>
            </w:r>
            <w:proofErr w:type="spellEnd"/>
            <w:r>
              <w:t xml:space="preserve"> services</w:t>
            </w:r>
            <w:r>
              <w:rPr>
                <w:vertAlign w:val="superscript"/>
              </w:rPr>
              <w:t>1</w:t>
            </w:r>
          </w:p>
        </w:tc>
        <w:tc>
          <w:tcPr>
            <w:tcW w:w="764" w:type="pct"/>
            <w:tcBorders>
              <w:top w:val="nil"/>
              <w:left w:val="nil"/>
              <w:bottom w:val="nil"/>
              <w:right w:val="nil"/>
            </w:tcBorders>
            <w:vAlign w:val="bottom"/>
            <w:hideMark/>
          </w:tcPr>
          <w:p w:rsidR="00281F97" w:rsidRPr="00CD3D8B" w:rsidRDefault="00765F6E">
            <w:pPr>
              <w:pStyle w:val="BStablefigures1"/>
              <w:rPr>
                <w:lang w:eastAsia="en-US"/>
              </w:rPr>
            </w:pPr>
            <w:r w:rsidRPr="00CD3D8B">
              <w:t>6,417</w:t>
            </w:r>
          </w:p>
        </w:tc>
        <w:tc>
          <w:tcPr>
            <w:tcW w:w="764" w:type="pct"/>
            <w:tcBorders>
              <w:top w:val="nil"/>
              <w:left w:val="nil"/>
              <w:bottom w:val="nil"/>
              <w:right w:val="nil"/>
            </w:tcBorders>
            <w:vAlign w:val="bottom"/>
            <w:hideMark/>
          </w:tcPr>
          <w:p w:rsidR="00281F97" w:rsidRPr="00CD3D8B" w:rsidRDefault="00765F6E">
            <w:pPr>
              <w:pStyle w:val="BStablefigures1"/>
            </w:pPr>
            <w:r w:rsidRPr="00CD3D8B">
              <w:t>7,345</w:t>
            </w:r>
          </w:p>
        </w:tc>
        <w:tc>
          <w:tcPr>
            <w:tcW w:w="762" w:type="pct"/>
            <w:tcBorders>
              <w:top w:val="nil"/>
              <w:left w:val="nil"/>
              <w:bottom w:val="nil"/>
              <w:right w:val="nil"/>
            </w:tcBorders>
            <w:vAlign w:val="bottom"/>
            <w:hideMark/>
          </w:tcPr>
          <w:p w:rsidR="00281F97" w:rsidRPr="00CD3D8B" w:rsidRDefault="00765F6E">
            <w:pPr>
              <w:pStyle w:val="BStablefigures1"/>
            </w:pPr>
            <w:r w:rsidRPr="00CD3D8B">
              <w:t>8,024</w:t>
            </w:r>
          </w:p>
        </w:tc>
      </w:tr>
      <w:tr w:rsidR="00237D6F" w:rsidTr="00281F97">
        <w:trPr>
          <w:trHeight w:val="283"/>
        </w:trPr>
        <w:tc>
          <w:tcPr>
            <w:tcW w:w="2710" w:type="pct"/>
            <w:tcBorders>
              <w:top w:val="nil"/>
              <w:left w:val="nil"/>
              <w:bottom w:val="single" w:sz="12" w:space="0" w:color="000000"/>
              <w:right w:val="nil"/>
            </w:tcBorders>
            <w:hideMark/>
          </w:tcPr>
          <w:p w:rsidR="00281F97" w:rsidRDefault="00765F6E" w:rsidP="00CA0839">
            <w:pPr>
              <w:pStyle w:val="BStablelist"/>
              <w:numPr>
                <w:ilvl w:val="0"/>
                <w:numId w:val="27"/>
              </w:numPr>
            </w:pPr>
            <w:r>
              <w:t>Calvary services (out of scope)</w:t>
            </w:r>
            <w:r>
              <w:rPr>
                <w:vertAlign w:val="superscript"/>
              </w:rPr>
              <w:t>1,2</w:t>
            </w:r>
          </w:p>
        </w:tc>
        <w:tc>
          <w:tcPr>
            <w:tcW w:w="764" w:type="pct"/>
            <w:tcBorders>
              <w:top w:val="nil"/>
              <w:left w:val="nil"/>
              <w:bottom w:val="single" w:sz="12" w:space="0" w:color="000000"/>
              <w:right w:val="nil"/>
            </w:tcBorders>
            <w:vAlign w:val="bottom"/>
            <w:hideMark/>
          </w:tcPr>
          <w:p w:rsidR="00281F97" w:rsidRPr="00CD3D8B" w:rsidRDefault="00765F6E">
            <w:pPr>
              <w:pStyle w:val="BStablefigures1"/>
              <w:rPr>
                <w:lang w:eastAsia="en-US"/>
              </w:rPr>
            </w:pPr>
            <w:r w:rsidRPr="00CD3D8B">
              <w:t>1,427</w:t>
            </w:r>
          </w:p>
        </w:tc>
        <w:tc>
          <w:tcPr>
            <w:tcW w:w="764" w:type="pct"/>
            <w:tcBorders>
              <w:top w:val="nil"/>
              <w:left w:val="nil"/>
              <w:bottom w:val="single" w:sz="12" w:space="0" w:color="000000"/>
              <w:right w:val="nil"/>
            </w:tcBorders>
            <w:vAlign w:val="bottom"/>
            <w:hideMark/>
          </w:tcPr>
          <w:p w:rsidR="00281F97" w:rsidRPr="00CD3D8B" w:rsidRDefault="00765F6E">
            <w:pPr>
              <w:pStyle w:val="BStablefigures1"/>
            </w:pPr>
            <w:r w:rsidRPr="00CD3D8B">
              <w:t>1,413</w:t>
            </w:r>
          </w:p>
        </w:tc>
        <w:tc>
          <w:tcPr>
            <w:tcW w:w="762" w:type="pct"/>
            <w:tcBorders>
              <w:top w:val="nil"/>
              <w:left w:val="nil"/>
              <w:bottom w:val="single" w:sz="12" w:space="0" w:color="000000"/>
              <w:right w:val="nil"/>
            </w:tcBorders>
            <w:vAlign w:val="bottom"/>
            <w:hideMark/>
          </w:tcPr>
          <w:p w:rsidR="00281F97" w:rsidRPr="00CD3D8B" w:rsidRDefault="00765F6E">
            <w:pPr>
              <w:pStyle w:val="BStablefigures1"/>
            </w:pPr>
            <w:r w:rsidRPr="00CD3D8B">
              <w:t>1,434</w:t>
            </w:r>
          </w:p>
        </w:tc>
      </w:tr>
    </w:tbl>
    <w:p w:rsidR="00281F97" w:rsidRDefault="00765F6E" w:rsidP="00281F97">
      <w:pPr>
        <w:pStyle w:val="BSnote1"/>
        <w:rPr>
          <w:sz w:val="16"/>
        </w:rPr>
      </w:pPr>
      <w:r>
        <w:rPr>
          <w:sz w:val="16"/>
        </w:rPr>
        <w:t>Notes:</w:t>
      </w:r>
    </w:p>
    <w:p w:rsidR="00281F97" w:rsidRDefault="00765F6E" w:rsidP="00CA0839">
      <w:pPr>
        <w:pStyle w:val="Normal030"/>
        <w:numPr>
          <w:ilvl w:val="0"/>
          <w:numId w:val="28"/>
        </w:numPr>
        <w:spacing w:before="0" w:after="0"/>
        <w:rPr>
          <w:sz w:val="16"/>
          <w:szCs w:val="16"/>
        </w:rPr>
      </w:pPr>
      <w:r>
        <w:rPr>
          <w:sz w:val="16"/>
          <w:szCs w:val="16"/>
        </w:rPr>
        <w:t>National Weighted Activity Unit (NWAU) is the ‘currency’ that is used to express the price weights for all services that are funded on an activity basis.  NWAU {17} is the currency as defined by the Independent Hospital Pricing Authority in the National Efficient Price Determination 2017–18, while NWAU {18} is the currency for 2018–19.</w:t>
      </w:r>
    </w:p>
    <w:p w:rsidR="00281F97" w:rsidRDefault="00765F6E" w:rsidP="00CA0839">
      <w:pPr>
        <w:pStyle w:val="Normal030"/>
        <w:numPr>
          <w:ilvl w:val="0"/>
          <w:numId w:val="28"/>
        </w:numPr>
        <w:spacing w:before="0" w:after="0"/>
        <w:rPr>
          <w:sz w:val="16"/>
          <w:szCs w:val="16"/>
        </w:rPr>
      </w:pPr>
      <w:r>
        <w:rPr>
          <w:sz w:val="16"/>
          <w:szCs w:val="16"/>
        </w:rPr>
        <w:t>This is activity that has a separate funding source to the National Health Reform Agreement. This includes Department of Veteran’s Affairs and Medicare Benefits Schedule activity which is deemed as out of scope and is not included in the targets for the Local Hospital Network Directorate.</w:t>
      </w:r>
    </w:p>
    <w:p w:rsidR="00281F97" w:rsidRDefault="00281F97" w:rsidP="00281F97">
      <w:pPr>
        <w:pStyle w:val="Normal5"/>
      </w:pPr>
    </w:p>
    <w:p w:rsidR="00281F97" w:rsidRDefault="00281F97" w:rsidP="00281F97">
      <w:pPr>
        <w:pStyle w:val="Normal5"/>
      </w:pPr>
    </w:p>
    <w:p w:rsidR="00281F97" w:rsidRDefault="00281F97" w:rsidP="00281F97">
      <w:pPr>
        <w:pStyle w:val="Normal5"/>
      </w:pPr>
    </w:p>
    <w:p w:rsidR="00281F97" w:rsidRDefault="00281F97" w:rsidP="00281F97">
      <w:pPr>
        <w:pStyle w:val="Normal5"/>
      </w:pPr>
    </w:p>
    <w:p w:rsidR="00951C55" w:rsidRDefault="00951C55" w:rsidP="00281F97">
      <w:pPr>
        <w:pStyle w:val="Normal5"/>
      </w:pPr>
    </w:p>
    <w:p w:rsidR="00281F97" w:rsidRDefault="00281F97" w:rsidP="00281F97">
      <w:pPr>
        <w:pStyle w:val="Normal5"/>
      </w:pPr>
    </w:p>
    <w:p w:rsidR="00281F97" w:rsidRDefault="00281F97" w:rsidP="00281F97">
      <w:pPr>
        <w:pStyle w:val="Normal5"/>
      </w:pPr>
    </w:p>
    <w:p w:rsidR="00281F97" w:rsidRDefault="00281F97" w:rsidP="00281F97">
      <w:pPr>
        <w:pStyle w:val="Normal5"/>
      </w:pPr>
    </w:p>
    <w:p w:rsidR="00281F97" w:rsidRDefault="00281F97" w:rsidP="00281F97">
      <w:pPr>
        <w:pStyle w:val="Normal5"/>
      </w:pPr>
    </w:p>
    <w:p w:rsidR="00281F97" w:rsidRDefault="00281F97" w:rsidP="00281F97">
      <w:pPr>
        <w:pStyle w:val="Normal5"/>
      </w:pPr>
    </w:p>
    <w:p w:rsidR="00281F97" w:rsidRPr="0057419E" w:rsidRDefault="00281F97" w:rsidP="00281F97">
      <w:pPr>
        <w:pStyle w:val="Normal5"/>
      </w:pPr>
    </w:p>
    <w:p w:rsidR="00281F97" w:rsidRDefault="00765F6E" w:rsidP="00281F97">
      <w:pPr>
        <w:pStyle w:val="Heading41"/>
      </w:pPr>
      <w:bookmarkStart w:id="119" w:name="_Toc452127432"/>
      <w:bookmarkStart w:id="120" w:name="_Toc434844187"/>
      <w:r>
        <w:lastRenderedPageBreak/>
        <w:t xml:space="preserve">Output 1.2: </w:t>
      </w:r>
      <w:r w:rsidRPr="00E33D44">
        <w:t>Mental Health, Justice Health and Alcohol and Drug Services</w:t>
      </w:r>
    </w:p>
    <w:bookmarkEnd w:id="119"/>
    <w:bookmarkEnd w:id="120"/>
    <w:p w:rsidR="00281F97" w:rsidRDefault="00765F6E" w:rsidP="00281F97">
      <w:pPr>
        <w:pStyle w:val="Caption20"/>
        <w:rPr>
          <w:noProof/>
        </w:rPr>
      </w:pPr>
      <w:r>
        <w:t>Table 2</w:t>
      </w:r>
      <w:r w:rsidR="00141A32">
        <w:t>4</w:t>
      </w:r>
      <w:r>
        <w:rPr>
          <w:noProof/>
        </w:rPr>
        <w:t>:</w:t>
      </w:r>
      <w:r w:rsidR="00B21B97">
        <w:t xml:space="preserve"> Accountability I</w:t>
      </w:r>
      <w:r>
        <w:t>ndicators</w:t>
      </w:r>
      <w:r w:rsidR="00B21B97">
        <w:rPr>
          <w:noProof/>
        </w:rPr>
        <w:t xml:space="preserve"> O</w:t>
      </w:r>
      <w:r>
        <w:rPr>
          <w:noProof/>
        </w:rPr>
        <w:t>utput 1.2</w:t>
      </w:r>
    </w:p>
    <w:tbl>
      <w:tblPr>
        <w:tblW w:w="5000" w:type="pct"/>
        <w:tblBorders>
          <w:top w:val="single" w:sz="12" w:space="0" w:color="000000"/>
          <w:bottom w:val="single" w:sz="12" w:space="0" w:color="000000"/>
        </w:tblBorders>
        <w:tblLook w:val="04A0" w:firstRow="1" w:lastRow="0" w:firstColumn="1" w:lastColumn="0" w:noHBand="0" w:noVBand="1"/>
      </w:tblPr>
      <w:tblGrid>
        <w:gridCol w:w="4892"/>
        <w:gridCol w:w="1379"/>
        <w:gridCol w:w="1379"/>
        <w:gridCol w:w="1376"/>
      </w:tblGrid>
      <w:tr w:rsidR="00237D6F" w:rsidTr="00281F97">
        <w:trPr>
          <w:tblHeader/>
        </w:trPr>
        <w:tc>
          <w:tcPr>
            <w:tcW w:w="2710" w:type="pct"/>
            <w:tcBorders>
              <w:top w:val="single" w:sz="12" w:space="0" w:color="000000"/>
              <w:left w:val="nil"/>
              <w:bottom w:val="single" w:sz="12" w:space="0" w:color="000000"/>
              <w:right w:val="nil"/>
            </w:tcBorders>
          </w:tcPr>
          <w:p w:rsidR="00281F97" w:rsidRDefault="00281F97">
            <w:pPr>
              <w:pStyle w:val="BStabletext1"/>
            </w:pPr>
          </w:p>
        </w:tc>
        <w:tc>
          <w:tcPr>
            <w:tcW w:w="764" w:type="pct"/>
            <w:tcBorders>
              <w:top w:val="single" w:sz="12" w:space="0" w:color="000000"/>
              <w:left w:val="nil"/>
              <w:bottom w:val="single" w:sz="12" w:space="0" w:color="000000"/>
              <w:right w:val="nil"/>
            </w:tcBorders>
            <w:vAlign w:val="bottom"/>
            <w:hideMark/>
          </w:tcPr>
          <w:p w:rsidR="00281F97" w:rsidRDefault="00765F6E">
            <w:pPr>
              <w:pStyle w:val="BStableheading11"/>
              <w:framePr w:wrap="around"/>
            </w:pPr>
            <w:r>
              <w:t>2017–18</w:t>
            </w:r>
          </w:p>
          <w:p w:rsidR="00281F97" w:rsidRDefault="005A051A">
            <w:pPr>
              <w:pStyle w:val="BStableheading11"/>
              <w:framePr w:wrap="around"/>
            </w:pPr>
            <w:r>
              <w:t>T</w:t>
            </w:r>
            <w:r w:rsidR="00765F6E">
              <w:t>argets</w:t>
            </w:r>
          </w:p>
          <w:p w:rsidR="00A244C9" w:rsidRDefault="00A244C9">
            <w:pPr>
              <w:pStyle w:val="BStableheading11"/>
              <w:framePr w:wrap="around"/>
            </w:pPr>
          </w:p>
        </w:tc>
        <w:tc>
          <w:tcPr>
            <w:tcW w:w="764" w:type="pct"/>
            <w:tcBorders>
              <w:top w:val="single" w:sz="12" w:space="0" w:color="000000"/>
              <w:left w:val="nil"/>
              <w:bottom w:val="single" w:sz="12" w:space="0" w:color="000000"/>
              <w:right w:val="nil"/>
            </w:tcBorders>
            <w:vAlign w:val="bottom"/>
            <w:hideMark/>
          </w:tcPr>
          <w:p w:rsidR="00281F97" w:rsidRDefault="00765F6E">
            <w:pPr>
              <w:pStyle w:val="BStableheading11"/>
              <w:framePr w:wrap="around"/>
            </w:pPr>
            <w:r>
              <w:t>2017–18</w:t>
            </w:r>
          </w:p>
          <w:p w:rsidR="00281F97" w:rsidRDefault="005A051A" w:rsidP="005A051A">
            <w:pPr>
              <w:pStyle w:val="BStableheading11"/>
              <w:framePr w:wrap="around"/>
            </w:pPr>
            <w:r>
              <w:t>Estimated</w:t>
            </w:r>
            <w:r w:rsidR="00765F6E">
              <w:t xml:space="preserve"> </w:t>
            </w:r>
            <w:r>
              <w:t>O</w:t>
            </w:r>
            <w:r w:rsidR="00765F6E">
              <w:t>utcome</w:t>
            </w:r>
          </w:p>
        </w:tc>
        <w:tc>
          <w:tcPr>
            <w:tcW w:w="762" w:type="pct"/>
            <w:tcBorders>
              <w:top w:val="single" w:sz="12" w:space="0" w:color="000000"/>
              <w:left w:val="nil"/>
              <w:bottom w:val="single" w:sz="12" w:space="0" w:color="000000"/>
              <w:right w:val="nil"/>
            </w:tcBorders>
            <w:vAlign w:val="bottom"/>
            <w:hideMark/>
          </w:tcPr>
          <w:p w:rsidR="00281F97" w:rsidRDefault="00765F6E">
            <w:pPr>
              <w:pStyle w:val="BStableheading11"/>
              <w:framePr w:wrap="around"/>
            </w:pPr>
            <w:r>
              <w:t>2018–19</w:t>
            </w:r>
          </w:p>
          <w:p w:rsidR="00281F97" w:rsidRDefault="005A051A">
            <w:pPr>
              <w:pStyle w:val="BStableheading11"/>
              <w:framePr w:wrap="around"/>
            </w:pPr>
            <w:r>
              <w:t>T</w:t>
            </w:r>
            <w:r w:rsidR="00765F6E">
              <w:t>argets</w:t>
            </w:r>
          </w:p>
          <w:p w:rsidR="00A244C9" w:rsidRDefault="00A244C9">
            <w:pPr>
              <w:pStyle w:val="BStableheading11"/>
              <w:framePr w:wrap="around"/>
            </w:pPr>
          </w:p>
        </w:tc>
      </w:tr>
      <w:tr w:rsidR="00237D6F" w:rsidTr="00281F97">
        <w:tc>
          <w:tcPr>
            <w:tcW w:w="5000" w:type="pct"/>
            <w:gridSpan w:val="4"/>
            <w:tcBorders>
              <w:top w:val="single" w:sz="12" w:space="0" w:color="000000"/>
              <w:left w:val="nil"/>
              <w:bottom w:val="nil"/>
              <w:right w:val="nil"/>
            </w:tcBorders>
            <w:vAlign w:val="bottom"/>
            <w:hideMark/>
          </w:tcPr>
          <w:p w:rsidR="00281F97" w:rsidRDefault="00281F97">
            <w:pPr>
              <w:pStyle w:val="Normal5"/>
            </w:pPr>
          </w:p>
        </w:tc>
      </w:tr>
      <w:tr w:rsidR="00237D6F" w:rsidTr="00281F97">
        <w:trPr>
          <w:trHeight w:val="283"/>
        </w:trPr>
        <w:tc>
          <w:tcPr>
            <w:tcW w:w="2710" w:type="pct"/>
            <w:tcBorders>
              <w:top w:val="nil"/>
              <w:left w:val="nil"/>
              <w:bottom w:val="nil"/>
              <w:right w:val="nil"/>
            </w:tcBorders>
            <w:hideMark/>
          </w:tcPr>
          <w:p w:rsidR="00281F97" w:rsidRDefault="00765F6E" w:rsidP="00CA0839">
            <w:pPr>
              <w:pStyle w:val="BStablelist"/>
              <w:numPr>
                <w:ilvl w:val="0"/>
                <w:numId w:val="29"/>
              </w:numPr>
            </w:pPr>
            <w:r>
              <w:t>Adult mental health program community service contacts</w:t>
            </w:r>
          </w:p>
        </w:tc>
        <w:tc>
          <w:tcPr>
            <w:tcW w:w="764" w:type="pct"/>
            <w:tcBorders>
              <w:top w:val="nil"/>
              <w:left w:val="nil"/>
              <w:bottom w:val="nil"/>
              <w:right w:val="nil"/>
            </w:tcBorders>
            <w:vAlign w:val="bottom"/>
            <w:hideMark/>
          </w:tcPr>
          <w:p w:rsidR="00281F97" w:rsidRPr="00CD3D8B" w:rsidRDefault="00765F6E" w:rsidP="00281F97">
            <w:pPr>
              <w:pStyle w:val="BStablefigures1"/>
              <w:rPr>
                <w:lang w:eastAsia="en-US"/>
              </w:rPr>
            </w:pPr>
            <w:r w:rsidRPr="00CD3D8B">
              <w:t>198,000</w:t>
            </w:r>
          </w:p>
        </w:tc>
        <w:tc>
          <w:tcPr>
            <w:tcW w:w="764" w:type="pct"/>
            <w:tcBorders>
              <w:top w:val="nil"/>
              <w:left w:val="nil"/>
              <w:bottom w:val="nil"/>
              <w:right w:val="nil"/>
            </w:tcBorders>
            <w:vAlign w:val="bottom"/>
            <w:hideMark/>
          </w:tcPr>
          <w:p w:rsidR="00281F97" w:rsidRPr="00CD3D8B" w:rsidRDefault="00765F6E" w:rsidP="00281F97">
            <w:pPr>
              <w:pStyle w:val="BStablefigures1"/>
            </w:pPr>
            <w:r w:rsidRPr="00CD3D8B">
              <w:t>192,000</w:t>
            </w:r>
          </w:p>
        </w:tc>
        <w:tc>
          <w:tcPr>
            <w:tcW w:w="762" w:type="pct"/>
            <w:tcBorders>
              <w:top w:val="nil"/>
              <w:left w:val="nil"/>
              <w:bottom w:val="nil"/>
              <w:right w:val="nil"/>
            </w:tcBorders>
            <w:vAlign w:val="bottom"/>
            <w:hideMark/>
          </w:tcPr>
          <w:p w:rsidR="00281F97" w:rsidRPr="00CD3D8B" w:rsidRDefault="00765F6E" w:rsidP="00281F97">
            <w:pPr>
              <w:pStyle w:val="BStablefigures1"/>
              <w:rPr>
                <w:lang w:eastAsia="en-US"/>
              </w:rPr>
            </w:pPr>
            <w:r w:rsidRPr="00CD3D8B">
              <w:t>198,000</w:t>
            </w:r>
          </w:p>
        </w:tc>
      </w:tr>
      <w:tr w:rsidR="00237D6F" w:rsidTr="00281F97">
        <w:trPr>
          <w:trHeight w:val="283"/>
        </w:trPr>
        <w:tc>
          <w:tcPr>
            <w:tcW w:w="2710" w:type="pct"/>
            <w:tcBorders>
              <w:top w:val="nil"/>
              <w:left w:val="nil"/>
              <w:bottom w:val="nil"/>
              <w:right w:val="nil"/>
            </w:tcBorders>
            <w:hideMark/>
          </w:tcPr>
          <w:p w:rsidR="00281F97" w:rsidRDefault="00765F6E" w:rsidP="00CA0839">
            <w:pPr>
              <w:pStyle w:val="BStablelist"/>
              <w:numPr>
                <w:ilvl w:val="0"/>
                <w:numId w:val="47"/>
              </w:numPr>
            </w:pPr>
            <w:r>
              <w:t>Children and youth mental health program community service contacts</w:t>
            </w:r>
          </w:p>
        </w:tc>
        <w:tc>
          <w:tcPr>
            <w:tcW w:w="764" w:type="pct"/>
            <w:tcBorders>
              <w:top w:val="nil"/>
              <w:left w:val="nil"/>
              <w:bottom w:val="nil"/>
              <w:right w:val="nil"/>
            </w:tcBorders>
            <w:vAlign w:val="bottom"/>
            <w:hideMark/>
          </w:tcPr>
          <w:p w:rsidR="00281F97" w:rsidRPr="00CD3D8B" w:rsidRDefault="00765F6E" w:rsidP="00281F97">
            <w:pPr>
              <w:pStyle w:val="BStablefigures1"/>
              <w:rPr>
                <w:lang w:eastAsia="en-US"/>
              </w:rPr>
            </w:pPr>
            <w:r w:rsidRPr="00CD3D8B">
              <w:t>72,000</w:t>
            </w:r>
          </w:p>
        </w:tc>
        <w:tc>
          <w:tcPr>
            <w:tcW w:w="764" w:type="pct"/>
            <w:tcBorders>
              <w:top w:val="nil"/>
              <w:left w:val="nil"/>
              <w:bottom w:val="nil"/>
              <w:right w:val="nil"/>
            </w:tcBorders>
            <w:vAlign w:val="bottom"/>
            <w:hideMark/>
          </w:tcPr>
          <w:p w:rsidR="00281F97" w:rsidRPr="00CD3D8B" w:rsidRDefault="00765F6E" w:rsidP="00281F97">
            <w:pPr>
              <w:pStyle w:val="BStablefigures1"/>
            </w:pPr>
            <w:r w:rsidRPr="00CD3D8B">
              <w:t>69,000</w:t>
            </w:r>
          </w:p>
        </w:tc>
        <w:tc>
          <w:tcPr>
            <w:tcW w:w="762" w:type="pct"/>
            <w:tcBorders>
              <w:top w:val="nil"/>
              <w:left w:val="nil"/>
              <w:bottom w:val="nil"/>
              <w:right w:val="nil"/>
            </w:tcBorders>
            <w:vAlign w:val="bottom"/>
            <w:hideMark/>
          </w:tcPr>
          <w:p w:rsidR="00281F97" w:rsidRPr="00CD3D8B" w:rsidRDefault="00765F6E" w:rsidP="00281F97">
            <w:pPr>
              <w:pStyle w:val="BStablefigures1"/>
              <w:rPr>
                <w:lang w:eastAsia="en-US"/>
              </w:rPr>
            </w:pPr>
            <w:r w:rsidRPr="00CD3D8B">
              <w:t>72,000</w:t>
            </w:r>
          </w:p>
        </w:tc>
      </w:tr>
      <w:tr w:rsidR="00237D6F" w:rsidTr="00281F97">
        <w:trPr>
          <w:trHeight w:val="283"/>
        </w:trPr>
        <w:tc>
          <w:tcPr>
            <w:tcW w:w="2710" w:type="pct"/>
            <w:tcBorders>
              <w:top w:val="nil"/>
              <w:left w:val="nil"/>
              <w:bottom w:val="nil"/>
              <w:right w:val="nil"/>
            </w:tcBorders>
            <w:hideMark/>
          </w:tcPr>
          <w:p w:rsidR="00281F97" w:rsidRDefault="00765F6E" w:rsidP="00CA0839">
            <w:pPr>
              <w:pStyle w:val="BStablelist"/>
              <w:numPr>
                <w:ilvl w:val="0"/>
                <w:numId w:val="47"/>
              </w:numPr>
            </w:pPr>
            <w:r>
              <w:t>Mental health rehabilitation and specialty services</w:t>
            </w:r>
          </w:p>
        </w:tc>
        <w:tc>
          <w:tcPr>
            <w:tcW w:w="764" w:type="pct"/>
            <w:tcBorders>
              <w:top w:val="nil"/>
              <w:left w:val="nil"/>
              <w:bottom w:val="nil"/>
              <w:right w:val="nil"/>
            </w:tcBorders>
            <w:vAlign w:val="bottom"/>
            <w:hideMark/>
          </w:tcPr>
          <w:p w:rsidR="00281F97" w:rsidRPr="00CD3D8B" w:rsidRDefault="00765F6E" w:rsidP="00281F97">
            <w:pPr>
              <w:pStyle w:val="BStablefigures1"/>
              <w:rPr>
                <w:lang w:eastAsia="en-US"/>
              </w:rPr>
            </w:pPr>
            <w:r w:rsidRPr="00CD3D8B">
              <w:t>26,250</w:t>
            </w:r>
          </w:p>
        </w:tc>
        <w:tc>
          <w:tcPr>
            <w:tcW w:w="764" w:type="pct"/>
            <w:tcBorders>
              <w:top w:val="nil"/>
              <w:left w:val="nil"/>
              <w:bottom w:val="nil"/>
              <w:right w:val="nil"/>
            </w:tcBorders>
            <w:vAlign w:val="bottom"/>
            <w:hideMark/>
          </w:tcPr>
          <w:p w:rsidR="00281F97" w:rsidRPr="00CD3D8B" w:rsidRDefault="00765F6E" w:rsidP="00281F97">
            <w:pPr>
              <w:pStyle w:val="BStablefigures1"/>
            </w:pPr>
            <w:r w:rsidRPr="00CD3D8B">
              <w:t>32,000</w:t>
            </w:r>
          </w:p>
        </w:tc>
        <w:tc>
          <w:tcPr>
            <w:tcW w:w="762" w:type="pct"/>
            <w:tcBorders>
              <w:top w:val="nil"/>
              <w:left w:val="nil"/>
              <w:bottom w:val="nil"/>
              <w:right w:val="nil"/>
            </w:tcBorders>
            <w:vAlign w:val="bottom"/>
            <w:hideMark/>
          </w:tcPr>
          <w:p w:rsidR="00281F97" w:rsidRPr="00CD3D8B" w:rsidRDefault="00765F6E" w:rsidP="00281F97">
            <w:pPr>
              <w:pStyle w:val="BStablefigures1"/>
              <w:rPr>
                <w:lang w:eastAsia="en-US"/>
              </w:rPr>
            </w:pPr>
            <w:r w:rsidRPr="00CD3D8B">
              <w:t>26,250</w:t>
            </w:r>
          </w:p>
        </w:tc>
      </w:tr>
      <w:tr w:rsidR="00237D6F" w:rsidTr="00281F97">
        <w:trPr>
          <w:trHeight w:val="283"/>
        </w:trPr>
        <w:tc>
          <w:tcPr>
            <w:tcW w:w="2710" w:type="pct"/>
            <w:tcBorders>
              <w:top w:val="nil"/>
              <w:left w:val="nil"/>
              <w:bottom w:val="nil"/>
              <w:right w:val="nil"/>
            </w:tcBorders>
            <w:hideMark/>
          </w:tcPr>
          <w:p w:rsidR="00281F97" w:rsidRDefault="00765F6E" w:rsidP="00CA0839">
            <w:pPr>
              <w:pStyle w:val="BStablelist"/>
              <w:numPr>
                <w:ilvl w:val="0"/>
                <w:numId w:val="47"/>
              </w:numPr>
            </w:pPr>
            <w:r>
              <w:t>Proportion of detainees at the Alexander Maconochie Centre with a completed health assessment within 24 hours of detention</w:t>
            </w:r>
            <w:r w:rsidR="008A72BD">
              <w:rPr>
                <w:vertAlign w:val="superscript"/>
              </w:rPr>
              <w:t>1</w:t>
            </w:r>
          </w:p>
        </w:tc>
        <w:tc>
          <w:tcPr>
            <w:tcW w:w="764" w:type="pct"/>
            <w:tcBorders>
              <w:top w:val="nil"/>
              <w:left w:val="nil"/>
              <w:bottom w:val="nil"/>
              <w:right w:val="nil"/>
            </w:tcBorders>
            <w:vAlign w:val="bottom"/>
            <w:hideMark/>
          </w:tcPr>
          <w:p w:rsidR="00281F97" w:rsidRPr="00CD3D8B" w:rsidRDefault="00765F6E" w:rsidP="00281F97">
            <w:pPr>
              <w:pStyle w:val="BStablefigures1"/>
              <w:rPr>
                <w:lang w:eastAsia="en-US"/>
              </w:rPr>
            </w:pPr>
            <w:r w:rsidRPr="00CD3D8B">
              <w:t>100%</w:t>
            </w:r>
          </w:p>
        </w:tc>
        <w:tc>
          <w:tcPr>
            <w:tcW w:w="764" w:type="pct"/>
            <w:tcBorders>
              <w:top w:val="nil"/>
              <w:left w:val="nil"/>
              <w:bottom w:val="nil"/>
              <w:right w:val="nil"/>
            </w:tcBorders>
            <w:vAlign w:val="bottom"/>
            <w:hideMark/>
          </w:tcPr>
          <w:p w:rsidR="00281F97" w:rsidRPr="00CD3D8B" w:rsidRDefault="00765F6E" w:rsidP="00281F97">
            <w:pPr>
              <w:pStyle w:val="BStablefigures1"/>
            </w:pPr>
            <w:r w:rsidRPr="00CD3D8B">
              <w:t>100%</w:t>
            </w:r>
          </w:p>
        </w:tc>
        <w:tc>
          <w:tcPr>
            <w:tcW w:w="762" w:type="pct"/>
            <w:tcBorders>
              <w:top w:val="nil"/>
              <w:left w:val="nil"/>
              <w:bottom w:val="nil"/>
              <w:right w:val="nil"/>
            </w:tcBorders>
            <w:vAlign w:val="bottom"/>
            <w:hideMark/>
          </w:tcPr>
          <w:p w:rsidR="00281F97" w:rsidRPr="00CD3D8B" w:rsidRDefault="00765F6E" w:rsidP="00281F97">
            <w:pPr>
              <w:pStyle w:val="BStablefigures1"/>
              <w:rPr>
                <w:lang w:eastAsia="en-US"/>
              </w:rPr>
            </w:pPr>
            <w:r w:rsidRPr="00CD3D8B">
              <w:t>100%</w:t>
            </w:r>
          </w:p>
        </w:tc>
      </w:tr>
      <w:tr w:rsidR="00237D6F" w:rsidTr="00281F97">
        <w:trPr>
          <w:trHeight w:val="283"/>
        </w:trPr>
        <w:tc>
          <w:tcPr>
            <w:tcW w:w="2710" w:type="pct"/>
            <w:tcBorders>
              <w:top w:val="nil"/>
              <w:left w:val="nil"/>
              <w:bottom w:val="nil"/>
              <w:right w:val="nil"/>
            </w:tcBorders>
            <w:hideMark/>
          </w:tcPr>
          <w:p w:rsidR="00281F97" w:rsidRDefault="00765F6E" w:rsidP="00CA0839">
            <w:pPr>
              <w:pStyle w:val="BStablelist"/>
              <w:numPr>
                <w:ilvl w:val="0"/>
                <w:numId w:val="47"/>
              </w:numPr>
            </w:pPr>
            <w:r>
              <w:t xml:space="preserve">Proportion of detainees in the </w:t>
            </w:r>
            <w:proofErr w:type="spellStart"/>
            <w:r>
              <w:t>Bimberi</w:t>
            </w:r>
            <w:proofErr w:type="spellEnd"/>
            <w:r>
              <w:t xml:space="preserve"> Youth Detention Centre with a completed health assessment within 24 hours of detention</w:t>
            </w:r>
            <w:r w:rsidR="008A72BD">
              <w:rPr>
                <w:vertAlign w:val="superscript"/>
              </w:rPr>
              <w:t>2</w:t>
            </w:r>
          </w:p>
        </w:tc>
        <w:tc>
          <w:tcPr>
            <w:tcW w:w="764" w:type="pct"/>
            <w:tcBorders>
              <w:top w:val="nil"/>
              <w:left w:val="nil"/>
              <w:bottom w:val="nil"/>
              <w:right w:val="nil"/>
            </w:tcBorders>
            <w:vAlign w:val="bottom"/>
            <w:hideMark/>
          </w:tcPr>
          <w:p w:rsidR="00281F97" w:rsidRPr="00CD3D8B" w:rsidRDefault="00765F6E" w:rsidP="00281F97">
            <w:pPr>
              <w:pStyle w:val="BStablefigures1"/>
              <w:rPr>
                <w:lang w:eastAsia="en-US"/>
              </w:rPr>
            </w:pPr>
            <w:r w:rsidRPr="00CD3D8B">
              <w:t>100%</w:t>
            </w:r>
          </w:p>
        </w:tc>
        <w:tc>
          <w:tcPr>
            <w:tcW w:w="764" w:type="pct"/>
            <w:tcBorders>
              <w:top w:val="nil"/>
              <w:left w:val="nil"/>
              <w:bottom w:val="nil"/>
              <w:right w:val="nil"/>
            </w:tcBorders>
            <w:vAlign w:val="bottom"/>
            <w:hideMark/>
          </w:tcPr>
          <w:p w:rsidR="00281F97" w:rsidRPr="00CD3D8B" w:rsidRDefault="00765F6E" w:rsidP="00281F97">
            <w:pPr>
              <w:pStyle w:val="BStablefigures1"/>
            </w:pPr>
            <w:r w:rsidRPr="00CD3D8B">
              <w:t>100%</w:t>
            </w:r>
          </w:p>
        </w:tc>
        <w:tc>
          <w:tcPr>
            <w:tcW w:w="762" w:type="pct"/>
            <w:tcBorders>
              <w:top w:val="nil"/>
              <w:left w:val="nil"/>
              <w:bottom w:val="nil"/>
              <w:right w:val="nil"/>
            </w:tcBorders>
            <w:vAlign w:val="bottom"/>
            <w:hideMark/>
          </w:tcPr>
          <w:p w:rsidR="00281F97" w:rsidRPr="00CD3D8B" w:rsidRDefault="00765F6E" w:rsidP="00281F97">
            <w:pPr>
              <w:pStyle w:val="BStablefigures1"/>
              <w:rPr>
                <w:lang w:eastAsia="en-US"/>
              </w:rPr>
            </w:pPr>
            <w:r w:rsidRPr="00CD3D8B">
              <w:t>100%</w:t>
            </w:r>
          </w:p>
        </w:tc>
      </w:tr>
      <w:tr w:rsidR="00237D6F" w:rsidTr="00281F97">
        <w:trPr>
          <w:trHeight w:val="283"/>
        </w:trPr>
        <w:tc>
          <w:tcPr>
            <w:tcW w:w="2710" w:type="pct"/>
            <w:tcBorders>
              <w:top w:val="nil"/>
              <w:left w:val="nil"/>
              <w:bottom w:val="nil"/>
              <w:right w:val="nil"/>
            </w:tcBorders>
            <w:hideMark/>
          </w:tcPr>
          <w:p w:rsidR="00281F97" w:rsidRDefault="00765F6E" w:rsidP="00CA0839">
            <w:pPr>
              <w:pStyle w:val="BStablelist"/>
              <w:numPr>
                <w:ilvl w:val="0"/>
                <w:numId w:val="47"/>
              </w:numPr>
            </w:pPr>
            <w:r>
              <w:t>Justice health services community contacts</w:t>
            </w:r>
            <w:r w:rsidR="008A72BD">
              <w:rPr>
                <w:vertAlign w:val="superscript"/>
              </w:rPr>
              <w:t>3</w:t>
            </w:r>
          </w:p>
        </w:tc>
        <w:tc>
          <w:tcPr>
            <w:tcW w:w="764" w:type="pct"/>
            <w:tcBorders>
              <w:top w:val="nil"/>
              <w:left w:val="nil"/>
              <w:bottom w:val="nil"/>
              <w:right w:val="nil"/>
            </w:tcBorders>
            <w:vAlign w:val="bottom"/>
            <w:hideMark/>
          </w:tcPr>
          <w:p w:rsidR="00281F97" w:rsidRPr="00CD3D8B" w:rsidRDefault="00765F6E" w:rsidP="00281F97">
            <w:pPr>
              <w:pStyle w:val="BStablefigures1"/>
              <w:rPr>
                <w:lang w:eastAsia="en-US"/>
              </w:rPr>
            </w:pPr>
            <w:r w:rsidRPr="00CD3D8B">
              <w:t>155,000</w:t>
            </w:r>
          </w:p>
        </w:tc>
        <w:tc>
          <w:tcPr>
            <w:tcW w:w="764" w:type="pct"/>
            <w:tcBorders>
              <w:top w:val="nil"/>
              <w:left w:val="nil"/>
              <w:bottom w:val="nil"/>
              <w:right w:val="nil"/>
            </w:tcBorders>
            <w:vAlign w:val="bottom"/>
            <w:hideMark/>
          </w:tcPr>
          <w:p w:rsidR="00281F97" w:rsidRPr="00CD3D8B" w:rsidRDefault="00765F6E" w:rsidP="00281F97">
            <w:pPr>
              <w:pStyle w:val="BStablefigures1"/>
            </w:pPr>
            <w:r w:rsidRPr="00CD3D8B">
              <w:t>159,000</w:t>
            </w:r>
          </w:p>
        </w:tc>
        <w:tc>
          <w:tcPr>
            <w:tcW w:w="762" w:type="pct"/>
            <w:tcBorders>
              <w:top w:val="nil"/>
              <w:left w:val="nil"/>
              <w:bottom w:val="nil"/>
              <w:right w:val="nil"/>
            </w:tcBorders>
            <w:vAlign w:val="bottom"/>
            <w:hideMark/>
          </w:tcPr>
          <w:p w:rsidR="00281F97" w:rsidRPr="00CD3D8B" w:rsidRDefault="00765F6E" w:rsidP="00281F97">
            <w:pPr>
              <w:pStyle w:val="BStablefigures1"/>
              <w:rPr>
                <w:lang w:eastAsia="en-US"/>
              </w:rPr>
            </w:pPr>
            <w:r w:rsidRPr="00CD3D8B">
              <w:t>155,000</w:t>
            </w:r>
          </w:p>
        </w:tc>
      </w:tr>
      <w:tr w:rsidR="00237D6F" w:rsidTr="00281F97">
        <w:trPr>
          <w:trHeight w:val="283"/>
        </w:trPr>
        <w:tc>
          <w:tcPr>
            <w:tcW w:w="2710" w:type="pct"/>
            <w:tcBorders>
              <w:top w:val="nil"/>
              <w:left w:val="nil"/>
              <w:bottom w:val="nil"/>
              <w:right w:val="nil"/>
            </w:tcBorders>
            <w:hideMark/>
          </w:tcPr>
          <w:p w:rsidR="00281F97" w:rsidRDefault="00765F6E" w:rsidP="00CA0839">
            <w:pPr>
              <w:pStyle w:val="BStablelist"/>
              <w:numPr>
                <w:ilvl w:val="0"/>
                <w:numId w:val="47"/>
              </w:numPr>
            </w:pPr>
            <w:r>
              <w:t>Percentage of current clients on opioid treatment with management plans</w:t>
            </w:r>
            <w:r w:rsidR="00845D7A">
              <w:rPr>
                <w:vertAlign w:val="superscript"/>
              </w:rPr>
              <w:t>4</w:t>
            </w:r>
          </w:p>
        </w:tc>
        <w:tc>
          <w:tcPr>
            <w:tcW w:w="764" w:type="pct"/>
            <w:tcBorders>
              <w:top w:val="nil"/>
              <w:left w:val="nil"/>
              <w:bottom w:val="nil"/>
              <w:right w:val="nil"/>
            </w:tcBorders>
            <w:vAlign w:val="bottom"/>
            <w:hideMark/>
          </w:tcPr>
          <w:p w:rsidR="00281F97" w:rsidRPr="00CD3D8B" w:rsidRDefault="00765F6E" w:rsidP="00281F97">
            <w:pPr>
              <w:pStyle w:val="BStablefigures1"/>
              <w:rPr>
                <w:lang w:eastAsia="en-US"/>
              </w:rPr>
            </w:pPr>
            <w:r w:rsidRPr="00CD3D8B">
              <w:t>98%</w:t>
            </w:r>
          </w:p>
        </w:tc>
        <w:tc>
          <w:tcPr>
            <w:tcW w:w="764" w:type="pct"/>
            <w:tcBorders>
              <w:top w:val="nil"/>
              <w:left w:val="nil"/>
              <w:bottom w:val="nil"/>
              <w:right w:val="nil"/>
            </w:tcBorders>
            <w:vAlign w:val="bottom"/>
            <w:hideMark/>
          </w:tcPr>
          <w:p w:rsidR="00281F97" w:rsidRPr="00CD3D8B" w:rsidRDefault="00765F6E" w:rsidP="00281F97">
            <w:pPr>
              <w:pStyle w:val="BStablefigures1"/>
            </w:pPr>
            <w:r w:rsidRPr="00CD3D8B">
              <w:t>97%</w:t>
            </w:r>
          </w:p>
        </w:tc>
        <w:tc>
          <w:tcPr>
            <w:tcW w:w="762" w:type="pct"/>
            <w:tcBorders>
              <w:top w:val="nil"/>
              <w:left w:val="nil"/>
              <w:bottom w:val="nil"/>
              <w:right w:val="nil"/>
            </w:tcBorders>
            <w:vAlign w:val="bottom"/>
            <w:hideMark/>
          </w:tcPr>
          <w:p w:rsidR="00281F97" w:rsidRPr="00CD3D8B" w:rsidRDefault="00765F6E" w:rsidP="00281F97">
            <w:pPr>
              <w:pStyle w:val="BStablefigures1"/>
              <w:rPr>
                <w:lang w:eastAsia="en-US"/>
              </w:rPr>
            </w:pPr>
            <w:r w:rsidRPr="00CD3D8B">
              <w:t>98%</w:t>
            </w:r>
          </w:p>
        </w:tc>
      </w:tr>
      <w:tr w:rsidR="00237D6F" w:rsidTr="00281F97">
        <w:trPr>
          <w:trHeight w:val="283"/>
        </w:trPr>
        <w:tc>
          <w:tcPr>
            <w:tcW w:w="2710" w:type="pct"/>
            <w:tcBorders>
              <w:top w:val="nil"/>
              <w:left w:val="nil"/>
              <w:bottom w:val="single" w:sz="12" w:space="0" w:color="000000"/>
              <w:right w:val="nil"/>
            </w:tcBorders>
            <w:hideMark/>
          </w:tcPr>
          <w:p w:rsidR="00281F97" w:rsidRDefault="00765F6E" w:rsidP="00CA0839">
            <w:pPr>
              <w:pStyle w:val="BStablelist"/>
              <w:numPr>
                <w:ilvl w:val="0"/>
                <w:numId w:val="47"/>
              </w:numPr>
            </w:pPr>
            <w:r>
              <w:t>Alcohol and drug services community contacts</w:t>
            </w:r>
            <w:r w:rsidR="00845D7A">
              <w:rPr>
                <w:vertAlign w:val="superscript"/>
              </w:rPr>
              <w:t>5</w:t>
            </w:r>
          </w:p>
        </w:tc>
        <w:tc>
          <w:tcPr>
            <w:tcW w:w="764" w:type="pct"/>
            <w:tcBorders>
              <w:top w:val="nil"/>
              <w:left w:val="nil"/>
              <w:bottom w:val="single" w:sz="12" w:space="0" w:color="000000"/>
              <w:right w:val="nil"/>
            </w:tcBorders>
            <w:vAlign w:val="bottom"/>
            <w:hideMark/>
          </w:tcPr>
          <w:p w:rsidR="00281F97" w:rsidRPr="00CD3D8B" w:rsidRDefault="00765F6E" w:rsidP="00281F97">
            <w:pPr>
              <w:pStyle w:val="BStablefigures1"/>
              <w:rPr>
                <w:lang w:eastAsia="en-US"/>
              </w:rPr>
            </w:pPr>
            <w:r w:rsidRPr="00CD3D8B">
              <w:t>70,000</w:t>
            </w:r>
          </w:p>
        </w:tc>
        <w:tc>
          <w:tcPr>
            <w:tcW w:w="764" w:type="pct"/>
            <w:tcBorders>
              <w:top w:val="nil"/>
              <w:left w:val="nil"/>
              <w:bottom w:val="single" w:sz="12" w:space="0" w:color="000000"/>
              <w:right w:val="nil"/>
            </w:tcBorders>
            <w:vAlign w:val="bottom"/>
            <w:hideMark/>
          </w:tcPr>
          <w:p w:rsidR="00281F97" w:rsidRPr="00CD3D8B" w:rsidRDefault="00765F6E" w:rsidP="00281F97">
            <w:pPr>
              <w:pStyle w:val="BStablefigures1"/>
            </w:pPr>
            <w:r w:rsidRPr="00CD3D8B">
              <w:t>63,000</w:t>
            </w:r>
          </w:p>
        </w:tc>
        <w:tc>
          <w:tcPr>
            <w:tcW w:w="762" w:type="pct"/>
            <w:tcBorders>
              <w:top w:val="nil"/>
              <w:left w:val="nil"/>
              <w:bottom w:val="single" w:sz="12" w:space="0" w:color="000000"/>
              <w:right w:val="nil"/>
            </w:tcBorders>
            <w:vAlign w:val="bottom"/>
            <w:hideMark/>
          </w:tcPr>
          <w:p w:rsidR="00281F97" w:rsidRPr="00CD3D8B" w:rsidRDefault="00765F6E" w:rsidP="00281F97">
            <w:pPr>
              <w:pStyle w:val="BStablefigures1"/>
              <w:rPr>
                <w:lang w:eastAsia="en-US"/>
              </w:rPr>
            </w:pPr>
            <w:r w:rsidRPr="00CD3D8B">
              <w:t>70,000</w:t>
            </w:r>
          </w:p>
        </w:tc>
      </w:tr>
    </w:tbl>
    <w:p w:rsidR="00281F97" w:rsidRDefault="00765F6E" w:rsidP="00281F97">
      <w:pPr>
        <w:pStyle w:val="BSnote1"/>
        <w:rPr>
          <w:sz w:val="16"/>
        </w:rPr>
      </w:pPr>
      <w:r>
        <w:rPr>
          <w:sz w:val="16"/>
        </w:rPr>
        <w:t>Note</w:t>
      </w:r>
      <w:r w:rsidR="000915B5">
        <w:rPr>
          <w:sz w:val="16"/>
        </w:rPr>
        <w:t>s</w:t>
      </w:r>
      <w:r>
        <w:rPr>
          <w:sz w:val="16"/>
        </w:rPr>
        <w:t>:</w:t>
      </w:r>
    </w:p>
    <w:p w:rsidR="00281F97" w:rsidRPr="008A72BD" w:rsidRDefault="00765F6E" w:rsidP="00CA0839">
      <w:pPr>
        <w:pStyle w:val="BSnoteslist20"/>
        <w:numPr>
          <w:ilvl w:val="0"/>
          <w:numId w:val="52"/>
        </w:numPr>
        <w:rPr>
          <w:sz w:val="16"/>
          <w:szCs w:val="16"/>
        </w:rPr>
      </w:pPr>
      <w:r w:rsidRPr="008A72BD">
        <w:rPr>
          <w:sz w:val="16"/>
          <w:szCs w:val="16"/>
        </w:rPr>
        <w:t xml:space="preserve">Health assessments are made under Section 68 of the </w:t>
      </w:r>
      <w:r w:rsidRPr="008A72BD">
        <w:rPr>
          <w:i/>
          <w:sz w:val="16"/>
          <w:szCs w:val="16"/>
        </w:rPr>
        <w:t>Corrections Management Act 2007</w:t>
      </w:r>
      <w:r w:rsidRPr="008A72BD">
        <w:rPr>
          <w:sz w:val="16"/>
          <w:szCs w:val="16"/>
        </w:rPr>
        <w:t>.</w:t>
      </w:r>
    </w:p>
    <w:p w:rsidR="00281F97" w:rsidRDefault="00765F6E" w:rsidP="00281F97">
      <w:pPr>
        <w:pStyle w:val="BSnoteslist20"/>
        <w:rPr>
          <w:sz w:val="16"/>
          <w:szCs w:val="16"/>
        </w:rPr>
      </w:pPr>
      <w:r>
        <w:rPr>
          <w:sz w:val="16"/>
          <w:szCs w:val="16"/>
        </w:rPr>
        <w:t xml:space="preserve">This assessment is made under Section 160 of the </w:t>
      </w:r>
      <w:r>
        <w:rPr>
          <w:i/>
          <w:sz w:val="16"/>
          <w:szCs w:val="16"/>
        </w:rPr>
        <w:t>Children and Young People Act 2008</w:t>
      </w:r>
      <w:r>
        <w:rPr>
          <w:sz w:val="16"/>
          <w:szCs w:val="16"/>
        </w:rPr>
        <w:t>.</w:t>
      </w:r>
    </w:p>
    <w:p w:rsidR="00281F97" w:rsidRDefault="00765F6E" w:rsidP="00281F97">
      <w:pPr>
        <w:pStyle w:val="BSnoteslist20"/>
        <w:rPr>
          <w:sz w:val="16"/>
          <w:szCs w:val="16"/>
        </w:rPr>
      </w:pPr>
      <w:r>
        <w:rPr>
          <w:sz w:val="16"/>
          <w:szCs w:val="16"/>
        </w:rPr>
        <w:t>The overachievement in 2017–18 is attributed to the increased demand for health services in response to the increased number of detainees at the Alexander Maconochie Centre.</w:t>
      </w:r>
    </w:p>
    <w:p w:rsidR="00281F97" w:rsidRDefault="00765F6E" w:rsidP="00281F97">
      <w:pPr>
        <w:pStyle w:val="BSnoteslist20"/>
        <w:rPr>
          <w:sz w:val="16"/>
          <w:szCs w:val="16"/>
        </w:rPr>
      </w:pPr>
      <w:r>
        <w:rPr>
          <w:sz w:val="16"/>
          <w:szCs w:val="16"/>
        </w:rPr>
        <w:t xml:space="preserve">There are privately prescribed clients who use ACT Health services as a dosage point only and are not on an ACT Health Management Plan.  </w:t>
      </w:r>
    </w:p>
    <w:p w:rsidR="00281F97" w:rsidRDefault="00765F6E" w:rsidP="00281F97">
      <w:pPr>
        <w:pStyle w:val="BSnoteslist20"/>
        <w:rPr>
          <w:sz w:val="16"/>
          <w:szCs w:val="16"/>
        </w:rPr>
      </w:pPr>
      <w:r>
        <w:rPr>
          <w:sz w:val="16"/>
          <w:szCs w:val="16"/>
        </w:rPr>
        <w:t>The program has experienced staff shortages with the allied health workforce throughout the year which impacts on service availability.</w:t>
      </w:r>
    </w:p>
    <w:p w:rsidR="00281F97" w:rsidRDefault="00281F97" w:rsidP="00281F97">
      <w:pPr>
        <w:pStyle w:val="BSnoteslist3"/>
        <w:numPr>
          <w:ilvl w:val="0"/>
          <w:numId w:val="0"/>
        </w:numPr>
        <w:ind w:left="360"/>
      </w:pPr>
    </w:p>
    <w:p w:rsidR="00281F97" w:rsidRDefault="00281F97" w:rsidP="00281F97">
      <w:pPr>
        <w:pStyle w:val="Normal5"/>
        <w:spacing w:before="0" w:after="0"/>
        <w:rPr>
          <w:b/>
          <w:bCs/>
          <w:snapToGrid w:val="0"/>
          <w:sz w:val="32"/>
        </w:rPr>
      </w:pPr>
    </w:p>
    <w:p w:rsidR="00281F97" w:rsidRDefault="00765F6E" w:rsidP="00281F97">
      <w:pPr>
        <w:pStyle w:val="Heading41"/>
      </w:pPr>
      <w:r>
        <w:t xml:space="preserve">Output 1.3: </w:t>
      </w:r>
      <w:r w:rsidRPr="00E33D44">
        <w:t>Population Health</w:t>
      </w:r>
    </w:p>
    <w:p w:rsidR="00281F97" w:rsidRDefault="00765F6E" w:rsidP="00281F97">
      <w:pPr>
        <w:pStyle w:val="Caption20"/>
        <w:rPr>
          <w:noProof/>
        </w:rPr>
      </w:pPr>
      <w:r>
        <w:t>Table 2</w:t>
      </w:r>
      <w:r w:rsidR="00141A32">
        <w:t>5</w:t>
      </w:r>
      <w:r>
        <w:rPr>
          <w:noProof/>
        </w:rPr>
        <w:t>:</w:t>
      </w:r>
      <w:r w:rsidR="00B21B97">
        <w:t xml:space="preserve"> Accountability I</w:t>
      </w:r>
      <w:r>
        <w:t>ndicators</w:t>
      </w:r>
      <w:r w:rsidR="00B21B97">
        <w:rPr>
          <w:noProof/>
        </w:rPr>
        <w:t xml:space="preserve"> O</w:t>
      </w:r>
      <w:r>
        <w:rPr>
          <w:noProof/>
        </w:rPr>
        <w:t>utput 1.3</w:t>
      </w:r>
    </w:p>
    <w:tbl>
      <w:tblPr>
        <w:tblW w:w="5000" w:type="pct"/>
        <w:tblBorders>
          <w:top w:val="single" w:sz="12" w:space="0" w:color="000000"/>
          <w:bottom w:val="single" w:sz="12" w:space="0" w:color="000000"/>
        </w:tblBorders>
        <w:tblLook w:val="04A0" w:firstRow="1" w:lastRow="0" w:firstColumn="1" w:lastColumn="0" w:noHBand="0" w:noVBand="1"/>
      </w:tblPr>
      <w:tblGrid>
        <w:gridCol w:w="4343"/>
        <w:gridCol w:w="1560"/>
        <w:gridCol w:w="1560"/>
        <w:gridCol w:w="1563"/>
      </w:tblGrid>
      <w:tr w:rsidR="005A051A" w:rsidTr="00281F97">
        <w:trPr>
          <w:tblHeader/>
        </w:trPr>
        <w:tc>
          <w:tcPr>
            <w:tcW w:w="2406" w:type="pct"/>
            <w:tcBorders>
              <w:top w:val="single" w:sz="12" w:space="0" w:color="000000"/>
              <w:left w:val="nil"/>
              <w:bottom w:val="single" w:sz="12" w:space="0" w:color="000000"/>
              <w:right w:val="nil"/>
            </w:tcBorders>
          </w:tcPr>
          <w:p w:rsidR="005A051A" w:rsidRDefault="005A051A" w:rsidP="005A051A">
            <w:pPr>
              <w:pStyle w:val="BStabletext1"/>
            </w:pPr>
          </w:p>
        </w:tc>
        <w:tc>
          <w:tcPr>
            <w:tcW w:w="864" w:type="pct"/>
            <w:tcBorders>
              <w:top w:val="single" w:sz="12" w:space="0" w:color="000000"/>
              <w:left w:val="nil"/>
              <w:bottom w:val="single" w:sz="12" w:space="0" w:color="000000"/>
              <w:right w:val="nil"/>
            </w:tcBorders>
            <w:vAlign w:val="bottom"/>
            <w:hideMark/>
          </w:tcPr>
          <w:p w:rsidR="005A051A" w:rsidRDefault="005A051A" w:rsidP="005A051A">
            <w:pPr>
              <w:pStyle w:val="BStableheading11"/>
              <w:framePr w:wrap="auto" w:vAnchor="margin" w:yAlign="inline"/>
            </w:pPr>
            <w:r>
              <w:t>2017–18</w:t>
            </w:r>
          </w:p>
          <w:p w:rsidR="005A051A" w:rsidRDefault="005A051A" w:rsidP="005A051A">
            <w:pPr>
              <w:pStyle w:val="BStableheading11"/>
              <w:framePr w:wrap="auto" w:vAnchor="margin" w:yAlign="inline"/>
            </w:pPr>
            <w:r>
              <w:t>Targets</w:t>
            </w:r>
          </w:p>
          <w:p w:rsidR="00A244C9" w:rsidRDefault="00A244C9" w:rsidP="005A051A">
            <w:pPr>
              <w:pStyle w:val="BStableheading11"/>
              <w:framePr w:wrap="auto" w:vAnchor="margin" w:yAlign="inline"/>
            </w:pPr>
          </w:p>
        </w:tc>
        <w:tc>
          <w:tcPr>
            <w:tcW w:w="864" w:type="pct"/>
            <w:tcBorders>
              <w:top w:val="single" w:sz="12" w:space="0" w:color="000000"/>
              <w:left w:val="nil"/>
              <w:bottom w:val="single" w:sz="12" w:space="0" w:color="000000"/>
              <w:right w:val="nil"/>
            </w:tcBorders>
            <w:vAlign w:val="bottom"/>
            <w:hideMark/>
          </w:tcPr>
          <w:p w:rsidR="005A051A" w:rsidRDefault="005A051A" w:rsidP="005A051A">
            <w:pPr>
              <w:pStyle w:val="BStableheading11"/>
              <w:framePr w:wrap="auto" w:vAnchor="margin" w:yAlign="inline"/>
            </w:pPr>
            <w:r>
              <w:t>2017–18</w:t>
            </w:r>
          </w:p>
          <w:p w:rsidR="005A051A" w:rsidRDefault="005A051A" w:rsidP="005A051A">
            <w:pPr>
              <w:pStyle w:val="BStableheading11"/>
              <w:framePr w:wrap="auto" w:vAnchor="margin" w:yAlign="inline"/>
            </w:pPr>
            <w:r>
              <w:t>Estimated Outcome</w:t>
            </w:r>
          </w:p>
        </w:tc>
        <w:tc>
          <w:tcPr>
            <w:tcW w:w="866" w:type="pct"/>
            <w:tcBorders>
              <w:top w:val="single" w:sz="12" w:space="0" w:color="000000"/>
              <w:left w:val="nil"/>
              <w:bottom w:val="single" w:sz="12" w:space="0" w:color="000000"/>
              <w:right w:val="nil"/>
            </w:tcBorders>
            <w:vAlign w:val="bottom"/>
            <w:hideMark/>
          </w:tcPr>
          <w:p w:rsidR="005A051A" w:rsidRDefault="005A051A" w:rsidP="005A051A">
            <w:pPr>
              <w:pStyle w:val="BStableheading11"/>
              <w:framePr w:wrap="auto" w:vAnchor="margin" w:yAlign="inline"/>
            </w:pPr>
            <w:r>
              <w:t>2018–19</w:t>
            </w:r>
          </w:p>
          <w:p w:rsidR="005A051A" w:rsidRDefault="005A051A" w:rsidP="005A051A">
            <w:pPr>
              <w:pStyle w:val="BStableheading11"/>
              <w:framePr w:wrap="auto" w:vAnchor="margin" w:yAlign="inline"/>
            </w:pPr>
            <w:r>
              <w:t>Targets</w:t>
            </w:r>
          </w:p>
          <w:p w:rsidR="00A244C9" w:rsidRDefault="00A244C9" w:rsidP="005A051A">
            <w:pPr>
              <w:pStyle w:val="BStableheading11"/>
              <w:framePr w:wrap="auto" w:vAnchor="margin" w:yAlign="inline"/>
            </w:pPr>
          </w:p>
        </w:tc>
      </w:tr>
      <w:tr w:rsidR="00237D6F" w:rsidTr="00281F97">
        <w:tc>
          <w:tcPr>
            <w:tcW w:w="5000" w:type="pct"/>
            <w:gridSpan w:val="4"/>
            <w:tcBorders>
              <w:top w:val="single" w:sz="12" w:space="0" w:color="000000"/>
              <w:left w:val="nil"/>
              <w:bottom w:val="nil"/>
              <w:right w:val="nil"/>
            </w:tcBorders>
            <w:vAlign w:val="bottom"/>
            <w:hideMark/>
          </w:tcPr>
          <w:p w:rsidR="00281F97" w:rsidRDefault="00281F97">
            <w:pPr>
              <w:pStyle w:val="Normal5"/>
            </w:pPr>
          </w:p>
        </w:tc>
      </w:tr>
      <w:tr w:rsidR="00237D6F" w:rsidTr="00281F97">
        <w:trPr>
          <w:trHeight w:val="283"/>
        </w:trPr>
        <w:tc>
          <w:tcPr>
            <w:tcW w:w="2406" w:type="pct"/>
            <w:tcBorders>
              <w:top w:val="nil"/>
              <w:left w:val="nil"/>
              <w:bottom w:val="nil"/>
              <w:right w:val="nil"/>
            </w:tcBorders>
            <w:hideMark/>
          </w:tcPr>
          <w:p w:rsidR="00281F97" w:rsidRDefault="00765F6E" w:rsidP="00CA0839">
            <w:pPr>
              <w:pStyle w:val="BStablelist"/>
              <w:numPr>
                <w:ilvl w:val="0"/>
                <w:numId w:val="32"/>
              </w:numPr>
            </w:pPr>
            <w:r>
              <w:t>Samples analysed</w:t>
            </w:r>
          </w:p>
        </w:tc>
        <w:tc>
          <w:tcPr>
            <w:tcW w:w="864" w:type="pct"/>
            <w:tcBorders>
              <w:top w:val="nil"/>
              <w:left w:val="nil"/>
              <w:bottom w:val="nil"/>
              <w:right w:val="nil"/>
            </w:tcBorders>
            <w:vAlign w:val="bottom"/>
            <w:hideMark/>
          </w:tcPr>
          <w:p w:rsidR="00281F97" w:rsidRDefault="00765F6E">
            <w:pPr>
              <w:pStyle w:val="BStablefigures10"/>
            </w:pPr>
            <w:r>
              <w:t>11,500</w:t>
            </w:r>
          </w:p>
        </w:tc>
        <w:tc>
          <w:tcPr>
            <w:tcW w:w="864" w:type="pct"/>
            <w:tcBorders>
              <w:top w:val="nil"/>
              <w:left w:val="nil"/>
              <w:bottom w:val="nil"/>
              <w:right w:val="nil"/>
            </w:tcBorders>
            <w:vAlign w:val="bottom"/>
            <w:hideMark/>
          </w:tcPr>
          <w:p w:rsidR="00281F97" w:rsidRPr="00CD3D8B" w:rsidRDefault="00765F6E">
            <w:pPr>
              <w:pStyle w:val="BStablefigures1"/>
            </w:pPr>
            <w:r w:rsidRPr="00CD3D8B">
              <w:t>12,000</w:t>
            </w:r>
          </w:p>
        </w:tc>
        <w:tc>
          <w:tcPr>
            <w:tcW w:w="866" w:type="pct"/>
            <w:tcBorders>
              <w:top w:val="nil"/>
              <w:left w:val="nil"/>
              <w:bottom w:val="nil"/>
              <w:right w:val="nil"/>
            </w:tcBorders>
            <w:vAlign w:val="bottom"/>
            <w:hideMark/>
          </w:tcPr>
          <w:p w:rsidR="00281F97" w:rsidRPr="00CD3D8B" w:rsidRDefault="00765F6E">
            <w:pPr>
              <w:pStyle w:val="BStablefigures1"/>
            </w:pPr>
            <w:r w:rsidRPr="00CD3D8B">
              <w:t>11,500</w:t>
            </w:r>
          </w:p>
        </w:tc>
      </w:tr>
      <w:tr w:rsidR="00237D6F" w:rsidTr="00281F97">
        <w:trPr>
          <w:trHeight w:val="283"/>
        </w:trPr>
        <w:tc>
          <w:tcPr>
            <w:tcW w:w="2406" w:type="pct"/>
            <w:tcBorders>
              <w:top w:val="nil"/>
              <w:left w:val="nil"/>
              <w:bottom w:val="nil"/>
              <w:right w:val="nil"/>
            </w:tcBorders>
            <w:hideMark/>
          </w:tcPr>
          <w:p w:rsidR="00281F97" w:rsidRDefault="00765F6E" w:rsidP="00CA0839">
            <w:pPr>
              <w:pStyle w:val="BStablelist"/>
              <w:numPr>
                <w:ilvl w:val="0"/>
                <w:numId w:val="29"/>
              </w:numPr>
            </w:pPr>
            <w:r>
              <w:t>Total number of inspections and proactive site visits of food business</w:t>
            </w:r>
          </w:p>
        </w:tc>
        <w:tc>
          <w:tcPr>
            <w:tcW w:w="864" w:type="pct"/>
            <w:tcBorders>
              <w:top w:val="nil"/>
              <w:left w:val="nil"/>
              <w:bottom w:val="nil"/>
              <w:right w:val="nil"/>
            </w:tcBorders>
            <w:vAlign w:val="bottom"/>
            <w:hideMark/>
          </w:tcPr>
          <w:p w:rsidR="00281F97" w:rsidRDefault="00765F6E">
            <w:pPr>
              <w:pStyle w:val="BStablefigures10"/>
            </w:pPr>
            <w:r>
              <w:t>2,500</w:t>
            </w:r>
          </w:p>
        </w:tc>
        <w:tc>
          <w:tcPr>
            <w:tcW w:w="864" w:type="pct"/>
            <w:tcBorders>
              <w:top w:val="nil"/>
              <w:left w:val="nil"/>
              <w:bottom w:val="nil"/>
              <w:right w:val="nil"/>
            </w:tcBorders>
            <w:vAlign w:val="bottom"/>
            <w:hideMark/>
          </w:tcPr>
          <w:p w:rsidR="00281F97" w:rsidRPr="00CD3D8B" w:rsidRDefault="00765F6E">
            <w:pPr>
              <w:pStyle w:val="BStablefigures1"/>
            </w:pPr>
            <w:r w:rsidRPr="00CD3D8B">
              <w:t>2,500</w:t>
            </w:r>
          </w:p>
        </w:tc>
        <w:tc>
          <w:tcPr>
            <w:tcW w:w="866" w:type="pct"/>
            <w:tcBorders>
              <w:top w:val="nil"/>
              <w:left w:val="nil"/>
              <w:bottom w:val="nil"/>
              <w:right w:val="nil"/>
            </w:tcBorders>
            <w:vAlign w:val="bottom"/>
            <w:hideMark/>
          </w:tcPr>
          <w:p w:rsidR="00281F97" w:rsidRPr="00CD3D8B" w:rsidRDefault="00765F6E">
            <w:pPr>
              <w:pStyle w:val="BStablefigures1"/>
            </w:pPr>
            <w:r w:rsidRPr="00CD3D8B">
              <w:t>2,500</w:t>
            </w:r>
          </w:p>
        </w:tc>
      </w:tr>
      <w:tr w:rsidR="00237D6F" w:rsidTr="00281F97">
        <w:trPr>
          <w:trHeight w:val="283"/>
        </w:trPr>
        <w:tc>
          <w:tcPr>
            <w:tcW w:w="2406" w:type="pct"/>
            <w:tcBorders>
              <w:top w:val="nil"/>
              <w:left w:val="nil"/>
              <w:bottom w:val="nil"/>
              <w:right w:val="nil"/>
            </w:tcBorders>
            <w:hideMark/>
          </w:tcPr>
          <w:p w:rsidR="00281F97" w:rsidRDefault="00765F6E" w:rsidP="00CA0839">
            <w:pPr>
              <w:pStyle w:val="BStablelist"/>
              <w:numPr>
                <w:ilvl w:val="0"/>
                <w:numId w:val="29"/>
              </w:numPr>
            </w:pPr>
            <w:r>
              <w:t xml:space="preserve">Number of teachers who complete </w:t>
            </w:r>
            <w:proofErr w:type="spellStart"/>
            <w:r>
              <w:t>Food&amp;Me</w:t>
            </w:r>
            <w:proofErr w:type="spellEnd"/>
            <w:r>
              <w:t xml:space="preserve"> training</w:t>
            </w:r>
          </w:p>
        </w:tc>
        <w:tc>
          <w:tcPr>
            <w:tcW w:w="864" w:type="pct"/>
            <w:tcBorders>
              <w:top w:val="nil"/>
              <w:left w:val="nil"/>
              <w:bottom w:val="nil"/>
              <w:right w:val="nil"/>
            </w:tcBorders>
            <w:vAlign w:val="bottom"/>
            <w:hideMark/>
          </w:tcPr>
          <w:p w:rsidR="00281F97" w:rsidRDefault="00765F6E">
            <w:pPr>
              <w:pStyle w:val="BStablefigures10"/>
            </w:pPr>
            <w:r>
              <w:t>300</w:t>
            </w:r>
          </w:p>
        </w:tc>
        <w:tc>
          <w:tcPr>
            <w:tcW w:w="864" w:type="pct"/>
            <w:tcBorders>
              <w:top w:val="nil"/>
              <w:left w:val="nil"/>
              <w:bottom w:val="nil"/>
              <w:right w:val="nil"/>
            </w:tcBorders>
            <w:vAlign w:val="bottom"/>
            <w:hideMark/>
          </w:tcPr>
          <w:p w:rsidR="00281F97" w:rsidRPr="00CD3D8B" w:rsidRDefault="00765F6E">
            <w:pPr>
              <w:pStyle w:val="BStablefigures1"/>
            </w:pPr>
            <w:r w:rsidRPr="00CD3D8B">
              <w:t>300</w:t>
            </w:r>
          </w:p>
        </w:tc>
        <w:tc>
          <w:tcPr>
            <w:tcW w:w="866" w:type="pct"/>
            <w:tcBorders>
              <w:top w:val="nil"/>
              <w:left w:val="nil"/>
              <w:bottom w:val="nil"/>
              <w:right w:val="nil"/>
            </w:tcBorders>
            <w:vAlign w:val="bottom"/>
            <w:hideMark/>
          </w:tcPr>
          <w:p w:rsidR="00281F97" w:rsidRPr="00CD3D8B" w:rsidRDefault="00765F6E">
            <w:pPr>
              <w:pStyle w:val="BStablefigures1"/>
            </w:pPr>
            <w:r>
              <w:t>3</w:t>
            </w:r>
            <w:r w:rsidRPr="00CD3D8B">
              <w:t>00</w:t>
            </w:r>
          </w:p>
        </w:tc>
      </w:tr>
      <w:tr w:rsidR="00237D6F" w:rsidTr="00281F97">
        <w:trPr>
          <w:trHeight w:val="283"/>
        </w:trPr>
        <w:tc>
          <w:tcPr>
            <w:tcW w:w="2406" w:type="pct"/>
            <w:tcBorders>
              <w:top w:val="nil"/>
              <w:left w:val="nil"/>
              <w:bottom w:val="nil"/>
              <w:right w:val="nil"/>
            </w:tcBorders>
            <w:hideMark/>
          </w:tcPr>
          <w:p w:rsidR="00281F97" w:rsidRDefault="00765F6E" w:rsidP="00CA0839">
            <w:pPr>
              <w:pStyle w:val="BStablelist"/>
              <w:numPr>
                <w:ilvl w:val="0"/>
                <w:numId w:val="29"/>
              </w:numPr>
            </w:pPr>
            <w:r>
              <w:t>Number of It’s Your Move schools recruited to the Program</w:t>
            </w:r>
          </w:p>
        </w:tc>
        <w:tc>
          <w:tcPr>
            <w:tcW w:w="864" w:type="pct"/>
            <w:tcBorders>
              <w:top w:val="nil"/>
              <w:left w:val="nil"/>
              <w:bottom w:val="nil"/>
              <w:right w:val="nil"/>
            </w:tcBorders>
            <w:vAlign w:val="bottom"/>
            <w:hideMark/>
          </w:tcPr>
          <w:p w:rsidR="00281F97" w:rsidRDefault="00765F6E">
            <w:pPr>
              <w:pStyle w:val="BStablefigures10"/>
            </w:pPr>
            <w:r>
              <w:t>12</w:t>
            </w:r>
          </w:p>
        </w:tc>
        <w:tc>
          <w:tcPr>
            <w:tcW w:w="864" w:type="pct"/>
            <w:tcBorders>
              <w:top w:val="nil"/>
              <w:left w:val="nil"/>
              <w:bottom w:val="nil"/>
              <w:right w:val="nil"/>
            </w:tcBorders>
            <w:vAlign w:val="bottom"/>
            <w:hideMark/>
          </w:tcPr>
          <w:p w:rsidR="00281F97" w:rsidRPr="00CD3D8B" w:rsidRDefault="00765F6E">
            <w:pPr>
              <w:pStyle w:val="BStablefigures1"/>
            </w:pPr>
            <w:r w:rsidRPr="00CD3D8B">
              <w:t>14</w:t>
            </w:r>
          </w:p>
        </w:tc>
        <w:tc>
          <w:tcPr>
            <w:tcW w:w="866" w:type="pct"/>
            <w:tcBorders>
              <w:top w:val="nil"/>
              <w:left w:val="nil"/>
              <w:bottom w:val="nil"/>
              <w:right w:val="nil"/>
            </w:tcBorders>
            <w:vAlign w:val="bottom"/>
            <w:hideMark/>
          </w:tcPr>
          <w:p w:rsidR="00281F97" w:rsidRPr="00CD3D8B" w:rsidRDefault="00765F6E">
            <w:pPr>
              <w:pStyle w:val="BStablefigures1"/>
            </w:pPr>
            <w:r>
              <w:t>12</w:t>
            </w:r>
          </w:p>
        </w:tc>
      </w:tr>
      <w:tr w:rsidR="00237D6F" w:rsidTr="00281F97">
        <w:trPr>
          <w:trHeight w:val="283"/>
        </w:trPr>
        <w:tc>
          <w:tcPr>
            <w:tcW w:w="2406" w:type="pct"/>
            <w:tcBorders>
              <w:top w:val="nil"/>
              <w:left w:val="nil"/>
              <w:bottom w:val="single" w:sz="12" w:space="0" w:color="000000"/>
              <w:right w:val="nil"/>
            </w:tcBorders>
            <w:hideMark/>
          </w:tcPr>
          <w:p w:rsidR="00281F97" w:rsidRDefault="00765F6E" w:rsidP="00CA0839">
            <w:pPr>
              <w:pStyle w:val="BStablelist"/>
              <w:numPr>
                <w:ilvl w:val="0"/>
                <w:numId w:val="29"/>
              </w:numPr>
            </w:pPr>
            <w:r>
              <w:t>Immunisation coverage for the primary immunisation schedule measured at 1 year of age, in accordance with the Australian Childhood Immunisation Register</w:t>
            </w:r>
          </w:p>
        </w:tc>
        <w:tc>
          <w:tcPr>
            <w:tcW w:w="864" w:type="pct"/>
            <w:tcBorders>
              <w:top w:val="nil"/>
              <w:left w:val="nil"/>
              <w:bottom w:val="single" w:sz="12" w:space="0" w:color="000000"/>
              <w:right w:val="nil"/>
            </w:tcBorders>
            <w:vAlign w:val="bottom"/>
            <w:hideMark/>
          </w:tcPr>
          <w:p w:rsidR="00281F97" w:rsidRDefault="00765F6E">
            <w:pPr>
              <w:pStyle w:val="BStablefigures10"/>
            </w:pPr>
            <w:r>
              <w:t>95%</w:t>
            </w:r>
          </w:p>
        </w:tc>
        <w:tc>
          <w:tcPr>
            <w:tcW w:w="864" w:type="pct"/>
            <w:tcBorders>
              <w:top w:val="nil"/>
              <w:left w:val="nil"/>
              <w:bottom w:val="single" w:sz="12" w:space="0" w:color="000000"/>
              <w:right w:val="nil"/>
            </w:tcBorders>
            <w:vAlign w:val="bottom"/>
            <w:hideMark/>
          </w:tcPr>
          <w:p w:rsidR="00281F97" w:rsidRPr="00CD3D8B" w:rsidRDefault="00765F6E">
            <w:pPr>
              <w:pStyle w:val="BStablefigures1"/>
            </w:pPr>
            <w:r w:rsidRPr="00CD3D8B">
              <w:t>95%</w:t>
            </w:r>
          </w:p>
        </w:tc>
        <w:tc>
          <w:tcPr>
            <w:tcW w:w="866" w:type="pct"/>
            <w:tcBorders>
              <w:top w:val="nil"/>
              <w:left w:val="nil"/>
              <w:bottom w:val="single" w:sz="12" w:space="0" w:color="000000"/>
              <w:right w:val="nil"/>
            </w:tcBorders>
            <w:vAlign w:val="bottom"/>
            <w:hideMark/>
          </w:tcPr>
          <w:p w:rsidR="00281F97" w:rsidRPr="00CD3D8B" w:rsidRDefault="00765F6E">
            <w:pPr>
              <w:pStyle w:val="BStablefigures1"/>
            </w:pPr>
            <w:r w:rsidRPr="00CD3D8B">
              <w:t>95%</w:t>
            </w:r>
          </w:p>
        </w:tc>
      </w:tr>
    </w:tbl>
    <w:p w:rsidR="00281F97" w:rsidRDefault="00765F6E" w:rsidP="00281F97">
      <w:pPr>
        <w:pStyle w:val="Heading41"/>
      </w:pPr>
      <w:r>
        <w:lastRenderedPageBreak/>
        <w:t xml:space="preserve">Output 1.4: </w:t>
      </w:r>
      <w:r w:rsidRPr="00E33D44">
        <w:t>Cancer Services</w:t>
      </w:r>
    </w:p>
    <w:p w:rsidR="00281F97" w:rsidRDefault="00765F6E" w:rsidP="00281F97">
      <w:pPr>
        <w:pStyle w:val="Caption20"/>
        <w:rPr>
          <w:noProof/>
        </w:rPr>
      </w:pPr>
      <w:r>
        <w:t>Table 2</w:t>
      </w:r>
      <w:r w:rsidR="00141A32">
        <w:t>6</w:t>
      </w:r>
      <w:r>
        <w:rPr>
          <w:noProof/>
        </w:rPr>
        <w:t>:</w:t>
      </w:r>
      <w:r w:rsidR="00B21B97">
        <w:t xml:space="preserve"> Accountability I</w:t>
      </w:r>
      <w:r>
        <w:t>ndicators</w:t>
      </w:r>
      <w:r w:rsidR="00B21B97">
        <w:rPr>
          <w:noProof/>
        </w:rPr>
        <w:t xml:space="preserve"> O</w:t>
      </w:r>
      <w:r>
        <w:rPr>
          <w:noProof/>
        </w:rPr>
        <w:t>utput 1.4</w:t>
      </w:r>
    </w:p>
    <w:tbl>
      <w:tblPr>
        <w:tblW w:w="5000" w:type="pct"/>
        <w:tblBorders>
          <w:top w:val="single" w:sz="12" w:space="0" w:color="000000"/>
          <w:bottom w:val="single" w:sz="12" w:space="0" w:color="000000"/>
        </w:tblBorders>
        <w:tblLook w:val="04A0" w:firstRow="1" w:lastRow="0" w:firstColumn="1" w:lastColumn="0" w:noHBand="0" w:noVBand="1"/>
      </w:tblPr>
      <w:tblGrid>
        <w:gridCol w:w="4343"/>
        <w:gridCol w:w="1560"/>
        <w:gridCol w:w="1560"/>
        <w:gridCol w:w="1563"/>
      </w:tblGrid>
      <w:tr w:rsidR="005A051A" w:rsidTr="00281F97">
        <w:trPr>
          <w:tblHeader/>
        </w:trPr>
        <w:tc>
          <w:tcPr>
            <w:tcW w:w="2406" w:type="pct"/>
            <w:tcBorders>
              <w:top w:val="single" w:sz="12" w:space="0" w:color="000000"/>
              <w:left w:val="nil"/>
              <w:bottom w:val="single" w:sz="12" w:space="0" w:color="000000"/>
              <w:right w:val="nil"/>
            </w:tcBorders>
          </w:tcPr>
          <w:p w:rsidR="005A051A" w:rsidRDefault="005A051A" w:rsidP="005A051A">
            <w:pPr>
              <w:pStyle w:val="BStabletext1"/>
            </w:pPr>
          </w:p>
        </w:tc>
        <w:tc>
          <w:tcPr>
            <w:tcW w:w="864" w:type="pct"/>
            <w:tcBorders>
              <w:top w:val="single" w:sz="12" w:space="0" w:color="000000"/>
              <w:left w:val="nil"/>
              <w:bottom w:val="single" w:sz="12" w:space="0" w:color="000000"/>
              <w:right w:val="nil"/>
            </w:tcBorders>
            <w:vAlign w:val="bottom"/>
            <w:hideMark/>
          </w:tcPr>
          <w:p w:rsidR="005A051A" w:rsidRDefault="005A051A" w:rsidP="005A051A">
            <w:pPr>
              <w:pStyle w:val="BStableheading11"/>
              <w:framePr w:wrap="auto" w:vAnchor="margin" w:yAlign="inline"/>
            </w:pPr>
            <w:r>
              <w:t>2017–18</w:t>
            </w:r>
          </w:p>
          <w:p w:rsidR="005A051A" w:rsidRDefault="005A051A" w:rsidP="005A051A">
            <w:pPr>
              <w:pStyle w:val="BStableheading11"/>
              <w:framePr w:wrap="auto" w:vAnchor="margin" w:yAlign="inline"/>
            </w:pPr>
            <w:r>
              <w:t>Targets</w:t>
            </w:r>
          </w:p>
          <w:p w:rsidR="00A244C9" w:rsidRDefault="00A244C9" w:rsidP="005A051A">
            <w:pPr>
              <w:pStyle w:val="BStableheading11"/>
              <w:framePr w:wrap="auto" w:vAnchor="margin" w:yAlign="inline"/>
            </w:pPr>
          </w:p>
        </w:tc>
        <w:tc>
          <w:tcPr>
            <w:tcW w:w="864" w:type="pct"/>
            <w:tcBorders>
              <w:top w:val="single" w:sz="12" w:space="0" w:color="000000"/>
              <w:left w:val="nil"/>
              <w:bottom w:val="single" w:sz="12" w:space="0" w:color="000000"/>
              <w:right w:val="nil"/>
            </w:tcBorders>
            <w:vAlign w:val="bottom"/>
            <w:hideMark/>
          </w:tcPr>
          <w:p w:rsidR="005A051A" w:rsidRDefault="005A051A" w:rsidP="005A051A">
            <w:pPr>
              <w:pStyle w:val="BStableheading11"/>
              <w:framePr w:wrap="auto" w:vAnchor="margin" w:yAlign="inline"/>
            </w:pPr>
            <w:r>
              <w:t>2017–18</w:t>
            </w:r>
          </w:p>
          <w:p w:rsidR="005A051A" w:rsidRDefault="005A051A" w:rsidP="005A051A">
            <w:pPr>
              <w:pStyle w:val="BStableheading11"/>
              <w:framePr w:wrap="auto" w:vAnchor="margin" w:yAlign="inline"/>
            </w:pPr>
            <w:r>
              <w:t>Estimated Outcome</w:t>
            </w:r>
          </w:p>
        </w:tc>
        <w:tc>
          <w:tcPr>
            <w:tcW w:w="866" w:type="pct"/>
            <w:tcBorders>
              <w:top w:val="single" w:sz="12" w:space="0" w:color="000000"/>
              <w:left w:val="nil"/>
              <w:bottom w:val="single" w:sz="12" w:space="0" w:color="000000"/>
              <w:right w:val="nil"/>
            </w:tcBorders>
            <w:vAlign w:val="bottom"/>
            <w:hideMark/>
          </w:tcPr>
          <w:p w:rsidR="005A051A" w:rsidRDefault="005A051A" w:rsidP="005A051A">
            <w:pPr>
              <w:pStyle w:val="BStableheading11"/>
              <w:framePr w:wrap="auto" w:vAnchor="margin" w:yAlign="inline"/>
            </w:pPr>
            <w:r>
              <w:t>2018–19</w:t>
            </w:r>
          </w:p>
          <w:p w:rsidR="005A051A" w:rsidRDefault="005A051A" w:rsidP="005A051A">
            <w:pPr>
              <w:pStyle w:val="BStableheading11"/>
              <w:framePr w:wrap="auto" w:vAnchor="margin" w:yAlign="inline"/>
            </w:pPr>
            <w:r>
              <w:t>Targets</w:t>
            </w:r>
          </w:p>
          <w:p w:rsidR="00A244C9" w:rsidRDefault="00A244C9" w:rsidP="005A051A">
            <w:pPr>
              <w:pStyle w:val="BStableheading11"/>
              <w:framePr w:wrap="auto" w:vAnchor="margin" w:yAlign="inline"/>
            </w:pPr>
          </w:p>
        </w:tc>
      </w:tr>
      <w:tr w:rsidR="00237D6F" w:rsidTr="00281F97">
        <w:tc>
          <w:tcPr>
            <w:tcW w:w="5000" w:type="pct"/>
            <w:gridSpan w:val="4"/>
            <w:tcBorders>
              <w:top w:val="single" w:sz="12" w:space="0" w:color="000000"/>
              <w:left w:val="nil"/>
              <w:bottom w:val="nil"/>
              <w:right w:val="nil"/>
            </w:tcBorders>
            <w:vAlign w:val="bottom"/>
            <w:hideMark/>
          </w:tcPr>
          <w:p w:rsidR="00281F97" w:rsidRDefault="00281F97">
            <w:pPr>
              <w:pStyle w:val="Normal5"/>
            </w:pPr>
          </w:p>
        </w:tc>
      </w:tr>
      <w:tr w:rsidR="00237D6F" w:rsidTr="00281F97">
        <w:trPr>
          <w:trHeight w:val="283"/>
        </w:trPr>
        <w:tc>
          <w:tcPr>
            <w:tcW w:w="2406" w:type="pct"/>
            <w:tcBorders>
              <w:top w:val="nil"/>
              <w:left w:val="nil"/>
              <w:bottom w:val="nil"/>
              <w:right w:val="nil"/>
            </w:tcBorders>
            <w:hideMark/>
          </w:tcPr>
          <w:p w:rsidR="00281F97" w:rsidRDefault="00765F6E" w:rsidP="00CA0839">
            <w:pPr>
              <w:pStyle w:val="BStablelist"/>
              <w:numPr>
                <w:ilvl w:val="0"/>
                <w:numId w:val="33"/>
              </w:numPr>
            </w:pPr>
            <w:r>
              <w:t>Total breast screens</w:t>
            </w:r>
          </w:p>
        </w:tc>
        <w:tc>
          <w:tcPr>
            <w:tcW w:w="864" w:type="pct"/>
            <w:tcBorders>
              <w:top w:val="nil"/>
              <w:left w:val="nil"/>
              <w:bottom w:val="nil"/>
              <w:right w:val="nil"/>
            </w:tcBorders>
            <w:vAlign w:val="bottom"/>
            <w:hideMark/>
          </w:tcPr>
          <w:p w:rsidR="00281F97" w:rsidRPr="00CD3D8B" w:rsidRDefault="00765F6E" w:rsidP="00281F97">
            <w:pPr>
              <w:pStyle w:val="BStablefigures1"/>
            </w:pPr>
            <w:r w:rsidRPr="00CD3D8B">
              <w:t>18,500</w:t>
            </w:r>
          </w:p>
        </w:tc>
        <w:tc>
          <w:tcPr>
            <w:tcW w:w="864" w:type="pct"/>
            <w:tcBorders>
              <w:top w:val="nil"/>
              <w:left w:val="nil"/>
              <w:bottom w:val="nil"/>
              <w:right w:val="nil"/>
            </w:tcBorders>
            <w:vAlign w:val="bottom"/>
            <w:hideMark/>
          </w:tcPr>
          <w:p w:rsidR="00281F97" w:rsidRPr="00CD3D8B" w:rsidRDefault="00765F6E" w:rsidP="00281F97">
            <w:pPr>
              <w:pStyle w:val="BStablefigures1"/>
            </w:pPr>
            <w:r w:rsidRPr="00CD3D8B">
              <w:t>18,200</w:t>
            </w:r>
          </w:p>
        </w:tc>
        <w:tc>
          <w:tcPr>
            <w:tcW w:w="866" w:type="pct"/>
            <w:tcBorders>
              <w:top w:val="nil"/>
              <w:left w:val="nil"/>
              <w:bottom w:val="nil"/>
              <w:right w:val="nil"/>
            </w:tcBorders>
            <w:vAlign w:val="bottom"/>
            <w:hideMark/>
          </w:tcPr>
          <w:p w:rsidR="00281F97" w:rsidRPr="00CD3D8B" w:rsidRDefault="00765F6E" w:rsidP="00281F97">
            <w:pPr>
              <w:pStyle w:val="BStablefigures1"/>
            </w:pPr>
            <w:r w:rsidRPr="00CD3D8B">
              <w:t>18,500</w:t>
            </w:r>
          </w:p>
        </w:tc>
      </w:tr>
      <w:tr w:rsidR="00237D6F" w:rsidTr="00281F97">
        <w:trPr>
          <w:trHeight w:val="283"/>
        </w:trPr>
        <w:tc>
          <w:tcPr>
            <w:tcW w:w="2406" w:type="pct"/>
            <w:tcBorders>
              <w:top w:val="nil"/>
              <w:left w:val="nil"/>
              <w:bottom w:val="nil"/>
              <w:right w:val="nil"/>
            </w:tcBorders>
            <w:hideMark/>
          </w:tcPr>
          <w:p w:rsidR="00281F97" w:rsidRDefault="00765F6E" w:rsidP="00CA0839">
            <w:pPr>
              <w:pStyle w:val="BStablelist"/>
              <w:numPr>
                <w:ilvl w:val="0"/>
                <w:numId w:val="34"/>
              </w:numPr>
            </w:pPr>
            <w:r>
              <w:t>Number of breast screens for women aged 50 to 69</w:t>
            </w:r>
            <w:r>
              <w:rPr>
                <w:vertAlign w:val="superscript"/>
              </w:rPr>
              <w:t>1</w:t>
            </w:r>
          </w:p>
        </w:tc>
        <w:tc>
          <w:tcPr>
            <w:tcW w:w="864" w:type="pct"/>
            <w:tcBorders>
              <w:top w:val="nil"/>
              <w:left w:val="nil"/>
              <w:bottom w:val="nil"/>
              <w:right w:val="nil"/>
            </w:tcBorders>
            <w:vAlign w:val="bottom"/>
            <w:hideMark/>
          </w:tcPr>
          <w:p w:rsidR="00281F97" w:rsidRPr="00CD3D8B" w:rsidRDefault="00765F6E" w:rsidP="00281F97">
            <w:pPr>
              <w:pStyle w:val="BStablefigures1"/>
            </w:pPr>
            <w:r w:rsidRPr="00CD3D8B">
              <w:t>13,000</w:t>
            </w:r>
          </w:p>
        </w:tc>
        <w:tc>
          <w:tcPr>
            <w:tcW w:w="864" w:type="pct"/>
            <w:tcBorders>
              <w:top w:val="nil"/>
              <w:left w:val="nil"/>
              <w:bottom w:val="nil"/>
              <w:right w:val="nil"/>
            </w:tcBorders>
            <w:vAlign w:val="bottom"/>
            <w:hideMark/>
          </w:tcPr>
          <w:p w:rsidR="00281F97" w:rsidRPr="00CD3D8B" w:rsidRDefault="00765F6E" w:rsidP="00281F97">
            <w:pPr>
              <w:pStyle w:val="BStablefigures1"/>
            </w:pPr>
            <w:r w:rsidRPr="00CD3D8B">
              <w:t>13,000</w:t>
            </w:r>
          </w:p>
        </w:tc>
        <w:tc>
          <w:tcPr>
            <w:tcW w:w="866" w:type="pct"/>
            <w:tcBorders>
              <w:top w:val="nil"/>
              <w:left w:val="nil"/>
              <w:bottom w:val="nil"/>
              <w:right w:val="nil"/>
            </w:tcBorders>
            <w:vAlign w:val="bottom"/>
            <w:hideMark/>
          </w:tcPr>
          <w:p w:rsidR="00281F97" w:rsidRPr="00CD3D8B" w:rsidRDefault="00765F6E" w:rsidP="00281F97">
            <w:pPr>
              <w:pStyle w:val="BStablefigures1"/>
            </w:pPr>
            <w:r>
              <w:t>n/a</w:t>
            </w:r>
          </w:p>
        </w:tc>
      </w:tr>
      <w:tr w:rsidR="00237D6F" w:rsidTr="00281F97">
        <w:trPr>
          <w:trHeight w:val="283"/>
        </w:trPr>
        <w:tc>
          <w:tcPr>
            <w:tcW w:w="2406" w:type="pct"/>
            <w:tcBorders>
              <w:top w:val="nil"/>
              <w:left w:val="nil"/>
              <w:bottom w:val="nil"/>
              <w:right w:val="nil"/>
            </w:tcBorders>
            <w:hideMark/>
          </w:tcPr>
          <w:p w:rsidR="00281F97" w:rsidRDefault="00765F6E" w:rsidP="00CA0839">
            <w:pPr>
              <w:pStyle w:val="BStablelist"/>
              <w:numPr>
                <w:ilvl w:val="0"/>
                <w:numId w:val="34"/>
              </w:numPr>
            </w:pPr>
            <w:r>
              <w:t>Number of breast screens for women aged 50 to 74</w:t>
            </w:r>
            <w:r w:rsidR="0012266A">
              <w:rPr>
                <w:vertAlign w:val="superscript"/>
              </w:rPr>
              <w:t>2</w:t>
            </w:r>
          </w:p>
        </w:tc>
        <w:tc>
          <w:tcPr>
            <w:tcW w:w="864" w:type="pct"/>
            <w:tcBorders>
              <w:top w:val="nil"/>
              <w:left w:val="nil"/>
              <w:bottom w:val="nil"/>
              <w:right w:val="nil"/>
            </w:tcBorders>
            <w:vAlign w:val="bottom"/>
            <w:hideMark/>
          </w:tcPr>
          <w:p w:rsidR="00281F97" w:rsidRPr="00CD3D8B" w:rsidRDefault="00765F6E" w:rsidP="00281F97">
            <w:pPr>
              <w:pStyle w:val="BStablefigures1"/>
            </w:pPr>
            <w:r>
              <w:t>n/a</w:t>
            </w:r>
          </w:p>
        </w:tc>
        <w:tc>
          <w:tcPr>
            <w:tcW w:w="864" w:type="pct"/>
            <w:tcBorders>
              <w:top w:val="nil"/>
              <w:left w:val="nil"/>
              <w:bottom w:val="nil"/>
              <w:right w:val="nil"/>
            </w:tcBorders>
            <w:vAlign w:val="bottom"/>
            <w:hideMark/>
          </w:tcPr>
          <w:p w:rsidR="00281F97" w:rsidRPr="00CD3D8B" w:rsidRDefault="00765F6E" w:rsidP="00281F97">
            <w:pPr>
              <w:pStyle w:val="BStablefigures1"/>
            </w:pPr>
            <w:r>
              <w:t>n/a</w:t>
            </w:r>
          </w:p>
        </w:tc>
        <w:tc>
          <w:tcPr>
            <w:tcW w:w="866" w:type="pct"/>
            <w:tcBorders>
              <w:top w:val="nil"/>
              <w:left w:val="nil"/>
              <w:bottom w:val="nil"/>
              <w:right w:val="nil"/>
            </w:tcBorders>
            <w:vAlign w:val="bottom"/>
            <w:hideMark/>
          </w:tcPr>
          <w:p w:rsidR="00281F97" w:rsidRPr="00CD3D8B" w:rsidRDefault="00765F6E" w:rsidP="00281F97">
            <w:pPr>
              <w:pStyle w:val="BStablefigures1"/>
            </w:pPr>
            <w:r w:rsidRPr="00CD3D8B">
              <w:t>13,000</w:t>
            </w:r>
          </w:p>
        </w:tc>
      </w:tr>
      <w:tr w:rsidR="00237D6F" w:rsidTr="00281F97">
        <w:trPr>
          <w:trHeight w:val="283"/>
        </w:trPr>
        <w:tc>
          <w:tcPr>
            <w:tcW w:w="2406" w:type="pct"/>
            <w:tcBorders>
              <w:top w:val="nil"/>
              <w:left w:val="nil"/>
              <w:bottom w:val="nil"/>
              <w:right w:val="nil"/>
            </w:tcBorders>
            <w:hideMark/>
          </w:tcPr>
          <w:p w:rsidR="00281F97" w:rsidRDefault="00765F6E" w:rsidP="00CA0839">
            <w:pPr>
              <w:pStyle w:val="BStablelist"/>
              <w:numPr>
                <w:ilvl w:val="0"/>
                <w:numId w:val="34"/>
              </w:numPr>
            </w:pPr>
            <w:r>
              <w:t>Percentage of women who receive results of screen  within 28 days</w:t>
            </w:r>
          </w:p>
        </w:tc>
        <w:tc>
          <w:tcPr>
            <w:tcW w:w="864" w:type="pct"/>
            <w:tcBorders>
              <w:top w:val="nil"/>
              <w:left w:val="nil"/>
              <w:bottom w:val="nil"/>
              <w:right w:val="nil"/>
            </w:tcBorders>
            <w:vAlign w:val="bottom"/>
            <w:hideMark/>
          </w:tcPr>
          <w:p w:rsidR="00281F97" w:rsidRPr="00CD3D8B" w:rsidRDefault="00765F6E" w:rsidP="00281F97">
            <w:pPr>
              <w:pStyle w:val="BStablefigures1"/>
            </w:pPr>
            <w:r w:rsidRPr="00CD3D8B">
              <w:t>100%</w:t>
            </w:r>
          </w:p>
        </w:tc>
        <w:tc>
          <w:tcPr>
            <w:tcW w:w="864" w:type="pct"/>
            <w:tcBorders>
              <w:top w:val="nil"/>
              <w:left w:val="nil"/>
              <w:bottom w:val="nil"/>
              <w:right w:val="nil"/>
            </w:tcBorders>
            <w:vAlign w:val="bottom"/>
            <w:hideMark/>
          </w:tcPr>
          <w:p w:rsidR="00281F97" w:rsidRPr="00CD3D8B" w:rsidRDefault="00765F6E" w:rsidP="00281F97">
            <w:pPr>
              <w:pStyle w:val="BStablefigures1"/>
            </w:pPr>
            <w:r w:rsidRPr="00CD3D8B">
              <w:t>100%</w:t>
            </w:r>
          </w:p>
        </w:tc>
        <w:tc>
          <w:tcPr>
            <w:tcW w:w="866" w:type="pct"/>
            <w:tcBorders>
              <w:top w:val="nil"/>
              <w:left w:val="nil"/>
              <w:bottom w:val="nil"/>
              <w:right w:val="nil"/>
            </w:tcBorders>
            <w:vAlign w:val="bottom"/>
            <w:hideMark/>
          </w:tcPr>
          <w:p w:rsidR="00281F97" w:rsidRPr="00CD3D8B" w:rsidRDefault="00765F6E" w:rsidP="00281F97">
            <w:pPr>
              <w:pStyle w:val="BStablefigures1"/>
            </w:pPr>
            <w:r w:rsidRPr="00CD3D8B">
              <w:t>100%</w:t>
            </w:r>
          </w:p>
        </w:tc>
      </w:tr>
      <w:tr w:rsidR="00237D6F" w:rsidTr="00281F97">
        <w:trPr>
          <w:trHeight w:val="283"/>
        </w:trPr>
        <w:tc>
          <w:tcPr>
            <w:tcW w:w="2406" w:type="pct"/>
            <w:tcBorders>
              <w:top w:val="nil"/>
              <w:left w:val="nil"/>
              <w:bottom w:val="single" w:sz="12" w:space="0" w:color="000000"/>
              <w:right w:val="nil"/>
            </w:tcBorders>
            <w:hideMark/>
          </w:tcPr>
          <w:p w:rsidR="00281F97" w:rsidRDefault="00765F6E" w:rsidP="00CA0839">
            <w:pPr>
              <w:pStyle w:val="BStablelist"/>
              <w:numPr>
                <w:ilvl w:val="0"/>
                <w:numId w:val="34"/>
              </w:numPr>
            </w:pPr>
            <w:r>
              <w:t>Percentage of screened patients who are assessed within 28 days</w:t>
            </w:r>
          </w:p>
        </w:tc>
        <w:tc>
          <w:tcPr>
            <w:tcW w:w="864" w:type="pct"/>
            <w:tcBorders>
              <w:top w:val="nil"/>
              <w:left w:val="nil"/>
              <w:bottom w:val="single" w:sz="12" w:space="0" w:color="000000"/>
              <w:right w:val="nil"/>
            </w:tcBorders>
            <w:vAlign w:val="bottom"/>
            <w:hideMark/>
          </w:tcPr>
          <w:p w:rsidR="00281F97" w:rsidRPr="00CD3D8B" w:rsidRDefault="00765F6E" w:rsidP="00281F97">
            <w:pPr>
              <w:pStyle w:val="BStablefigures1"/>
            </w:pPr>
            <w:r w:rsidRPr="00CD3D8B">
              <w:t>90%</w:t>
            </w:r>
          </w:p>
        </w:tc>
        <w:tc>
          <w:tcPr>
            <w:tcW w:w="864" w:type="pct"/>
            <w:tcBorders>
              <w:top w:val="nil"/>
              <w:left w:val="nil"/>
              <w:bottom w:val="single" w:sz="12" w:space="0" w:color="000000"/>
              <w:right w:val="nil"/>
            </w:tcBorders>
            <w:vAlign w:val="bottom"/>
            <w:hideMark/>
          </w:tcPr>
          <w:p w:rsidR="00281F97" w:rsidRPr="00CD3D8B" w:rsidRDefault="00765F6E" w:rsidP="00281F97">
            <w:pPr>
              <w:pStyle w:val="BStablefigures1"/>
            </w:pPr>
            <w:r w:rsidRPr="00CD3D8B">
              <w:t>93%</w:t>
            </w:r>
          </w:p>
        </w:tc>
        <w:tc>
          <w:tcPr>
            <w:tcW w:w="866" w:type="pct"/>
            <w:tcBorders>
              <w:top w:val="nil"/>
              <w:left w:val="nil"/>
              <w:bottom w:val="single" w:sz="12" w:space="0" w:color="000000"/>
              <w:right w:val="nil"/>
            </w:tcBorders>
            <w:vAlign w:val="bottom"/>
            <w:hideMark/>
          </w:tcPr>
          <w:p w:rsidR="00281F97" w:rsidRPr="00CD3D8B" w:rsidRDefault="00765F6E" w:rsidP="00281F97">
            <w:pPr>
              <w:pStyle w:val="BStablefigures1"/>
            </w:pPr>
            <w:r w:rsidRPr="00CD3D8B">
              <w:t>90%</w:t>
            </w:r>
          </w:p>
        </w:tc>
      </w:tr>
    </w:tbl>
    <w:p w:rsidR="00281F97" w:rsidRDefault="00765F6E" w:rsidP="00281F97">
      <w:pPr>
        <w:pStyle w:val="BSnote1"/>
        <w:rPr>
          <w:sz w:val="16"/>
        </w:rPr>
      </w:pPr>
      <w:r>
        <w:rPr>
          <w:sz w:val="16"/>
        </w:rPr>
        <w:t>Note</w:t>
      </w:r>
      <w:r w:rsidR="000915B5">
        <w:rPr>
          <w:sz w:val="16"/>
        </w:rPr>
        <w:t>s</w:t>
      </w:r>
      <w:r>
        <w:rPr>
          <w:sz w:val="16"/>
        </w:rPr>
        <w:t>:</w:t>
      </w:r>
    </w:p>
    <w:p w:rsidR="00281F97" w:rsidRDefault="0012266A" w:rsidP="00CA0839">
      <w:pPr>
        <w:pStyle w:val="BSnoteslist20"/>
        <w:numPr>
          <w:ilvl w:val="0"/>
          <w:numId w:val="44"/>
        </w:numPr>
        <w:rPr>
          <w:sz w:val="16"/>
          <w:szCs w:val="16"/>
        </w:rPr>
      </w:pPr>
      <w:r>
        <w:rPr>
          <w:sz w:val="16"/>
          <w:szCs w:val="16"/>
        </w:rPr>
        <w:t xml:space="preserve">This measure </w:t>
      </w:r>
      <w:r w:rsidR="000369F3">
        <w:rPr>
          <w:sz w:val="16"/>
          <w:szCs w:val="16"/>
        </w:rPr>
        <w:t xml:space="preserve">has been </w:t>
      </w:r>
      <w:r>
        <w:rPr>
          <w:sz w:val="16"/>
          <w:szCs w:val="16"/>
        </w:rPr>
        <w:t>discontinued and repla</w:t>
      </w:r>
      <w:r w:rsidR="000369F3">
        <w:rPr>
          <w:sz w:val="16"/>
          <w:szCs w:val="16"/>
        </w:rPr>
        <w:t>c</w:t>
      </w:r>
      <w:r>
        <w:rPr>
          <w:sz w:val="16"/>
          <w:szCs w:val="16"/>
        </w:rPr>
        <w:t>ed by measure c.</w:t>
      </w:r>
    </w:p>
    <w:p w:rsidR="00281F97" w:rsidRPr="002105B2" w:rsidRDefault="0012266A" w:rsidP="00281F97">
      <w:pPr>
        <w:pStyle w:val="BSnoteslist20"/>
        <w:numPr>
          <w:ilvl w:val="0"/>
          <w:numId w:val="44"/>
        </w:numPr>
        <w:rPr>
          <w:sz w:val="16"/>
          <w:szCs w:val="16"/>
        </w:rPr>
      </w:pPr>
      <w:r w:rsidRPr="009557B4">
        <w:rPr>
          <w:sz w:val="16"/>
          <w:szCs w:val="16"/>
        </w:rPr>
        <w:t>The target a</w:t>
      </w:r>
      <w:r>
        <w:rPr>
          <w:sz w:val="16"/>
          <w:szCs w:val="16"/>
        </w:rPr>
        <w:t>ge group has been updated from 5</w:t>
      </w:r>
      <w:r w:rsidRPr="009557B4">
        <w:rPr>
          <w:sz w:val="16"/>
          <w:szCs w:val="16"/>
        </w:rPr>
        <w:t xml:space="preserve">0-69 to 50-74 in line with National </w:t>
      </w:r>
      <w:r w:rsidR="000B6EC2">
        <w:rPr>
          <w:sz w:val="16"/>
          <w:szCs w:val="16"/>
        </w:rPr>
        <w:t>I</w:t>
      </w:r>
      <w:r w:rsidRPr="009557B4">
        <w:rPr>
          <w:sz w:val="16"/>
          <w:szCs w:val="16"/>
        </w:rPr>
        <w:t>ndicators.</w:t>
      </w:r>
    </w:p>
    <w:p w:rsidR="00281F97" w:rsidRDefault="00281F97" w:rsidP="00281F97">
      <w:pPr>
        <w:pStyle w:val="Normal5"/>
      </w:pPr>
    </w:p>
    <w:p w:rsidR="00281F97" w:rsidRDefault="00765F6E" w:rsidP="00281F97">
      <w:pPr>
        <w:pStyle w:val="Heading41"/>
      </w:pPr>
      <w:r>
        <w:t xml:space="preserve">Output 1.5: </w:t>
      </w:r>
      <w:r w:rsidRPr="00E33D44">
        <w:t>Rehabilitation, Aged and Community Care</w:t>
      </w:r>
    </w:p>
    <w:p w:rsidR="00281F97" w:rsidRDefault="00765F6E" w:rsidP="00281F97">
      <w:pPr>
        <w:pStyle w:val="Caption20"/>
        <w:rPr>
          <w:noProof/>
        </w:rPr>
      </w:pPr>
      <w:r>
        <w:t>Table 2</w:t>
      </w:r>
      <w:r w:rsidR="00141A32">
        <w:t>7</w:t>
      </w:r>
      <w:r>
        <w:rPr>
          <w:noProof/>
        </w:rPr>
        <w:t>:</w:t>
      </w:r>
      <w:r>
        <w:t xml:space="preserve"> Accountability Indicators</w:t>
      </w:r>
      <w:r>
        <w:rPr>
          <w:noProof/>
        </w:rPr>
        <w:t xml:space="preserve"> Output 1.5</w:t>
      </w:r>
    </w:p>
    <w:tbl>
      <w:tblPr>
        <w:tblW w:w="5000" w:type="pct"/>
        <w:tblBorders>
          <w:top w:val="single" w:sz="12" w:space="0" w:color="000000"/>
          <w:bottom w:val="single" w:sz="12" w:space="0" w:color="000000"/>
        </w:tblBorders>
        <w:tblLook w:val="04A0" w:firstRow="1" w:lastRow="0" w:firstColumn="1" w:lastColumn="0" w:noHBand="0" w:noVBand="1"/>
      </w:tblPr>
      <w:tblGrid>
        <w:gridCol w:w="4343"/>
        <w:gridCol w:w="1560"/>
        <w:gridCol w:w="1560"/>
        <w:gridCol w:w="1563"/>
      </w:tblGrid>
      <w:tr w:rsidR="00237D6F" w:rsidTr="00281F97">
        <w:trPr>
          <w:tblHeader/>
        </w:trPr>
        <w:tc>
          <w:tcPr>
            <w:tcW w:w="2406" w:type="pct"/>
            <w:tcBorders>
              <w:top w:val="single" w:sz="12" w:space="0" w:color="000000"/>
              <w:left w:val="nil"/>
              <w:bottom w:val="single" w:sz="12" w:space="0" w:color="000000"/>
              <w:right w:val="nil"/>
            </w:tcBorders>
          </w:tcPr>
          <w:p w:rsidR="00281F97" w:rsidRDefault="00281F97">
            <w:pPr>
              <w:pStyle w:val="BStabletext1"/>
            </w:pPr>
          </w:p>
        </w:tc>
        <w:tc>
          <w:tcPr>
            <w:tcW w:w="864" w:type="pct"/>
            <w:tcBorders>
              <w:top w:val="single" w:sz="12" w:space="0" w:color="000000"/>
              <w:left w:val="nil"/>
              <w:bottom w:val="single" w:sz="12" w:space="0" w:color="000000"/>
              <w:right w:val="nil"/>
            </w:tcBorders>
            <w:hideMark/>
          </w:tcPr>
          <w:p w:rsidR="00281F97" w:rsidRDefault="00765F6E">
            <w:pPr>
              <w:pStyle w:val="BStableheading11"/>
              <w:framePr w:wrap="around"/>
            </w:pPr>
            <w:r>
              <w:t>2017-18</w:t>
            </w:r>
          </w:p>
          <w:p w:rsidR="00281F97" w:rsidRDefault="00765F6E">
            <w:pPr>
              <w:pStyle w:val="BStableheading11"/>
              <w:framePr w:wrap="around"/>
            </w:pPr>
            <w:r>
              <w:t>Targets</w:t>
            </w:r>
          </w:p>
        </w:tc>
        <w:tc>
          <w:tcPr>
            <w:tcW w:w="864" w:type="pct"/>
            <w:tcBorders>
              <w:top w:val="single" w:sz="12" w:space="0" w:color="000000"/>
              <w:left w:val="nil"/>
              <w:bottom w:val="single" w:sz="12" w:space="0" w:color="000000"/>
              <w:right w:val="nil"/>
            </w:tcBorders>
            <w:hideMark/>
          </w:tcPr>
          <w:p w:rsidR="00281F97" w:rsidRDefault="00765F6E">
            <w:pPr>
              <w:pStyle w:val="BStableheading11"/>
              <w:framePr w:wrap="around"/>
            </w:pPr>
            <w:r>
              <w:t>2017-18</w:t>
            </w:r>
          </w:p>
          <w:p w:rsidR="00281F97" w:rsidRDefault="00765F6E">
            <w:pPr>
              <w:pStyle w:val="BStableheading11"/>
              <w:framePr w:wrap="around"/>
            </w:pPr>
            <w:r>
              <w:t>Estimated Outcome</w:t>
            </w:r>
          </w:p>
        </w:tc>
        <w:tc>
          <w:tcPr>
            <w:tcW w:w="866" w:type="pct"/>
            <w:tcBorders>
              <w:top w:val="single" w:sz="12" w:space="0" w:color="000000"/>
              <w:left w:val="nil"/>
              <w:bottom w:val="single" w:sz="12" w:space="0" w:color="000000"/>
              <w:right w:val="nil"/>
            </w:tcBorders>
            <w:hideMark/>
          </w:tcPr>
          <w:p w:rsidR="00281F97" w:rsidRDefault="00765F6E">
            <w:pPr>
              <w:pStyle w:val="BStableheading11"/>
              <w:framePr w:wrap="around"/>
            </w:pPr>
            <w:r>
              <w:t>2018-19</w:t>
            </w:r>
          </w:p>
          <w:p w:rsidR="00281F97" w:rsidRDefault="00765F6E">
            <w:pPr>
              <w:pStyle w:val="BStableheading11"/>
              <w:framePr w:wrap="around"/>
            </w:pPr>
            <w:r>
              <w:t>Targets</w:t>
            </w:r>
          </w:p>
        </w:tc>
      </w:tr>
      <w:tr w:rsidR="00237D6F" w:rsidTr="00281F97">
        <w:tc>
          <w:tcPr>
            <w:tcW w:w="5000" w:type="pct"/>
            <w:gridSpan w:val="4"/>
            <w:tcBorders>
              <w:top w:val="single" w:sz="12" w:space="0" w:color="000000"/>
              <w:left w:val="nil"/>
              <w:bottom w:val="nil"/>
              <w:right w:val="nil"/>
            </w:tcBorders>
            <w:hideMark/>
          </w:tcPr>
          <w:p w:rsidR="00281F97" w:rsidRDefault="00281F97">
            <w:pPr>
              <w:pStyle w:val="Normal5"/>
            </w:pPr>
          </w:p>
        </w:tc>
      </w:tr>
      <w:tr w:rsidR="00237D6F" w:rsidTr="00281F97">
        <w:trPr>
          <w:trHeight w:val="283"/>
        </w:trPr>
        <w:tc>
          <w:tcPr>
            <w:tcW w:w="2406" w:type="pct"/>
            <w:tcBorders>
              <w:top w:val="nil"/>
              <w:left w:val="nil"/>
              <w:bottom w:val="nil"/>
              <w:right w:val="nil"/>
            </w:tcBorders>
            <w:hideMark/>
          </w:tcPr>
          <w:p w:rsidR="00281F97" w:rsidRDefault="00765F6E" w:rsidP="00CA0839">
            <w:pPr>
              <w:pStyle w:val="BStablelist"/>
              <w:numPr>
                <w:ilvl w:val="0"/>
                <w:numId w:val="35"/>
              </w:numPr>
            </w:pPr>
            <w:r>
              <w:t>Number of nursing (domiciliary and clinic based) occasions of service</w:t>
            </w:r>
          </w:p>
        </w:tc>
        <w:tc>
          <w:tcPr>
            <w:tcW w:w="864" w:type="pct"/>
            <w:tcBorders>
              <w:top w:val="nil"/>
              <w:left w:val="nil"/>
              <w:bottom w:val="nil"/>
              <w:right w:val="nil"/>
            </w:tcBorders>
            <w:hideMark/>
          </w:tcPr>
          <w:p w:rsidR="00281F97" w:rsidRDefault="00765F6E" w:rsidP="00281F97">
            <w:pPr>
              <w:pStyle w:val="BStablefigures1"/>
            </w:pPr>
            <w:r>
              <w:t>91,890</w:t>
            </w:r>
          </w:p>
        </w:tc>
        <w:tc>
          <w:tcPr>
            <w:tcW w:w="864" w:type="pct"/>
            <w:tcBorders>
              <w:top w:val="nil"/>
              <w:left w:val="nil"/>
              <w:bottom w:val="nil"/>
              <w:right w:val="nil"/>
            </w:tcBorders>
            <w:hideMark/>
          </w:tcPr>
          <w:p w:rsidR="00281F97" w:rsidRDefault="00765F6E" w:rsidP="00281F97">
            <w:pPr>
              <w:pStyle w:val="BStablefigures1"/>
              <w:rPr>
                <w:lang w:eastAsia="en-US"/>
              </w:rPr>
            </w:pPr>
            <w:r>
              <w:rPr>
                <w:lang w:eastAsia="en-US"/>
              </w:rPr>
              <w:t>95,000</w:t>
            </w:r>
          </w:p>
        </w:tc>
        <w:tc>
          <w:tcPr>
            <w:tcW w:w="866" w:type="pct"/>
            <w:tcBorders>
              <w:top w:val="nil"/>
              <w:left w:val="nil"/>
              <w:bottom w:val="nil"/>
              <w:right w:val="nil"/>
            </w:tcBorders>
            <w:hideMark/>
          </w:tcPr>
          <w:p w:rsidR="00281F97" w:rsidRDefault="00765F6E" w:rsidP="00281F97">
            <w:pPr>
              <w:pStyle w:val="BStablefigures1"/>
            </w:pPr>
            <w:r>
              <w:t>91,890</w:t>
            </w:r>
          </w:p>
        </w:tc>
      </w:tr>
      <w:tr w:rsidR="00237D6F" w:rsidTr="00281F97">
        <w:trPr>
          <w:trHeight w:val="283"/>
        </w:trPr>
        <w:tc>
          <w:tcPr>
            <w:tcW w:w="2406" w:type="pct"/>
            <w:tcBorders>
              <w:top w:val="nil"/>
              <w:left w:val="nil"/>
              <w:bottom w:val="nil"/>
              <w:right w:val="nil"/>
            </w:tcBorders>
            <w:hideMark/>
          </w:tcPr>
          <w:p w:rsidR="00281F97" w:rsidRDefault="00765F6E" w:rsidP="00CA0839">
            <w:pPr>
              <w:pStyle w:val="BStablelist"/>
              <w:numPr>
                <w:ilvl w:val="0"/>
                <w:numId w:val="35"/>
              </w:numPr>
            </w:pPr>
            <w:r>
              <w:t>Number of allied health regional services (occasions of service)</w:t>
            </w:r>
          </w:p>
        </w:tc>
        <w:tc>
          <w:tcPr>
            <w:tcW w:w="864" w:type="pct"/>
            <w:tcBorders>
              <w:top w:val="nil"/>
              <w:left w:val="nil"/>
              <w:bottom w:val="nil"/>
              <w:right w:val="nil"/>
            </w:tcBorders>
            <w:hideMark/>
          </w:tcPr>
          <w:p w:rsidR="00281F97" w:rsidRDefault="00765F6E" w:rsidP="00281F97">
            <w:pPr>
              <w:pStyle w:val="BStablefigures1"/>
            </w:pPr>
            <w:r>
              <w:t>30,630</w:t>
            </w:r>
          </w:p>
        </w:tc>
        <w:tc>
          <w:tcPr>
            <w:tcW w:w="864" w:type="pct"/>
            <w:tcBorders>
              <w:top w:val="nil"/>
              <w:left w:val="nil"/>
              <w:bottom w:val="nil"/>
              <w:right w:val="nil"/>
            </w:tcBorders>
            <w:hideMark/>
          </w:tcPr>
          <w:p w:rsidR="00281F97" w:rsidRDefault="00765F6E" w:rsidP="00281F97">
            <w:pPr>
              <w:pStyle w:val="BStablefigures1"/>
              <w:rPr>
                <w:lang w:eastAsia="en-US"/>
              </w:rPr>
            </w:pPr>
            <w:r>
              <w:rPr>
                <w:lang w:eastAsia="en-US"/>
              </w:rPr>
              <w:t>27,000</w:t>
            </w:r>
          </w:p>
        </w:tc>
        <w:tc>
          <w:tcPr>
            <w:tcW w:w="866" w:type="pct"/>
            <w:tcBorders>
              <w:top w:val="nil"/>
              <w:left w:val="nil"/>
              <w:bottom w:val="nil"/>
              <w:right w:val="nil"/>
            </w:tcBorders>
            <w:hideMark/>
          </w:tcPr>
          <w:p w:rsidR="00281F97" w:rsidRDefault="00765F6E" w:rsidP="00281F97">
            <w:pPr>
              <w:pStyle w:val="BStablefigures1"/>
            </w:pPr>
            <w:r>
              <w:t>30,630</w:t>
            </w:r>
          </w:p>
        </w:tc>
      </w:tr>
      <w:tr w:rsidR="00237D6F" w:rsidTr="00281F97">
        <w:trPr>
          <w:trHeight w:val="283"/>
        </w:trPr>
        <w:tc>
          <w:tcPr>
            <w:tcW w:w="2406" w:type="pct"/>
            <w:tcBorders>
              <w:top w:val="nil"/>
              <w:left w:val="nil"/>
              <w:bottom w:val="nil"/>
              <w:right w:val="nil"/>
            </w:tcBorders>
            <w:hideMark/>
          </w:tcPr>
          <w:p w:rsidR="00281F97" w:rsidRDefault="00765F6E" w:rsidP="00CA0839">
            <w:pPr>
              <w:pStyle w:val="BStablelist"/>
              <w:numPr>
                <w:ilvl w:val="0"/>
                <w:numId w:val="35"/>
              </w:numPr>
            </w:pPr>
            <w:r>
              <w:t>Mean waiting time for clients on the dental services waiting list</w:t>
            </w:r>
          </w:p>
        </w:tc>
        <w:tc>
          <w:tcPr>
            <w:tcW w:w="864" w:type="pct"/>
            <w:tcBorders>
              <w:top w:val="nil"/>
              <w:left w:val="nil"/>
              <w:bottom w:val="nil"/>
              <w:right w:val="nil"/>
            </w:tcBorders>
            <w:hideMark/>
          </w:tcPr>
          <w:p w:rsidR="00281F97" w:rsidRDefault="00765F6E" w:rsidP="00281F97">
            <w:pPr>
              <w:pStyle w:val="BStablefigures1"/>
            </w:pPr>
            <w:r>
              <w:t>6 months</w:t>
            </w:r>
          </w:p>
        </w:tc>
        <w:tc>
          <w:tcPr>
            <w:tcW w:w="864" w:type="pct"/>
            <w:tcBorders>
              <w:top w:val="nil"/>
              <w:left w:val="nil"/>
              <w:bottom w:val="nil"/>
              <w:right w:val="nil"/>
            </w:tcBorders>
            <w:hideMark/>
          </w:tcPr>
          <w:p w:rsidR="00281F97" w:rsidRDefault="00765F6E" w:rsidP="00281F97">
            <w:pPr>
              <w:pStyle w:val="BStablefigures1"/>
              <w:rPr>
                <w:lang w:eastAsia="en-US"/>
              </w:rPr>
            </w:pPr>
            <w:r>
              <w:rPr>
                <w:lang w:eastAsia="en-US"/>
              </w:rPr>
              <w:t>6 months</w:t>
            </w:r>
          </w:p>
        </w:tc>
        <w:tc>
          <w:tcPr>
            <w:tcW w:w="866" w:type="pct"/>
            <w:tcBorders>
              <w:top w:val="nil"/>
              <w:left w:val="nil"/>
              <w:bottom w:val="nil"/>
              <w:right w:val="nil"/>
            </w:tcBorders>
            <w:hideMark/>
          </w:tcPr>
          <w:p w:rsidR="00281F97" w:rsidRDefault="00765F6E" w:rsidP="00281F97">
            <w:pPr>
              <w:pStyle w:val="BStablefigures1"/>
            </w:pPr>
            <w:r>
              <w:t>6 months</w:t>
            </w:r>
          </w:p>
        </w:tc>
      </w:tr>
      <w:tr w:rsidR="00237D6F" w:rsidTr="00281F97">
        <w:trPr>
          <w:trHeight w:val="283"/>
        </w:trPr>
        <w:tc>
          <w:tcPr>
            <w:tcW w:w="2406" w:type="pct"/>
            <w:tcBorders>
              <w:top w:val="nil"/>
              <w:left w:val="nil"/>
              <w:bottom w:val="nil"/>
              <w:right w:val="nil"/>
            </w:tcBorders>
            <w:hideMark/>
          </w:tcPr>
          <w:p w:rsidR="00281F97" w:rsidRDefault="00765F6E" w:rsidP="00CA0839">
            <w:pPr>
              <w:pStyle w:val="BStablelist"/>
              <w:numPr>
                <w:ilvl w:val="0"/>
                <w:numId w:val="35"/>
              </w:numPr>
            </w:pPr>
            <w:r>
              <w:t>Percentage of the Women’s Health Service Intake Officer’s clients who receive an intake and assessment service within 14 working days of  their initial referral</w:t>
            </w:r>
          </w:p>
        </w:tc>
        <w:tc>
          <w:tcPr>
            <w:tcW w:w="864" w:type="pct"/>
            <w:tcBorders>
              <w:top w:val="nil"/>
              <w:left w:val="nil"/>
              <w:bottom w:val="nil"/>
              <w:right w:val="nil"/>
            </w:tcBorders>
            <w:hideMark/>
          </w:tcPr>
          <w:p w:rsidR="00281F97" w:rsidRDefault="00765F6E" w:rsidP="00281F97">
            <w:pPr>
              <w:pStyle w:val="BStablefigures1"/>
            </w:pPr>
            <w:r>
              <w:t>100%</w:t>
            </w:r>
          </w:p>
        </w:tc>
        <w:tc>
          <w:tcPr>
            <w:tcW w:w="864" w:type="pct"/>
            <w:tcBorders>
              <w:top w:val="nil"/>
              <w:left w:val="nil"/>
              <w:bottom w:val="nil"/>
              <w:right w:val="nil"/>
            </w:tcBorders>
            <w:hideMark/>
          </w:tcPr>
          <w:p w:rsidR="00281F97" w:rsidRDefault="00765F6E" w:rsidP="00281F97">
            <w:pPr>
              <w:pStyle w:val="BStablefigures1"/>
              <w:rPr>
                <w:lang w:eastAsia="en-US"/>
              </w:rPr>
            </w:pPr>
            <w:r>
              <w:rPr>
                <w:lang w:eastAsia="en-US"/>
              </w:rPr>
              <w:t>99%</w:t>
            </w:r>
          </w:p>
        </w:tc>
        <w:tc>
          <w:tcPr>
            <w:tcW w:w="866" w:type="pct"/>
            <w:tcBorders>
              <w:top w:val="nil"/>
              <w:left w:val="nil"/>
              <w:bottom w:val="nil"/>
              <w:right w:val="nil"/>
            </w:tcBorders>
            <w:hideMark/>
          </w:tcPr>
          <w:p w:rsidR="00281F97" w:rsidRDefault="00765F6E" w:rsidP="00281F97">
            <w:pPr>
              <w:pStyle w:val="BStablefigures1"/>
            </w:pPr>
            <w:r>
              <w:t>100%</w:t>
            </w:r>
          </w:p>
        </w:tc>
      </w:tr>
      <w:tr w:rsidR="00237D6F" w:rsidTr="00281F97">
        <w:trPr>
          <w:trHeight w:val="283"/>
        </w:trPr>
        <w:tc>
          <w:tcPr>
            <w:tcW w:w="2406" w:type="pct"/>
            <w:tcBorders>
              <w:top w:val="nil"/>
              <w:left w:val="nil"/>
              <w:bottom w:val="nil"/>
              <w:right w:val="nil"/>
            </w:tcBorders>
            <w:hideMark/>
          </w:tcPr>
          <w:p w:rsidR="00281F97" w:rsidRDefault="00765F6E" w:rsidP="00CA0839">
            <w:pPr>
              <w:pStyle w:val="BStablelist"/>
              <w:numPr>
                <w:ilvl w:val="0"/>
                <w:numId w:val="36"/>
              </w:numPr>
            </w:pPr>
            <w:r>
              <w:t>Proportion of clients attending ‘Well Women's Check’ within the Women's Health Service that are from culturally and linguistically diverse communities</w:t>
            </w:r>
          </w:p>
        </w:tc>
        <w:tc>
          <w:tcPr>
            <w:tcW w:w="864" w:type="pct"/>
            <w:tcBorders>
              <w:top w:val="nil"/>
              <w:left w:val="nil"/>
              <w:bottom w:val="nil"/>
              <w:right w:val="nil"/>
            </w:tcBorders>
            <w:hideMark/>
          </w:tcPr>
          <w:p w:rsidR="00281F97" w:rsidRDefault="00765F6E" w:rsidP="00281F97">
            <w:pPr>
              <w:pStyle w:val="BStablefigures1"/>
            </w:pPr>
            <w:r>
              <w:t>40%</w:t>
            </w:r>
          </w:p>
        </w:tc>
        <w:tc>
          <w:tcPr>
            <w:tcW w:w="864" w:type="pct"/>
            <w:tcBorders>
              <w:top w:val="nil"/>
              <w:left w:val="nil"/>
              <w:bottom w:val="nil"/>
              <w:right w:val="nil"/>
            </w:tcBorders>
            <w:hideMark/>
          </w:tcPr>
          <w:p w:rsidR="00281F97" w:rsidRDefault="00765F6E" w:rsidP="00281F97">
            <w:pPr>
              <w:pStyle w:val="BStablefigures1"/>
              <w:rPr>
                <w:lang w:eastAsia="en-US"/>
              </w:rPr>
            </w:pPr>
            <w:r>
              <w:rPr>
                <w:lang w:eastAsia="en-US"/>
              </w:rPr>
              <w:t>47%</w:t>
            </w:r>
          </w:p>
        </w:tc>
        <w:tc>
          <w:tcPr>
            <w:tcW w:w="866" w:type="pct"/>
            <w:tcBorders>
              <w:top w:val="nil"/>
              <w:left w:val="nil"/>
              <w:bottom w:val="nil"/>
              <w:right w:val="nil"/>
            </w:tcBorders>
            <w:hideMark/>
          </w:tcPr>
          <w:p w:rsidR="00281F97" w:rsidRDefault="00765F6E" w:rsidP="00281F97">
            <w:pPr>
              <w:pStyle w:val="BStablefigures1"/>
            </w:pPr>
            <w:r>
              <w:t>40%</w:t>
            </w:r>
          </w:p>
        </w:tc>
      </w:tr>
      <w:tr w:rsidR="00237D6F" w:rsidTr="00281F97">
        <w:trPr>
          <w:trHeight w:val="283"/>
        </w:trPr>
        <w:tc>
          <w:tcPr>
            <w:tcW w:w="2406" w:type="pct"/>
            <w:tcBorders>
              <w:top w:val="nil"/>
              <w:left w:val="nil"/>
              <w:bottom w:val="single" w:sz="12" w:space="0" w:color="000000"/>
              <w:right w:val="nil"/>
            </w:tcBorders>
            <w:hideMark/>
          </w:tcPr>
          <w:p w:rsidR="00281F97" w:rsidRDefault="00765F6E" w:rsidP="00CA0839">
            <w:pPr>
              <w:pStyle w:val="BStablelist"/>
              <w:numPr>
                <w:ilvl w:val="0"/>
                <w:numId w:val="36"/>
              </w:numPr>
            </w:pPr>
            <w:r>
              <w:t>Proportion of children aged 0-14 who are entering substitute and kinship care within the ACT who attend the Child at Risk Health Unit for a health and wellbeing screen</w:t>
            </w:r>
          </w:p>
        </w:tc>
        <w:tc>
          <w:tcPr>
            <w:tcW w:w="864" w:type="pct"/>
            <w:tcBorders>
              <w:top w:val="nil"/>
              <w:left w:val="nil"/>
              <w:bottom w:val="single" w:sz="12" w:space="0" w:color="000000"/>
              <w:right w:val="nil"/>
            </w:tcBorders>
            <w:hideMark/>
          </w:tcPr>
          <w:p w:rsidR="00281F97" w:rsidRDefault="00765F6E" w:rsidP="00281F97">
            <w:pPr>
              <w:pStyle w:val="BStablefigures1"/>
            </w:pPr>
            <w:r>
              <w:t>90%</w:t>
            </w:r>
          </w:p>
        </w:tc>
        <w:tc>
          <w:tcPr>
            <w:tcW w:w="864" w:type="pct"/>
            <w:tcBorders>
              <w:top w:val="nil"/>
              <w:left w:val="nil"/>
              <w:bottom w:val="single" w:sz="12" w:space="0" w:color="000000"/>
              <w:right w:val="nil"/>
            </w:tcBorders>
            <w:hideMark/>
          </w:tcPr>
          <w:p w:rsidR="00281F97" w:rsidRDefault="00765F6E" w:rsidP="00281F97">
            <w:pPr>
              <w:pStyle w:val="BStablefigures1"/>
              <w:rPr>
                <w:lang w:eastAsia="en-US"/>
              </w:rPr>
            </w:pPr>
            <w:r>
              <w:rPr>
                <w:lang w:eastAsia="en-US"/>
              </w:rPr>
              <w:t>96%</w:t>
            </w:r>
          </w:p>
        </w:tc>
        <w:tc>
          <w:tcPr>
            <w:tcW w:w="866" w:type="pct"/>
            <w:tcBorders>
              <w:top w:val="nil"/>
              <w:left w:val="nil"/>
              <w:bottom w:val="single" w:sz="12" w:space="0" w:color="000000"/>
              <w:right w:val="nil"/>
            </w:tcBorders>
            <w:hideMark/>
          </w:tcPr>
          <w:p w:rsidR="00281F97" w:rsidRDefault="00765F6E" w:rsidP="00281F97">
            <w:pPr>
              <w:pStyle w:val="BStablefigures1"/>
            </w:pPr>
            <w:r>
              <w:t>90%</w:t>
            </w:r>
          </w:p>
        </w:tc>
      </w:tr>
    </w:tbl>
    <w:p w:rsidR="00281F97" w:rsidRDefault="00281F97" w:rsidP="00281F97">
      <w:pPr>
        <w:pStyle w:val="BSnoteslist20"/>
        <w:numPr>
          <w:ilvl w:val="0"/>
          <w:numId w:val="0"/>
        </w:numPr>
        <w:ind w:left="360"/>
      </w:pPr>
    </w:p>
    <w:p w:rsidR="00281F97" w:rsidRDefault="00281F97" w:rsidP="00281F97">
      <w:pPr>
        <w:pStyle w:val="Normal5"/>
        <w:spacing w:before="0" w:after="0"/>
        <w:rPr>
          <w:b/>
          <w:bCs/>
          <w:snapToGrid w:val="0"/>
          <w:sz w:val="32"/>
        </w:rPr>
      </w:pPr>
    </w:p>
    <w:p w:rsidR="00281F97" w:rsidRDefault="00765F6E" w:rsidP="00281F97">
      <w:pPr>
        <w:pStyle w:val="Normal5"/>
        <w:spacing w:before="0" w:after="0"/>
        <w:rPr>
          <w:b/>
          <w:bCs/>
          <w:snapToGrid w:val="0"/>
          <w:sz w:val="32"/>
        </w:rPr>
      </w:pPr>
      <w:r>
        <w:t xml:space="preserve"> </w:t>
      </w:r>
    </w:p>
    <w:p w:rsidR="00281F97" w:rsidRDefault="00765F6E" w:rsidP="00281F97">
      <w:pPr>
        <w:pStyle w:val="Heading2"/>
        <w:pageBreakBefore/>
        <w:pBdr>
          <w:top w:val="nil"/>
          <w:left w:val="nil"/>
          <w:bottom w:val="nil"/>
          <w:right w:val="nil"/>
          <w:between w:val="nil"/>
          <w:bar w:val="nil"/>
        </w:pBdr>
        <w:rPr>
          <w:bdr w:val="nil"/>
        </w:rPr>
      </w:pPr>
      <w:bookmarkStart w:id="121" w:name="_Toc452467801"/>
      <w:bookmarkStart w:id="122" w:name="_Toc514832559"/>
      <w:r>
        <w:rPr>
          <w:bdr w:val="nil"/>
        </w:rPr>
        <w:lastRenderedPageBreak/>
        <w:t>Changes to Appropriation</w:t>
      </w:r>
      <w:bookmarkEnd w:id="121"/>
      <w:bookmarkEnd w:id="122"/>
    </w:p>
    <w:p w:rsidR="00281F97" w:rsidRPr="00F0682D" w:rsidRDefault="00765F6E" w:rsidP="00281F97">
      <w:pPr>
        <w:pStyle w:val="Caption"/>
        <w:pBdr>
          <w:top w:val="nil"/>
          <w:left w:val="nil"/>
          <w:bottom w:val="nil"/>
          <w:right w:val="nil"/>
          <w:between w:val="nil"/>
          <w:bar w:val="nil"/>
        </w:pBdr>
        <w:rPr>
          <w:bdr w:val="nil"/>
        </w:rPr>
      </w:pPr>
      <w:r w:rsidRPr="00F0682D">
        <w:rPr>
          <w:bdr w:val="nil"/>
        </w:rPr>
        <w:t xml:space="preserve">Table </w:t>
      </w:r>
      <w:r>
        <w:rPr>
          <w:bdr w:val="nil"/>
        </w:rPr>
        <w:t>2</w:t>
      </w:r>
      <w:r w:rsidR="00141A32">
        <w:rPr>
          <w:bdr w:val="nil"/>
        </w:rPr>
        <w:t>8</w:t>
      </w:r>
      <w:r w:rsidRPr="00F0682D">
        <w:rPr>
          <w:bdr w:val="nil"/>
        </w:rPr>
        <w:t>: Changes to appropriation –</w:t>
      </w:r>
      <w:r w:rsidRPr="00F0682D">
        <w:rPr>
          <w:szCs w:val="20"/>
          <w:bdr w:val="nil"/>
        </w:rPr>
        <w:t xml:space="preserve"> </w:t>
      </w:r>
      <w:r w:rsidRPr="00F0682D">
        <w:rPr>
          <w:bdr w:val="nil"/>
        </w:rPr>
        <w:t>Controlled Recurrent Payments</w:t>
      </w:r>
    </w:p>
    <w:tbl>
      <w:tblPr>
        <w:tblStyle w:val="CDMRange1"/>
        <w:tblW w:w="9975" w:type="dxa"/>
        <w:tblLayout w:type="fixed"/>
        <w:tblLook w:val="0600" w:firstRow="0" w:lastRow="0" w:firstColumn="0" w:lastColumn="0" w:noHBand="1" w:noVBand="1"/>
      </w:tblPr>
      <w:tblGrid>
        <w:gridCol w:w="4800"/>
        <w:gridCol w:w="1035"/>
        <w:gridCol w:w="1035"/>
        <w:gridCol w:w="1035"/>
        <w:gridCol w:w="1035"/>
        <w:gridCol w:w="1035"/>
      </w:tblGrid>
      <w:tr w:rsidR="00237D6F">
        <w:trPr>
          <w:trHeight w:val="990"/>
        </w:trPr>
        <w:tc>
          <w:tcPr>
            <w:tcW w:w="4800" w:type="dxa"/>
            <w:tcBorders>
              <w:top w:val="single" w:sz="12" w:space="0" w:color="000000"/>
              <w:left w:val="nil"/>
              <w:bottom w:val="single" w:sz="12" w:space="0" w:color="000000"/>
              <w:right w:val="nil"/>
              <w:tl2br w:val="nil"/>
              <w:tr2bl w:val="nil"/>
            </w:tcBorders>
            <w:shd w:val="clear" w:color="auto" w:fill="auto"/>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2017-18 Estimated Outcome</w:t>
            </w:r>
          </w:p>
          <w:p w:rsidR="00237D6F" w:rsidRDefault="00765F6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2018-19 Budget</w:t>
            </w:r>
          </w:p>
          <w:p w:rsidR="00237D6F" w:rsidRDefault="00237D6F">
            <w:pPr>
              <w:spacing w:before="0" w:after="0"/>
              <w:jc w:val="right"/>
              <w:rPr>
                <w:rFonts w:eastAsia="Calibri" w:cs="Calibri"/>
                <w:b/>
                <w:color w:val="000000"/>
                <w:sz w:val="18"/>
              </w:rPr>
            </w:pPr>
          </w:p>
          <w:p w:rsidR="00237D6F" w:rsidRDefault="00765F6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2019-20 Estimate</w:t>
            </w:r>
          </w:p>
          <w:p w:rsidR="00237D6F" w:rsidRDefault="00237D6F">
            <w:pPr>
              <w:spacing w:before="0" w:after="0"/>
              <w:jc w:val="right"/>
              <w:rPr>
                <w:rFonts w:eastAsia="Calibri" w:cs="Calibri"/>
                <w:b/>
                <w:color w:val="000000"/>
                <w:sz w:val="18"/>
              </w:rPr>
            </w:pPr>
          </w:p>
          <w:p w:rsidR="00237D6F" w:rsidRDefault="00765F6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2020-21 Estimate</w:t>
            </w:r>
          </w:p>
          <w:p w:rsidR="00237D6F" w:rsidRDefault="00237D6F">
            <w:pPr>
              <w:spacing w:before="0" w:after="0"/>
              <w:jc w:val="right"/>
              <w:rPr>
                <w:rFonts w:eastAsia="Calibri" w:cs="Calibri"/>
                <w:b/>
                <w:color w:val="000000"/>
                <w:sz w:val="18"/>
              </w:rPr>
            </w:pPr>
          </w:p>
          <w:p w:rsidR="00237D6F" w:rsidRDefault="00765F6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2021-22 Estimate</w:t>
            </w:r>
          </w:p>
          <w:p w:rsidR="00237D6F" w:rsidRDefault="00237D6F">
            <w:pPr>
              <w:spacing w:before="0" w:after="0"/>
              <w:jc w:val="right"/>
              <w:rPr>
                <w:rFonts w:eastAsia="Calibri" w:cs="Calibri"/>
                <w:b/>
                <w:color w:val="000000"/>
                <w:sz w:val="18"/>
              </w:rPr>
            </w:pPr>
          </w:p>
          <w:p w:rsidR="00237D6F" w:rsidRDefault="00765F6E">
            <w:pPr>
              <w:spacing w:before="0" w:after="0"/>
              <w:jc w:val="right"/>
              <w:rPr>
                <w:rFonts w:eastAsia="Calibri" w:cs="Calibri"/>
                <w:b/>
                <w:color w:val="000000"/>
                <w:sz w:val="18"/>
              </w:rPr>
            </w:pPr>
            <w:r>
              <w:rPr>
                <w:rFonts w:eastAsia="Calibri" w:cs="Calibri"/>
                <w:b/>
                <w:color w:val="000000"/>
                <w:sz w:val="18"/>
              </w:rPr>
              <w:t>$'000</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rsidR="00237D6F" w:rsidRDefault="00765F6E">
            <w:pPr>
              <w:spacing w:before="0" w:after="0"/>
              <w:rPr>
                <w:rFonts w:eastAsia="Calibri" w:cs="Calibri"/>
                <w:b/>
                <w:color w:val="000000"/>
                <w:sz w:val="18"/>
              </w:rPr>
            </w:pPr>
            <w:r>
              <w:rPr>
                <w:rFonts w:eastAsia="Calibri" w:cs="Calibri"/>
                <w:b/>
                <w:color w:val="000000"/>
                <w:sz w:val="18"/>
              </w:rPr>
              <w:t>2017-18 Budget</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237D6F" w:rsidRDefault="00765F6E">
            <w:pPr>
              <w:spacing w:before="0" w:after="0"/>
              <w:jc w:val="right"/>
              <w:rPr>
                <w:rFonts w:eastAsia="Calibri" w:cs="Calibri"/>
                <w:color w:val="000000"/>
                <w:sz w:val="18"/>
              </w:rPr>
            </w:pPr>
            <w:r>
              <w:rPr>
                <w:rFonts w:eastAsia="Calibri" w:cs="Calibri"/>
                <w:color w:val="000000"/>
                <w:sz w:val="18"/>
              </w:rPr>
              <w:t>313</w:t>
            </w:r>
            <w:r w:rsidR="00904EBD">
              <w:rPr>
                <w:rFonts w:eastAsia="Calibri" w:cs="Calibri"/>
                <w:color w:val="000000"/>
                <w:sz w:val="18"/>
              </w:rPr>
              <w:t>,</w:t>
            </w:r>
            <w:r>
              <w:rPr>
                <w:rFonts w:eastAsia="Calibri" w:cs="Calibri"/>
                <w:color w:val="000000"/>
                <w:sz w:val="18"/>
              </w:rPr>
              <w:t>371</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237D6F" w:rsidRDefault="00765F6E">
            <w:pPr>
              <w:spacing w:before="0" w:after="0"/>
              <w:jc w:val="right"/>
              <w:rPr>
                <w:rFonts w:eastAsia="Calibri" w:cs="Calibri"/>
                <w:color w:val="000000"/>
                <w:sz w:val="18"/>
              </w:rPr>
            </w:pPr>
            <w:r>
              <w:rPr>
                <w:rFonts w:eastAsia="Calibri" w:cs="Calibri"/>
                <w:color w:val="000000"/>
                <w:sz w:val="18"/>
              </w:rPr>
              <w:t>295</w:t>
            </w:r>
            <w:r w:rsidR="00904EBD">
              <w:rPr>
                <w:rFonts w:eastAsia="Calibri" w:cs="Calibri"/>
                <w:color w:val="000000"/>
                <w:sz w:val="18"/>
              </w:rPr>
              <w:t>,</w:t>
            </w:r>
            <w:r>
              <w:rPr>
                <w:rFonts w:eastAsia="Calibri" w:cs="Calibri"/>
                <w:color w:val="000000"/>
                <w:sz w:val="18"/>
              </w:rPr>
              <w:t>122</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237D6F" w:rsidRDefault="00765F6E">
            <w:pPr>
              <w:spacing w:before="0" w:after="0"/>
              <w:jc w:val="right"/>
              <w:rPr>
                <w:rFonts w:eastAsia="Calibri" w:cs="Calibri"/>
                <w:color w:val="000000"/>
                <w:sz w:val="18"/>
              </w:rPr>
            </w:pPr>
            <w:r>
              <w:rPr>
                <w:rFonts w:eastAsia="Calibri" w:cs="Calibri"/>
                <w:color w:val="000000"/>
                <w:sz w:val="18"/>
              </w:rPr>
              <w:t>289</w:t>
            </w:r>
            <w:r w:rsidR="00904EBD">
              <w:rPr>
                <w:rFonts w:eastAsia="Calibri" w:cs="Calibri"/>
                <w:color w:val="000000"/>
                <w:sz w:val="18"/>
              </w:rPr>
              <w:t>,</w:t>
            </w:r>
            <w:r>
              <w:rPr>
                <w:rFonts w:eastAsia="Calibri" w:cs="Calibri"/>
                <w:color w:val="000000"/>
                <w:sz w:val="18"/>
              </w:rPr>
              <w:t>254</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237D6F" w:rsidRDefault="00765F6E">
            <w:pPr>
              <w:spacing w:before="0" w:after="0"/>
              <w:jc w:val="right"/>
              <w:rPr>
                <w:rFonts w:eastAsia="Calibri" w:cs="Calibri"/>
                <w:color w:val="000000"/>
                <w:sz w:val="18"/>
              </w:rPr>
            </w:pPr>
            <w:r>
              <w:rPr>
                <w:rFonts w:eastAsia="Calibri" w:cs="Calibri"/>
                <w:color w:val="000000"/>
                <w:sz w:val="18"/>
              </w:rPr>
              <w:t>286</w:t>
            </w:r>
            <w:r w:rsidR="00904EBD">
              <w:rPr>
                <w:rFonts w:eastAsia="Calibri" w:cs="Calibri"/>
                <w:color w:val="000000"/>
                <w:sz w:val="18"/>
              </w:rPr>
              <w:t>,</w:t>
            </w:r>
            <w:r>
              <w:rPr>
                <w:rFonts w:eastAsia="Calibri" w:cs="Calibri"/>
                <w:color w:val="000000"/>
                <w:sz w:val="18"/>
              </w:rPr>
              <w:t>290</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237D6F" w:rsidRDefault="00765F6E" w:rsidP="001A19D5">
            <w:pPr>
              <w:spacing w:before="0" w:after="0"/>
              <w:jc w:val="right"/>
              <w:rPr>
                <w:rFonts w:eastAsia="Calibri" w:cs="Calibri"/>
                <w:color w:val="000000"/>
                <w:sz w:val="18"/>
              </w:rPr>
            </w:pPr>
            <w:r>
              <w:rPr>
                <w:rFonts w:eastAsia="Calibri" w:cs="Calibri"/>
                <w:color w:val="000000"/>
                <w:sz w:val="18"/>
              </w:rPr>
              <w:t>2</w:t>
            </w:r>
            <w:r w:rsidR="001A19D5">
              <w:rPr>
                <w:rFonts w:eastAsia="Calibri" w:cs="Calibri"/>
                <w:color w:val="000000"/>
                <w:sz w:val="18"/>
              </w:rPr>
              <w:t>86,290</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rsidR="00237D6F" w:rsidRDefault="00765F6E">
            <w:pPr>
              <w:spacing w:before="0" w:after="0"/>
              <w:rPr>
                <w:rFonts w:eastAsia="Calibri" w:cs="Calibri"/>
                <w:b/>
                <w:color w:val="000000"/>
                <w:sz w:val="18"/>
              </w:rPr>
            </w:pPr>
            <w:r>
              <w:rPr>
                <w:rFonts w:eastAsia="Calibri" w:cs="Calibri"/>
                <w:b/>
                <w:color w:val="000000"/>
                <w:sz w:val="18"/>
              </w:rPr>
              <w:t>2nd Appropriation</w:t>
            </w:r>
          </w:p>
          <w:p w:rsidR="00281F97" w:rsidRDefault="00281F97" w:rsidP="00B34ABC">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r>
      <w:tr w:rsidR="004E663D" w:rsidRPr="004E0396" w:rsidTr="00B43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4800" w:type="dxa"/>
            <w:tcBorders>
              <w:top w:val="nil"/>
              <w:left w:val="nil"/>
              <w:bottom w:val="nil"/>
              <w:right w:val="nil"/>
              <w:tl2br w:val="nil"/>
              <w:tr2bl w:val="nil"/>
            </w:tcBorders>
            <w:shd w:val="clear" w:color="auto" w:fill="auto"/>
            <w:tcMar>
              <w:left w:w="101" w:type="dxa"/>
              <w:right w:w="101" w:type="dxa"/>
            </w:tcMar>
          </w:tcPr>
          <w:p w:rsidR="004E663D" w:rsidRPr="004E0396" w:rsidRDefault="004E663D" w:rsidP="004E663D">
            <w:pPr>
              <w:spacing w:before="0" w:after="0"/>
              <w:rPr>
                <w:rFonts w:eastAsia="Calibri" w:cs="Calibri"/>
                <w:color w:val="000000"/>
                <w:sz w:val="18"/>
                <w:u w:val="single"/>
              </w:rPr>
            </w:pPr>
            <w:r w:rsidRPr="004E0396">
              <w:rPr>
                <w:rFonts w:eastAsia="Calibri" w:cs="Calibri"/>
                <w:color w:val="000000"/>
                <w:sz w:val="18"/>
                <w:u w:val="single"/>
              </w:rPr>
              <w:t xml:space="preserve">Better </w:t>
            </w:r>
            <w:r>
              <w:rPr>
                <w:rFonts w:eastAsia="Calibri" w:cs="Calibri"/>
                <w:color w:val="000000"/>
                <w:sz w:val="18"/>
                <w:u w:val="single"/>
              </w:rPr>
              <w:t>care when you need it</w:t>
            </w:r>
            <w:r w:rsidRPr="004E0396">
              <w:rPr>
                <w:rFonts w:eastAsia="Calibri" w:cs="Calibri"/>
                <w:color w:val="000000"/>
                <w:sz w:val="18"/>
                <w:u w:val="single"/>
              </w:rPr>
              <w:t xml:space="preserve"> </w:t>
            </w:r>
          </w:p>
        </w:tc>
        <w:tc>
          <w:tcPr>
            <w:tcW w:w="1035" w:type="dxa"/>
            <w:tcBorders>
              <w:top w:val="nil"/>
              <w:left w:val="nil"/>
              <w:bottom w:val="nil"/>
              <w:right w:val="nil"/>
              <w:tl2br w:val="nil"/>
              <w:tr2bl w:val="nil"/>
            </w:tcBorders>
            <w:shd w:val="clear" w:color="auto" w:fill="auto"/>
            <w:noWrap/>
            <w:tcMar>
              <w:left w:w="101" w:type="dxa"/>
              <w:right w:w="101" w:type="dxa"/>
            </w:tcMar>
          </w:tcPr>
          <w:p w:rsidR="004E663D" w:rsidRPr="004E0396" w:rsidRDefault="004E663D" w:rsidP="00B43A2B">
            <w:pPr>
              <w:spacing w:before="0" w:after="0"/>
              <w:jc w:val="right"/>
              <w:rPr>
                <w:rFonts w:eastAsia="Calibri" w:cs="Calibri"/>
                <w:color w:val="000000"/>
                <w:sz w:val="18"/>
                <w:u w:val="single"/>
              </w:rPr>
            </w:pPr>
          </w:p>
        </w:tc>
        <w:tc>
          <w:tcPr>
            <w:tcW w:w="1035" w:type="dxa"/>
            <w:tcBorders>
              <w:top w:val="nil"/>
              <w:left w:val="nil"/>
              <w:bottom w:val="nil"/>
              <w:right w:val="nil"/>
              <w:tl2br w:val="nil"/>
              <w:tr2bl w:val="nil"/>
            </w:tcBorders>
            <w:shd w:val="clear" w:color="auto" w:fill="auto"/>
            <w:noWrap/>
            <w:tcMar>
              <w:left w:w="101" w:type="dxa"/>
              <w:right w:w="101" w:type="dxa"/>
            </w:tcMar>
          </w:tcPr>
          <w:p w:rsidR="004E663D" w:rsidRPr="004E0396" w:rsidRDefault="004E663D" w:rsidP="00B43A2B">
            <w:pPr>
              <w:spacing w:before="0" w:after="0"/>
              <w:jc w:val="right"/>
              <w:rPr>
                <w:rFonts w:eastAsia="Calibri" w:cs="Calibri"/>
                <w:color w:val="000000"/>
                <w:sz w:val="18"/>
                <w:u w:val="single"/>
              </w:rPr>
            </w:pPr>
          </w:p>
        </w:tc>
        <w:tc>
          <w:tcPr>
            <w:tcW w:w="1035" w:type="dxa"/>
            <w:tcBorders>
              <w:top w:val="nil"/>
              <w:left w:val="nil"/>
              <w:bottom w:val="nil"/>
              <w:right w:val="nil"/>
              <w:tl2br w:val="nil"/>
              <w:tr2bl w:val="nil"/>
            </w:tcBorders>
            <w:shd w:val="clear" w:color="auto" w:fill="auto"/>
            <w:noWrap/>
            <w:tcMar>
              <w:left w:w="101" w:type="dxa"/>
              <w:right w:w="101" w:type="dxa"/>
            </w:tcMar>
          </w:tcPr>
          <w:p w:rsidR="004E663D" w:rsidRPr="004E0396" w:rsidRDefault="004E663D" w:rsidP="00B43A2B">
            <w:pPr>
              <w:spacing w:before="0" w:after="0"/>
              <w:jc w:val="right"/>
              <w:rPr>
                <w:rFonts w:eastAsia="Calibri" w:cs="Calibri"/>
                <w:color w:val="000000"/>
                <w:sz w:val="18"/>
                <w:u w:val="single"/>
              </w:rPr>
            </w:pPr>
          </w:p>
        </w:tc>
        <w:tc>
          <w:tcPr>
            <w:tcW w:w="1035" w:type="dxa"/>
            <w:tcBorders>
              <w:top w:val="nil"/>
              <w:left w:val="nil"/>
              <w:bottom w:val="nil"/>
              <w:right w:val="nil"/>
              <w:tl2br w:val="nil"/>
              <w:tr2bl w:val="nil"/>
            </w:tcBorders>
            <w:shd w:val="clear" w:color="auto" w:fill="auto"/>
            <w:noWrap/>
            <w:tcMar>
              <w:left w:w="101" w:type="dxa"/>
              <w:right w:w="101" w:type="dxa"/>
            </w:tcMar>
          </w:tcPr>
          <w:p w:rsidR="004E663D" w:rsidRPr="004E0396" w:rsidRDefault="004E663D" w:rsidP="00B43A2B">
            <w:pPr>
              <w:spacing w:before="0" w:after="0"/>
              <w:jc w:val="right"/>
              <w:rPr>
                <w:rFonts w:eastAsia="Calibri" w:cs="Calibri"/>
                <w:color w:val="000000"/>
                <w:sz w:val="18"/>
                <w:u w:val="single"/>
              </w:rPr>
            </w:pPr>
          </w:p>
        </w:tc>
        <w:tc>
          <w:tcPr>
            <w:tcW w:w="1035" w:type="dxa"/>
            <w:tcBorders>
              <w:top w:val="nil"/>
              <w:left w:val="nil"/>
              <w:bottom w:val="nil"/>
              <w:right w:val="nil"/>
              <w:tl2br w:val="nil"/>
              <w:tr2bl w:val="nil"/>
            </w:tcBorders>
            <w:shd w:val="clear" w:color="auto" w:fill="auto"/>
            <w:noWrap/>
            <w:tcMar>
              <w:left w:w="101" w:type="dxa"/>
              <w:right w:w="101" w:type="dxa"/>
            </w:tcMar>
          </w:tcPr>
          <w:p w:rsidR="004E663D" w:rsidRPr="004E0396" w:rsidRDefault="004E663D" w:rsidP="00B43A2B">
            <w:pPr>
              <w:spacing w:before="0" w:after="0"/>
              <w:jc w:val="right"/>
              <w:rPr>
                <w:rFonts w:eastAsia="Calibri" w:cs="Calibri"/>
                <w:color w:val="000000"/>
                <w:sz w:val="18"/>
                <w:u w:val="single"/>
              </w:rPr>
            </w:pPr>
          </w:p>
        </w:tc>
      </w:tr>
      <w:tr w:rsidR="00237D6F" w:rsidRPr="00951C55" w:rsidTr="003C5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4800" w:type="dxa"/>
            <w:tcBorders>
              <w:top w:val="nil"/>
              <w:left w:val="nil"/>
              <w:bottom w:val="nil"/>
              <w:right w:val="nil"/>
              <w:tl2br w:val="nil"/>
              <w:tr2bl w:val="nil"/>
            </w:tcBorders>
            <w:shd w:val="clear" w:color="auto" w:fill="auto"/>
            <w:tcMar>
              <w:left w:w="101" w:type="dxa"/>
              <w:right w:w="101" w:type="dxa"/>
            </w:tcMar>
          </w:tcPr>
          <w:p w:rsidR="00237D6F" w:rsidRPr="00951C55" w:rsidRDefault="00765F6E">
            <w:pPr>
              <w:spacing w:before="0" w:after="0"/>
              <w:rPr>
                <w:rFonts w:eastAsia="Calibri" w:cs="Calibri"/>
                <w:color w:val="000000"/>
                <w:sz w:val="18"/>
              </w:rPr>
            </w:pPr>
            <w:r w:rsidRPr="00951C55">
              <w:rPr>
                <w:rFonts w:eastAsia="Calibri" w:cs="Calibri"/>
                <w:color w:val="000000"/>
                <w:sz w:val="18"/>
              </w:rPr>
              <w:t>Meningococcal W vaccines</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1</w:t>
            </w:r>
            <w:r w:rsidR="00904EBD">
              <w:rPr>
                <w:rFonts w:eastAsia="Calibri" w:cs="Calibri"/>
                <w:color w:val="000000"/>
                <w:sz w:val="18"/>
              </w:rPr>
              <w:t>,</w:t>
            </w:r>
            <w:r w:rsidRPr="00951C55">
              <w:rPr>
                <w:rFonts w:eastAsia="Calibri" w:cs="Calibri"/>
                <w:color w:val="000000"/>
                <w:sz w:val="18"/>
              </w:rPr>
              <w:t>443</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r>
      <w:tr w:rsidR="00237D6F" w:rsidRPr="00951C55" w:rsidTr="003C5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4800" w:type="dxa"/>
            <w:tcBorders>
              <w:top w:val="nil"/>
              <w:left w:val="nil"/>
              <w:bottom w:val="nil"/>
              <w:right w:val="nil"/>
              <w:tl2br w:val="nil"/>
              <w:tr2bl w:val="nil"/>
            </w:tcBorders>
            <w:shd w:val="clear" w:color="auto" w:fill="auto"/>
            <w:tcMar>
              <w:left w:w="101" w:type="dxa"/>
              <w:right w:w="101" w:type="dxa"/>
            </w:tcMar>
          </w:tcPr>
          <w:p w:rsidR="00237D6F" w:rsidRPr="00951C55" w:rsidRDefault="00765F6E">
            <w:pPr>
              <w:spacing w:before="0" w:after="0"/>
              <w:rPr>
                <w:rFonts w:eastAsia="Calibri" w:cs="Calibri"/>
                <w:color w:val="000000"/>
                <w:sz w:val="18"/>
              </w:rPr>
            </w:pPr>
            <w:r w:rsidRPr="00951C55">
              <w:rPr>
                <w:rFonts w:eastAsia="Calibri" w:cs="Calibri"/>
                <w:color w:val="000000"/>
                <w:sz w:val="18"/>
              </w:rPr>
              <w:t>More surgeries</w:t>
            </w:r>
          </w:p>
          <w:p w:rsidR="00B07220" w:rsidRPr="00951C55" w:rsidRDefault="00B07220">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6</w:t>
            </w:r>
            <w:r w:rsidR="00904EBD">
              <w:rPr>
                <w:rFonts w:eastAsia="Calibri" w:cs="Calibri"/>
                <w:color w:val="000000"/>
                <w:sz w:val="18"/>
              </w:rPr>
              <w:t>,</w:t>
            </w:r>
            <w:r w:rsidRPr="00951C55">
              <w:rPr>
                <w:rFonts w:eastAsia="Calibri" w:cs="Calibri"/>
                <w:color w:val="000000"/>
                <w:sz w:val="18"/>
              </w:rPr>
              <w:t>372</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r>
      <w:tr w:rsidR="00237D6F" w:rsidRPr="00951C55" w:rsidTr="003C5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4800" w:type="dxa"/>
            <w:tcBorders>
              <w:top w:val="nil"/>
              <w:left w:val="nil"/>
              <w:bottom w:val="nil"/>
              <w:right w:val="nil"/>
              <w:tl2br w:val="nil"/>
              <w:tr2bl w:val="nil"/>
            </w:tcBorders>
            <w:shd w:val="clear" w:color="auto" w:fill="auto"/>
            <w:tcMar>
              <w:left w:w="101" w:type="dxa"/>
              <w:right w:w="101" w:type="dxa"/>
            </w:tcMar>
          </w:tcPr>
          <w:p w:rsidR="00237D6F" w:rsidRPr="00951C55" w:rsidRDefault="00765F6E">
            <w:pPr>
              <w:spacing w:before="0" w:after="0"/>
              <w:rPr>
                <w:rFonts w:eastAsia="Calibri" w:cs="Calibri"/>
                <w:color w:val="000000"/>
                <w:sz w:val="18"/>
              </w:rPr>
            </w:pPr>
            <w:r w:rsidRPr="00951C55">
              <w:rPr>
                <w:rFonts w:eastAsia="Calibri" w:cs="Calibri"/>
                <w:color w:val="000000"/>
                <w:sz w:val="18"/>
              </w:rPr>
              <w:t>New ACT Health data warehouse</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1</w:t>
            </w:r>
            <w:r w:rsidR="00904EBD">
              <w:rPr>
                <w:rFonts w:eastAsia="Calibri" w:cs="Calibri"/>
                <w:color w:val="000000"/>
                <w:sz w:val="18"/>
              </w:rPr>
              <w:t>,</w:t>
            </w:r>
            <w:r w:rsidRPr="00951C55">
              <w:rPr>
                <w:rFonts w:eastAsia="Calibri" w:cs="Calibri"/>
                <w:color w:val="000000"/>
                <w:sz w:val="18"/>
              </w:rPr>
              <w:t>506</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E95C50">
            <w:pPr>
              <w:spacing w:before="0" w:after="0"/>
              <w:jc w:val="right"/>
              <w:rPr>
                <w:rFonts w:eastAsia="Calibri" w:cs="Calibri"/>
                <w:color w:val="000000"/>
                <w:sz w:val="18"/>
              </w:rPr>
            </w:pPr>
            <w:r>
              <w:rPr>
                <w:rFonts w:eastAsia="Calibri" w:cs="Calibri"/>
                <w:color w:val="000000"/>
                <w:sz w:val="18"/>
              </w:rPr>
              <w:t>(</w:t>
            </w:r>
            <w:r w:rsidR="00765F6E" w:rsidRPr="00951C55">
              <w:rPr>
                <w:rFonts w:eastAsia="Calibri" w:cs="Calibri"/>
                <w:color w:val="000000"/>
                <w:sz w:val="18"/>
              </w:rPr>
              <w:t>80</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E95C50">
            <w:pPr>
              <w:spacing w:before="0" w:after="0"/>
              <w:jc w:val="right"/>
              <w:rPr>
                <w:rFonts w:eastAsia="Calibri" w:cs="Calibri"/>
                <w:color w:val="000000"/>
                <w:sz w:val="18"/>
              </w:rPr>
            </w:pPr>
            <w:r>
              <w:rPr>
                <w:rFonts w:eastAsia="Calibri" w:cs="Calibri"/>
                <w:color w:val="000000"/>
                <w:sz w:val="18"/>
              </w:rPr>
              <w:t>(</w:t>
            </w:r>
            <w:r w:rsidR="00765F6E" w:rsidRPr="00951C55">
              <w:rPr>
                <w:rFonts w:eastAsia="Calibri" w:cs="Calibri"/>
                <w:color w:val="000000"/>
                <w:sz w:val="18"/>
              </w:rPr>
              <w:t>80</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E95C50">
            <w:pPr>
              <w:spacing w:before="0" w:after="0"/>
              <w:jc w:val="right"/>
              <w:rPr>
                <w:rFonts w:eastAsia="Calibri" w:cs="Calibri"/>
                <w:color w:val="000000"/>
                <w:sz w:val="18"/>
              </w:rPr>
            </w:pPr>
            <w:r>
              <w:rPr>
                <w:rFonts w:eastAsia="Calibri" w:cs="Calibri"/>
                <w:color w:val="000000"/>
                <w:sz w:val="18"/>
              </w:rPr>
              <w:t>(</w:t>
            </w:r>
            <w:r w:rsidR="00765F6E" w:rsidRPr="00951C55">
              <w:rPr>
                <w:rFonts w:eastAsia="Calibri" w:cs="Calibri"/>
                <w:color w:val="000000"/>
                <w:sz w:val="18"/>
              </w:rPr>
              <w:t>80</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E95C50">
            <w:pPr>
              <w:spacing w:before="0" w:after="0"/>
              <w:jc w:val="right"/>
              <w:rPr>
                <w:rFonts w:eastAsia="Calibri" w:cs="Calibri"/>
                <w:color w:val="000000"/>
                <w:sz w:val="18"/>
              </w:rPr>
            </w:pPr>
            <w:r>
              <w:rPr>
                <w:rFonts w:eastAsia="Calibri" w:cs="Calibri"/>
                <w:color w:val="000000"/>
                <w:sz w:val="18"/>
              </w:rPr>
              <w:t>(</w:t>
            </w:r>
            <w:r w:rsidR="00765F6E" w:rsidRPr="00951C55">
              <w:rPr>
                <w:rFonts w:eastAsia="Calibri" w:cs="Calibri"/>
                <w:color w:val="000000"/>
                <w:sz w:val="18"/>
              </w:rPr>
              <w:t>80</w:t>
            </w:r>
            <w:r>
              <w:rPr>
                <w:rFonts w:eastAsia="Calibri" w:cs="Calibri"/>
                <w:color w:val="000000"/>
                <w:sz w:val="18"/>
              </w:rPr>
              <w:t>)</w:t>
            </w:r>
          </w:p>
        </w:tc>
      </w:tr>
      <w:tr w:rsidR="00237D6F" w:rsidRPr="00951C55" w:rsidTr="003C5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4800" w:type="dxa"/>
            <w:tcBorders>
              <w:top w:val="nil"/>
              <w:left w:val="nil"/>
              <w:bottom w:val="nil"/>
              <w:right w:val="nil"/>
              <w:tl2br w:val="nil"/>
              <w:tr2bl w:val="nil"/>
            </w:tcBorders>
            <w:shd w:val="clear" w:color="auto" w:fill="auto"/>
            <w:tcMar>
              <w:left w:w="101" w:type="dxa"/>
              <w:right w:w="101" w:type="dxa"/>
            </w:tcMar>
          </w:tcPr>
          <w:p w:rsidR="00237D6F" w:rsidRPr="00951C55" w:rsidRDefault="00765F6E">
            <w:pPr>
              <w:spacing w:before="0" w:after="0"/>
              <w:rPr>
                <w:rFonts w:eastAsia="Calibri" w:cs="Calibri"/>
                <w:color w:val="000000"/>
                <w:sz w:val="18"/>
              </w:rPr>
            </w:pPr>
            <w:r w:rsidRPr="00951C55">
              <w:rPr>
                <w:rFonts w:eastAsia="Calibri" w:cs="Calibri"/>
                <w:color w:val="000000"/>
                <w:sz w:val="18"/>
              </w:rPr>
              <w:t>New medical imaging equipment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5</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10</w:t>
            </w:r>
          </w:p>
        </w:tc>
      </w:tr>
      <w:tr w:rsidR="00237D6F" w:rsidRPr="00951C55" w:rsidTr="003C5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4800" w:type="dxa"/>
            <w:tcBorders>
              <w:top w:val="nil"/>
              <w:left w:val="nil"/>
              <w:bottom w:val="nil"/>
              <w:right w:val="nil"/>
              <w:tl2br w:val="nil"/>
              <w:tr2bl w:val="nil"/>
            </w:tcBorders>
            <w:shd w:val="clear" w:color="auto" w:fill="auto"/>
            <w:tcMar>
              <w:left w:w="101" w:type="dxa"/>
              <w:right w:w="101" w:type="dxa"/>
            </w:tcMar>
          </w:tcPr>
          <w:p w:rsidR="00237D6F" w:rsidRPr="00951C55" w:rsidRDefault="00765F6E">
            <w:pPr>
              <w:spacing w:before="0" w:after="0"/>
              <w:rPr>
                <w:rFonts w:eastAsia="Calibri" w:cs="Calibri"/>
                <w:color w:val="000000"/>
                <w:sz w:val="18"/>
              </w:rPr>
            </w:pPr>
            <w:r w:rsidRPr="00951C55">
              <w:rPr>
                <w:rFonts w:eastAsia="Calibri" w:cs="Calibri"/>
                <w:color w:val="000000"/>
                <w:sz w:val="18"/>
              </w:rPr>
              <w:t>Rare cancers treatment trial</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83</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63</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DC0AC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DC0ACA">
            <w:pPr>
              <w:spacing w:before="0" w:after="0"/>
              <w:jc w:val="right"/>
              <w:rPr>
                <w:rFonts w:eastAsia="Calibri" w:cs="Calibri"/>
                <w:color w:val="000000"/>
                <w:sz w:val="18"/>
              </w:rPr>
            </w:pPr>
            <w:r>
              <w:rPr>
                <w:rFonts w:eastAsia="Calibri" w:cs="Calibri"/>
                <w:color w:val="000000"/>
                <w:sz w:val="18"/>
              </w:rPr>
              <w:t>-</w:t>
            </w:r>
          </w:p>
        </w:tc>
      </w:tr>
      <w:tr w:rsidR="00237D6F" w:rsidRPr="00951C55" w:rsidTr="005F68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4800" w:type="dxa"/>
            <w:tcBorders>
              <w:top w:val="nil"/>
              <w:left w:val="nil"/>
              <w:bottom w:val="nil"/>
              <w:right w:val="nil"/>
              <w:tl2br w:val="nil"/>
              <w:tr2bl w:val="nil"/>
            </w:tcBorders>
            <w:shd w:val="clear" w:color="auto" w:fill="auto"/>
            <w:tcMar>
              <w:left w:w="101" w:type="dxa"/>
              <w:right w:w="101" w:type="dxa"/>
            </w:tcMar>
          </w:tcPr>
          <w:p w:rsidR="00237D6F" w:rsidRPr="00951C55" w:rsidRDefault="00765F6E">
            <w:pPr>
              <w:spacing w:before="0" w:after="0"/>
              <w:rPr>
                <w:rFonts w:eastAsia="Calibri" w:cs="Calibri"/>
                <w:color w:val="000000"/>
                <w:sz w:val="18"/>
              </w:rPr>
            </w:pPr>
            <w:r w:rsidRPr="00951C55">
              <w:rPr>
                <w:rFonts w:eastAsia="Calibri" w:cs="Calibri"/>
                <w:color w:val="000000"/>
                <w:sz w:val="18"/>
              </w:rPr>
              <w:t>Replacement of polyethylene aluminium composite panels – Centenary Hospital for Women and Children</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16</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32</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sidRPr="00951C55">
              <w:rPr>
                <w:rFonts w:eastAsia="Calibri" w:cs="Calibri"/>
                <w:color w:val="000000"/>
                <w:sz w:val="18"/>
              </w:rPr>
              <w:t>32</w:t>
            </w:r>
          </w:p>
          <w:p w:rsidR="004E0396" w:rsidRPr="00951C55" w:rsidRDefault="004E0396">
            <w:pPr>
              <w:spacing w:before="0" w:after="0"/>
              <w:jc w:val="right"/>
              <w:rPr>
                <w:rFonts w:eastAsia="Calibri" w:cs="Calibri"/>
                <w:color w:val="000000"/>
                <w:sz w:val="18"/>
              </w:rPr>
            </w:pPr>
          </w:p>
        </w:tc>
      </w:tr>
      <w:tr w:rsidR="004E0396" w:rsidRPr="00951C55" w:rsidTr="004E03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800" w:type="dxa"/>
            <w:tcBorders>
              <w:top w:val="nil"/>
              <w:left w:val="nil"/>
              <w:bottom w:val="nil"/>
              <w:right w:val="nil"/>
              <w:tl2br w:val="nil"/>
              <w:tr2bl w:val="nil"/>
            </w:tcBorders>
            <w:shd w:val="clear" w:color="auto" w:fill="auto"/>
            <w:tcMar>
              <w:left w:w="101" w:type="dxa"/>
              <w:right w:w="101" w:type="dxa"/>
            </w:tcMar>
          </w:tcPr>
          <w:p w:rsidR="004E0396" w:rsidRPr="00951C55" w:rsidRDefault="004E039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4E0396" w:rsidRDefault="004E0396">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4E0396" w:rsidRDefault="004E0396">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4E0396" w:rsidRPr="00951C55" w:rsidRDefault="004E0396">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4E0396" w:rsidRPr="00951C55" w:rsidRDefault="004E0396">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4E0396" w:rsidRPr="00951C55" w:rsidRDefault="004E0396">
            <w:pPr>
              <w:spacing w:before="0" w:after="0"/>
              <w:jc w:val="right"/>
              <w:rPr>
                <w:rFonts w:eastAsia="Calibri" w:cs="Calibri"/>
                <w:color w:val="000000"/>
                <w:sz w:val="18"/>
              </w:rPr>
            </w:pPr>
          </w:p>
        </w:tc>
      </w:tr>
      <w:tr w:rsidR="00B34ABC" w:rsidRPr="004E0396" w:rsidTr="004E03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4800" w:type="dxa"/>
            <w:tcBorders>
              <w:top w:val="nil"/>
              <w:left w:val="nil"/>
              <w:bottom w:val="nil"/>
              <w:right w:val="nil"/>
              <w:tl2br w:val="nil"/>
              <w:tr2bl w:val="nil"/>
            </w:tcBorders>
            <w:shd w:val="clear" w:color="auto" w:fill="auto"/>
            <w:tcMar>
              <w:left w:w="101" w:type="dxa"/>
              <w:right w:w="101" w:type="dxa"/>
            </w:tcMar>
          </w:tcPr>
          <w:p w:rsidR="00B34ABC" w:rsidRPr="004E0396" w:rsidRDefault="00B34ABC" w:rsidP="00B34ABC">
            <w:pPr>
              <w:spacing w:before="0" w:after="0"/>
              <w:rPr>
                <w:rFonts w:eastAsia="Calibri" w:cs="Calibri"/>
                <w:color w:val="000000"/>
                <w:sz w:val="18"/>
                <w:u w:val="single"/>
              </w:rPr>
            </w:pPr>
            <w:r w:rsidRPr="004E0396">
              <w:rPr>
                <w:rFonts w:eastAsia="Calibri" w:cs="Calibri"/>
                <w:color w:val="000000"/>
                <w:sz w:val="18"/>
                <w:u w:val="single"/>
              </w:rPr>
              <w:t>Better support when it matters</w:t>
            </w:r>
          </w:p>
          <w:p w:rsidR="00B34ABC" w:rsidRPr="004E0396" w:rsidRDefault="00B34ABC">
            <w:pPr>
              <w:spacing w:before="0" w:after="0"/>
              <w:rPr>
                <w:rFonts w:eastAsia="Calibri" w:cs="Calibri"/>
                <w:color w:val="000000"/>
                <w:sz w:val="18"/>
                <w:u w:val="single"/>
              </w:rPr>
            </w:pPr>
          </w:p>
        </w:tc>
        <w:tc>
          <w:tcPr>
            <w:tcW w:w="1035" w:type="dxa"/>
            <w:tcBorders>
              <w:top w:val="nil"/>
              <w:left w:val="nil"/>
              <w:bottom w:val="nil"/>
              <w:right w:val="nil"/>
              <w:tl2br w:val="nil"/>
              <w:tr2bl w:val="nil"/>
            </w:tcBorders>
            <w:shd w:val="clear" w:color="auto" w:fill="auto"/>
            <w:noWrap/>
            <w:tcMar>
              <w:left w:w="101" w:type="dxa"/>
              <w:right w:w="101" w:type="dxa"/>
            </w:tcMar>
          </w:tcPr>
          <w:p w:rsidR="00B34ABC" w:rsidRPr="004E0396" w:rsidRDefault="00B34ABC" w:rsidP="004E0396">
            <w:pPr>
              <w:spacing w:before="0" w:after="0"/>
              <w:rPr>
                <w:rFonts w:eastAsia="Calibri" w:cs="Calibri"/>
                <w:color w:val="000000"/>
                <w:sz w:val="18"/>
                <w:u w:val="single"/>
              </w:rPr>
            </w:pPr>
          </w:p>
        </w:tc>
        <w:tc>
          <w:tcPr>
            <w:tcW w:w="1035" w:type="dxa"/>
            <w:tcBorders>
              <w:top w:val="nil"/>
              <w:left w:val="nil"/>
              <w:bottom w:val="nil"/>
              <w:right w:val="nil"/>
              <w:tl2br w:val="nil"/>
              <w:tr2bl w:val="nil"/>
            </w:tcBorders>
            <w:shd w:val="clear" w:color="auto" w:fill="auto"/>
            <w:noWrap/>
            <w:tcMar>
              <w:left w:w="101" w:type="dxa"/>
              <w:right w:w="101" w:type="dxa"/>
            </w:tcMar>
          </w:tcPr>
          <w:p w:rsidR="00B34ABC" w:rsidRPr="004E0396" w:rsidRDefault="00B34ABC" w:rsidP="004E0396">
            <w:pPr>
              <w:spacing w:before="0" w:after="0"/>
              <w:rPr>
                <w:rFonts w:eastAsia="Calibri" w:cs="Calibri"/>
                <w:color w:val="000000"/>
                <w:sz w:val="18"/>
                <w:u w:val="single"/>
              </w:rPr>
            </w:pPr>
          </w:p>
        </w:tc>
        <w:tc>
          <w:tcPr>
            <w:tcW w:w="1035" w:type="dxa"/>
            <w:tcBorders>
              <w:top w:val="nil"/>
              <w:left w:val="nil"/>
              <w:bottom w:val="nil"/>
              <w:right w:val="nil"/>
              <w:tl2br w:val="nil"/>
              <w:tr2bl w:val="nil"/>
            </w:tcBorders>
            <w:shd w:val="clear" w:color="auto" w:fill="auto"/>
            <w:noWrap/>
            <w:tcMar>
              <w:left w:w="101" w:type="dxa"/>
              <w:right w:w="101" w:type="dxa"/>
            </w:tcMar>
          </w:tcPr>
          <w:p w:rsidR="00B34ABC" w:rsidRPr="004E0396" w:rsidRDefault="00B34ABC" w:rsidP="004E0396">
            <w:pPr>
              <w:spacing w:before="0" w:after="0"/>
              <w:rPr>
                <w:rFonts w:eastAsia="Calibri" w:cs="Calibri"/>
                <w:color w:val="000000"/>
                <w:sz w:val="18"/>
                <w:u w:val="single"/>
              </w:rPr>
            </w:pPr>
          </w:p>
        </w:tc>
        <w:tc>
          <w:tcPr>
            <w:tcW w:w="1035" w:type="dxa"/>
            <w:tcBorders>
              <w:top w:val="nil"/>
              <w:left w:val="nil"/>
              <w:bottom w:val="nil"/>
              <w:right w:val="nil"/>
              <w:tl2br w:val="nil"/>
              <w:tr2bl w:val="nil"/>
            </w:tcBorders>
            <w:shd w:val="clear" w:color="auto" w:fill="auto"/>
            <w:noWrap/>
            <w:tcMar>
              <w:left w:w="101" w:type="dxa"/>
              <w:right w:w="101" w:type="dxa"/>
            </w:tcMar>
          </w:tcPr>
          <w:p w:rsidR="00B34ABC" w:rsidRPr="004E0396" w:rsidRDefault="00B34ABC" w:rsidP="004E0396">
            <w:pPr>
              <w:spacing w:before="0" w:after="0"/>
              <w:rPr>
                <w:rFonts w:eastAsia="Calibri" w:cs="Calibri"/>
                <w:color w:val="000000"/>
                <w:sz w:val="18"/>
                <w:u w:val="single"/>
              </w:rPr>
            </w:pPr>
          </w:p>
        </w:tc>
        <w:tc>
          <w:tcPr>
            <w:tcW w:w="1035" w:type="dxa"/>
            <w:tcBorders>
              <w:top w:val="nil"/>
              <w:left w:val="nil"/>
              <w:bottom w:val="nil"/>
              <w:right w:val="nil"/>
              <w:tl2br w:val="nil"/>
              <w:tr2bl w:val="nil"/>
            </w:tcBorders>
            <w:shd w:val="clear" w:color="auto" w:fill="auto"/>
            <w:noWrap/>
            <w:tcMar>
              <w:left w:w="101" w:type="dxa"/>
              <w:right w:w="101" w:type="dxa"/>
            </w:tcMar>
          </w:tcPr>
          <w:p w:rsidR="00B34ABC" w:rsidRPr="004E0396" w:rsidRDefault="00B34ABC" w:rsidP="004E0396">
            <w:pPr>
              <w:spacing w:before="0" w:after="0"/>
              <w:rPr>
                <w:rFonts w:eastAsia="Calibri" w:cs="Calibri"/>
                <w:color w:val="000000"/>
                <w:sz w:val="18"/>
                <w:u w:val="single"/>
              </w:rPr>
            </w:pPr>
          </w:p>
        </w:tc>
      </w:tr>
      <w:tr w:rsidR="00237D6F" w:rsidTr="004E03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Drug and Alcohol Court establishment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74</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237D6F" w:rsidTr="005F68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rsidP="00E0025C">
            <w:pPr>
              <w:spacing w:before="0" w:after="0"/>
              <w:rPr>
                <w:rFonts w:eastAsia="Calibri" w:cs="Calibri"/>
                <w:color w:val="000000"/>
                <w:sz w:val="18"/>
              </w:rPr>
            </w:pPr>
            <w:r>
              <w:rPr>
                <w:rFonts w:eastAsia="Calibri" w:cs="Calibri"/>
                <w:color w:val="000000"/>
                <w:sz w:val="18"/>
              </w:rPr>
              <w:t>Integrat</w:t>
            </w:r>
            <w:r w:rsidR="00E0025C">
              <w:rPr>
                <w:rFonts w:eastAsia="Calibri" w:cs="Calibri"/>
                <w:color w:val="000000"/>
                <w:sz w:val="18"/>
              </w:rPr>
              <w:t xml:space="preserve">ing the </w:t>
            </w:r>
            <w:proofErr w:type="spellStart"/>
            <w:r w:rsidR="00E0025C">
              <w:rPr>
                <w:rFonts w:eastAsia="Calibri" w:cs="Calibri"/>
                <w:color w:val="000000"/>
                <w:sz w:val="18"/>
              </w:rPr>
              <w:t>Winnunga</w:t>
            </w:r>
            <w:proofErr w:type="spellEnd"/>
            <w:r w:rsidR="00E0025C">
              <w:rPr>
                <w:rFonts w:eastAsia="Calibri" w:cs="Calibri"/>
                <w:color w:val="000000"/>
                <w:sz w:val="18"/>
              </w:rPr>
              <w:t xml:space="preserve"> Model of Care and enhancing health services in the Alexander Maconochie Centre</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797</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814</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r>
      <w:tr w:rsidR="00237D6F" w:rsidTr="003C6F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4800" w:type="dxa"/>
            <w:tcBorders>
              <w:top w:val="nil"/>
              <w:left w:val="nil"/>
              <w:bottom w:val="nil"/>
              <w:right w:val="nil"/>
              <w:tl2br w:val="nil"/>
              <w:tr2bl w:val="nil"/>
            </w:tcBorders>
            <w:shd w:val="clear" w:color="auto" w:fill="auto"/>
            <w:tcMar>
              <w:left w:w="101" w:type="dxa"/>
              <w:right w:w="101" w:type="dxa"/>
            </w:tcMar>
            <w:vAlign w:val="bottom"/>
          </w:tcPr>
          <w:p w:rsidR="00237D6F" w:rsidRDefault="00765F6E">
            <w:pPr>
              <w:spacing w:before="0" w:after="0"/>
              <w:rPr>
                <w:rFonts w:eastAsia="Calibri" w:cs="Calibri"/>
                <w:b/>
                <w:color w:val="000000"/>
                <w:sz w:val="18"/>
              </w:rPr>
            </w:pPr>
            <w:r>
              <w:rPr>
                <w:rFonts w:eastAsia="Calibri" w:cs="Calibri"/>
                <w:b/>
                <w:color w:val="000000"/>
                <w:sz w:val="18"/>
              </w:rPr>
              <w:t>2018-19 Budget Policy Decisions</w:t>
            </w:r>
          </w:p>
          <w:p w:rsidR="00B07220" w:rsidRPr="00B07220" w:rsidRDefault="00B07220">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r>
      <w:tr w:rsidR="00237D6F" w:rsidRPr="004E0396" w:rsidTr="003C6F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4800" w:type="dxa"/>
            <w:tcBorders>
              <w:top w:val="nil"/>
              <w:left w:val="nil"/>
              <w:bottom w:val="nil"/>
              <w:right w:val="nil"/>
              <w:tl2br w:val="nil"/>
              <w:tr2bl w:val="nil"/>
            </w:tcBorders>
            <w:shd w:val="clear" w:color="auto" w:fill="auto"/>
            <w:tcMar>
              <w:left w:w="101" w:type="dxa"/>
              <w:right w:w="101" w:type="dxa"/>
            </w:tcMar>
          </w:tcPr>
          <w:p w:rsidR="00237D6F" w:rsidRPr="004E0396" w:rsidRDefault="00B34ABC">
            <w:pPr>
              <w:spacing w:before="0" w:after="0"/>
              <w:rPr>
                <w:rFonts w:eastAsia="Calibri" w:cs="Calibri"/>
                <w:color w:val="000000"/>
                <w:sz w:val="18"/>
                <w:u w:val="single"/>
              </w:rPr>
            </w:pPr>
            <w:r w:rsidRPr="004E0396">
              <w:rPr>
                <w:rFonts w:eastAsia="Calibri" w:cs="Calibri"/>
                <w:color w:val="000000"/>
                <w:sz w:val="18"/>
                <w:u w:val="single"/>
              </w:rPr>
              <w:t xml:space="preserve">Better healthcare for a growing community  </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4E0396" w:rsidRDefault="00237D6F">
            <w:pPr>
              <w:spacing w:before="0" w:after="0"/>
              <w:jc w:val="right"/>
              <w:rPr>
                <w:rFonts w:eastAsia="Calibri" w:cs="Calibri"/>
                <w:color w:val="000000"/>
                <w:sz w:val="18"/>
                <w:u w:val="single"/>
              </w:rPr>
            </w:pP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4E0396" w:rsidRDefault="00237D6F">
            <w:pPr>
              <w:spacing w:before="0" w:after="0"/>
              <w:jc w:val="right"/>
              <w:rPr>
                <w:rFonts w:eastAsia="Calibri" w:cs="Calibri"/>
                <w:color w:val="000000"/>
                <w:sz w:val="18"/>
                <w:u w:val="single"/>
              </w:rPr>
            </w:pP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4E0396" w:rsidRDefault="00237D6F">
            <w:pPr>
              <w:spacing w:before="0" w:after="0"/>
              <w:jc w:val="right"/>
              <w:rPr>
                <w:rFonts w:eastAsia="Calibri" w:cs="Calibri"/>
                <w:color w:val="000000"/>
                <w:sz w:val="18"/>
                <w:u w:val="single"/>
              </w:rPr>
            </w:pP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4E0396" w:rsidRDefault="00237D6F">
            <w:pPr>
              <w:spacing w:before="0" w:after="0"/>
              <w:jc w:val="right"/>
              <w:rPr>
                <w:rFonts w:eastAsia="Calibri" w:cs="Calibri"/>
                <w:color w:val="000000"/>
                <w:sz w:val="18"/>
                <w:u w:val="single"/>
              </w:rPr>
            </w:pP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4E0396" w:rsidRDefault="00237D6F">
            <w:pPr>
              <w:spacing w:before="0" w:after="0"/>
              <w:jc w:val="right"/>
              <w:rPr>
                <w:rFonts w:eastAsia="Calibri" w:cs="Calibri"/>
                <w:color w:val="000000"/>
                <w:sz w:val="18"/>
                <w:u w:val="single"/>
              </w:rPr>
            </w:pPr>
          </w:p>
        </w:tc>
      </w:tr>
      <w:tr w:rsidR="00237D6F" w:rsidRPr="00B07220" w:rsidTr="003C5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800" w:type="dxa"/>
            <w:tcBorders>
              <w:top w:val="nil"/>
              <w:left w:val="nil"/>
              <w:bottom w:val="nil"/>
              <w:right w:val="nil"/>
              <w:tl2br w:val="nil"/>
              <w:tr2bl w:val="nil"/>
            </w:tcBorders>
            <w:shd w:val="clear" w:color="auto" w:fill="auto"/>
            <w:tcMar>
              <w:left w:w="101" w:type="dxa"/>
              <w:right w:w="101" w:type="dxa"/>
            </w:tcMar>
          </w:tcPr>
          <w:p w:rsidR="00237D6F" w:rsidRPr="00951C55" w:rsidRDefault="00765F6E">
            <w:pPr>
              <w:spacing w:before="0" w:after="0"/>
              <w:rPr>
                <w:rFonts w:eastAsia="Calibri" w:cs="Calibri"/>
                <w:color w:val="000000"/>
                <w:sz w:val="18"/>
              </w:rPr>
            </w:pPr>
            <w:r w:rsidRPr="00951C55">
              <w:rPr>
                <w:rFonts w:eastAsia="Calibri" w:cs="Calibri"/>
                <w:color w:val="000000"/>
                <w:sz w:val="18"/>
              </w:rPr>
              <w:t>ACT Health critical assets upgrades</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40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220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350</w:t>
            </w:r>
          </w:p>
        </w:tc>
      </w:tr>
      <w:tr w:rsidR="00237D6F" w:rsidRPr="00B07220" w:rsidTr="003C5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800" w:type="dxa"/>
            <w:tcBorders>
              <w:top w:val="nil"/>
              <w:left w:val="nil"/>
              <w:bottom w:val="nil"/>
              <w:right w:val="nil"/>
              <w:tl2br w:val="nil"/>
              <w:tr2bl w:val="nil"/>
            </w:tcBorders>
            <w:shd w:val="clear" w:color="auto" w:fill="auto"/>
            <w:tcMar>
              <w:left w:w="101" w:type="dxa"/>
              <w:right w:w="101" w:type="dxa"/>
            </w:tcMar>
          </w:tcPr>
          <w:p w:rsidR="00237D6F" w:rsidRPr="00951C55" w:rsidRDefault="00765F6E">
            <w:pPr>
              <w:spacing w:before="0" w:after="0"/>
              <w:rPr>
                <w:rFonts w:eastAsia="Calibri" w:cs="Calibri"/>
                <w:color w:val="000000"/>
                <w:sz w:val="18"/>
              </w:rPr>
            </w:pPr>
            <w:r w:rsidRPr="00951C55">
              <w:rPr>
                <w:rFonts w:eastAsia="Calibri" w:cs="Calibri"/>
                <w:color w:val="000000"/>
                <w:sz w:val="18"/>
              </w:rPr>
              <w:t>ACT Health ICT upgrades</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770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2</w:t>
            </w:r>
            <w:r w:rsidR="00904EBD">
              <w:rPr>
                <w:rFonts w:eastAsia="Calibri" w:cs="Calibri"/>
                <w:color w:val="000000"/>
                <w:sz w:val="18"/>
              </w:rPr>
              <w:t>,</w:t>
            </w:r>
            <w:r w:rsidRPr="00951C55">
              <w:rPr>
                <w:rFonts w:eastAsia="Calibri" w:cs="Calibri"/>
                <w:color w:val="000000"/>
                <w:sz w:val="18"/>
              </w:rPr>
              <w:t>976</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2</w:t>
            </w:r>
            <w:r w:rsidR="00904EBD">
              <w:rPr>
                <w:rFonts w:eastAsia="Calibri" w:cs="Calibri"/>
                <w:color w:val="000000"/>
                <w:sz w:val="18"/>
              </w:rPr>
              <w:t>,</w:t>
            </w:r>
            <w:r w:rsidRPr="00951C55">
              <w:rPr>
                <w:rFonts w:eastAsia="Calibri" w:cs="Calibri"/>
                <w:color w:val="000000"/>
                <w:sz w:val="18"/>
              </w:rPr>
              <w:t>989</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2</w:t>
            </w:r>
            <w:r w:rsidR="00904EBD">
              <w:rPr>
                <w:rFonts w:eastAsia="Calibri" w:cs="Calibri"/>
                <w:color w:val="000000"/>
                <w:sz w:val="18"/>
              </w:rPr>
              <w:t>,</w:t>
            </w:r>
            <w:r w:rsidRPr="00951C55">
              <w:rPr>
                <w:rFonts w:eastAsia="Calibri" w:cs="Calibri"/>
                <w:color w:val="000000"/>
                <w:sz w:val="18"/>
              </w:rPr>
              <w:t>793</w:t>
            </w:r>
          </w:p>
        </w:tc>
      </w:tr>
      <w:tr w:rsidR="00237D6F" w:rsidRPr="00B07220" w:rsidTr="003C5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800" w:type="dxa"/>
            <w:tcBorders>
              <w:top w:val="nil"/>
              <w:left w:val="nil"/>
              <w:bottom w:val="nil"/>
              <w:right w:val="nil"/>
              <w:tl2br w:val="nil"/>
              <w:tr2bl w:val="nil"/>
            </w:tcBorders>
            <w:shd w:val="clear" w:color="auto" w:fill="auto"/>
            <w:tcMar>
              <w:left w:w="101" w:type="dxa"/>
              <w:right w:w="101" w:type="dxa"/>
            </w:tcMar>
          </w:tcPr>
          <w:p w:rsidR="00237D6F" w:rsidRPr="00951C55" w:rsidRDefault="00765F6E">
            <w:pPr>
              <w:spacing w:before="0" w:after="0"/>
              <w:rPr>
                <w:rFonts w:eastAsia="Calibri" w:cs="Calibri"/>
                <w:color w:val="000000"/>
                <w:sz w:val="18"/>
              </w:rPr>
            </w:pPr>
            <w:r w:rsidRPr="00951C55">
              <w:rPr>
                <w:rFonts w:eastAsia="Calibri" w:cs="Calibri"/>
                <w:color w:val="000000"/>
                <w:sz w:val="18"/>
              </w:rPr>
              <w:t>ACT Mental Health Recovery College Trial</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396</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443</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50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r>
      <w:tr w:rsidR="00237D6F" w:rsidRPr="00B07220" w:rsidTr="003C5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800" w:type="dxa"/>
            <w:tcBorders>
              <w:top w:val="nil"/>
              <w:left w:val="nil"/>
              <w:bottom w:val="nil"/>
              <w:right w:val="nil"/>
              <w:tl2br w:val="nil"/>
              <w:tr2bl w:val="nil"/>
            </w:tcBorders>
            <w:shd w:val="clear" w:color="auto" w:fill="auto"/>
            <w:tcMar>
              <w:left w:w="101" w:type="dxa"/>
              <w:right w:w="101" w:type="dxa"/>
            </w:tcMar>
          </w:tcPr>
          <w:p w:rsidR="00237D6F" w:rsidRPr="00951C55" w:rsidRDefault="00765F6E">
            <w:pPr>
              <w:spacing w:before="0" w:after="0"/>
              <w:rPr>
                <w:rFonts w:eastAsia="Calibri" w:cs="Calibri"/>
                <w:color w:val="000000"/>
                <w:sz w:val="18"/>
              </w:rPr>
            </w:pPr>
            <w:r w:rsidRPr="00951C55">
              <w:rPr>
                <w:rFonts w:eastAsia="Calibri" w:cs="Calibri"/>
                <w:color w:val="000000"/>
                <w:sz w:val="18"/>
              </w:rPr>
              <w:t>ACT Pathology Laboratory information system replacement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2</w:t>
            </w:r>
            <w:r w:rsidR="00904EBD">
              <w:rPr>
                <w:rFonts w:eastAsia="Calibri" w:cs="Calibri"/>
                <w:color w:val="000000"/>
                <w:sz w:val="18"/>
              </w:rPr>
              <w:t>,</w:t>
            </w:r>
            <w:r w:rsidRPr="00951C55">
              <w:rPr>
                <w:rFonts w:eastAsia="Calibri" w:cs="Calibri"/>
                <w:color w:val="000000"/>
                <w:sz w:val="18"/>
              </w:rPr>
              <w:t>554</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2</w:t>
            </w:r>
            <w:r w:rsidR="00904EBD">
              <w:rPr>
                <w:rFonts w:eastAsia="Calibri" w:cs="Calibri"/>
                <w:color w:val="000000"/>
                <w:sz w:val="18"/>
              </w:rPr>
              <w:t>,</w:t>
            </w:r>
            <w:r w:rsidRPr="00951C55">
              <w:rPr>
                <w:rFonts w:eastAsia="Calibri" w:cs="Calibri"/>
                <w:color w:val="000000"/>
                <w:sz w:val="18"/>
              </w:rPr>
              <w:t>789</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6</w:t>
            </w:r>
            <w:r w:rsidR="00904EBD">
              <w:rPr>
                <w:rFonts w:eastAsia="Calibri" w:cs="Calibri"/>
                <w:color w:val="000000"/>
                <w:sz w:val="18"/>
              </w:rPr>
              <w:t>,</w:t>
            </w:r>
            <w:r w:rsidRPr="00951C55">
              <w:rPr>
                <w:rFonts w:eastAsia="Calibri" w:cs="Calibri"/>
                <w:color w:val="000000"/>
                <w:sz w:val="18"/>
              </w:rPr>
              <w:t>230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E95C50">
            <w:pPr>
              <w:spacing w:before="0" w:after="0"/>
              <w:jc w:val="right"/>
              <w:rPr>
                <w:rFonts w:eastAsia="Calibri" w:cs="Calibri"/>
                <w:color w:val="000000"/>
                <w:sz w:val="18"/>
              </w:rPr>
            </w:pPr>
            <w:r>
              <w:rPr>
                <w:rFonts w:eastAsia="Calibri" w:cs="Calibri"/>
                <w:color w:val="000000"/>
                <w:sz w:val="18"/>
              </w:rPr>
              <w:t>(</w:t>
            </w:r>
            <w:r w:rsidR="00765F6E" w:rsidRPr="00951C55">
              <w:rPr>
                <w:rFonts w:eastAsia="Calibri" w:cs="Calibri"/>
                <w:color w:val="000000"/>
                <w:sz w:val="18"/>
              </w:rPr>
              <w:t>249</w:t>
            </w:r>
            <w:r>
              <w:rPr>
                <w:rFonts w:eastAsia="Calibri" w:cs="Calibri"/>
                <w:color w:val="000000"/>
                <w:sz w:val="18"/>
              </w:rPr>
              <w:t>)</w:t>
            </w:r>
          </w:p>
        </w:tc>
      </w:tr>
      <w:tr w:rsidR="00237D6F" w:rsidRPr="00B07220" w:rsidTr="003C5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800" w:type="dxa"/>
            <w:tcBorders>
              <w:top w:val="nil"/>
              <w:left w:val="nil"/>
              <w:bottom w:val="nil"/>
              <w:right w:val="nil"/>
              <w:tl2br w:val="nil"/>
              <w:tr2bl w:val="nil"/>
            </w:tcBorders>
            <w:shd w:val="clear" w:color="auto" w:fill="auto"/>
            <w:tcMar>
              <w:left w:w="101" w:type="dxa"/>
              <w:right w:w="101" w:type="dxa"/>
            </w:tcMar>
          </w:tcPr>
          <w:p w:rsidR="00237D6F" w:rsidRPr="00951C55" w:rsidRDefault="00765F6E">
            <w:pPr>
              <w:spacing w:before="0" w:after="0"/>
              <w:rPr>
                <w:rFonts w:eastAsia="Calibri" w:cs="Calibri"/>
                <w:color w:val="000000"/>
                <w:sz w:val="18"/>
              </w:rPr>
            </w:pPr>
            <w:r w:rsidRPr="00951C55">
              <w:rPr>
                <w:rFonts w:eastAsia="Calibri" w:cs="Calibri"/>
                <w:color w:val="000000"/>
                <w:sz w:val="18"/>
              </w:rPr>
              <w:t xml:space="preserve">Continuing </w:t>
            </w:r>
            <w:proofErr w:type="spellStart"/>
            <w:r w:rsidRPr="00951C55">
              <w:rPr>
                <w:rFonts w:eastAsia="Calibri" w:cs="Calibri"/>
                <w:color w:val="000000"/>
                <w:sz w:val="18"/>
              </w:rPr>
              <w:t>Northside</w:t>
            </w:r>
            <w:proofErr w:type="spellEnd"/>
            <w:r w:rsidRPr="00951C55">
              <w:rPr>
                <w:rFonts w:eastAsia="Calibri" w:cs="Calibri"/>
                <w:color w:val="000000"/>
                <w:sz w:val="18"/>
              </w:rPr>
              <w:t xml:space="preserve"> health care planning</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1</w:t>
            </w:r>
            <w:r w:rsidR="00904EBD">
              <w:rPr>
                <w:rFonts w:eastAsia="Calibri" w:cs="Calibri"/>
                <w:color w:val="000000"/>
                <w:sz w:val="18"/>
              </w:rPr>
              <w:t>,</w:t>
            </w:r>
            <w:r w:rsidRPr="00951C55">
              <w:rPr>
                <w:rFonts w:eastAsia="Calibri" w:cs="Calibri"/>
                <w:color w:val="000000"/>
                <w:sz w:val="18"/>
              </w:rPr>
              <w:t>000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r>
      <w:tr w:rsidR="00237D6F" w:rsidRPr="00B07220" w:rsidTr="003C5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800" w:type="dxa"/>
            <w:tcBorders>
              <w:top w:val="nil"/>
              <w:left w:val="nil"/>
              <w:bottom w:val="nil"/>
              <w:right w:val="nil"/>
              <w:tl2br w:val="nil"/>
              <w:tr2bl w:val="nil"/>
            </w:tcBorders>
            <w:shd w:val="clear" w:color="auto" w:fill="auto"/>
            <w:tcMar>
              <w:left w:w="101" w:type="dxa"/>
              <w:right w:w="101" w:type="dxa"/>
            </w:tcMar>
          </w:tcPr>
          <w:p w:rsidR="00237D6F" w:rsidRPr="00951C55" w:rsidRDefault="00765F6E">
            <w:pPr>
              <w:spacing w:before="0" w:after="0"/>
              <w:rPr>
                <w:rFonts w:eastAsia="Calibri" w:cs="Calibri"/>
                <w:color w:val="000000"/>
                <w:sz w:val="18"/>
              </w:rPr>
            </w:pPr>
            <w:r w:rsidRPr="00951C55">
              <w:rPr>
                <w:rFonts w:eastAsia="Calibri" w:cs="Calibri"/>
                <w:color w:val="000000"/>
                <w:sz w:val="18"/>
              </w:rPr>
              <w:t>Expanding counselling services for children and young people</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412</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424</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437</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DC0ACA">
            <w:pPr>
              <w:spacing w:before="0" w:after="0"/>
              <w:jc w:val="right"/>
              <w:rPr>
                <w:rFonts w:eastAsia="Calibri" w:cs="Calibri"/>
                <w:color w:val="000000"/>
                <w:sz w:val="18"/>
              </w:rPr>
            </w:pPr>
            <w:r>
              <w:rPr>
                <w:rFonts w:eastAsia="Calibri" w:cs="Calibri"/>
                <w:color w:val="000000"/>
                <w:sz w:val="18"/>
              </w:rPr>
              <w:t>-</w:t>
            </w:r>
          </w:p>
        </w:tc>
      </w:tr>
      <w:tr w:rsidR="001775C7" w:rsidRPr="00B07220" w:rsidTr="001775C7">
        <w:tblPrEx>
          <w:tblLook w:val="04A0" w:firstRow="1" w:lastRow="0" w:firstColumn="1" w:lastColumn="0" w:noHBand="0" w:noVBand="1"/>
        </w:tblPrEx>
        <w:trPr>
          <w:trHeight w:val="238"/>
        </w:trPr>
        <w:tc>
          <w:tcPr>
            <w:tcW w:w="4800" w:type="dxa"/>
          </w:tcPr>
          <w:p w:rsidR="001775C7" w:rsidRPr="00951C55" w:rsidRDefault="001775C7" w:rsidP="00433BE4">
            <w:pPr>
              <w:spacing w:before="0" w:after="0"/>
              <w:rPr>
                <w:rFonts w:eastAsia="Calibri" w:cs="Calibri"/>
                <w:color w:val="000000"/>
                <w:sz w:val="18"/>
              </w:rPr>
            </w:pPr>
            <w:r w:rsidRPr="00BC45E1">
              <w:rPr>
                <w:rFonts w:eastAsia="Calibri" w:cs="Calibri"/>
                <w:color w:val="000000"/>
                <w:sz w:val="18"/>
              </w:rPr>
              <w:t>Early planning to expand alcohol and drug services</w:t>
            </w:r>
          </w:p>
        </w:tc>
        <w:tc>
          <w:tcPr>
            <w:tcW w:w="1035" w:type="dxa"/>
            <w:noWrap/>
          </w:tcPr>
          <w:p w:rsidR="001775C7" w:rsidRPr="00951C55" w:rsidRDefault="001775C7" w:rsidP="00433BE4">
            <w:pPr>
              <w:spacing w:before="0" w:after="0"/>
              <w:jc w:val="right"/>
              <w:rPr>
                <w:rFonts w:eastAsia="Calibri" w:cs="Calibri"/>
                <w:color w:val="000000"/>
                <w:sz w:val="18"/>
              </w:rPr>
            </w:pPr>
            <w:r>
              <w:rPr>
                <w:rFonts w:eastAsia="Calibri" w:cs="Calibri"/>
                <w:color w:val="000000"/>
                <w:sz w:val="18"/>
              </w:rPr>
              <w:t>-</w:t>
            </w:r>
          </w:p>
        </w:tc>
        <w:tc>
          <w:tcPr>
            <w:tcW w:w="1035" w:type="dxa"/>
            <w:noWrap/>
          </w:tcPr>
          <w:p w:rsidR="001775C7" w:rsidRPr="00951C55" w:rsidRDefault="001775C7" w:rsidP="00433BE4">
            <w:pPr>
              <w:spacing w:before="0" w:after="0"/>
              <w:jc w:val="right"/>
              <w:rPr>
                <w:rFonts w:eastAsia="Calibri" w:cs="Calibri"/>
                <w:color w:val="000000"/>
                <w:sz w:val="18"/>
              </w:rPr>
            </w:pPr>
            <w:r w:rsidRPr="00951C55">
              <w:rPr>
                <w:rFonts w:eastAsia="Calibri" w:cs="Calibri"/>
                <w:color w:val="000000"/>
                <w:sz w:val="18"/>
              </w:rPr>
              <w:t>250</w:t>
            </w:r>
          </w:p>
        </w:tc>
        <w:tc>
          <w:tcPr>
            <w:tcW w:w="1035" w:type="dxa"/>
            <w:noWrap/>
          </w:tcPr>
          <w:p w:rsidR="001775C7" w:rsidRPr="00951C55" w:rsidRDefault="001775C7" w:rsidP="00433BE4">
            <w:pPr>
              <w:spacing w:before="0" w:after="0"/>
              <w:jc w:val="right"/>
              <w:rPr>
                <w:rFonts w:eastAsia="Calibri" w:cs="Calibri"/>
                <w:color w:val="000000"/>
                <w:sz w:val="18"/>
              </w:rPr>
            </w:pPr>
            <w:r>
              <w:rPr>
                <w:rFonts w:eastAsia="Calibri" w:cs="Calibri"/>
                <w:color w:val="000000"/>
                <w:sz w:val="18"/>
              </w:rPr>
              <w:t>-</w:t>
            </w:r>
          </w:p>
        </w:tc>
        <w:tc>
          <w:tcPr>
            <w:tcW w:w="1035" w:type="dxa"/>
            <w:noWrap/>
          </w:tcPr>
          <w:p w:rsidR="001775C7" w:rsidRPr="00951C55" w:rsidRDefault="001775C7" w:rsidP="00433BE4">
            <w:pPr>
              <w:spacing w:before="0" w:after="0"/>
              <w:jc w:val="right"/>
              <w:rPr>
                <w:rFonts w:eastAsia="Calibri" w:cs="Calibri"/>
                <w:color w:val="000000"/>
                <w:sz w:val="18"/>
              </w:rPr>
            </w:pPr>
            <w:r>
              <w:rPr>
                <w:rFonts w:eastAsia="Calibri" w:cs="Calibri"/>
                <w:color w:val="000000"/>
                <w:sz w:val="18"/>
              </w:rPr>
              <w:t>-</w:t>
            </w:r>
          </w:p>
        </w:tc>
        <w:tc>
          <w:tcPr>
            <w:tcW w:w="1035" w:type="dxa"/>
            <w:noWrap/>
          </w:tcPr>
          <w:p w:rsidR="001775C7" w:rsidRPr="00951C55" w:rsidRDefault="001775C7" w:rsidP="00433BE4">
            <w:pPr>
              <w:spacing w:before="0" w:after="0"/>
              <w:jc w:val="right"/>
              <w:rPr>
                <w:rFonts w:eastAsia="Calibri" w:cs="Calibri"/>
                <w:color w:val="000000"/>
                <w:sz w:val="18"/>
              </w:rPr>
            </w:pPr>
            <w:r>
              <w:rPr>
                <w:rFonts w:eastAsia="Calibri" w:cs="Calibri"/>
                <w:color w:val="000000"/>
                <w:sz w:val="18"/>
              </w:rPr>
              <w:t>-</w:t>
            </w:r>
          </w:p>
        </w:tc>
      </w:tr>
      <w:tr w:rsidR="00237D6F" w:rsidRPr="00B07220" w:rsidTr="003C5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800" w:type="dxa"/>
            <w:tcBorders>
              <w:top w:val="nil"/>
              <w:left w:val="nil"/>
              <w:bottom w:val="nil"/>
              <w:right w:val="nil"/>
              <w:tl2br w:val="nil"/>
              <w:tr2bl w:val="nil"/>
            </w:tcBorders>
            <w:shd w:val="clear" w:color="auto" w:fill="auto"/>
            <w:tcMar>
              <w:left w:w="101" w:type="dxa"/>
              <w:right w:w="101" w:type="dxa"/>
            </w:tcMar>
          </w:tcPr>
          <w:p w:rsidR="00237D6F" w:rsidRPr="00951C55" w:rsidRDefault="00765F6E">
            <w:pPr>
              <w:spacing w:before="0" w:after="0"/>
              <w:rPr>
                <w:rFonts w:eastAsia="Calibri" w:cs="Calibri"/>
                <w:color w:val="000000"/>
                <w:sz w:val="18"/>
              </w:rPr>
            </w:pPr>
            <w:r w:rsidRPr="00951C55">
              <w:rPr>
                <w:rFonts w:eastAsia="Calibri" w:cs="Calibri"/>
                <w:color w:val="000000"/>
                <w:sz w:val="18"/>
              </w:rPr>
              <w:t>Expanding Hospital in the Home</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4</w:t>
            </w:r>
            <w:r w:rsidR="00904EBD">
              <w:rPr>
                <w:rFonts w:eastAsia="Calibri" w:cs="Calibri"/>
                <w:color w:val="000000"/>
                <w:sz w:val="18"/>
              </w:rPr>
              <w:t>,</w:t>
            </w:r>
            <w:r w:rsidRPr="00951C55">
              <w:rPr>
                <w:rFonts w:eastAsia="Calibri" w:cs="Calibri"/>
                <w:color w:val="000000"/>
                <w:sz w:val="18"/>
              </w:rPr>
              <w:t>925</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9</w:t>
            </w:r>
            <w:r w:rsidR="00904EBD">
              <w:rPr>
                <w:rFonts w:eastAsia="Calibri" w:cs="Calibri"/>
                <w:color w:val="000000"/>
                <w:sz w:val="18"/>
              </w:rPr>
              <w:t>,</w:t>
            </w:r>
            <w:r w:rsidRPr="00951C55">
              <w:rPr>
                <w:rFonts w:eastAsia="Calibri" w:cs="Calibri"/>
                <w:color w:val="000000"/>
                <w:sz w:val="18"/>
              </w:rPr>
              <w:t>850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9</w:t>
            </w:r>
            <w:r w:rsidR="00904EBD">
              <w:rPr>
                <w:rFonts w:eastAsia="Calibri" w:cs="Calibri"/>
                <w:color w:val="000000"/>
                <w:sz w:val="18"/>
              </w:rPr>
              <w:t>,</w:t>
            </w:r>
            <w:r w:rsidRPr="00951C55">
              <w:rPr>
                <w:rFonts w:eastAsia="Calibri" w:cs="Calibri"/>
                <w:color w:val="000000"/>
                <w:sz w:val="18"/>
              </w:rPr>
              <w:t>850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9</w:t>
            </w:r>
            <w:r w:rsidR="00904EBD">
              <w:rPr>
                <w:rFonts w:eastAsia="Calibri" w:cs="Calibri"/>
                <w:color w:val="000000"/>
                <w:sz w:val="18"/>
              </w:rPr>
              <w:t>,</w:t>
            </w:r>
            <w:r w:rsidRPr="00951C55">
              <w:rPr>
                <w:rFonts w:eastAsia="Calibri" w:cs="Calibri"/>
                <w:color w:val="000000"/>
                <w:sz w:val="18"/>
              </w:rPr>
              <w:t>850</w:t>
            </w:r>
          </w:p>
        </w:tc>
      </w:tr>
      <w:tr w:rsidR="00237D6F" w:rsidRPr="00B07220" w:rsidTr="003C5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800" w:type="dxa"/>
            <w:tcBorders>
              <w:top w:val="nil"/>
              <w:left w:val="nil"/>
              <w:bottom w:val="nil"/>
              <w:right w:val="nil"/>
              <w:tl2br w:val="nil"/>
              <w:tr2bl w:val="nil"/>
            </w:tcBorders>
            <w:shd w:val="clear" w:color="auto" w:fill="auto"/>
            <w:tcMar>
              <w:left w:w="101" w:type="dxa"/>
              <w:right w:w="101" w:type="dxa"/>
            </w:tcMar>
          </w:tcPr>
          <w:p w:rsidR="00237D6F" w:rsidRPr="00951C55" w:rsidRDefault="00765F6E">
            <w:pPr>
              <w:spacing w:before="0" w:after="0"/>
              <w:rPr>
                <w:rFonts w:eastAsia="Calibri" w:cs="Calibri"/>
                <w:color w:val="000000"/>
                <w:sz w:val="18"/>
              </w:rPr>
            </w:pPr>
            <w:r w:rsidRPr="00951C55">
              <w:rPr>
                <w:rFonts w:eastAsia="Calibri" w:cs="Calibri"/>
                <w:color w:val="000000"/>
                <w:sz w:val="18"/>
              </w:rPr>
              <w:t>More mental health accommodation</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E95C50">
            <w:pPr>
              <w:spacing w:before="0" w:after="0"/>
              <w:jc w:val="right"/>
              <w:rPr>
                <w:rFonts w:eastAsia="Calibri" w:cs="Calibri"/>
                <w:color w:val="000000"/>
                <w:sz w:val="18"/>
              </w:rPr>
            </w:pPr>
            <w:r>
              <w:rPr>
                <w:rFonts w:eastAsia="Calibri" w:cs="Calibri"/>
                <w:color w:val="000000"/>
                <w:sz w:val="18"/>
              </w:rPr>
              <w:t>(</w:t>
            </w:r>
            <w:r w:rsidR="00765F6E" w:rsidRPr="00951C55">
              <w:rPr>
                <w:rFonts w:eastAsia="Calibri" w:cs="Calibri"/>
                <w:color w:val="000000"/>
                <w:sz w:val="18"/>
              </w:rPr>
              <w:t>200</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2</w:t>
            </w:r>
            <w:r w:rsidR="00904EBD">
              <w:rPr>
                <w:rFonts w:eastAsia="Calibri" w:cs="Calibri"/>
                <w:color w:val="000000"/>
                <w:sz w:val="18"/>
              </w:rPr>
              <w:t>,</w:t>
            </w:r>
            <w:r w:rsidRPr="00951C55">
              <w:rPr>
                <w:rFonts w:eastAsia="Calibri" w:cs="Calibri"/>
                <w:color w:val="000000"/>
                <w:sz w:val="18"/>
              </w:rPr>
              <w:t>241</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1</w:t>
            </w:r>
            <w:r w:rsidR="00904EBD">
              <w:rPr>
                <w:rFonts w:eastAsia="Calibri" w:cs="Calibri"/>
                <w:color w:val="000000"/>
                <w:sz w:val="18"/>
              </w:rPr>
              <w:t>,</w:t>
            </w:r>
            <w:r w:rsidRPr="00951C55">
              <w:rPr>
                <w:rFonts w:eastAsia="Calibri" w:cs="Calibri"/>
                <w:color w:val="000000"/>
                <w:sz w:val="18"/>
              </w:rPr>
              <w:t>854</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2</w:t>
            </w:r>
            <w:r w:rsidR="00904EBD">
              <w:rPr>
                <w:rFonts w:eastAsia="Calibri" w:cs="Calibri"/>
                <w:color w:val="000000"/>
                <w:sz w:val="18"/>
              </w:rPr>
              <w:t>,</w:t>
            </w:r>
            <w:r w:rsidRPr="00951C55">
              <w:rPr>
                <w:rFonts w:eastAsia="Calibri" w:cs="Calibri"/>
                <w:color w:val="000000"/>
                <w:sz w:val="18"/>
              </w:rPr>
              <w:t>981</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3</w:t>
            </w:r>
            <w:r w:rsidR="00904EBD">
              <w:rPr>
                <w:rFonts w:eastAsia="Calibri" w:cs="Calibri"/>
                <w:color w:val="000000"/>
                <w:sz w:val="18"/>
              </w:rPr>
              <w:t>,</w:t>
            </w:r>
            <w:r w:rsidRPr="00951C55">
              <w:rPr>
                <w:rFonts w:eastAsia="Calibri" w:cs="Calibri"/>
                <w:color w:val="000000"/>
                <w:sz w:val="18"/>
              </w:rPr>
              <w:t>783</w:t>
            </w:r>
          </w:p>
        </w:tc>
      </w:tr>
      <w:tr w:rsidR="00237D6F" w:rsidRPr="00B07220" w:rsidTr="003C5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800" w:type="dxa"/>
            <w:tcBorders>
              <w:top w:val="nil"/>
              <w:left w:val="nil"/>
              <w:bottom w:val="nil"/>
              <w:right w:val="nil"/>
              <w:tl2br w:val="nil"/>
              <w:tr2bl w:val="nil"/>
            </w:tcBorders>
            <w:shd w:val="clear" w:color="auto" w:fill="auto"/>
            <w:tcMar>
              <w:left w:w="101" w:type="dxa"/>
              <w:right w:w="101" w:type="dxa"/>
            </w:tcMar>
          </w:tcPr>
          <w:p w:rsidR="00237D6F" w:rsidRPr="00951C55" w:rsidRDefault="00765F6E">
            <w:pPr>
              <w:spacing w:before="0" w:after="0"/>
              <w:rPr>
                <w:rFonts w:eastAsia="Calibri" w:cs="Calibri"/>
                <w:color w:val="000000"/>
                <w:sz w:val="18"/>
              </w:rPr>
            </w:pPr>
            <w:r w:rsidRPr="00951C55">
              <w:rPr>
                <w:rFonts w:eastAsia="Calibri" w:cs="Calibri"/>
                <w:color w:val="000000"/>
                <w:sz w:val="18"/>
              </w:rPr>
              <w:t xml:space="preserve">More mental health outreach for young </w:t>
            </w:r>
            <w:proofErr w:type="spellStart"/>
            <w:r w:rsidRPr="00951C55">
              <w:rPr>
                <w:rFonts w:eastAsia="Calibri" w:cs="Calibri"/>
                <w:color w:val="000000"/>
                <w:sz w:val="18"/>
              </w:rPr>
              <w:t>Canberrans</w:t>
            </w:r>
            <w:proofErr w:type="spellEnd"/>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1</w:t>
            </w:r>
            <w:r w:rsidR="00904EBD">
              <w:rPr>
                <w:rFonts w:eastAsia="Calibri" w:cs="Calibri"/>
                <w:color w:val="000000"/>
                <w:sz w:val="18"/>
              </w:rPr>
              <w:t>,</w:t>
            </w:r>
            <w:r w:rsidRPr="00951C55">
              <w:rPr>
                <w:rFonts w:eastAsia="Calibri" w:cs="Calibri"/>
                <w:color w:val="000000"/>
                <w:sz w:val="18"/>
              </w:rPr>
              <w:t>142</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1</w:t>
            </w:r>
            <w:r w:rsidR="00904EBD">
              <w:rPr>
                <w:rFonts w:eastAsia="Calibri" w:cs="Calibri"/>
                <w:color w:val="000000"/>
                <w:sz w:val="18"/>
              </w:rPr>
              <w:t>,</w:t>
            </w:r>
            <w:r w:rsidRPr="00951C55">
              <w:rPr>
                <w:rFonts w:eastAsia="Calibri" w:cs="Calibri"/>
                <w:color w:val="000000"/>
                <w:sz w:val="18"/>
              </w:rPr>
              <w:t>016</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r>
      <w:tr w:rsidR="00237D6F" w:rsidRPr="00B07220" w:rsidTr="003C5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800" w:type="dxa"/>
            <w:tcBorders>
              <w:top w:val="nil"/>
              <w:left w:val="nil"/>
              <w:bottom w:val="nil"/>
              <w:right w:val="nil"/>
              <w:tl2br w:val="nil"/>
              <w:tr2bl w:val="nil"/>
            </w:tcBorders>
            <w:shd w:val="clear" w:color="auto" w:fill="auto"/>
            <w:tcMar>
              <w:left w:w="101" w:type="dxa"/>
              <w:right w:w="101" w:type="dxa"/>
            </w:tcMar>
          </w:tcPr>
          <w:p w:rsidR="00237D6F" w:rsidRPr="00951C55" w:rsidRDefault="00765F6E">
            <w:pPr>
              <w:spacing w:before="0" w:after="0"/>
              <w:rPr>
                <w:rFonts w:eastAsia="Calibri" w:cs="Calibri"/>
                <w:color w:val="000000"/>
                <w:sz w:val="18"/>
              </w:rPr>
            </w:pPr>
            <w:r w:rsidRPr="00951C55">
              <w:rPr>
                <w:rFonts w:eastAsia="Calibri" w:cs="Calibri"/>
                <w:color w:val="000000"/>
                <w:sz w:val="18"/>
              </w:rPr>
              <w:t xml:space="preserve">More mental health services for older </w:t>
            </w:r>
            <w:proofErr w:type="spellStart"/>
            <w:r w:rsidRPr="00951C55">
              <w:rPr>
                <w:rFonts w:eastAsia="Calibri" w:cs="Calibri"/>
                <w:color w:val="000000"/>
                <w:sz w:val="18"/>
              </w:rPr>
              <w:t>Canberrans</w:t>
            </w:r>
            <w:proofErr w:type="spellEnd"/>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744</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757</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776</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795</w:t>
            </w:r>
          </w:p>
        </w:tc>
      </w:tr>
      <w:tr w:rsidR="00237D6F" w:rsidRPr="00B07220" w:rsidTr="003C5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800" w:type="dxa"/>
            <w:tcBorders>
              <w:top w:val="nil"/>
              <w:left w:val="nil"/>
              <w:bottom w:val="nil"/>
              <w:right w:val="nil"/>
              <w:tl2br w:val="nil"/>
              <w:tr2bl w:val="nil"/>
            </w:tcBorders>
            <w:shd w:val="clear" w:color="auto" w:fill="auto"/>
            <w:tcMar>
              <w:left w:w="101" w:type="dxa"/>
              <w:right w:w="101" w:type="dxa"/>
            </w:tcMar>
          </w:tcPr>
          <w:p w:rsidR="00237D6F" w:rsidRPr="00951C55" w:rsidRDefault="00765F6E">
            <w:pPr>
              <w:spacing w:before="0" w:after="0"/>
              <w:rPr>
                <w:rFonts w:eastAsia="Calibri" w:cs="Calibri"/>
                <w:color w:val="000000"/>
                <w:sz w:val="18"/>
              </w:rPr>
            </w:pPr>
            <w:r w:rsidRPr="00951C55">
              <w:rPr>
                <w:rFonts w:eastAsia="Calibri" w:cs="Calibri"/>
                <w:color w:val="000000"/>
                <w:sz w:val="18"/>
              </w:rPr>
              <w:t>More support for people with chronic illness</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125</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250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125</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r>
      <w:tr w:rsidR="001775C7" w:rsidTr="00433B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800" w:type="dxa"/>
            <w:tcBorders>
              <w:top w:val="nil"/>
              <w:left w:val="nil"/>
              <w:bottom w:val="nil"/>
              <w:right w:val="nil"/>
              <w:tl2br w:val="nil"/>
              <w:tr2bl w:val="nil"/>
            </w:tcBorders>
            <w:shd w:val="clear" w:color="auto" w:fill="auto"/>
            <w:tcMar>
              <w:left w:w="101" w:type="dxa"/>
              <w:right w:w="101" w:type="dxa"/>
            </w:tcMar>
          </w:tcPr>
          <w:p w:rsidR="001775C7" w:rsidRPr="00951C55" w:rsidRDefault="001775C7" w:rsidP="00433BE4">
            <w:pPr>
              <w:spacing w:before="0" w:after="0"/>
              <w:rPr>
                <w:rFonts w:eastAsia="Calibri" w:cs="Calibri"/>
                <w:color w:val="000000"/>
                <w:sz w:val="18"/>
              </w:rPr>
            </w:pPr>
            <w:r w:rsidRPr="00951C55">
              <w:rPr>
                <w:rFonts w:eastAsia="Calibri" w:cs="Calibri"/>
                <w:color w:val="000000"/>
                <w:sz w:val="18"/>
              </w:rPr>
              <w:t xml:space="preserve">More </w:t>
            </w:r>
            <w:r>
              <w:rPr>
                <w:rFonts w:eastAsia="Calibri" w:cs="Calibri"/>
                <w:color w:val="000000"/>
                <w:sz w:val="18"/>
              </w:rPr>
              <w:t>resources for acute hospital care</w:t>
            </w:r>
          </w:p>
        </w:tc>
        <w:tc>
          <w:tcPr>
            <w:tcW w:w="1035" w:type="dxa"/>
            <w:tcBorders>
              <w:top w:val="nil"/>
              <w:left w:val="nil"/>
              <w:bottom w:val="nil"/>
              <w:right w:val="nil"/>
              <w:tl2br w:val="nil"/>
              <w:tr2bl w:val="nil"/>
            </w:tcBorders>
            <w:shd w:val="clear" w:color="auto" w:fill="auto"/>
            <w:noWrap/>
            <w:tcMar>
              <w:left w:w="101" w:type="dxa"/>
              <w:right w:w="101" w:type="dxa"/>
            </w:tcMar>
          </w:tcPr>
          <w:p w:rsidR="001775C7" w:rsidRPr="00951C55" w:rsidRDefault="001775C7" w:rsidP="00433BE4">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1775C7" w:rsidRPr="00951C55" w:rsidRDefault="001775C7" w:rsidP="00433BE4">
            <w:pPr>
              <w:spacing w:before="0" w:after="0"/>
              <w:jc w:val="right"/>
              <w:rPr>
                <w:rFonts w:eastAsia="Calibri" w:cs="Calibri"/>
                <w:color w:val="000000"/>
                <w:sz w:val="18"/>
              </w:rPr>
            </w:pPr>
            <w:r w:rsidRPr="00951C55">
              <w:rPr>
                <w:rFonts w:eastAsia="Calibri" w:cs="Calibri"/>
                <w:color w:val="000000"/>
                <w:sz w:val="18"/>
              </w:rPr>
              <w:t>11</w:t>
            </w:r>
            <w:r>
              <w:rPr>
                <w:rFonts w:eastAsia="Calibri" w:cs="Calibri"/>
                <w:color w:val="000000"/>
                <w:sz w:val="18"/>
              </w:rPr>
              <w:t>,</w:t>
            </w:r>
            <w:r w:rsidRPr="00951C55">
              <w:rPr>
                <w:rFonts w:eastAsia="Calibri" w:cs="Calibri"/>
                <w:color w:val="000000"/>
                <w:sz w:val="18"/>
              </w:rPr>
              <w:t>521</w:t>
            </w:r>
          </w:p>
        </w:tc>
        <w:tc>
          <w:tcPr>
            <w:tcW w:w="1035" w:type="dxa"/>
            <w:tcBorders>
              <w:top w:val="nil"/>
              <w:left w:val="nil"/>
              <w:bottom w:val="nil"/>
              <w:right w:val="nil"/>
              <w:tl2br w:val="nil"/>
              <w:tr2bl w:val="nil"/>
            </w:tcBorders>
            <w:shd w:val="clear" w:color="auto" w:fill="auto"/>
            <w:noWrap/>
            <w:tcMar>
              <w:left w:w="101" w:type="dxa"/>
              <w:right w:w="101" w:type="dxa"/>
            </w:tcMar>
          </w:tcPr>
          <w:p w:rsidR="001775C7" w:rsidRPr="00951C55" w:rsidRDefault="001775C7" w:rsidP="00433BE4">
            <w:pPr>
              <w:spacing w:before="0" w:after="0"/>
              <w:jc w:val="right"/>
              <w:rPr>
                <w:rFonts w:eastAsia="Calibri" w:cs="Calibri"/>
                <w:color w:val="000000"/>
                <w:sz w:val="18"/>
              </w:rPr>
            </w:pPr>
            <w:r w:rsidRPr="00951C55">
              <w:rPr>
                <w:rFonts w:eastAsia="Calibri" w:cs="Calibri"/>
                <w:color w:val="000000"/>
                <w:sz w:val="18"/>
              </w:rPr>
              <w:t>11</w:t>
            </w:r>
            <w:r>
              <w:rPr>
                <w:rFonts w:eastAsia="Calibri" w:cs="Calibri"/>
                <w:color w:val="000000"/>
                <w:sz w:val="18"/>
              </w:rPr>
              <w:t>,</w:t>
            </w:r>
            <w:r w:rsidRPr="00951C55">
              <w:rPr>
                <w:rFonts w:eastAsia="Calibri" w:cs="Calibri"/>
                <w:color w:val="000000"/>
                <w:sz w:val="18"/>
              </w:rPr>
              <w:t>700</w:t>
            </w:r>
          </w:p>
        </w:tc>
        <w:tc>
          <w:tcPr>
            <w:tcW w:w="1035" w:type="dxa"/>
            <w:tcBorders>
              <w:top w:val="nil"/>
              <w:left w:val="nil"/>
              <w:bottom w:val="nil"/>
              <w:right w:val="nil"/>
              <w:tl2br w:val="nil"/>
              <w:tr2bl w:val="nil"/>
            </w:tcBorders>
            <w:shd w:val="clear" w:color="auto" w:fill="auto"/>
            <w:noWrap/>
            <w:tcMar>
              <w:left w:w="101" w:type="dxa"/>
              <w:right w:w="101" w:type="dxa"/>
            </w:tcMar>
          </w:tcPr>
          <w:p w:rsidR="001775C7" w:rsidRPr="00951C55" w:rsidRDefault="001775C7" w:rsidP="00433BE4">
            <w:pPr>
              <w:spacing w:before="0" w:after="0"/>
              <w:jc w:val="right"/>
              <w:rPr>
                <w:rFonts w:eastAsia="Calibri" w:cs="Calibri"/>
                <w:color w:val="000000"/>
                <w:sz w:val="18"/>
              </w:rPr>
            </w:pPr>
            <w:r w:rsidRPr="00951C55">
              <w:rPr>
                <w:rFonts w:eastAsia="Calibri" w:cs="Calibri"/>
                <w:color w:val="000000"/>
                <w:sz w:val="18"/>
              </w:rPr>
              <w:t>11</w:t>
            </w:r>
            <w:r>
              <w:rPr>
                <w:rFonts w:eastAsia="Calibri" w:cs="Calibri"/>
                <w:color w:val="000000"/>
                <w:sz w:val="18"/>
              </w:rPr>
              <w:t>,</w:t>
            </w:r>
            <w:r w:rsidRPr="00951C55">
              <w:rPr>
                <w:rFonts w:eastAsia="Calibri" w:cs="Calibri"/>
                <w:color w:val="000000"/>
                <w:sz w:val="18"/>
              </w:rPr>
              <w:t>887</w:t>
            </w:r>
          </w:p>
        </w:tc>
        <w:tc>
          <w:tcPr>
            <w:tcW w:w="1035" w:type="dxa"/>
            <w:tcBorders>
              <w:top w:val="nil"/>
              <w:left w:val="nil"/>
              <w:bottom w:val="nil"/>
              <w:right w:val="nil"/>
              <w:tl2br w:val="nil"/>
              <w:tr2bl w:val="nil"/>
            </w:tcBorders>
            <w:shd w:val="clear" w:color="auto" w:fill="auto"/>
            <w:noWrap/>
            <w:tcMar>
              <w:left w:w="101" w:type="dxa"/>
              <w:right w:w="101" w:type="dxa"/>
            </w:tcMar>
          </w:tcPr>
          <w:p w:rsidR="001775C7" w:rsidRPr="00951C55" w:rsidRDefault="001775C7" w:rsidP="00433BE4">
            <w:pPr>
              <w:spacing w:before="0" w:after="0"/>
              <w:jc w:val="right"/>
              <w:rPr>
                <w:rFonts w:eastAsia="Calibri" w:cs="Calibri"/>
                <w:color w:val="000000"/>
                <w:sz w:val="18"/>
              </w:rPr>
            </w:pPr>
            <w:r w:rsidRPr="00951C55">
              <w:rPr>
                <w:rFonts w:eastAsia="Calibri" w:cs="Calibri"/>
                <w:color w:val="000000"/>
                <w:sz w:val="18"/>
              </w:rPr>
              <w:t>12</w:t>
            </w:r>
            <w:r>
              <w:rPr>
                <w:rFonts w:eastAsia="Calibri" w:cs="Calibri"/>
                <w:color w:val="000000"/>
                <w:sz w:val="18"/>
              </w:rPr>
              <w:t>,</w:t>
            </w:r>
            <w:r w:rsidRPr="00951C55">
              <w:rPr>
                <w:rFonts w:eastAsia="Calibri" w:cs="Calibri"/>
                <w:color w:val="000000"/>
                <w:sz w:val="18"/>
              </w:rPr>
              <w:t>079</w:t>
            </w:r>
          </w:p>
        </w:tc>
      </w:tr>
      <w:tr w:rsidR="005A296E" w:rsidTr="00B43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800" w:type="dxa"/>
            <w:tcBorders>
              <w:top w:val="nil"/>
              <w:left w:val="nil"/>
              <w:bottom w:val="nil"/>
              <w:right w:val="nil"/>
              <w:tl2br w:val="nil"/>
              <w:tr2bl w:val="nil"/>
            </w:tcBorders>
            <w:shd w:val="clear" w:color="auto" w:fill="auto"/>
            <w:tcMar>
              <w:left w:w="101" w:type="dxa"/>
              <w:right w:w="101" w:type="dxa"/>
            </w:tcMar>
          </w:tcPr>
          <w:p w:rsidR="005A296E" w:rsidRPr="00951C55" w:rsidRDefault="005D7538" w:rsidP="00B43A2B">
            <w:pPr>
              <w:spacing w:before="0" w:after="0"/>
              <w:rPr>
                <w:rFonts w:eastAsia="Calibri" w:cs="Calibri"/>
                <w:color w:val="000000"/>
                <w:sz w:val="18"/>
              </w:rPr>
            </w:pPr>
            <w:r>
              <w:rPr>
                <w:rFonts w:eastAsia="Calibri" w:cs="Calibri"/>
                <w:color w:val="000000"/>
                <w:sz w:val="18"/>
              </w:rPr>
              <w:t>More s</w:t>
            </w:r>
            <w:r w:rsidR="005A296E" w:rsidRPr="00951C55">
              <w:rPr>
                <w:rFonts w:eastAsia="Calibri" w:cs="Calibri"/>
                <w:color w:val="000000"/>
                <w:sz w:val="18"/>
              </w:rPr>
              <w:t>urgeries</w:t>
            </w:r>
          </w:p>
        </w:tc>
        <w:tc>
          <w:tcPr>
            <w:tcW w:w="1035" w:type="dxa"/>
            <w:tcBorders>
              <w:top w:val="nil"/>
              <w:left w:val="nil"/>
              <w:bottom w:val="nil"/>
              <w:right w:val="nil"/>
              <w:tl2br w:val="nil"/>
              <w:tr2bl w:val="nil"/>
            </w:tcBorders>
            <w:shd w:val="clear" w:color="auto" w:fill="auto"/>
            <w:noWrap/>
            <w:tcMar>
              <w:left w:w="101" w:type="dxa"/>
              <w:right w:w="101" w:type="dxa"/>
            </w:tcMar>
          </w:tcPr>
          <w:p w:rsidR="005A296E" w:rsidRPr="00951C55" w:rsidRDefault="005A296E" w:rsidP="00B43A2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5A296E" w:rsidRPr="00951C55" w:rsidRDefault="005A296E" w:rsidP="00B43A2B">
            <w:pPr>
              <w:spacing w:before="0" w:after="0"/>
              <w:jc w:val="right"/>
              <w:rPr>
                <w:rFonts w:eastAsia="Calibri" w:cs="Calibri"/>
                <w:color w:val="000000"/>
                <w:sz w:val="18"/>
              </w:rPr>
            </w:pPr>
            <w:r w:rsidRPr="00951C55">
              <w:rPr>
                <w:rFonts w:eastAsia="Calibri" w:cs="Calibri"/>
                <w:color w:val="000000"/>
                <w:sz w:val="18"/>
              </w:rPr>
              <w:t>15</w:t>
            </w:r>
            <w:r w:rsidR="00904EBD">
              <w:rPr>
                <w:rFonts w:eastAsia="Calibri" w:cs="Calibri"/>
                <w:color w:val="000000"/>
                <w:sz w:val="18"/>
              </w:rPr>
              <w:t>,</w:t>
            </w:r>
            <w:r w:rsidRPr="00951C55">
              <w:rPr>
                <w:rFonts w:eastAsia="Calibri" w:cs="Calibri"/>
                <w:color w:val="000000"/>
                <w:sz w:val="18"/>
              </w:rPr>
              <w:t>818</w:t>
            </w:r>
          </w:p>
        </w:tc>
        <w:tc>
          <w:tcPr>
            <w:tcW w:w="1035" w:type="dxa"/>
            <w:tcBorders>
              <w:top w:val="nil"/>
              <w:left w:val="nil"/>
              <w:bottom w:val="nil"/>
              <w:right w:val="nil"/>
              <w:tl2br w:val="nil"/>
              <w:tr2bl w:val="nil"/>
            </w:tcBorders>
            <w:shd w:val="clear" w:color="auto" w:fill="auto"/>
            <w:noWrap/>
            <w:tcMar>
              <w:left w:w="101" w:type="dxa"/>
              <w:right w:w="101" w:type="dxa"/>
            </w:tcMar>
          </w:tcPr>
          <w:p w:rsidR="005A296E" w:rsidRPr="00951C55" w:rsidRDefault="005A296E" w:rsidP="00B43A2B">
            <w:pPr>
              <w:spacing w:before="0" w:after="0"/>
              <w:jc w:val="right"/>
              <w:rPr>
                <w:rFonts w:eastAsia="Calibri" w:cs="Calibri"/>
                <w:color w:val="000000"/>
                <w:sz w:val="18"/>
              </w:rPr>
            </w:pPr>
            <w:r w:rsidRPr="00951C55">
              <w:rPr>
                <w:rFonts w:eastAsia="Calibri" w:cs="Calibri"/>
                <w:color w:val="000000"/>
                <w:sz w:val="18"/>
              </w:rPr>
              <w:t>16</w:t>
            </w:r>
            <w:r w:rsidR="00904EBD">
              <w:rPr>
                <w:rFonts w:eastAsia="Calibri" w:cs="Calibri"/>
                <w:color w:val="000000"/>
                <w:sz w:val="18"/>
              </w:rPr>
              <w:t>,</w:t>
            </w:r>
            <w:r w:rsidRPr="00951C55">
              <w:rPr>
                <w:rFonts w:eastAsia="Calibri" w:cs="Calibri"/>
                <w:color w:val="000000"/>
                <w:sz w:val="18"/>
              </w:rPr>
              <w:t>052</w:t>
            </w:r>
          </w:p>
        </w:tc>
        <w:tc>
          <w:tcPr>
            <w:tcW w:w="1035" w:type="dxa"/>
            <w:tcBorders>
              <w:top w:val="nil"/>
              <w:left w:val="nil"/>
              <w:bottom w:val="nil"/>
              <w:right w:val="nil"/>
              <w:tl2br w:val="nil"/>
              <w:tr2bl w:val="nil"/>
            </w:tcBorders>
            <w:shd w:val="clear" w:color="auto" w:fill="auto"/>
            <w:noWrap/>
            <w:tcMar>
              <w:left w:w="101" w:type="dxa"/>
              <w:right w:w="101" w:type="dxa"/>
            </w:tcMar>
          </w:tcPr>
          <w:p w:rsidR="005A296E" w:rsidRPr="00951C55" w:rsidRDefault="005A296E" w:rsidP="00B43A2B">
            <w:pPr>
              <w:spacing w:before="0" w:after="0"/>
              <w:jc w:val="right"/>
              <w:rPr>
                <w:rFonts w:eastAsia="Calibri" w:cs="Calibri"/>
                <w:color w:val="000000"/>
                <w:sz w:val="18"/>
              </w:rPr>
            </w:pPr>
            <w:r w:rsidRPr="00951C55">
              <w:rPr>
                <w:rFonts w:eastAsia="Calibri" w:cs="Calibri"/>
                <w:color w:val="000000"/>
                <w:sz w:val="18"/>
              </w:rPr>
              <w:t>16</w:t>
            </w:r>
            <w:r w:rsidR="00904EBD">
              <w:rPr>
                <w:rFonts w:eastAsia="Calibri" w:cs="Calibri"/>
                <w:color w:val="000000"/>
                <w:sz w:val="18"/>
              </w:rPr>
              <w:t>,</w:t>
            </w:r>
            <w:r w:rsidRPr="00951C55">
              <w:rPr>
                <w:rFonts w:eastAsia="Calibri" w:cs="Calibri"/>
                <w:color w:val="000000"/>
                <w:sz w:val="18"/>
              </w:rPr>
              <w:t>296</w:t>
            </w:r>
          </w:p>
        </w:tc>
        <w:tc>
          <w:tcPr>
            <w:tcW w:w="1035" w:type="dxa"/>
            <w:tcBorders>
              <w:top w:val="nil"/>
              <w:left w:val="nil"/>
              <w:bottom w:val="nil"/>
              <w:right w:val="nil"/>
              <w:tl2br w:val="nil"/>
              <w:tr2bl w:val="nil"/>
            </w:tcBorders>
            <w:shd w:val="clear" w:color="auto" w:fill="auto"/>
            <w:noWrap/>
            <w:tcMar>
              <w:left w:w="101" w:type="dxa"/>
              <w:right w:w="101" w:type="dxa"/>
            </w:tcMar>
          </w:tcPr>
          <w:p w:rsidR="005A296E" w:rsidRPr="00951C55" w:rsidRDefault="005A296E" w:rsidP="00B43A2B">
            <w:pPr>
              <w:spacing w:before="0" w:after="0"/>
              <w:jc w:val="right"/>
              <w:rPr>
                <w:rFonts w:eastAsia="Calibri" w:cs="Calibri"/>
                <w:color w:val="000000"/>
                <w:sz w:val="18"/>
              </w:rPr>
            </w:pPr>
            <w:r w:rsidRPr="00951C55">
              <w:rPr>
                <w:rFonts w:eastAsia="Calibri" w:cs="Calibri"/>
                <w:color w:val="000000"/>
                <w:sz w:val="18"/>
              </w:rPr>
              <w:t>16</w:t>
            </w:r>
            <w:r w:rsidR="00904EBD">
              <w:rPr>
                <w:rFonts w:eastAsia="Calibri" w:cs="Calibri"/>
                <w:color w:val="000000"/>
                <w:sz w:val="18"/>
              </w:rPr>
              <w:t>,</w:t>
            </w:r>
            <w:r w:rsidRPr="00951C55">
              <w:rPr>
                <w:rFonts w:eastAsia="Calibri" w:cs="Calibri"/>
                <w:color w:val="000000"/>
                <w:sz w:val="18"/>
              </w:rPr>
              <w:t>550</w:t>
            </w:r>
          </w:p>
        </w:tc>
      </w:tr>
      <w:tr w:rsidR="00237D6F" w:rsidRPr="00B07220" w:rsidTr="003C5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800" w:type="dxa"/>
            <w:tcBorders>
              <w:top w:val="nil"/>
              <w:left w:val="nil"/>
              <w:bottom w:val="nil"/>
              <w:right w:val="nil"/>
              <w:tl2br w:val="nil"/>
              <w:tr2bl w:val="nil"/>
            </w:tcBorders>
            <w:shd w:val="clear" w:color="auto" w:fill="auto"/>
            <w:tcMar>
              <w:left w:w="101" w:type="dxa"/>
              <w:right w:w="101" w:type="dxa"/>
            </w:tcMar>
          </w:tcPr>
          <w:p w:rsidR="00237D6F" w:rsidRPr="00951C55" w:rsidRDefault="00765F6E">
            <w:pPr>
              <w:spacing w:before="0" w:after="0"/>
              <w:rPr>
                <w:rFonts w:eastAsia="Calibri" w:cs="Calibri"/>
                <w:color w:val="000000"/>
                <w:sz w:val="18"/>
              </w:rPr>
            </w:pPr>
            <w:r w:rsidRPr="00951C55">
              <w:rPr>
                <w:rFonts w:eastAsia="Calibri" w:cs="Calibri"/>
                <w:color w:val="000000"/>
                <w:sz w:val="18"/>
              </w:rPr>
              <w:t>Primary care integration</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190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r>
      <w:tr w:rsidR="00237D6F" w:rsidRPr="00B07220" w:rsidTr="003C5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800" w:type="dxa"/>
            <w:tcBorders>
              <w:top w:val="nil"/>
              <w:left w:val="nil"/>
              <w:bottom w:val="nil"/>
              <w:right w:val="nil"/>
              <w:tl2br w:val="nil"/>
              <w:tr2bl w:val="nil"/>
            </w:tcBorders>
            <w:shd w:val="clear" w:color="auto" w:fill="auto"/>
            <w:tcMar>
              <w:left w:w="101" w:type="dxa"/>
              <w:right w:w="101" w:type="dxa"/>
            </w:tcMar>
          </w:tcPr>
          <w:p w:rsidR="00237D6F" w:rsidRPr="00951C55" w:rsidRDefault="00765F6E">
            <w:pPr>
              <w:spacing w:before="0" w:after="0"/>
              <w:rPr>
                <w:rFonts w:eastAsia="Calibri" w:cs="Calibri"/>
                <w:color w:val="000000"/>
                <w:sz w:val="18"/>
              </w:rPr>
            </w:pPr>
            <w:r w:rsidRPr="00951C55">
              <w:rPr>
                <w:rFonts w:eastAsia="Calibri" w:cs="Calibri"/>
                <w:color w:val="000000"/>
                <w:sz w:val="18"/>
              </w:rPr>
              <w:t>Protecting Canberra's kids</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801</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r>
      <w:tr w:rsidR="00237D6F" w:rsidRPr="00B07220" w:rsidTr="005F68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4800" w:type="dxa"/>
            <w:tcBorders>
              <w:top w:val="nil"/>
              <w:left w:val="nil"/>
              <w:bottom w:val="nil"/>
              <w:right w:val="nil"/>
              <w:tl2br w:val="nil"/>
              <w:tr2bl w:val="nil"/>
            </w:tcBorders>
            <w:shd w:val="clear" w:color="auto" w:fill="auto"/>
            <w:tcMar>
              <w:left w:w="101" w:type="dxa"/>
              <w:right w:w="101" w:type="dxa"/>
            </w:tcMar>
          </w:tcPr>
          <w:p w:rsidR="00237D6F" w:rsidRPr="00951C55" w:rsidRDefault="00765F6E">
            <w:pPr>
              <w:spacing w:before="0" w:after="0"/>
              <w:rPr>
                <w:rFonts w:eastAsia="Calibri" w:cs="Calibri"/>
                <w:color w:val="000000"/>
                <w:sz w:val="18"/>
              </w:rPr>
            </w:pPr>
            <w:r w:rsidRPr="00951C55">
              <w:rPr>
                <w:rFonts w:eastAsia="Calibri" w:cs="Calibri"/>
                <w:color w:val="000000"/>
                <w:sz w:val="18"/>
              </w:rPr>
              <w:t>Strengthening health services at the Alexander Maconochie Centre</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1</w:t>
            </w:r>
            <w:r w:rsidR="00904EBD">
              <w:rPr>
                <w:rFonts w:eastAsia="Calibri" w:cs="Calibri"/>
                <w:color w:val="000000"/>
                <w:sz w:val="18"/>
              </w:rPr>
              <w:t>,</w:t>
            </w:r>
            <w:r w:rsidRPr="00951C55">
              <w:rPr>
                <w:rFonts w:eastAsia="Calibri" w:cs="Calibri"/>
                <w:color w:val="000000"/>
                <w:sz w:val="18"/>
              </w:rPr>
              <w:t>530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1</w:t>
            </w:r>
            <w:r w:rsidR="00904EBD">
              <w:rPr>
                <w:rFonts w:eastAsia="Calibri" w:cs="Calibri"/>
                <w:color w:val="000000"/>
                <w:sz w:val="18"/>
              </w:rPr>
              <w:t>,</w:t>
            </w:r>
            <w:r w:rsidRPr="00951C55">
              <w:rPr>
                <w:rFonts w:eastAsia="Calibri" w:cs="Calibri"/>
                <w:color w:val="000000"/>
                <w:sz w:val="18"/>
              </w:rPr>
              <w:t>561</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1</w:t>
            </w:r>
            <w:r w:rsidR="00904EBD">
              <w:rPr>
                <w:rFonts w:eastAsia="Calibri" w:cs="Calibri"/>
                <w:color w:val="000000"/>
                <w:sz w:val="18"/>
              </w:rPr>
              <w:t>,</w:t>
            </w:r>
            <w:r w:rsidRPr="00951C55">
              <w:rPr>
                <w:rFonts w:eastAsia="Calibri" w:cs="Calibri"/>
                <w:color w:val="000000"/>
                <w:sz w:val="18"/>
              </w:rPr>
              <w:t>593</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1</w:t>
            </w:r>
            <w:r w:rsidR="00904EBD">
              <w:rPr>
                <w:rFonts w:eastAsia="Calibri" w:cs="Calibri"/>
                <w:color w:val="000000"/>
                <w:sz w:val="18"/>
              </w:rPr>
              <w:t>,</w:t>
            </w:r>
            <w:r w:rsidRPr="00951C55">
              <w:rPr>
                <w:rFonts w:eastAsia="Calibri" w:cs="Calibri"/>
                <w:color w:val="000000"/>
                <w:sz w:val="18"/>
              </w:rPr>
              <w:t>625</w:t>
            </w:r>
          </w:p>
        </w:tc>
      </w:tr>
      <w:tr w:rsidR="004A219B" w:rsidRPr="00B07220" w:rsidTr="00B43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800" w:type="dxa"/>
            <w:tcBorders>
              <w:top w:val="nil"/>
              <w:left w:val="nil"/>
              <w:bottom w:val="nil"/>
              <w:right w:val="nil"/>
              <w:tl2br w:val="nil"/>
              <w:tr2bl w:val="nil"/>
            </w:tcBorders>
            <w:shd w:val="clear" w:color="auto" w:fill="auto"/>
            <w:tcMar>
              <w:left w:w="101" w:type="dxa"/>
              <w:right w:w="101" w:type="dxa"/>
            </w:tcMar>
          </w:tcPr>
          <w:p w:rsidR="004A219B" w:rsidRPr="00951C55" w:rsidRDefault="004A219B" w:rsidP="00B43A2B">
            <w:pPr>
              <w:spacing w:before="0" w:after="0"/>
              <w:rPr>
                <w:rFonts w:eastAsia="Calibri" w:cs="Calibri"/>
                <w:color w:val="000000"/>
                <w:sz w:val="18"/>
              </w:rPr>
            </w:pPr>
            <w:r w:rsidRPr="00951C55">
              <w:rPr>
                <w:rFonts w:eastAsia="Calibri" w:cs="Calibri"/>
                <w:color w:val="000000"/>
                <w:sz w:val="18"/>
              </w:rPr>
              <w:t>Stronger support for suicide prevention</w:t>
            </w: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951C55" w:rsidRDefault="004A219B" w:rsidP="00B43A2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951C55" w:rsidRDefault="004A219B" w:rsidP="00B43A2B">
            <w:pPr>
              <w:spacing w:before="0" w:after="0"/>
              <w:jc w:val="right"/>
              <w:rPr>
                <w:rFonts w:eastAsia="Calibri" w:cs="Calibri"/>
                <w:color w:val="000000"/>
                <w:sz w:val="18"/>
              </w:rPr>
            </w:pPr>
            <w:r w:rsidRPr="00951C55">
              <w:rPr>
                <w:rFonts w:eastAsia="Calibri" w:cs="Calibri"/>
                <w:color w:val="000000"/>
                <w:sz w:val="18"/>
              </w:rPr>
              <w:t>350</w:t>
            </w: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951C55" w:rsidRDefault="004A219B" w:rsidP="00B43A2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951C55" w:rsidRDefault="004A219B" w:rsidP="00B43A2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951C55" w:rsidRDefault="004A219B" w:rsidP="00B43A2B">
            <w:pPr>
              <w:spacing w:before="0" w:after="0"/>
              <w:jc w:val="right"/>
              <w:rPr>
                <w:rFonts w:eastAsia="Calibri" w:cs="Calibri"/>
                <w:color w:val="000000"/>
                <w:sz w:val="18"/>
              </w:rPr>
            </w:pPr>
            <w:r>
              <w:rPr>
                <w:rFonts w:eastAsia="Calibri" w:cs="Calibri"/>
                <w:color w:val="000000"/>
                <w:sz w:val="18"/>
              </w:rPr>
              <w:t>-</w:t>
            </w:r>
          </w:p>
        </w:tc>
      </w:tr>
      <w:tr w:rsidR="004A219B" w:rsidRPr="00B07220" w:rsidTr="00B43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4800" w:type="dxa"/>
            <w:tcBorders>
              <w:top w:val="nil"/>
              <w:left w:val="nil"/>
              <w:bottom w:val="nil"/>
              <w:right w:val="nil"/>
              <w:tl2br w:val="nil"/>
              <w:tr2bl w:val="nil"/>
            </w:tcBorders>
            <w:shd w:val="clear" w:color="auto" w:fill="auto"/>
            <w:tcMar>
              <w:left w:w="101" w:type="dxa"/>
              <w:right w:w="101" w:type="dxa"/>
            </w:tcMar>
          </w:tcPr>
          <w:p w:rsidR="004A219B" w:rsidRPr="00951C55" w:rsidRDefault="004A219B" w:rsidP="00B43A2B">
            <w:pPr>
              <w:spacing w:before="0" w:after="0"/>
              <w:rPr>
                <w:rFonts w:eastAsia="Calibri" w:cs="Calibri"/>
                <w:color w:val="000000"/>
                <w:sz w:val="18"/>
              </w:rPr>
            </w:pPr>
            <w:r w:rsidRPr="00951C55">
              <w:rPr>
                <w:rFonts w:eastAsia="Calibri" w:cs="Calibri"/>
                <w:color w:val="000000"/>
                <w:sz w:val="18"/>
              </w:rPr>
              <w:t>Supporting mental health for people leaving prison</w:t>
            </w: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951C55" w:rsidRDefault="004A219B" w:rsidP="00B43A2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951C55" w:rsidRDefault="004A219B" w:rsidP="00B43A2B">
            <w:pPr>
              <w:spacing w:before="0" w:after="0"/>
              <w:jc w:val="right"/>
              <w:rPr>
                <w:rFonts w:eastAsia="Calibri" w:cs="Calibri"/>
                <w:color w:val="000000"/>
                <w:sz w:val="18"/>
              </w:rPr>
            </w:pPr>
            <w:r w:rsidRPr="00951C55">
              <w:rPr>
                <w:rFonts w:eastAsia="Calibri" w:cs="Calibri"/>
                <w:color w:val="000000"/>
                <w:sz w:val="18"/>
              </w:rPr>
              <w:t>200</w:t>
            </w: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951C55" w:rsidRDefault="004A219B" w:rsidP="00B43A2B">
            <w:pPr>
              <w:spacing w:before="0" w:after="0"/>
              <w:jc w:val="right"/>
              <w:rPr>
                <w:rFonts w:eastAsia="Calibri" w:cs="Calibri"/>
                <w:color w:val="000000"/>
                <w:sz w:val="18"/>
              </w:rPr>
            </w:pPr>
            <w:r w:rsidRPr="00951C55">
              <w:rPr>
                <w:rFonts w:eastAsia="Calibri" w:cs="Calibri"/>
                <w:color w:val="000000"/>
                <w:sz w:val="18"/>
              </w:rPr>
              <w:t>206</w:t>
            </w: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951C55" w:rsidRDefault="004A219B" w:rsidP="00B43A2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951C55" w:rsidRDefault="004A219B" w:rsidP="00B43A2B">
            <w:pPr>
              <w:spacing w:before="0" w:after="0"/>
              <w:jc w:val="right"/>
              <w:rPr>
                <w:rFonts w:eastAsia="Calibri" w:cs="Calibri"/>
                <w:color w:val="000000"/>
                <w:sz w:val="18"/>
              </w:rPr>
            </w:pPr>
            <w:r>
              <w:rPr>
                <w:rFonts w:eastAsia="Calibri" w:cs="Calibri"/>
                <w:color w:val="000000"/>
                <w:sz w:val="18"/>
              </w:rPr>
              <w:t>-</w:t>
            </w:r>
          </w:p>
          <w:p w:rsidR="004A219B" w:rsidRPr="00951C55" w:rsidRDefault="004A219B" w:rsidP="00B43A2B">
            <w:pPr>
              <w:spacing w:before="0" w:after="0"/>
              <w:jc w:val="right"/>
              <w:rPr>
                <w:rFonts w:eastAsia="Calibri" w:cs="Calibri"/>
                <w:color w:val="000000"/>
                <w:sz w:val="18"/>
              </w:rPr>
            </w:pPr>
          </w:p>
        </w:tc>
      </w:tr>
    </w:tbl>
    <w:p w:rsidR="005A296E" w:rsidRDefault="005A296E" w:rsidP="006D40C9">
      <w:pPr>
        <w:pStyle w:val="Caption"/>
        <w:pBdr>
          <w:top w:val="nil"/>
          <w:left w:val="nil"/>
          <w:bottom w:val="nil"/>
          <w:right w:val="nil"/>
          <w:between w:val="nil"/>
          <w:bar w:val="nil"/>
        </w:pBdr>
      </w:pPr>
      <w:r w:rsidRPr="00F0682D">
        <w:rPr>
          <w:bdr w:val="nil"/>
        </w:rPr>
        <w:lastRenderedPageBreak/>
        <w:t xml:space="preserve">Table </w:t>
      </w:r>
      <w:r>
        <w:rPr>
          <w:bdr w:val="nil"/>
        </w:rPr>
        <w:t>2</w:t>
      </w:r>
      <w:r w:rsidR="00141A32">
        <w:rPr>
          <w:bdr w:val="nil"/>
        </w:rPr>
        <w:t>8</w:t>
      </w:r>
      <w:r w:rsidRPr="00F0682D">
        <w:rPr>
          <w:bdr w:val="nil"/>
        </w:rPr>
        <w:t>: Changes to appropriation –</w:t>
      </w:r>
      <w:r w:rsidRPr="00F0682D">
        <w:rPr>
          <w:szCs w:val="20"/>
          <w:bdr w:val="nil"/>
        </w:rPr>
        <w:t xml:space="preserve"> </w:t>
      </w:r>
      <w:r w:rsidRPr="00F0682D">
        <w:rPr>
          <w:bdr w:val="nil"/>
        </w:rPr>
        <w:t>Controlled Recurrent Payments</w:t>
      </w:r>
      <w:r>
        <w:rPr>
          <w:bdr w:val="nil"/>
        </w:rPr>
        <w:t xml:space="preserve"> (continued)</w:t>
      </w:r>
    </w:p>
    <w:tbl>
      <w:tblPr>
        <w:tblStyle w:val="CDMRange1"/>
        <w:tblW w:w="9975" w:type="dxa"/>
        <w:tblLayout w:type="fixed"/>
        <w:tblLook w:val="0600" w:firstRow="0" w:lastRow="0" w:firstColumn="0" w:lastColumn="0" w:noHBand="1" w:noVBand="1"/>
      </w:tblPr>
      <w:tblGrid>
        <w:gridCol w:w="4800"/>
        <w:gridCol w:w="1035"/>
        <w:gridCol w:w="1035"/>
        <w:gridCol w:w="1035"/>
        <w:gridCol w:w="1035"/>
        <w:gridCol w:w="1035"/>
      </w:tblGrid>
      <w:tr w:rsidR="005A296E" w:rsidTr="00B43A2B">
        <w:trPr>
          <w:trHeight w:val="990"/>
        </w:trPr>
        <w:tc>
          <w:tcPr>
            <w:tcW w:w="4800" w:type="dxa"/>
            <w:tcBorders>
              <w:top w:val="single" w:sz="12" w:space="0" w:color="000000"/>
              <w:left w:val="nil"/>
              <w:bottom w:val="single" w:sz="12" w:space="0" w:color="000000"/>
              <w:right w:val="nil"/>
              <w:tl2br w:val="nil"/>
              <w:tr2bl w:val="nil"/>
            </w:tcBorders>
            <w:shd w:val="clear" w:color="auto" w:fill="auto"/>
            <w:tcMar>
              <w:left w:w="0" w:type="dxa"/>
              <w:right w:w="0" w:type="dxa"/>
            </w:tcMar>
            <w:vAlign w:val="bottom"/>
          </w:tcPr>
          <w:p w:rsidR="005A296E" w:rsidRDefault="005A296E" w:rsidP="00B43A2B">
            <w:pPr>
              <w:spacing w:before="0" w:after="0"/>
              <w:rPr>
                <w:rFonts w:eastAsia="Calibri" w:cs="Calibri"/>
                <w:color w:val="000000"/>
                <w:sz w:val="18"/>
              </w:rPr>
            </w:pP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5A296E" w:rsidRDefault="005A296E" w:rsidP="00B43A2B">
            <w:pPr>
              <w:spacing w:before="0" w:after="0"/>
              <w:jc w:val="right"/>
              <w:rPr>
                <w:rFonts w:eastAsia="Calibri" w:cs="Calibri"/>
                <w:b/>
                <w:color w:val="000000"/>
                <w:sz w:val="18"/>
              </w:rPr>
            </w:pPr>
            <w:r>
              <w:rPr>
                <w:rFonts w:eastAsia="Calibri" w:cs="Calibri"/>
                <w:b/>
                <w:color w:val="000000"/>
                <w:sz w:val="18"/>
              </w:rPr>
              <w:t>2017-18 Estimated Outcome</w:t>
            </w:r>
          </w:p>
          <w:p w:rsidR="005A296E" w:rsidRDefault="005A296E" w:rsidP="00B43A2B">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5A296E" w:rsidRDefault="005A296E" w:rsidP="00B43A2B">
            <w:pPr>
              <w:spacing w:before="0" w:after="0"/>
              <w:jc w:val="right"/>
              <w:rPr>
                <w:rFonts w:eastAsia="Calibri" w:cs="Calibri"/>
                <w:b/>
                <w:color w:val="000000"/>
                <w:sz w:val="18"/>
              </w:rPr>
            </w:pPr>
            <w:r>
              <w:rPr>
                <w:rFonts w:eastAsia="Calibri" w:cs="Calibri"/>
                <w:b/>
                <w:color w:val="000000"/>
                <w:sz w:val="18"/>
              </w:rPr>
              <w:t>2018-19 Budget</w:t>
            </w:r>
          </w:p>
          <w:p w:rsidR="005A296E" w:rsidRDefault="005A296E" w:rsidP="00B43A2B">
            <w:pPr>
              <w:spacing w:before="0" w:after="0"/>
              <w:jc w:val="right"/>
              <w:rPr>
                <w:rFonts w:eastAsia="Calibri" w:cs="Calibri"/>
                <w:b/>
                <w:color w:val="000000"/>
                <w:sz w:val="18"/>
              </w:rPr>
            </w:pPr>
          </w:p>
          <w:p w:rsidR="005A296E" w:rsidRDefault="005A296E" w:rsidP="00B43A2B">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5A296E" w:rsidRDefault="005A296E" w:rsidP="00B43A2B">
            <w:pPr>
              <w:spacing w:before="0" w:after="0"/>
              <w:jc w:val="right"/>
              <w:rPr>
                <w:rFonts w:eastAsia="Calibri" w:cs="Calibri"/>
                <w:b/>
                <w:color w:val="000000"/>
                <w:sz w:val="18"/>
              </w:rPr>
            </w:pPr>
            <w:r>
              <w:rPr>
                <w:rFonts w:eastAsia="Calibri" w:cs="Calibri"/>
                <w:b/>
                <w:color w:val="000000"/>
                <w:sz w:val="18"/>
              </w:rPr>
              <w:t>2019-20 Estimate</w:t>
            </w:r>
          </w:p>
          <w:p w:rsidR="005A296E" w:rsidRDefault="005A296E" w:rsidP="00B43A2B">
            <w:pPr>
              <w:spacing w:before="0" w:after="0"/>
              <w:jc w:val="right"/>
              <w:rPr>
                <w:rFonts w:eastAsia="Calibri" w:cs="Calibri"/>
                <w:b/>
                <w:color w:val="000000"/>
                <w:sz w:val="18"/>
              </w:rPr>
            </w:pPr>
          </w:p>
          <w:p w:rsidR="005A296E" w:rsidRDefault="005A296E" w:rsidP="00B43A2B">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5A296E" w:rsidRDefault="005A296E" w:rsidP="00B43A2B">
            <w:pPr>
              <w:spacing w:before="0" w:after="0"/>
              <w:jc w:val="right"/>
              <w:rPr>
                <w:rFonts w:eastAsia="Calibri" w:cs="Calibri"/>
                <w:b/>
                <w:color w:val="000000"/>
                <w:sz w:val="18"/>
              </w:rPr>
            </w:pPr>
            <w:r>
              <w:rPr>
                <w:rFonts w:eastAsia="Calibri" w:cs="Calibri"/>
                <w:b/>
                <w:color w:val="000000"/>
                <w:sz w:val="18"/>
              </w:rPr>
              <w:t>2020-21 Estimate</w:t>
            </w:r>
          </w:p>
          <w:p w:rsidR="005A296E" w:rsidRDefault="005A296E" w:rsidP="00B43A2B">
            <w:pPr>
              <w:spacing w:before="0" w:after="0"/>
              <w:jc w:val="right"/>
              <w:rPr>
                <w:rFonts w:eastAsia="Calibri" w:cs="Calibri"/>
                <w:b/>
                <w:color w:val="000000"/>
                <w:sz w:val="18"/>
              </w:rPr>
            </w:pPr>
          </w:p>
          <w:p w:rsidR="005A296E" w:rsidRDefault="005A296E" w:rsidP="00B43A2B">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5A296E" w:rsidRDefault="005A296E" w:rsidP="00B43A2B">
            <w:pPr>
              <w:spacing w:before="0" w:after="0"/>
              <w:jc w:val="right"/>
              <w:rPr>
                <w:rFonts w:eastAsia="Calibri" w:cs="Calibri"/>
                <w:b/>
                <w:color w:val="000000"/>
                <w:sz w:val="18"/>
              </w:rPr>
            </w:pPr>
            <w:r>
              <w:rPr>
                <w:rFonts w:eastAsia="Calibri" w:cs="Calibri"/>
                <w:b/>
                <w:color w:val="000000"/>
                <w:sz w:val="18"/>
              </w:rPr>
              <w:t>2021-22 Estimate</w:t>
            </w:r>
          </w:p>
          <w:p w:rsidR="005A296E" w:rsidRDefault="005A296E" w:rsidP="00B43A2B">
            <w:pPr>
              <w:spacing w:before="0" w:after="0"/>
              <w:jc w:val="right"/>
              <w:rPr>
                <w:rFonts w:eastAsia="Calibri" w:cs="Calibri"/>
                <w:b/>
                <w:color w:val="000000"/>
                <w:sz w:val="18"/>
              </w:rPr>
            </w:pPr>
          </w:p>
          <w:p w:rsidR="005A296E" w:rsidRDefault="005A296E" w:rsidP="00B43A2B">
            <w:pPr>
              <w:spacing w:before="0" w:after="0"/>
              <w:jc w:val="right"/>
              <w:rPr>
                <w:rFonts w:eastAsia="Calibri" w:cs="Calibri"/>
                <w:b/>
                <w:color w:val="000000"/>
                <w:sz w:val="18"/>
              </w:rPr>
            </w:pPr>
            <w:r>
              <w:rPr>
                <w:rFonts w:eastAsia="Calibri" w:cs="Calibri"/>
                <w:b/>
                <w:color w:val="000000"/>
                <w:sz w:val="18"/>
              </w:rPr>
              <w:t>$'000</w:t>
            </w:r>
          </w:p>
        </w:tc>
      </w:tr>
      <w:tr w:rsidR="005A296E" w:rsidTr="00B43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800" w:type="dxa"/>
            <w:tcBorders>
              <w:top w:val="single" w:sz="12" w:space="0" w:color="000000"/>
              <w:left w:val="nil"/>
              <w:bottom w:val="nil"/>
              <w:right w:val="nil"/>
              <w:tl2br w:val="nil"/>
              <w:tr2bl w:val="nil"/>
            </w:tcBorders>
            <w:shd w:val="clear" w:color="auto" w:fill="auto"/>
            <w:tcMar>
              <w:left w:w="0" w:type="dxa"/>
              <w:right w:w="0" w:type="dxa"/>
            </w:tcMar>
            <w:vAlign w:val="bottom"/>
          </w:tcPr>
          <w:p w:rsidR="005A296E" w:rsidRDefault="005A296E" w:rsidP="00B43A2B">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5A296E" w:rsidRDefault="005A296E" w:rsidP="00B43A2B">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5A296E" w:rsidRDefault="005A296E" w:rsidP="00B43A2B">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5A296E" w:rsidRDefault="005A296E" w:rsidP="00B43A2B">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5A296E" w:rsidRDefault="005A296E" w:rsidP="00B43A2B">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5A296E" w:rsidRDefault="005A296E" w:rsidP="00B43A2B">
            <w:pPr>
              <w:spacing w:before="0" w:after="0"/>
              <w:rPr>
                <w:rFonts w:eastAsia="Calibri" w:cs="Calibri"/>
                <w:color w:val="000000"/>
                <w:sz w:val="18"/>
              </w:rPr>
            </w:pPr>
          </w:p>
        </w:tc>
      </w:tr>
      <w:tr w:rsidR="004A219B" w:rsidRPr="004A219B" w:rsidTr="004A2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4800" w:type="dxa"/>
            <w:tcBorders>
              <w:top w:val="nil"/>
              <w:left w:val="nil"/>
              <w:bottom w:val="nil"/>
              <w:right w:val="nil"/>
              <w:tl2br w:val="nil"/>
              <w:tr2bl w:val="nil"/>
            </w:tcBorders>
            <w:shd w:val="clear" w:color="auto" w:fill="auto"/>
            <w:tcMar>
              <w:left w:w="101" w:type="dxa"/>
              <w:right w:w="101" w:type="dxa"/>
            </w:tcMar>
          </w:tcPr>
          <w:p w:rsidR="004A219B" w:rsidRPr="004A219B" w:rsidRDefault="004A219B" w:rsidP="00B43A2B">
            <w:pPr>
              <w:spacing w:before="0" w:after="0"/>
              <w:rPr>
                <w:rFonts w:eastAsia="Calibri" w:cs="Calibri"/>
                <w:color w:val="000000"/>
                <w:sz w:val="18"/>
                <w:u w:val="single"/>
              </w:rPr>
            </w:pPr>
            <w:r w:rsidRPr="004A219B">
              <w:rPr>
                <w:rFonts w:eastAsia="Calibri" w:cs="Calibri"/>
                <w:color w:val="000000"/>
                <w:sz w:val="18"/>
                <w:u w:val="single"/>
              </w:rPr>
              <w:t>More schools, better schools</w:t>
            </w: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4A219B" w:rsidRDefault="004A219B" w:rsidP="00B43A2B">
            <w:pPr>
              <w:spacing w:before="0" w:after="0"/>
              <w:jc w:val="right"/>
              <w:rPr>
                <w:rFonts w:eastAsia="Calibri" w:cs="Calibri"/>
                <w:color w:val="000000"/>
                <w:sz w:val="18"/>
                <w:u w:val="single"/>
              </w:rPr>
            </w:pP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4A219B" w:rsidRDefault="004A219B" w:rsidP="00B43A2B">
            <w:pPr>
              <w:spacing w:before="0" w:after="0"/>
              <w:jc w:val="right"/>
              <w:rPr>
                <w:rFonts w:eastAsia="Calibri" w:cs="Calibri"/>
                <w:color w:val="000000"/>
                <w:sz w:val="18"/>
                <w:u w:val="single"/>
              </w:rPr>
            </w:pP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4A219B" w:rsidRDefault="004A219B" w:rsidP="00B43A2B">
            <w:pPr>
              <w:spacing w:before="0" w:after="0"/>
              <w:jc w:val="right"/>
              <w:rPr>
                <w:rFonts w:eastAsia="Calibri" w:cs="Calibri"/>
                <w:color w:val="000000"/>
                <w:sz w:val="18"/>
                <w:u w:val="single"/>
              </w:rPr>
            </w:pP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4A219B" w:rsidRDefault="004A219B" w:rsidP="00B43A2B">
            <w:pPr>
              <w:spacing w:before="0" w:after="0"/>
              <w:jc w:val="right"/>
              <w:rPr>
                <w:rFonts w:eastAsia="Calibri" w:cs="Calibri"/>
                <w:color w:val="000000"/>
                <w:sz w:val="18"/>
                <w:u w:val="single"/>
              </w:rPr>
            </w:pP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4A219B" w:rsidRDefault="004A219B" w:rsidP="00B43A2B">
            <w:pPr>
              <w:spacing w:before="0" w:after="0"/>
              <w:jc w:val="right"/>
              <w:rPr>
                <w:rFonts w:eastAsia="Calibri" w:cs="Calibri"/>
                <w:color w:val="000000"/>
                <w:sz w:val="18"/>
                <w:u w:val="single"/>
              </w:rPr>
            </w:pPr>
          </w:p>
        </w:tc>
      </w:tr>
      <w:tr w:rsidR="004A219B" w:rsidTr="00B43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800" w:type="dxa"/>
            <w:tcBorders>
              <w:top w:val="nil"/>
              <w:left w:val="nil"/>
              <w:bottom w:val="nil"/>
              <w:right w:val="nil"/>
              <w:tl2br w:val="nil"/>
              <w:tr2bl w:val="nil"/>
            </w:tcBorders>
            <w:shd w:val="clear" w:color="auto" w:fill="auto"/>
            <w:tcMar>
              <w:left w:w="101" w:type="dxa"/>
              <w:right w:w="101" w:type="dxa"/>
            </w:tcMar>
          </w:tcPr>
          <w:p w:rsidR="004A219B" w:rsidRPr="00951C55" w:rsidRDefault="00794D29" w:rsidP="00B43A2B">
            <w:pPr>
              <w:spacing w:before="0" w:after="0"/>
              <w:rPr>
                <w:rFonts w:eastAsia="Calibri" w:cs="Calibri"/>
                <w:color w:val="000000"/>
                <w:sz w:val="18"/>
              </w:rPr>
            </w:pPr>
            <w:r w:rsidRPr="00794D29">
              <w:rPr>
                <w:rFonts w:eastAsia="Calibri" w:cs="Calibri"/>
                <w:color w:val="000000"/>
                <w:sz w:val="18"/>
              </w:rPr>
              <w:t>Needs-Based Funding for Students with Disability</w:t>
            </w: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951C55" w:rsidRDefault="004A219B" w:rsidP="00B43A2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951C55" w:rsidRDefault="004A219B" w:rsidP="00B43A2B">
            <w:pPr>
              <w:spacing w:before="0" w:after="0"/>
              <w:jc w:val="right"/>
              <w:rPr>
                <w:rFonts w:eastAsia="Calibri" w:cs="Calibri"/>
                <w:color w:val="000000"/>
                <w:sz w:val="18"/>
              </w:rPr>
            </w:pPr>
            <w:r w:rsidRPr="00951C55">
              <w:rPr>
                <w:rFonts w:eastAsia="Calibri" w:cs="Calibri"/>
                <w:color w:val="000000"/>
                <w:sz w:val="18"/>
              </w:rPr>
              <w:t>600</w:t>
            </w: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951C55" w:rsidRDefault="004A219B" w:rsidP="00B43A2B">
            <w:pPr>
              <w:spacing w:before="0" w:after="0"/>
              <w:jc w:val="right"/>
              <w:rPr>
                <w:rFonts w:eastAsia="Calibri" w:cs="Calibri"/>
                <w:color w:val="000000"/>
                <w:sz w:val="18"/>
              </w:rPr>
            </w:pPr>
            <w:r w:rsidRPr="00951C55">
              <w:rPr>
                <w:rFonts w:eastAsia="Calibri" w:cs="Calibri"/>
                <w:color w:val="000000"/>
                <w:sz w:val="18"/>
              </w:rPr>
              <w:t>618</w:t>
            </w: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951C55" w:rsidRDefault="004A219B" w:rsidP="00B43A2B">
            <w:pPr>
              <w:spacing w:before="0" w:after="0"/>
              <w:jc w:val="right"/>
              <w:rPr>
                <w:rFonts w:eastAsia="Calibri" w:cs="Calibri"/>
                <w:color w:val="000000"/>
                <w:sz w:val="18"/>
              </w:rPr>
            </w:pPr>
            <w:r w:rsidRPr="00951C55">
              <w:rPr>
                <w:rFonts w:eastAsia="Calibri" w:cs="Calibri"/>
                <w:color w:val="000000"/>
                <w:sz w:val="18"/>
              </w:rPr>
              <w:t>637</w:t>
            </w: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951C55" w:rsidRDefault="004A219B" w:rsidP="00B43A2B">
            <w:pPr>
              <w:spacing w:before="0" w:after="0"/>
              <w:jc w:val="right"/>
              <w:rPr>
                <w:rFonts w:eastAsia="Calibri" w:cs="Calibri"/>
                <w:color w:val="000000"/>
                <w:sz w:val="18"/>
              </w:rPr>
            </w:pPr>
            <w:r w:rsidRPr="00951C55">
              <w:rPr>
                <w:rFonts w:eastAsia="Calibri" w:cs="Calibri"/>
                <w:color w:val="000000"/>
                <w:sz w:val="18"/>
              </w:rPr>
              <w:t>656</w:t>
            </w:r>
          </w:p>
        </w:tc>
      </w:tr>
      <w:tr w:rsidR="004A219B" w:rsidRPr="00B07220" w:rsidTr="00B43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4800" w:type="dxa"/>
            <w:tcBorders>
              <w:top w:val="nil"/>
              <w:left w:val="nil"/>
              <w:bottom w:val="nil"/>
              <w:right w:val="nil"/>
              <w:tl2br w:val="nil"/>
              <w:tr2bl w:val="nil"/>
            </w:tcBorders>
            <w:shd w:val="clear" w:color="auto" w:fill="auto"/>
            <w:tcMar>
              <w:left w:w="101" w:type="dxa"/>
              <w:right w:w="101" w:type="dxa"/>
            </w:tcMar>
          </w:tcPr>
          <w:p w:rsidR="004A219B" w:rsidRPr="00951C55" w:rsidRDefault="004A219B" w:rsidP="00B43A2B">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Default="004A219B" w:rsidP="00B43A2B">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951C55" w:rsidRDefault="004A219B" w:rsidP="00B43A2B">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951C55" w:rsidRDefault="004A219B" w:rsidP="00B43A2B">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Default="004A219B" w:rsidP="00B43A2B">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Default="004A219B" w:rsidP="00B43A2B">
            <w:pPr>
              <w:spacing w:before="0" w:after="0"/>
              <w:jc w:val="right"/>
              <w:rPr>
                <w:rFonts w:eastAsia="Calibri" w:cs="Calibri"/>
                <w:color w:val="000000"/>
                <w:sz w:val="18"/>
              </w:rPr>
            </w:pPr>
          </w:p>
        </w:tc>
      </w:tr>
      <w:tr w:rsidR="004A219B" w:rsidRPr="004A219B" w:rsidTr="004A2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4800" w:type="dxa"/>
            <w:tcBorders>
              <w:top w:val="nil"/>
              <w:left w:val="nil"/>
              <w:bottom w:val="nil"/>
              <w:right w:val="nil"/>
              <w:tl2br w:val="nil"/>
              <w:tr2bl w:val="nil"/>
            </w:tcBorders>
            <w:shd w:val="clear" w:color="auto" w:fill="auto"/>
            <w:tcMar>
              <w:left w:w="101" w:type="dxa"/>
              <w:right w:w="101" w:type="dxa"/>
            </w:tcMar>
          </w:tcPr>
          <w:p w:rsidR="004A219B" w:rsidRPr="004A219B" w:rsidRDefault="004A219B" w:rsidP="00B43A2B">
            <w:pPr>
              <w:spacing w:before="0" w:after="0"/>
              <w:rPr>
                <w:rFonts w:eastAsia="Calibri" w:cs="Calibri"/>
                <w:color w:val="000000"/>
                <w:sz w:val="18"/>
                <w:u w:val="single"/>
              </w:rPr>
            </w:pPr>
            <w:r w:rsidRPr="004A219B">
              <w:rPr>
                <w:rFonts w:eastAsia="Calibri" w:cs="Calibri"/>
                <w:color w:val="000000"/>
                <w:sz w:val="18"/>
                <w:u w:val="single"/>
              </w:rPr>
              <w:t>More support for families and inclusion</w:t>
            </w: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4A219B" w:rsidRDefault="004A219B" w:rsidP="00B43A2B">
            <w:pPr>
              <w:spacing w:before="0" w:after="0"/>
              <w:jc w:val="right"/>
              <w:rPr>
                <w:rFonts w:eastAsia="Calibri" w:cs="Calibri"/>
                <w:color w:val="000000"/>
                <w:sz w:val="18"/>
                <w:u w:val="single"/>
              </w:rPr>
            </w:pP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4A219B" w:rsidRDefault="004A219B" w:rsidP="00B43A2B">
            <w:pPr>
              <w:spacing w:before="0" w:after="0"/>
              <w:jc w:val="right"/>
              <w:rPr>
                <w:rFonts w:eastAsia="Calibri" w:cs="Calibri"/>
                <w:color w:val="000000"/>
                <w:sz w:val="18"/>
                <w:u w:val="single"/>
              </w:rPr>
            </w:pP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4A219B" w:rsidRDefault="004A219B" w:rsidP="00B43A2B">
            <w:pPr>
              <w:spacing w:before="0" w:after="0"/>
              <w:jc w:val="right"/>
              <w:rPr>
                <w:rFonts w:eastAsia="Calibri" w:cs="Calibri"/>
                <w:color w:val="000000"/>
                <w:sz w:val="18"/>
                <w:u w:val="single"/>
              </w:rPr>
            </w:pP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4A219B" w:rsidRDefault="004A219B" w:rsidP="00B43A2B">
            <w:pPr>
              <w:spacing w:before="0" w:after="0"/>
              <w:jc w:val="right"/>
              <w:rPr>
                <w:rFonts w:eastAsia="Calibri" w:cs="Calibri"/>
                <w:color w:val="000000"/>
                <w:sz w:val="18"/>
                <w:u w:val="single"/>
              </w:rPr>
            </w:pP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4A219B" w:rsidRDefault="004A219B" w:rsidP="00B43A2B">
            <w:pPr>
              <w:spacing w:before="0" w:after="0"/>
              <w:jc w:val="right"/>
              <w:rPr>
                <w:rFonts w:eastAsia="Calibri" w:cs="Calibri"/>
                <w:color w:val="000000"/>
                <w:sz w:val="18"/>
                <w:u w:val="single"/>
              </w:rPr>
            </w:pPr>
          </w:p>
        </w:tc>
      </w:tr>
      <w:tr w:rsidR="004A219B" w:rsidTr="00B43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800" w:type="dxa"/>
            <w:tcBorders>
              <w:top w:val="nil"/>
              <w:left w:val="nil"/>
              <w:bottom w:val="nil"/>
              <w:right w:val="nil"/>
              <w:tl2br w:val="nil"/>
              <w:tr2bl w:val="nil"/>
            </w:tcBorders>
            <w:shd w:val="clear" w:color="auto" w:fill="auto"/>
            <w:tcMar>
              <w:left w:w="101" w:type="dxa"/>
              <w:right w:w="101" w:type="dxa"/>
            </w:tcMar>
          </w:tcPr>
          <w:p w:rsidR="004A219B" w:rsidRPr="00951C55" w:rsidRDefault="004A219B" w:rsidP="00B43A2B">
            <w:pPr>
              <w:spacing w:before="0" w:after="0"/>
              <w:rPr>
                <w:rFonts w:eastAsia="Calibri" w:cs="Calibri"/>
                <w:color w:val="000000"/>
                <w:sz w:val="18"/>
              </w:rPr>
            </w:pPr>
            <w:r w:rsidRPr="00951C55">
              <w:rPr>
                <w:rFonts w:eastAsia="Calibri" w:cs="Calibri"/>
                <w:color w:val="000000"/>
                <w:sz w:val="18"/>
              </w:rPr>
              <w:t>Drug and Alcohol Court</w:t>
            </w: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951C55" w:rsidRDefault="004A219B" w:rsidP="00B43A2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951C55" w:rsidRDefault="004A219B" w:rsidP="00B43A2B">
            <w:pPr>
              <w:spacing w:before="0" w:after="0"/>
              <w:jc w:val="right"/>
              <w:rPr>
                <w:rFonts w:eastAsia="Calibri" w:cs="Calibri"/>
                <w:color w:val="000000"/>
                <w:sz w:val="18"/>
              </w:rPr>
            </w:pPr>
            <w:r w:rsidRPr="00951C55">
              <w:rPr>
                <w:rFonts w:eastAsia="Calibri" w:cs="Calibri"/>
                <w:color w:val="000000"/>
                <w:sz w:val="18"/>
              </w:rPr>
              <w:t>125</w:t>
            </w: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951C55" w:rsidRDefault="004A219B" w:rsidP="00B43A2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951C55" w:rsidRDefault="004A219B" w:rsidP="00B43A2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951C55" w:rsidRDefault="004A219B" w:rsidP="00B43A2B">
            <w:pPr>
              <w:spacing w:before="0" w:after="0"/>
              <w:jc w:val="right"/>
              <w:rPr>
                <w:rFonts w:eastAsia="Calibri" w:cs="Calibri"/>
                <w:color w:val="000000"/>
                <w:sz w:val="18"/>
              </w:rPr>
            </w:pPr>
            <w:r>
              <w:rPr>
                <w:rFonts w:eastAsia="Calibri" w:cs="Calibri"/>
                <w:color w:val="000000"/>
                <w:sz w:val="18"/>
              </w:rPr>
              <w:t>-</w:t>
            </w:r>
          </w:p>
        </w:tc>
      </w:tr>
      <w:tr w:rsidR="004A219B" w:rsidTr="00B43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4800" w:type="dxa"/>
            <w:tcBorders>
              <w:top w:val="nil"/>
              <w:left w:val="nil"/>
              <w:bottom w:val="nil"/>
              <w:right w:val="nil"/>
              <w:tl2br w:val="nil"/>
              <w:tr2bl w:val="nil"/>
            </w:tcBorders>
            <w:shd w:val="clear" w:color="auto" w:fill="auto"/>
            <w:tcMar>
              <w:left w:w="101" w:type="dxa"/>
              <w:right w:w="101" w:type="dxa"/>
            </w:tcMar>
          </w:tcPr>
          <w:p w:rsidR="004A219B" w:rsidRPr="00951C55" w:rsidRDefault="004A219B" w:rsidP="00B43A2B">
            <w:pPr>
              <w:spacing w:before="0" w:after="0"/>
              <w:rPr>
                <w:rFonts w:eastAsia="Calibri" w:cs="Calibri"/>
                <w:color w:val="000000"/>
                <w:sz w:val="18"/>
              </w:rPr>
            </w:pPr>
            <w:r w:rsidRPr="00951C55">
              <w:rPr>
                <w:rFonts w:eastAsia="Calibri" w:cs="Calibri"/>
                <w:color w:val="000000"/>
                <w:sz w:val="18"/>
              </w:rPr>
              <w:t>Implementing the Commonwealth Redress Scheme for Institutional Child and Sexual Abuse</w:t>
            </w: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951C55" w:rsidRDefault="004A219B" w:rsidP="00B43A2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951C55" w:rsidRDefault="004A219B" w:rsidP="00B43A2B">
            <w:pPr>
              <w:spacing w:before="0" w:after="0"/>
              <w:jc w:val="right"/>
              <w:rPr>
                <w:rFonts w:eastAsia="Calibri" w:cs="Calibri"/>
                <w:color w:val="000000"/>
                <w:sz w:val="18"/>
              </w:rPr>
            </w:pPr>
            <w:r w:rsidRPr="00951C55">
              <w:rPr>
                <w:rFonts w:eastAsia="Calibri" w:cs="Calibri"/>
                <w:color w:val="000000"/>
                <w:sz w:val="18"/>
              </w:rPr>
              <w:t>73</w:t>
            </w: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951C55" w:rsidRDefault="004A219B" w:rsidP="00B43A2B">
            <w:pPr>
              <w:spacing w:before="0" w:after="0"/>
              <w:jc w:val="right"/>
              <w:rPr>
                <w:rFonts w:eastAsia="Calibri" w:cs="Calibri"/>
                <w:color w:val="000000"/>
                <w:sz w:val="18"/>
              </w:rPr>
            </w:pPr>
            <w:r w:rsidRPr="00951C55">
              <w:rPr>
                <w:rFonts w:eastAsia="Calibri" w:cs="Calibri"/>
                <w:color w:val="000000"/>
                <w:sz w:val="18"/>
              </w:rPr>
              <w:t>37</w:t>
            </w: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951C55" w:rsidRDefault="004A219B" w:rsidP="00B43A2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951C55" w:rsidRDefault="004A219B" w:rsidP="00B43A2B">
            <w:pPr>
              <w:spacing w:before="0" w:after="0"/>
              <w:jc w:val="right"/>
              <w:rPr>
                <w:rFonts w:eastAsia="Calibri" w:cs="Calibri"/>
                <w:color w:val="000000"/>
                <w:sz w:val="18"/>
              </w:rPr>
            </w:pPr>
            <w:r>
              <w:rPr>
                <w:rFonts w:eastAsia="Calibri" w:cs="Calibri"/>
                <w:color w:val="000000"/>
                <w:sz w:val="18"/>
              </w:rPr>
              <w:t>-</w:t>
            </w:r>
          </w:p>
        </w:tc>
      </w:tr>
      <w:tr w:rsidR="004A219B" w:rsidRPr="00B07220" w:rsidTr="00B43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4800" w:type="dxa"/>
            <w:tcBorders>
              <w:top w:val="nil"/>
              <w:left w:val="nil"/>
              <w:bottom w:val="nil"/>
              <w:right w:val="nil"/>
              <w:tl2br w:val="nil"/>
              <w:tr2bl w:val="nil"/>
            </w:tcBorders>
            <w:shd w:val="clear" w:color="auto" w:fill="auto"/>
            <w:tcMar>
              <w:left w:w="101" w:type="dxa"/>
              <w:right w:w="101" w:type="dxa"/>
            </w:tcMar>
          </w:tcPr>
          <w:p w:rsidR="004A219B" w:rsidRPr="00951C55" w:rsidRDefault="004A219B" w:rsidP="00B43A2B">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Default="004A219B" w:rsidP="00B43A2B">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951C55" w:rsidRDefault="004A219B" w:rsidP="00B43A2B">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Pr="00951C55" w:rsidRDefault="004A219B" w:rsidP="00B43A2B">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Default="004A219B" w:rsidP="00B43A2B">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4A219B" w:rsidRDefault="004A219B" w:rsidP="00B43A2B">
            <w:pPr>
              <w:spacing w:before="0" w:after="0"/>
              <w:jc w:val="right"/>
              <w:rPr>
                <w:rFonts w:eastAsia="Calibri" w:cs="Calibri"/>
                <w:color w:val="000000"/>
                <w:sz w:val="18"/>
              </w:rPr>
            </w:pPr>
          </w:p>
        </w:tc>
      </w:tr>
      <w:tr w:rsidR="00237D6F" w:rsidTr="005F68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4800" w:type="dxa"/>
            <w:tcBorders>
              <w:top w:val="nil"/>
              <w:left w:val="nil"/>
              <w:bottom w:val="nil"/>
              <w:right w:val="nil"/>
              <w:tl2br w:val="nil"/>
              <w:tr2bl w:val="nil"/>
            </w:tcBorders>
            <w:shd w:val="clear" w:color="auto" w:fill="auto"/>
            <w:tcMar>
              <w:left w:w="101" w:type="dxa"/>
              <w:right w:w="101" w:type="dxa"/>
            </w:tcMar>
          </w:tcPr>
          <w:p w:rsidR="00237D6F" w:rsidRPr="00951C55" w:rsidRDefault="005F6895" w:rsidP="00765F6E">
            <w:pPr>
              <w:spacing w:before="0" w:after="0"/>
              <w:rPr>
                <w:rFonts w:eastAsia="Calibri" w:cs="Calibri"/>
                <w:color w:val="000000"/>
                <w:sz w:val="18"/>
              </w:rPr>
            </w:pPr>
            <w:r>
              <w:rPr>
                <w:rFonts w:eastAsia="Calibri" w:cs="Calibri"/>
                <w:color w:val="000000"/>
                <w:sz w:val="18"/>
              </w:rPr>
              <w:t>Offset</w:t>
            </w:r>
            <w:r w:rsidR="00765F6E" w:rsidRPr="00951C55">
              <w:rPr>
                <w:rFonts w:eastAsia="Calibri" w:cs="Calibri"/>
                <w:color w:val="000000"/>
                <w:sz w:val="18"/>
              </w:rPr>
              <w:t xml:space="preserve"> - New facility for </w:t>
            </w:r>
            <w:proofErr w:type="spellStart"/>
            <w:r w:rsidR="00765F6E" w:rsidRPr="00951C55">
              <w:rPr>
                <w:rFonts w:eastAsia="Calibri" w:cs="Calibri"/>
                <w:color w:val="000000"/>
                <w:sz w:val="18"/>
              </w:rPr>
              <w:t>Winnunga</w:t>
            </w:r>
            <w:proofErr w:type="spellEnd"/>
            <w:r w:rsidR="00765F6E" w:rsidRPr="00951C55">
              <w:rPr>
                <w:rFonts w:eastAsia="Calibri" w:cs="Calibri"/>
                <w:color w:val="000000"/>
                <w:sz w:val="18"/>
              </w:rPr>
              <w:t xml:space="preserve"> </w:t>
            </w:r>
            <w:proofErr w:type="spellStart"/>
            <w:r w:rsidR="00765F6E" w:rsidRPr="00951C55">
              <w:rPr>
                <w:rFonts w:eastAsia="Calibri" w:cs="Calibri"/>
                <w:color w:val="000000"/>
                <w:sz w:val="18"/>
              </w:rPr>
              <w:t>Nimmityjah</w:t>
            </w:r>
            <w:proofErr w:type="spellEnd"/>
            <w:r w:rsidR="00765F6E" w:rsidRPr="00951C55">
              <w:rPr>
                <w:rFonts w:eastAsia="Calibri" w:cs="Calibri"/>
                <w:color w:val="000000"/>
                <w:sz w:val="18"/>
              </w:rPr>
              <w:t xml:space="preserve"> Abor</w:t>
            </w:r>
            <w:r w:rsidR="00BC45E1">
              <w:rPr>
                <w:rFonts w:eastAsia="Calibri" w:cs="Calibri"/>
                <w:color w:val="000000"/>
                <w:sz w:val="18"/>
              </w:rPr>
              <w:t>iginal Health Service</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E95C50">
            <w:pPr>
              <w:spacing w:before="0" w:after="0"/>
              <w:jc w:val="right"/>
              <w:rPr>
                <w:rFonts w:eastAsia="Calibri" w:cs="Calibri"/>
                <w:color w:val="000000"/>
                <w:sz w:val="18"/>
              </w:rPr>
            </w:pPr>
            <w:r>
              <w:rPr>
                <w:rFonts w:eastAsia="Calibri" w:cs="Calibri"/>
                <w:color w:val="000000"/>
                <w:sz w:val="18"/>
              </w:rPr>
              <w:t>(</w:t>
            </w:r>
            <w:r w:rsidR="00765F6E" w:rsidRPr="00951C55">
              <w:rPr>
                <w:rFonts w:eastAsia="Calibri" w:cs="Calibri"/>
                <w:color w:val="000000"/>
                <w:sz w:val="18"/>
              </w:rPr>
              <w:t>120</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E95C50">
            <w:pPr>
              <w:spacing w:before="0" w:after="0"/>
              <w:jc w:val="right"/>
              <w:rPr>
                <w:rFonts w:eastAsia="Calibri" w:cs="Calibri"/>
                <w:color w:val="000000"/>
                <w:sz w:val="18"/>
              </w:rPr>
            </w:pPr>
            <w:r>
              <w:rPr>
                <w:rFonts w:eastAsia="Calibri" w:cs="Calibri"/>
                <w:color w:val="000000"/>
                <w:sz w:val="18"/>
              </w:rPr>
              <w:t>(</w:t>
            </w:r>
            <w:r w:rsidR="00765F6E" w:rsidRPr="00951C55">
              <w:rPr>
                <w:rFonts w:eastAsia="Calibri" w:cs="Calibri"/>
                <w:color w:val="000000"/>
                <w:sz w:val="18"/>
              </w:rPr>
              <w:t>123</w:t>
            </w:r>
            <w:r>
              <w:rPr>
                <w:rFonts w:eastAsia="Calibri" w:cs="Calibri"/>
                <w:color w:val="000000"/>
                <w:sz w:val="18"/>
              </w:rPr>
              <w:t>)</w:t>
            </w:r>
          </w:p>
        </w:tc>
      </w:tr>
      <w:tr w:rsidR="00237D6F" w:rsidTr="005F68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4800" w:type="dxa"/>
            <w:tcBorders>
              <w:top w:val="nil"/>
              <w:left w:val="nil"/>
              <w:bottom w:val="nil"/>
              <w:right w:val="nil"/>
              <w:tl2br w:val="nil"/>
              <w:tr2bl w:val="nil"/>
            </w:tcBorders>
            <w:shd w:val="clear" w:color="auto" w:fill="auto"/>
            <w:tcMar>
              <w:left w:w="101" w:type="dxa"/>
              <w:right w:w="101" w:type="dxa"/>
            </w:tcMar>
          </w:tcPr>
          <w:p w:rsidR="00237D6F" w:rsidRPr="00951C55" w:rsidRDefault="00765F6E" w:rsidP="005A296E">
            <w:pPr>
              <w:spacing w:before="0" w:after="0"/>
              <w:rPr>
                <w:rFonts w:eastAsia="Calibri" w:cs="Calibri"/>
                <w:color w:val="000000"/>
                <w:sz w:val="18"/>
              </w:rPr>
            </w:pPr>
            <w:r w:rsidRPr="00951C55">
              <w:rPr>
                <w:rFonts w:eastAsia="Calibri" w:cs="Calibri"/>
                <w:color w:val="000000"/>
                <w:sz w:val="18"/>
              </w:rPr>
              <w:t xml:space="preserve">Transfer - Controlled Recurrent Payments to Expenses on Behalf of the Territory for capital </w:t>
            </w:r>
            <w:r w:rsidR="005A296E">
              <w:rPr>
                <w:rFonts w:eastAsia="Calibri" w:cs="Calibri"/>
                <w:color w:val="000000"/>
                <w:sz w:val="18"/>
              </w:rPr>
              <w:t>grants</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E95C50">
            <w:pPr>
              <w:spacing w:before="0" w:after="0"/>
              <w:jc w:val="right"/>
              <w:rPr>
                <w:rFonts w:eastAsia="Calibri" w:cs="Calibri"/>
                <w:color w:val="000000"/>
                <w:sz w:val="18"/>
              </w:rPr>
            </w:pPr>
            <w:r>
              <w:rPr>
                <w:rFonts w:eastAsia="Calibri" w:cs="Calibri"/>
                <w:color w:val="000000"/>
                <w:sz w:val="18"/>
              </w:rPr>
              <w:t>(</w:t>
            </w:r>
            <w:r w:rsidR="00765F6E" w:rsidRPr="00951C55">
              <w:rPr>
                <w:rFonts w:eastAsia="Calibri" w:cs="Calibri"/>
                <w:color w:val="000000"/>
                <w:sz w:val="18"/>
              </w:rPr>
              <w:t>15</w:t>
            </w:r>
            <w:r w:rsidR="00904EBD">
              <w:rPr>
                <w:rFonts w:eastAsia="Calibri" w:cs="Calibri"/>
                <w:color w:val="000000"/>
                <w:sz w:val="18"/>
              </w:rPr>
              <w:t>,</w:t>
            </w:r>
            <w:r w:rsidR="00765F6E" w:rsidRPr="00951C55">
              <w:rPr>
                <w:rFonts w:eastAsia="Calibri" w:cs="Calibri"/>
                <w:color w:val="000000"/>
                <w:sz w:val="18"/>
              </w:rPr>
              <w:t>700</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E95C50">
            <w:pPr>
              <w:spacing w:before="0" w:after="0"/>
              <w:jc w:val="right"/>
              <w:rPr>
                <w:rFonts w:eastAsia="Calibri" w:cs="Calibri"/>
                <w:color w:val="000000"/>
                <w:sz w:val="18"/>
              </w:rPr>
            </w:pPr>
            <w:r>
              <w:rPr>
                <w:rFonts w:eastAsia="Calibri" w:cs="Calibri"/>
                <w:color w:val="000000"/>
                <w:sz w:val="18"/>
              </w:rPr>
              <w:t>(</w:t>
            </w:r>
            <w:r w:rsidR="00765F6E" w:rsidRPr="00951C55">
              <w:rPr>
                <w:rFonts w:eastAsia="Calibri" w:cs="Calibri"/>
                <w:color w:val="000000"/>
                <w:sz w:val="18"/>
              </w:rPr>
              <w:t>1</w:t>
            </w:r>
            <w:r w:rsidR="00904EBD">
              <w:rPr>
                <w:rFonts w:eastAsia="Calibri" w:cs="Calibri"/>
                <w:color w:val="000000"/>
                <w:sz w:val="18"/>
              </w:rPr>
              <w:t>,</w:t>
            </w:r>
            <w:r w:rsidR="00765F6E" w:rsidRPr="00951C55">
              <w:rPr>
                <w:rFonts w:eastAsia="Calibri" w:cs="Calibri"/>
                <w:color w:val="000000"/>
                <w:sz w:val="18"/>
              </w:rPr>
              <w:t>165</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E95C50">
            <w:pPr>
              <w:spacing w:before="0" w:after="0"/>
              <w:jc w:val="right"/>
              <w:rPr>
                <w:rFonts w:eastAsia="Calibri" w:cs="Calibri"/>
                <w:color w:val="000000"/>
                <w:sz w:val="18"/>
              </w:rPr>
            </w:pPr>
            <w:r>
              <w:rPr>
                <w:rFonts w:eastAsia="Calibri" w:cs="Calibri"/>
                <w:color w:val="000000"/>
                <w:sz w:val="18"/>
              </w:rPr>
              <w:t>(</w:t>
            </w:r>
            <w:r w:rsidR="00765F6E" w:rsidRPr="00951C55">
              <w:rPr>
                <w:rFonts w:eastAsia="Calibri" w:cs="Calibri"/>
                <w:color w:val="000000"/>
                <w:sz w:val="18"/>
              </w:rPr>
              <w:t>2</w:t>
            </w:r>
            <w:r w:rsidR="00904EBD">
              <w:rPr>
                <w:rFonts w:eastAsia="Calibri" w:cs="Calibri"/>
                <w:color w:val="000000"/>
                <w:sz w:val="18"/>
              </w:rPr>
              <w:t>,</w:t>
            </w:r>
            <w:r w:rsidR="00765F6E" w:rsidRPr="00951C55">
              <w:rPr>
                <w:rFonts w:eastAsia="Calibri" w:cs="Calibri"/>
                <w:color w:val="000000"/>
                <w:sz w:val="18"/>
              </w:rPr>
              <w:t>435</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E95C50">
            <w:pPr>
              <w:spacing w:before="0" w:after="0"/>
              <w:jc w:val="right"/>
              <w:rPr>
                <w:rFonts w:eastAsia="Calibri" w:cs="Calibri"/>
                <w:color w:val="000000"/>
                <w:sz w:val="18"/>
              </w:rPr>
            </w:pPr>
            <w:r>
              <w:rPr>
                <w:rFonts w:eastAsia="Calibri" w:cs="Calibri"/>
                <w:color w:val="000000"/>
                <w:sz w:val="18"/>
              </w:rPr>
              <w:t>(</w:t>
            </w:r>
            <w:r w:rsidR="00765F6E" w:rsidRPr="00951C55">
              <w:rPr>
                <w:rFonts w:eastAsia="Calibri" w:cs="Calibri"/>
                <w:color w:val="000000"/>
                <w:sz w:val="18"/>
              </w:rPr>
              <w:t>7</w:t>
            </w:r>
            <w:r w:rsidR="00904EBD">
              <w:rPr>
                <w:rFonts w:eastAsia="Calibri" w:cs="Calibri"/>
                <w:color w:val="000000"/>
                <w:sz w:val="18"/>
              </w:rPr>
              <w:t>,</w:t>
            </w:r>
            <w:r w:rsidR="00765F6E" w:rsidRPr="00951C55">
              <w:rPr>
                <w:rFonts w:eastAsia="Calibri" w:cs="Calibri"/>
                <w:color w:val="000000"/>
                <w:sz w:val="18"/>
              </w:rPr>
              <w:t>700</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DC0ACA">
            <w:pPr>
              <w:spacing w:before="0" w:after="0"/>
              <w:jc w:val="right"/>
              <w:rPr>
                <w:rFonts w:eastAsia="Calibri" w:cs="Calibri"/>
                <w:color w:val="000000"/>
                <w:sz w:val="18"/>
              </w:rPr>
            </w:pPr>
            <w:r>
              <w:rPr>
                <w:rFonts w:eastAsia="Calibri" w:cs="Calibri"/>
                <w:color w:val="000000"/>
                <w:sz w:val="18"/>
              </w:rPr>
              <w:t>-</w:t>
            </w:r>
          </w:p>
        </w:tc>
      </w:tr>
      <w:tr w:rsidR="005F6895" w:rsidRPr="00951C55" w:rsidTr="003C5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800" w:type="dxa"/>
            <w:tcBorders>
              <w:top w:val="nil"/>
              <w:left w:val="nil"/>
              <w:bottom w:val="nil"/>
              <w:right w:val="nil"/>
              <w:tl2br w:val="nil"/>
              <w:tr2bl w:val="nil"/>
            </w:tcBorders>
            <w:shd w:val="clear" w:color="auto" w:fill="auto"/>
            <w:tcMar>
              <w:left w:w="101" w:type="dxa"/>
              <w:right w:w="101" w:type="dxa"/>
            </w:tcMar>
          </w:tcPr>
          <w:p w:rsidR="005F6895" w:rsidRPr="00951C55" w:rsidRDefault="005F6895" w:rsidP="005D7538">
            <w:pPr>
              <w:spacing w:before="0" w:after="0"/>
              <w:rPr>
                <w:rFonts w:eastAsia="Calibri" w:cs="Calibri"/>
                <w:color w:val="000000"/>
                <w:sz w:val="18"/>
              </w:rPr>
            </w:pPr>
            <w:r>
              <w:rPr>
                <w:rFonts w:eastAsia="Calibri" w:cs="Calibri"/>
                <w:color w:val="000000"/>
                <w:sz w:val="18"/>
              </w:rPr>
              <w:t xml:space="preserve">ACT Health </w:t>
            </w:r>
            <w:r w:rsidR="005D7538">
              <w:rPr>
                <w:rFonts w:eastAsia="Calibri" w:cs="Calibri"/>
                <w:color w:val="000000"/>
                <w:sz w:val="18"/>
              </w:rPr>
              <w:t>s</w:t>
            </w:r>
            <w:r>
              <w:rPr>
                <w:rFonts w:eastAsia="Calibri" w:cs="Calibri"/>
                <w:color w:val="000000"/>
                <w:sz w:val="18"/>
              </w:rPr>
              <w:t xml:space="preserve">avings </w:t>
            </w:r>
            <w:r w:rsidR="005D7538">
              <w:rPr>
                <w:rFonts w:eastAsia="Calibri" w:cs="Calibri"/>
                <w:color w:val="000000"/>
                <w:sz w:val="18"/>
              </w:rPr>
              <w:t>e</w:t>
            </w:r>
            <w:r>
              <w:rPr>
                <w:rFonts w:eastAsia="Calibri" w:cs="Calibri"/>
                <w:color w:val="000000"/>
                <w:sz w:val="18"/>
              </w:rPr>
              <w:t>fficiencies</w:t>
            </w:r>
          </w:p>
        </w:tc>
        <w:tc>
          <w:tcPr>
            <w:tcW w:w="1035" w:type="dxa"/>
            <w:tcBorders>
              <w:top w:val="nil"/>
              <w:left w:val="nil"/>
              <w:bottom w:val="nil"/>
              <w:right w:val="nil"/>
              <w:tl2br w:val="nil"/>
              <w:tr2bl w:val="nil"/>
            </w:tcBorders>
            <w:shd w:val="clear" w:color="auto" w:fill="auto"/>
            <w:noWrap/>
            <w:tcMar>
              <w:left w:w="101" w:type="dxa"/>
              <w:right w:w="101" w:type="dxa"/>
            </w:tcMar>
          </w:tcPr>
          <w:p w:rsidR="005F6895" w:rsidRPr="00951C55" w:rsidRDefault="00DC0ACA" w:rsidP="00AE605E">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5F6895" w:rsidRPr="00951C55" w:rsidRDefault="00E95C50" w:rsidP="00AE605E">
            <w:pPr>
              <w:spacing w:before="0" w:after="0"/>
              <w:jc w:val="right"/>
              <w:rPr>
                <w:rFonts w:eastAsia="Calibri" w:cs="Calibri"/>
                <w:color w:val="000000"/>
                <w:sz w:val="18"/>
              </w:rPr>
            </w:pPr>
            <w:r>
              <w:rPr>
                <w:rFonts w:eastAsia="Calibri" w:cs="Calibri"/>
                <w:color w:val="000000"/>
                <w:sz w:val="18"/>
              </w:rPr>
              <w:t>(</w:t>
            </w:r>
            <w:r w:rsidR="005F6895">
              <w:rPr>
                <w:rFonts w:eastAsia="Calibri" w:cs="Calibri"/>
                <w:color w:val="000000"/>
                <w:sz w:val="18"/>
              </w:rPr>
              <w:t>3,752</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5F6895" w:rsidRPr="00951C55" w:rsidRDefault="00872A4A" w:rsidP="00AE605E">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5F6895" w:rsidRPr="00951C55" w:rsidRDefault="00872A4A" w:rsidP="00AE605E">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5F6895" w:rsidRPr="00951C55" w:rsidRDefault="00872A4A" w:rsidP="00AE605E">
            <w:pPr>
              <w:spacing w:before="0" w:after="0"/>
              <w:jc w:val="right"/>
              <w:rPr>
                <w:rFonts w:eastAsia="Calibri" w:cs="Calibri"/>
                <w:color w:val="000000"/>
                <w:sz w:val="18"/>
              </w:rPr>
            </w:pPr>
            <w:r>
              <w:rPr>
                <w:rFonts w:eastAsia="Calibri" w:cs="Calibri"/>
                <w:color w:val="000000"/>
                <w:sz w:val="18"/>
              </w:rPr>
              <w:t>-</w:t>
            </w:r>
          </w:p>
        </w:tc>
      </w:tr>
      <w:tr w:rsidR="005F68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0" w:type="dxa"/>
              <w:right w:w="0" w:type="dxa"/>
            </w:tcMar>
          </w:tcPr>
          <w:p w:rsidR="005F6895" w:rsidRPr="00951C55" w:rsidRDefault="005F6895">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rsidR="005F6895" w:rsidRPr="00951C55" w:rsidRDefault="005F6895">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rsidR="005F6895" w:rsidRPr="00951C55" w:rsidRDefault="005F6895">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rsidR="005F6895" w:rsidRPr="00951C55" w:rsidRDefault="005F6895">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rsidR="005F6895" w:rsidRPr="00951C55" w:rsidRDefault="005F6895">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rsidR="005F6895" w:rsidRPr="00951C55" w:rsidRDefault="005F6895">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rsidR="00237D6F" w:rsidRPr="00951C55" w:rsidRDefault="00765F6E">
            <w:pPr>
              <w:spacing w:before="0" w:after="0"/>
              <w:rPr>
                <w:rFonts w:eastAsia="Calibri" w:cs="Calibri"/>
                <w:b/>
                <w:color w:val="000000"/>
                <w:sz w:val="18"/>
              </w:rPr>
            </w:pPr>
            <w:r w:rsidRPr="00951C55">
              <w:rPr>
                <w:rFonts w:eastAsia="Calibri" w:cs="Calibri"/>
                <w:b/>
                <w:color w:val="000000"/>
                <w:sz w:val="18"/>
              </w:rPr>
              <w:t>2018-19 Budget Technical Adjustments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Pr="00951C55"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Pr="00951C55"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Pr="00951C55"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Pr="00951C55"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Pr="00951C55" w:rsidRDefault="00237D6F">
            <w:pPr>
              <w:spacing w:before="0" w:after="0"/>
              <w:rPr>
                <w:rFonts w:eastAsia="Calibri" w:cs="Calibri"/>
                <w:color w:val="FFFFFF"/>
                <w:sz w:val="18"/>
              </w:rPr>
            </w:pPr>
          </w:p>
        </w:tc>
      </w:tr>
      <w:tr w:rsidR="00237D6F" w:rsidTr="003C5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4800" w:type="dxa"/>
            <w:tcBorders>
              <w:top w:val="nil"/>
              <w:left w:val="nil"/>
              <w:bottom w:val="nil"/>
              <w:right w:val="nil"/>
              <w:tl2br w:val="nil"/>
              <w:tr2bl w:val="nil"/>
            </w:tcBorders>
            <w:shd w:val="clear" w:color="auto" w:fill="auto"/>
            <w:tcMar>
              <w:left w:w="101" w:type="dxa"/>
              <w:right w:w="101" w:type="dxa"/>
            </w:tcMar>
          </w:tcPr>
          <w:p w:rsidR="00237D6F" w:rsidRPr="00951C55" w:rsidRDefault="00765F6E">
            <w:pPr>
              <w:spacing w:before="0" w:after="0"/>
              <w:rPr>
                <w:rFonts w:eastAsia="Calibri" w:cs="Calibri"/>
                <w:color w:val="000000"/>
                <w:sz w:val="18"/>
              </w:rPr>
            </w:pPr>
            <w:proofErr w:type="spellStart"/>
            <w:r w:rsidRPr="00951C55">
              <w:rPr>
                <w:rFonts w:eastAsia="Calibri" w:cs="Calibri"/>
                <w:color w:val="000000"/>
                <w:sz w:val="18"/>
              </w:rPr>
              <w:t>Comcare</w:t>
            </w:r>
            <w:proofErr w:type="spellEnd"/>
            <w:r w:rsidRPr="00951C55">
              <w:rPr>
                <w:rFonts w:eastAsia="Calibri" w:cs="Calibri"/>
                <w:color w:val="000000"/>
                <w:sz w:val="18"/>
              </w:rPr>
              <w:t xml:space="preserve"> Premium Reduction</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E95C50">
            <w:pPr>
              <w:spacing w:before="0" w:after="0"/>
              <w:jc w:val="right"/>
              <w:rPr>
                <w:rFonts w:eastAsia="Calibri" w:cs="Calibri"/>
                <w:color w:val="000000"/>
                <w:sz w:val="18"/>
              </w:rPr>
            </w:pPr>
            <w:r>
              <w:rPr>
                <w:rFonts w:eastAsia="Calibri" w:cs="Calibri"/>
                <w:color w:val="000000"/>
                <w:sz w:val="18"/>
              </w:rPr>
              <w:t>(</w:t>
            </w:r>
            <w:r w:rsidR="00765F6E" w:rsidRPr="00951C55">
              <w:rPr>
                <w:rFonts w:eastAsia="Calibri" w:cs="Calibri"/>
                <w:color w:val="000000"/>
                <w:sz w:val="18"/>
              </w:rPr>
              <w:t>6</w:t>
            </w:r>
            <w:r w:rsidR="00904EBD">
              <w:rPr>
                <w:rFonts w:eastAsia="Calibri" w:cs="Calibri"/>
                <w:color w:val="000000"/>
                <w:sz w:val="18"/>
              </w:rPr>
              <w:t>,</w:t>
            </w:r>
            <w:r w:rsidR="00765F6E" w:rsidRPr="00951C55">
              <w:rPr>
                <w:rFonts w:eastAsia="Calibri" w:cs="Calibri"/>
                <w:color w:val="000000"/>
                <w:sz w:val="18"/>
              </w:rPr>
              <w:t>921</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r>
      <w:tr w:rsidR="00237D6F" w:rsidTr="003C5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4800" w:type="dxa"/>
            <w:tcBorders>
              <w:top w:val="nil"/>
              <w:left w:val="nil"/>
              <w:bottom w:val="nil"/>
              <w:right w:val="nil"/>
              <w:tl2br w:val="nil"/>
              <w:tr2bl w:val="nil"/>
            </w:tcBorders>
            <w:shd w:val="clear" w:color="auto" w:fill="auto"/>
            <w:tcMar>
              <w:left w:w="101" w:type="dxa"/>
              <w:right w:w="101" w:type="dxa"/>
            </w:tcMar>
          </w:tcPr>
          <w:p w:rsidR="00237D6F" w:rsidRPr="00951C55" w:rsidRDefault="00765F6E">
            <w:pPr>
              <w:spacing w:before="0" w:after="0"/>
              <w:rPr>
                <w:rFonts w:eastAsia="Calibri" w:cs="Calibri"/>
                <w:color w:val="000000"/>
                <w:sz w:val="18"/>
              </w:rPr>
            </w:pPr>
            <w:r w:rsidRPr="00951C55">
              <w:rPr>
                <w:rFonts w:eastAsia="Calibri" w:cs="Calibri"/>
                <w:color w:val="000000"/>
                <w:sz w:val="18"/>
              </w:rPr>
              <w:t>Rebasing the LHN</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DC0AC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E95C50">
            <w:pPr>
              <w:spacing w:before="0" w:after="0"/>
              <w:jc w:val="right"/>
              <w:rPr>
                <w:rFonts w:eastAsia="Calibri" w:cs="Calibri"/>
                <w:color w:val="000000"/>
                <w:sz w:val="18"/>
              </w:rPr>
            </w:pPr>
            <w:r>
              <w:rPr>
                <w:rFonts w:eastAsia="Calibri" w:cs="Calibri"/>
                <w:color w:val="000000"/>
                <w:sz w:val="18"/>
              </w:rPr>
              <w:t>(</w:t>
            </w:r>
            <w:r w:rsidR="00765F6E" w:rsidRPr="00951C55">
              <w:rPr>
                <w:rFonts w:eastAsia="Calibri" w:cs="Calibri"/>
                <w:color w:val="000000"/>
                <w:sz w:val="18"/>
              </w:rPr>
              <w:t>28</w:t>
            </w:r>
            <w:r w:rsidR="00904EBD">
              <w:rPr>
                <w:rFonts w:eastAsia="Calibri" w:cs="Calibri"/>
                <w:color w:val="000000"/>
                <w:sz w:val="18"/>
              </w:rPr>
              <w:t>,</w:t>
            </w:r>
            <w:r w:rsidR="00765F6E" w:rsidRPr="00951C55">
              <w:rPr>
                <w:rFonts w:eastAsia="Calibri" w:cs="Calibri"/>
                <w:color w:val="000000"/>
                <w:sz w:val="18"/>
              </w:rPr>
              <w:t>640</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E95C50">
            <w:pPr>
              <w:spacing w:before="0" w:after="0"/>
              <w:jc w:val="right"/>
              <w:rPr>
                <w:rFonts w:eastAsia="Calibri" w:cs="Calibri"/>
                <w:color w:val="000000"/>
                <w:sz w:val="18"/>
              </w:rPr>
            </w:pPr>
            <w:r>
              <w:rPr>
                <w:rFonts w:eastAsia="Calibri" w:cs="Calibri"/>
                <w:color w:val="000000"/>
                <w:sz w:val="18"/>
              </w:rPr>
              <w:t>(</w:t>
            </w:r>
            <w:r w:rsidR="00765F6E" w:rsidRPr="00951C55">
              <w:rPr>
                <w:rFonts w:eastAsia="Calibri" w:cs="Calibri"/>
                <w:color w:val="000000"/>
                <w:sz w:val="18"/>
              </w:rPr>
              <w:t>34</w:t>
            </w:r>
            <w:r w:rsidR="00904EBD">
              <w:rPr>
                <w:rFonts w:eastAsia="Calibri" w:cs="Calibri"/>
                <w:color w:val="000000"/>
                <w:sz w:val="18"/>
              </w:rPr>
              <w:t>,</w:t>
            </w:r>
            <w:r w:rsidR="00765F6E" w:rsidRPr="00951C55">
              <w:rPr>
                <w:rFonts w:eastAsia="Calibri" w:cs="Calibri"/>
                <w:color w:val="000000"/>
                <w:sz w:val="18"/>
              </w:rPr>
              <w:t>040</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E95C50">
            <w:pPr>
              <w:spacing w:before="0" w:after="0"/>
              <w:jc w:val="right"/>
              <w:rPr>
                <w:rFonts w:eastAsia="Calibri" w:cs="Calibri"/>
                <w:color w:val="000000"/>
                <w:sz w:val="18"/>
              </w:rPr>
            </w:pPr>
            <w:r>
              <w:rPr>
                <w:rFonts w:eastAsia="Calibri" w:cs="Calibri"/>
                <w:color w:val="000000"/>
                <w:sz w:val="18"/>
              </w:rPr>
              <w:t>(</w:t>
            </w:r>
            <w:r w:rsidR="00765F6E" w:rsidRPr="00951C55">
              <w:rPr>
                <w:rFonts w:eastAsia="Calibri" w:cs="Calibri"/>
                <w:color w:val="000000"/>
                <w:sz w:val="18"/>
              </w:rPr>
              <w:t>57</w:t>
            </w:r>
            <w:r w:rsidR="00904EBD">
              <w:rPr>
                <w:rFonts w:eastAsia="Calibri" w:cs="Calibri"/>
                <w:color w:val="000000"/>
                <w:sz w:val="18"/>
              </w:rPr>
              <w:t>,</w:t>
            </w:r>
            <w:r w:rsidR="00765F6E" w:rsidRPr="00951C55">
              <w:rPr>
                <w:rFonts w:eastAsia="Calibri" w:cs="Calibri"/>
                <w:color w:val="000000"/>
                <w:sz w:val="18"/>
              </w:rPr>
              <w:t>771</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E95C50">
            <w:pPr>
              <w:spacing w:before="0" w:after="0"/>
              <w:jc w:val="right"/>
              <w:rPr>
                <w:rFonts w:eastAsia="Calibri" w:cs="Calibri"/>
                <w:color w:val="000000"/>
                <w:sz w:val="18"/>
              </w:rPr>
            </w:pPr>
            <w:r>
              <w:rPr>
                <w:rFonts w:eastAsia="Calibri" w:cs="Calibri"/>
                <w:color w:val="000000"/>
                <w:sz w:val="18"/>
              </w:rPr>
              <w:t>(</w:t>
            </w:r>
            <w:r w:rsidR="00765F6E" w:rsidRPr="00951C55">
              <w:rPr>
                <w:rFonts w:eastAsia="Calibri" w:cs="Calibri"/>
                <w:color w:val="000000"/>
                <w:sz w:val="18"/>
              </w:rPr>
              <w:t>99</w:t>
            </w:r>
            <w:r w:rsidR="00904EBD">
              <w:rPr>
                <w:rFonts w:eastAsia="Calibri" w:cs="Calibri"/>
                <w:color w:val="000000"/>
                <w:sz w:val="18"/>
              </w:rPr>
              <w:t>,</w:t>
            </w:r>
            <w:r w:rsidR="00765F6E" w:rsidRPr="00951C55">
              <w:rPr>
                <w:rFonts w:eastAsia="Calibri" w:cs="Calibri"/>
                <w:color w:val="000000"/>
                <w:sz w:val="18"/>
              </w:rPr>
              <w:t>147</w:t>
            </w:r>
            <w:r>
              <w:rPr>
                <w:rFonts w:eastAsia="Calibri" w:cs="Calibri"/>
                <w:color w:val="000000"/>
                <w:sz w:val="18"/>
              </w:rPr>
              <w:t>)</w:t>
            </w:r>
          </w:p>
        </w:tc>
      </w:tr>
      <w:tr w:rsidR="00237D6F" w:rsidTr="003C5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4800" w:type="dxa"/>
            <w:tcBorders>
              <w:top w:val="nil"/>
              <w:left w:val="nil"/>
              <w:bottom w:val="nil"/>
              <w:right w:val="nil"/>
              <w:tl2br w:val="nil"/>
              <w:tr2bl w:val="nil"/>
            </w:tcBorders>
            <w:shd w:val="clear" w:color="auto" w:fill="auto"/>
            <w:tcMar>
              <w:left w:w="101" w:type="dxa"/>
              <w:right w:w="101" w:type="dxa"/>
            </w:tcMar>
          </w:tcPr>
          <w:p w:rsidR="00237D6F" w:rsidRPr="00951C55" w:rsidRDefault="00765F6E" w:rsidP="005F6895">
            <w:pPr>
              <w:spacing w:before="0" w:after="0"/>
              <w:rPr>
                <w:rFonts w:eastAsia="Calibri" w:cs="Calibri"/>
                <w:color w:val="000000"/>
                <w:sz w:val="18"/>
              </w:rPr>
            </w:pPr>
            <w:r w:rsidRPr="00951C55">
              <w:rPr>
                <w:rFonts w:eastAsia="Calibri" w:cs="Calibri"/>
                <w:color w:val="000000"/>
                <w:sz w:val="18"/>
              </w:rPr>
              <w:t>Revised Funding Profile - Support for bulk billing GPs</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E95C50">
            <w:pPr>
              <w:spacing w:before="0" w:after="0"/>
              <w:jc w:val="right"/>
              <w:rPr>
                <w:rFonts w:eastAsia="Calibri" w:cs="Calibri"/>
                <w:color w:val="000000"/>
                <w:sz w:val="18"/>
              </w:rPr>
            </w:pPr>
            <w:r>
              <w:rPr>
                <w:rFonts w:eastAsia="Calibri" w:cs="Calibri"/>
                <w:color w:val="000000"/>
                <w:sz w:val="18"/>
              </w:rPr>
              <w:t>(</w:t>
            </w:r>
            <w:r w:rsidR="00765F6E" w:rsidRPr="00951C55">
              <w:rPr>
                <w:rFonts w:eastAsia="Calibri" w:cs="Calibri"/>
                <w:color w:val="000000"/>
                <w:sz w:val="18"/>
              </w:rPr>
              <w:t>350</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700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E95C50">
            <w:pPr>
              <w:spacing w:before="0" w:after="0"/>
              <w:jc w:val="right"/>
              <w:rPr>
                <w:rFonts w:eastAsia="Calibri" w:cs="Calibri"/>
                <w:color w:val="000000"/>
                <w:sz w:val="18"/>
              </w:rPr>
            </w:pPr>
            <w:r>
              <w:rPr>
                <w:rFonts w:eastAsia="Calibri" w:cs="Calibri"/>
                <w:color w:val="000000"/>
                <w:sz w:val="18"/>
              </w:rPr>
              <w:t>(</w:t>
            </w:r>
            <w:r w:rsidR="00765F6E" w:rsidRPr="00951C55">
              <w:rPr>
                <w:rFonts w:eastAsia="Calibri" w:cs="Calibri"/>
                <w:color w:val="000000"/>
                <w:sz w:val="18"/>
              </w:rPr>
              <w:t>350</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r>
      <w:tr w:rsidR="00237D6F" w:rsidTr="005F68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4800" w:type="dxa"/>
            <w:tcBorders>
              <w:top w:val="nil"/>
              <w:left w:val="nil"/>
              <w:bottom w:val="nil"/>
              <w:right w:val="nil"/>
              <w:tl2br w:val="nil"/>
              <w:tr2bl w:val="nil"/>
            </w:tcBorders>
            <w:shd w:val="clear" w:color="auto" w:fill="auto"/>
            <w:tcMar>
              <w:left w:w="101" w:type="dxa"/>
              <w:right w:w="101" w:type="dxa"/>
            </w:tcMar>
          </w:tcPr>
          <w:p w:rsidR="00237D6F" w:rsidRPr="00951C55" w:rsidRDefault="00765F6E" w:rsidP="005F6895">
            <w:pPr>
              <w:spacing w:before="0" w:after="0"/>
              <w:rPr>
                <w:rFonts w:eastAsia="Calibri" w:cs="Calibri"/>
                <w:color w:val="000000"/>
                <w:sz w:val="18"/>
              </w:rPr>
            </w:pPr>
            <w:r w:rsidRPr="00951C55">
              <w:rPr>
                <w:rFonts w:eastAsia="Calibri" w:cs="Calibri"/>
                <w:color w:val="000000"/>
                <w:sz w:val="18"/>
              </w:rPr>
              <w:t>Revised Funding Profile - University of Canberra Hospital operational readiness</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E95C50">
            <w:pPr>
              <w:spacing w:before="0" w:after="0"/>
              <w:jc w:val="right"/>
              <w:rPr>
                <w:rFonts w:eastAsia="Calibri" w:cs="Calibri"/>
                <w:color w:val="000000"/>
                <w:sz w:val="18"/>
              </w:rPr>
            </w:pPr>
            <w:r>
              <w:rPr>
                <w:rFonts w:eastAsia="Calibri" w:cs="Calibri"/>
                <w:color w:val="000000"/>
                <w:sz w:val="18"/>
              </w:rPr>
              <w:t>(</w:t>
            </w:r>
            <w:r w:rsidR="00765F6E" w:rsidRPr="00951C55">
              <w:rPr>
                <w:rFonts w:eastAsia="Calibri" w:cs="Calibri"/>
                <w:color w:val="000000"/>
                <w:sz w:val="18"/>
              </w:rPr>
              <w:t>640</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640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rsidR="00237D6F" w:rsidRPr="00951C55" w:rsidRDefault="00765F6E">
            <w:pPr>
              <w:spacing w:before="0" w:after="0"/>
              <w:rPr>
                <w:rFonts w:eastAsia="Calibri" w:cs="Calibri"/>
                <w:color w:val="000000"/>
                <w:sz w:val="18"/>
              </w:rPr>
            </w:pPr>
            <w:r w:rsidRPr="00951C55">
              <w:rPr>
                <w:rFonts w:eastAsia="Calibri" w:cs="Calibri"/>
                <w:color w:val="000000"/>
                <w:sz w:val="18"/>
              </w:rPr>
              <w:t xml:space="preserve">Revised Funding Profile - </w:t>
            </w:r>
            <w:proofErr w:type="spellStart"/>
            <w:r w:rsidRPr="00951C55">
              <w:rPr>
                <w:rFonts w:eastAsia="Calibri" w:cs="Calibri"/>
                <w:color w:val="000000"/>
                <w:sz w:val="18"/>
              </w:rPr>
              <w:t>Breastscreen</w:t>
            </w:r>
            <w:proofErr w:type="spellEnd"/>
            <w:r w:rsidRPr="00951C55">
              <w:rPr>
                <w:rFonts w:eastAsia="Calibri" w:cs="Calibri"/>
                <w:color w:val="000000"/>
                <w:sz w:val="18"/>
              </w:rPr>
              <w:t xml:space="preserve"> National Partnership Agreement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E95C50">
            <w:pPr>
              <w:spacing w:before="0" w:after="0"/>
              <w:jc w:val="right"/>
              <w:rPr>
                <w:rFonts w:eastAsia="Calibri" w:cs="Calibri"/>
                <w:color w:val="000000"/>
                <w:sz w:val="18"/>
              </w:rPr>
            </w:pPr>
            <w:r>
              <w:rPr>
                <w:rFonts w:eastAsia="Calibri" w:cs="Calibri"/>
                <w:color w:val="000000"/>
                <w:sz w:val="18"/>
              </w:rPr>
              <w:t>(</w:t>
            </w:r>
            <w:r w:rsidR="00765F6E" w:rsidRPr="00951C55">
              <w:rPr>
                <w:rFonts w:eastAsia="Calibri" w:cs="Calibri"/>
                <w:color w:val="000000"/>
                <w:sz w:val="18"/>
              </w:rPr>
              <w:t>87</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87</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237D6F" w:rsidRPr="00951C55" w:rsidRDefault="00765F6E" w:rsidP="005259B2">
            <w:pPr>
              <w:spacing w:before="0" w:after="0"/>
              <w:rPr>
                <w:rFonts w:eastAsia="Calibri" w:cs="Calibri"/>
                <w:color w:val="000000"/>
                <w:sz w:val="18"/>
              </w:rPr>
            </w:pPr>
            <w:r w:rsidRPr="00951C55">
              <w:rPr>
                <w:rFonts w:eastAsia="Calibri" w:cs="Calibri"/>
                <w:color w:val="000000"/>
                <w:sz w:val="18"/>
              </w:rPr>
              <w:t xml:space="preserve">Revised Funding Profile </w:t>
            </w:r>
            <w:r w:rsidR="005259B2">
              <w:rPr>
                <w:rFonts w:eastAsia="Calibri" w:cs="Calibri"/>
                <w:color w:val="000000"/>
                <w:sz w:val="18"/>
              </w:rPr>
              <w:t>-</w:t>
            </w:r>
            <w:r w:rsidRPr="00951C55">
              <w:rPr>
                <w:rFonts w:eastAsia="Calibri" w:cs="Calibri"/>
                <w:color w:val="000000"/>
                <w:sz w:val="18"/>
              </w:rPr>
              <w:t xml:space="preserve"> Medical Cannabis</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DC0AC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E95C50">
            <w:pPr>
              <w:spacing w:before="0" w:after="0"/>
              <w:jc w:val="right"/>
              <w:rPr>
                <w:rFonts w:eastAsia="Calibri" w:cs="Calibri"/>
                <w:color w:val="000000"/>
                <w:sz w:val="18"/>
              </w:rPr>
            </w:pPr>
            <w:r>
              <w:rPr>
                <w:rFonts w:eastAsia="Calibri" w:cs="Calibri"/>
                <w:color w:val="000000"/>
                <w:sz w:val="18"/>
              </w:rPr>
              <w:t>(</w:t>
            </w:r>
            <w:r w:rsidR="00765F6E" w:rsidRPr="00951C55">
              <w:rPr>
                <w:rFonts w:eastAsia="Calibri" w:cs="Calibri"/>
                <w:color w:val="000000"/>
                <w:sz w:val="18"/>
              </w:rPr>
              <w:t>130</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r>
      <w:tr w:rsidR="00237D6F" w:rsidTr="005259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800" w:type="dxa"/>
            <w:tcBorders>
              <w:top w:val="nil"/>
              <w:left w:val="nil"/>
              <w:bottom w:val="nil"/>
              <w:right w:val="nil"/>
              <w:tl2br w:val="nil"/>
              <w:tr2bl w:val="nil"/>
            </w:tcBorders>
            <w:shd w:val="clear" w:color="auto" w:fill="auto"/>
            <w:tcMar>
              <w:left w:w="101" w:type="dxa"/>
              <w:right w:w="101" w:type="dxa"/>
            </w:tcMar>
          </w:tcPr>
          <w:p w:rsidR="00237D6F" w:rsidRPr="00951C55" w:rsidRDefault="00765F6E" w:rsidP="005D7538">
            <w:pPr>
              <w:spacing w:before="0" w:after="0"/>
              <w:rPr>
                <w:rFonts w:eastAsia="Calibri" w:cs="Calibri"/>
                <w:color w:val="000000"/>
                <w:sz w:val="18"/>
              </w:rPr>
            </w:pPr>
            <w:r w:rsidRPr="00951C55">
              <w:rPr>
                <w:rFonts w:eastAsia="Calibri" w:cs="Calibri"/>
                <w:color w:val="000000"/>
                <w:sz w:val="18"/>
              </w:rPr>
              <w:t xml:space="preserve">Revised Funding Profile </w:t>
            </w:r>
            <w:r w:rsidR="005D7538">
              <w:rPr>
                <w:rFonts w:eastAsia="Calibri" w:cs="Calibri"/>
                <w:color w:val="000000"/>
                <w:sz w:val="18"/>
              </w:rPr>
              <w:t>-</w:t>
            </w:r>
            <w:r w:rsidRPr="00951C55">
              <w:rPr>
                <w:rFonts w:eastAsia="Calibri" w:cs="Calibri"/>
                <w:color w:val="000000"/>
                <w:sz w:val="18"/>
              </w:rPr>
              <w:t xml:space="preserve"> </w:t>
            </w:r>
            <w:r w:rsidR="005259B2">
              <w:rPr>
                <w:rFonts w:eastAsia="Calibri" w:cs="Calibri"/>
                <w:color w:val="000000"/>
                <w:sz w:val="18"/>
              </w:rPr>
              <w:t xml:space="preserve">More nurse-led </w:t>
            </w:r>
            <w:r w:rsidRPr="00951C55">
              <w:rPr>
                <w:rFonts w:eastAsia="Calibri" w:cs="Calibri"/>
                <w:color w:val="000000"/>
                <w:sz w:val="18"/>
              </w:rPr>
              <w:t>Walk-in Centres</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E95C50">
            <w:pPr>
              <w:spacing w:before="0" w:after="0"/>
              <w:jc w:val="right"/>
              <w:rPr>
                <w:rFonts w:eastAsia="Calibri" w:cs="Calibri"/>
                <w:color w:val="000000"/>
                <w:sz w:val="18"/>
              </w:rPr>
            </w:pPr>
            <w:r>
              <w:rPr>
                <w:rFonts w:eastAsia="Calibri" w:cs="Calibri"/>
                <w:color w:val="000000"/>
                <w:sz w:val="18"/>
              </w:rPr>
              <w:t>(</w:t>
            </w:r>
            <w:r w:rsidR="00765F6E" w:rsidRPr="00951C55">
              <w:rPr>
                <w:rFonts w:eastAsia="Calibri" w:cs="Calibri"/>
                <w:color w:val="000000"/>
                <w:sz w:val="18"/>
              </w:rPr>
              <w:t>272</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272</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r>
      <w:tr w:rsidR="00237D6F" w:rsidTr="003C5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4800" w:type="dxa"/>
            <w:tcBorders>
              <w:top w:val="nil"/>
              <w:left w:val="nil"/>
              <w:bottom w:val="nil"/>
              <w:right w:val="nil"/>
              <w:tl2br w:val="nil"/>
              <w:tr2bl w:val="nil"/>
            </w:tcBorders>
            <w:shd w:val="clear" w:color="auto" w:fill="auto"/>
            <w:tcMar>
              <w:left w:w="101" w:type="dxa"/>
              <w:right w:w="101" w:type="dxa"/>
            </w:tcMar>
          </w:tcPr>
          <w:p w:rsidR="00237D6F" w:rsidRPr="00951C55" w:rsidRDefault="00765F6E">
            <w:pPr>
              <w:spacing w:before="0" w:after="0"/>
              <w:rPr>
                <w:rFonts w:eastAsia="Calibri" w:cs="Calibri"/>
                <w:color w:val="000000"/>
                <w:sz w:val="18"/>
              </w:rPr>
            </w:pPr>
            <w:r w:rsidRPr="00951C55">
              <w:rPr>
                <w:rFonts w:eastAsia="Calibri" w:cs="Calibri"/>
                <w:color w:val="000000"/>
                <w:sz w:val="18"/>
              </w:rPr>
              <w:t>Revised Indexation Parameters</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1A19D5">
            <w:pPr>
              <w:spacing w:before="0" w:after="0"/>
              <w:jc w:val="right"/>
              <w:rPr>
                <w:rFonts w:eastAsia="Calibri" w:cs="Calibri"/>
                <w:color w:val="000000"/>
                <w:sz w:val="18"/>
              </w:rPr>
            </w:pPr>
            <w:r>
              <w:rPr>
                <w:rFonts w:eastAsia="Calibri" w:cs="Calibri"/>
                <w:color w:val="000000"/>
                <w:sz w:val="18"/>
              </w:rPr>
              <w:t>4,107</w:t>
            </w:r>
          </w:p>
        </w:tc>
      </w:tr>
      <w:tr w:rsidR="00237D6F" w:rsidTr="003C5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4800" w:type="dxa"/>
            <w:tcBorders>
              <w:top w:val="nil"/>
              <w:left w:val="nil"/>
              <w:bottom w:val="nil"/>
              <w:right w:val="nil"/>
              <w:tl2br w:val="nil"/>
              <w:tr2bl w:val="nil"/>
            </w:tcBorders>
            <w:shd w:val="clear" w:color="auto" w:fill="auto"/>
            <w:tcMar>
              <w:left w:w="101" w:type="dxa"/>
              <w:right w:w="101" w:type="dxa"/>
            </w:tcMar>
          </w:tcPr>
          <w:p w:rsidR="00237D6F" w:rsidRPr="00951C55" w:rsidRDefault="00765F6E">
            <w:pPr>
              <w:spacing w:before="0" w:after="0"/>
              <w:rPr>
                <w:rFonts w:eastAsia="Calibri" w:cs="Calibri"/>
                <w:color w:val="000000"/>
                <w:sz w:val="18"/>
              </w:rPr>
            </w:pPr>
            <w:r w:rsidRPr="00951C55">
              <w:rPr>
                <w:rFonts w:eastAsia="Calibri" w:cs="Calibri"/>
                <w:color w:val="000000"/>
                <w:sz w:val="18"/>
              </w:rPr>
              <w:t>Revised Wage Parameters</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1</w:t>
            </w:r>
            <w:r w:rsidR="00904EBD">
              <w:rPr>
                <w:rFonts w:eastAsia="Calibri" w:cs="Calibri"/>
                <w:color w:val="000000"/>
                <w:sz w:val="18"/>
              </w:rPr>
              <w:t>,</w:t>
            </w:r>
            <w:r w:rsidRPr="00951C55">
              <w:rPr>
                <w:rFonts w:eastAsia="Calibri" w:cs="Calibri"/>
                <w:color w:val="000000"/>
                <w:sz w:val="18"/>
              </w:rPr>
              <w:t>353</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10</w:t>
            </w:r>
            <w:r w:rsidR="00904EBD">
              <w:rPr>
                <w:rFonts w:eastAsia="Calibri" w:cs="Calibri"/>
                <w:color w:val="000000"/>
                <w:sz w:val="18"/>
              </w:rPr>
              <w:t>,</w:t>
            </w:r>
            <w:r w:rsidRPr="00951C55">
              <w:rPr>
                <w:rFonts w:eastAsia="Calibri" w:cs="Calibri"/>
                <w:color w:val="000000"/>
                <w:sz w:val="18"/>
              </w:rPr>
              <w:t>180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20</w:t>
            </w:r>
            <w:r w:rsidR="00904EBD">
              <w:rPr>
                <w:rFonts w:eastAsia="Calibri" w:cs="Calibri"/>
                <w:color w:val="000000"/>
                <w:sz w:val="18"/>
              </w:rPr>
              <w:t>,</w:t>
            </w:r>
            <w:r w:rsidRPr="00951C55">
              <w:rPr>
                <w:rFonts w:eastAsia="Calibri" w:cs="Calibri"/>
                <w:color w:val="000000"/>
                <w:sz w:val="18"/>
              </w:rPr>
              <w:t>831</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28</w:t>
            </w:r>
            <w:r w:rsidR="00904EBD">
              <w:rPr>
                <w:rFonts w:eastAsia="Calibri" w:cs="Calibri"/>
                <w:color w:val="000000"/>
                <w:sz w:val="18"/>
              </w:rPr>
              <w:t>,</w:t>
            </w:r>
            <w:r w:rsidRPr="00951C55">
              <w:rPr>
                <w:rFonts w:eastAsia="Calibri" w:cs="Calibri"/>
                <w:color w:val="000000"/>
                <w:sz w:val="18"/>
              </w:rPr>
              <w:t>334</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rsidR="00237D6F" w:rsidRPr="00951C55" w:rsidRDefault="00765F6E" w:rsidP="005D7538">
            <w:pPr>
              <w:spacing w:before="0" w:after="0"/>
              <w:rPr>
                <w:rFonts w:eastAsia="Calibri" w:cs="Calibri"/>
                <w:color w:val="000000"/>
                <w:sz w:val="18"/>
              </w:rPr>
            </w:pPr>
            <w:r w:rsidRPr="00951C55">
              <w:rPr>
                <w:rFonts w:eastAsia="Calibri" w:cs="Calibri"/>
                <w:color w:val="000000"/>
                <w:sz w:val="18"/>
              </w:rPr>
              <w:t xml:space="preserve">Transfer </w:t>
            </w:r>
            <w:r w:rsidR="005D7538">
              <w:rPr>
                <w:rFonts w:eastAsia="Calibri" w:cs="Calibri"/>
                <w:color w:val="000000"/>
                <w:sz w:val="18"/>
              </w:rPr>
              <w:t>-</w:t>
            </w:r>
            <w:r w:rsidRPr="00951C55">
              <w:rPr>
                <w:rFonts w:eastAsia="Calibri" w:cs="Calibri"/>
                <w:color w:val="000000"/>
                <w:sz w:val="18"/>
              </w:rPr>
              <w:t xml:space="preserve"> A Gender Agenda from CMTEDD to Health Directorate</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167</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167</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166</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r>
      <w:tr w:rsidR="001775C7" w:rsidTr="001775C7">
        <w:tblPrEx>
          <w:tblLook w:val="04A0" w:firstRow="1" w:lastRow="0" w:firstColumn="1" w:lastColumn="0" w:noHBand="0" w:noVBand="1"/>
        </w:tblPrEx>
        <w:trPr>
          <w:trHeight w:hRule="exact" w:val="476"/>
        </w:trPr>
        <w:tc>
          <w:tcPr>
            <w:tcW w:w="4800" w:type="dxa"/>
          </w:tcPr>
          <w:p w:rsidR="001775C7" w:rsidRPr="00333C5D" w:rsidRDefault="001775C7" w:rsidP="00433BE4">
            <w:pPr>
              <w:spacing w:before="0" w:after="0"/>
              <w:rPr>
                <w:rFonts w:eastAsia="Calibri" w:cs="Calibri"/>
                <w:color w:val="000000"/>
                <w:sz w:val="18"/>
              </w:rPr>
            </w:pPr>
            <w:r w:rsidRPr="00333C5D">
              <w:rPr>
                <w:rFonts w:eastAsia="Calibri" w:cs="Calibri"/>
                <w:color w:val="000000"/>
                <w:sz w:val="18"/>
              </w:rPr>
              <w:t>Transfer - Contribution to the Strategic Office Accommodation Project to CMTEDD</w:t>
            </w:r>
          </w:p>
        </w:tc>
        <w:tc>
          <w:tcPr>
            <w:tcW w:w="1035" w:type="dxa"/>
            <w:noWrap/>
          </w:tcPr>
          <w:p w:rsidR="001775C7" w:rsidRPr="00333C5D" w:rsidRDefault="001775C7" w:rsidP="00433BE4">
            <w:pPr>
              <w:spacing w:before="0" w:after="0"/>
              <w:jc w:val="right"/>
              <w:rPr>
                <w:rFonts w:eastAsia="Calibri" w:cs="Calibri"/>
                <w:color w:val="000000"/>
                <w:sz w:val="18"/>
              </w:rPr>
            </w:pPr>
            <w:r w:rsidRPr="00333C5D">
              <w:rPr>
                <w:rFonts w:eastAsia="Calibri" w:cs="Calibri"/>
                <w:color w:val="000000"/>
                <w:sz w:val="18"/>
              </w:rPr>
              <w:t>(238)</w:t>
            </w:r>
          </w:p>
        </w:tc>
        <w:tc>
          <w:tcPr>
            <w:tcW w:w="1035" w:type="dxa"/>
            <w:noWrap/>
          </w:tcPr>
          <w:p w:rsidR="001775C7" w:rsidRPr="00333C5D" w:rsidRDefault="001775C7" w:rsidP="00433BE4">
            <w:pPr>
              <w:spacing w:before="0" w:after="0"/>
              <w:jc w:val="right"/>
              <w:rPr>
                <w:rFonts w:eastAsia="Calibri" w:cs="Calibri"/>
                <w:color w:val="000000"/>
                <w:sz w:val="18"/>
              </w:rPr>
            </w:pPr>
            <w:r w:rsidRPr="00333C5D">
              <w:rPr>
                <w:rFonts w:eastAsia="Calibri" w:cs="Calibri"/>
                <w:color w:val="000000"/>
                <w:sz w:val="18"/>
              </w:rPr>
              <w:t>(242)</w:t>
            </w:r>
          </w:p>
        </w:tc>
        <w:tc>
          <w:tcPr>
            <w:tcW w:w="1035" w:type="dxa"/>
            <w:noWrap/>
          </w:tcPr>
          <w:p w:rsidR="001775C7" w:rsidRPr="00333C5D" w:rsidRDefault="001775C7" w:rsidP="00433BE4">
            <w:pPr>
              <w:spacing w:before="0" w:after="0"/>
              <w:jc w:val="right"/>
              <w:rPr>
                <w:rFonts w:eastAsia="Calibri" w:cs="Calibri"/>
                <w:color w:val="000000"/>
                <w:sz w:val="18"/>
              </w:rPr>
            </w:pPr>
            <w:r w:rsidRPr="00333C5D">
              <w:rPr>
                <w:rFonts w:eastAsia="Calibri" w:cs="Calibri"/>
                <w:color w:val="000000"/>
                <w:sz w:val="18"/>
              </w:rPr>
              <w:t>(246)</w:t>
            </w:r>
          </w:p>
        </w:tc>
        <w:tc>
          <w:tcPr>
            <w:tcW w:w="1035" w:type="dxa"/>
            <w:noWrap/>
          </w:tcPr>
          <w:p w:rsidR="001775C7" w:rsidRPr="00333C5D" w:rsidRDefault="001775C7" w:rsidP="00433BE4">
            <w:pPr>
              <w:spacing w:before="0" w:after="0"/>
              <w:jc w:val="right"/>
              <w:rPr>
                <w:rFonts w:eastAsia="Calibri" w:cs="Calibri"/>
                <w:color w:val="000000"/>
                <w:sz w:val="18"/>
              </w:rPr>
            </w:pPr>
            <w:r w:rsidRPr="00333C5D">
              <w:rPr>
                <w:rFonts w:eastAsia="Calibri" w:cs="Calibri"/>
                <w:color w:val="000000"/>
                <w:sz w:val="18"/>
              </w:rPr>
              <w:t>(410)</w:t>
            </w:r>
          </w:p>
        </w:tc>
        <w:tc>
          <w:tcPr>
            <w:tcW w:w="1035" w:type="dxa"/>
            <w:noWrap/>
          </w:tcPr>
          <w:p w:rsidR="001775C7" w:rsidRPr="00333C5D" w:rsidRDefault="001775C7" w:rsidP="00433BE4">
            <w:pPr>
              <w:spacing w:before="0" w:after="0"/>
              <w:jc w:val="right"/>
              <w:rPr>
                <w:rFonts w:eastAsia="Calibri" w:cs="Calibri"/>
                <w:color w:val="000000"/>
                <w:sz w:val="18"/>
              </w:rPr>
            </w:pPr>
            <w:r w:rsidRPr="00333C5D">
              <w:rPr>
                <w:rFonts w:eastAsia="Calibri" w:cs="Calibri"/>
                <w:color w:val="000000"/>
                <w:sz w:val="18"/>
              </w:rPr>
              <w:t>(420)</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rsidR="00237D6F" w:rsidRPr="00951C55" w:rsidRDefault="00765F6E" w:rsidP="005D7538">
            <w:pPr>
              <w:spacing w:before="0" w:after="0"/>
              <w:rPr>
                <w:rFonts w:eastAsia="Calibri" w:cs="Calibri"/>
                <w:color w:val="000000"/>
                <w:sz w:val="18"/>
              </w:rPr>
            </w:pPr>
            <w:r w:rsidRPr="00951C55">
              <w:rPr>
                <w:rFonts w:eastAsia="Calibri" w:cs="Calibri"/>
                <w:color w:val="000000"/>
                <w:sz w:val="18"/>
              </w:rPr>
              <w:t xml:space="preserve">Transfer </w:t>
            </w:r>
            <w:r w:rsidR="005D7538">
              <w:rPr>
                <w:rFonts w:eastAsia="Calibri" w:cs="Calibri"/>
                <w:color w:val="000000"/>
                <w:sz w:val="18"/>
              </w:rPr>
              <w:t>-</w:t>
            </w:r>
            <w:r w:rsidRPr="00951C55">
              <w:rPr>
                <w:rFonts w:eastAsia="Calibri" w:cs="Calibri"/>
                <w:color w:val="000000"/>
                <w:sz w:val="18"/>
              </w:rPr>
              <w:t xml:space="preserve"> Healthy and active living from Health Directorate to CMTEDD</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E95C50">
            <w:pPr>
              <w:spacing w:before="0" w:after="0"/>
              <w:jc w:val="right"/>
              <w:rPr>
                <w:rFonts w:eastAsia="Calibri" w:cs="Calibri"/>
                <w:color w:val="000000"/>
                <w:sz w:val="18"/>
              </w:rPr>
            </w:pPr>
            <w:r>
              <w:rPr>
                <w:rFonts w:eastAsia="Calibri" w:cs="Calibri"/>
                <w:color w:val="000000"/>
                <w:sz w:val="18"/>
              </w:rPr>
              <w:t>(</w:t>
            </w:r>
            <w:r w:rsidR="00765F6E" w:rsidRPr="00951C55">
              <w:rPr>
                <w:rFonts w:eastAsia="Calibri" w:cs="Calibri"/>
                <w:color w:val="000000"/>
                <w:sz w:val="18"/>
              </w:rPr>
              <w:t>844</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E95C50">
            <w:pPr>
              <w:spacing w:before="0" w:after="0"/>
              <w:jc w:val="right"/>
              <w:rPr>
                <w:rFonts w:eastAsia="Calibri" w:cs="Calibri"/>
                <w:color w:val="000000"/>
                <w:sz w:val="18"/>
              </w:rPr>
            </w:pPr>
            <w:r>
              <w:rPr>
                <w:rFonts w:eastAsia="Calibri" w:cs="Calibri"/>
                <w:color w:val="000000"/>
                <w:sz w:val="18"/>
              </w:rPr>
              <w:t>(</w:t>
            </w:r>
            <w:r w:rsidR="00765F6E" w:rsidRPr="00951C55">
              <w:rPr>
                <w:rFonts w:eastAsia="Calibri" w:cs="Calibri"/>
                <w:color w:val="000000"/>
                <w:sz w:val="18"/>
              </w:rPr>
              <w:t>815</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E95C50">
            <w:pPr>
              <w:spacing w:before="0" w:after="0"/>
              <w:jc w:val="right"/>
              <w:rPr>
                <w:rFonts w:eastAsia="Calibri" w:cs="Calibri"/>
                <w:color w:val="000000"/>
                <w:sz w:val="18"/>
              </w:rPr>
            </w:pPr>
            <w:r>
              <w:rPr>
                <w:rFonts w:eastAsia="Calibri" w:cs="Calibri"/>
                <w:color w:val="000000"/>
                <w:sz w:val="18"/>
              </w:rPr>
              <w:t>(</w:t>
            </w:r>
            <w:r w:rsidR="00765F6E" w:rsidRPr="00951C55">
              <w:rPr>
                <w:rFonts w:eastAsia="Calibri" w:cs="Calibri"/>
                <w:color w:val="000000"/>
                <w:sz w:val="18"/>
              </w:rPr>
              <w:t>780</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E95C50">
            <w:pPr>
              <w:spacing w:before="0" w:after="0"/>
              <w:jc w:val="right"/>
              <w:rPr>
                <w:rFonts w:eastAsia="Calibri" w:cs="Calibri"/>
                <w:color w:val="000000"/>
                <w:sz w:val="18"/>
              </w:rPr>
            </w:pPr>
            <w:r>
              <w:rPr>
                <w:rFonts w:eastAsia="Calibri" w:cs="Calibri"/>
                <w:color w:val="000000"/>
                <w:sz w:val="18"/>
              </w:rPr>
              <w:t>(</w:t>
            </w:r>
            <w:r w:rsidR="00765F6E" w:rsidRPr="00951C55">
              <w:rPr>
                <w:rFonts w:eastAsia="Calibri" w:cs="Calibri"/>
                <w:color w:val="000000"/>
                <w:sz w:val="18"/>
              </w:rPr>
              <w:t>763</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E95C50">
            <w:pPr>
              <w:spacing w:before="0" w:after="0"/>
              <w:jc w:val="right"/>
              <w:rPr>
                <w:rFonts w:eastAsia="Calibri" w:cs="Calibri"/>
                <w:color w:val="000000"/>
                <w:sz w:val="18"/>
              </w:rPr>
            </w:pPr>
            <w:r>
              <w:rPr>
                <w:rFonts w:eastAsia="Calibri" w:cs="Calibri"/>
                <w:color w:val="000000"/>
                <w:sz w:val="18"/>
              </w:rPr>
              <w:t>(</w:t>
            </w:r>
            <w:r w:rsidR="00765F6E" w:rsidRPr="00951C55">
              <w:rPr>
                <w:rFonts w:eastAsia="Calibri" w:cs="Calibri"/>
                <w:color w:val="000000"/>
                <w:sz w:val="18"/>
              </w:rPr>
              <w:t>782</w:t>
            </w:r>
            <w:r>
              <w:rPr>
                <w:rFonts w:eastAsia="Calibri" w:cs="Calibri"/>
                <w:color w:val="000000"/>
                <w:sz w:val="18"/>
              </w:rPr>
              <w:t>)</w:t>
            </w:r>
          </w:p>
        </w:tc>
      </w:tr>
      <w:tr w:rsidR="00237D6F" w:rsidTr="005F68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4800" w:type="dxa"/>
            <w:tcBorders>
              <w:top w:val="nil"/>
              <w:left w:val="nil"/>
              <w:bottom w:val="nil"/>
              <w:right w:val="nil"/>
              <w:tl2br w:val="nil"/>
              <w:tr2bl w:val="nil"/>
            </w:tcBorders>
            <w:shd w:val="clear" w:color="auto" w:fill="auto"/>
            <w:tcMar>
              <w:left w:w="101" w:type="dxa"/>
              <w:right w:w="101" w:type="dxa"/>
            </w:tcMar>
          </w:tcPr>
          <w:p w:rsidR="00237D6F" w:rsidRPr="00951C55" w:rsidRDefault="00765F6E" w:rsidP="005D7538">
            <w:pPr>
              <w:spacing w:before="0" w:after="0"/>
              <w:rPr>
                <w:rFonts w:eastAsia="Calibri" w:cs="Calibri"/>
                <w:color w:val="000000"/>
                <w:sz w:val="18"/>
              </w:rPr>
            </w:pPr>
            <w:r w:rsidRPr="00951C55">
              <w:rPr>
                <w:rFonts w:eastAsia="Calibri" w:cs="Calibri"/>
                <w:color w:val="000000"/>
                <w:sz w:val="18"/>
              </w:rPr>
              <w:t xml:space="preserve">Transfer </w:t>
            </w:r>
            <w:r w:rsidR="005D7538">
              <w:rPr>
                <w:rFonts w:eastAsia="Calibri" w:cs="Calibri"/>
                <w:color w:val="000000"/>
                <w:sz w:val="18"/>
              </w:rPr>
              <w:t>-</w:t>
            </w:r>
            <w:r w:rsidRPr="00951C55">
              <w:rPr>
                <w:rFonts w:eastAsia="Calibri" w:cs="Calibri"/>
                <w:color w:val="000000"/>
                <w:sz w:val="18"/>
              </w:rPr>
              <w:t xml:space="preserve"> More support for the Active Living Program from CMTEDD to Health Directorate</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170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r>
      <w:tr w:rsidR="00237D6F" w:rsidTr="003C5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4800" w:type="dxa"/>
            <w:tcBorders>
              <w:top w:val="nil"/>
              <w:left w:val="nil"/>
              <w:bottom w:val="nil"/>
              <w:right w:val="nil"/>
              <w:tl2br w:val="nil"/>
              <w:tr2bl w:val="nil"/>
            </w:tcBorders>
            <w:shd w:val="clear" w:color="auto" w:fill="auto"/>
            <w:tcMar>
              <w:left w:w="101" w:type="dxa"/>
              <w:right w:w="101" w:type="dxa"/>
            </w:tcMar>
          </w:tcPr>
          <w:p w:rsidR="00237D6F" w:rsidRPr="00951C55" w:rsidRDefault="00765F6E" w:rsidP="00765F6E">
            <w:pPr>
              <w:spacing w:before="0" w:after="0"/>
              <w:rPr>
                <w:rFonts w:eastAsia="Calibri" w:cs="Calibri"/>
                <w:color w:val="000000"/>
                <w:sz w:val="18"/>
              </w:rPr>
            </w:pPr>
            <w:r w:rsidRPr="00951C55">
              <w:rPr>
                <w:rFonts w:eastAsia="Calibri" w:cs="Calibri"/>
                <w:color w:val="000000"/>
                <w:sz w:val="18"/>
              </w:rPr>
              <w:t>Return of SMS Savings</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490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490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490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951C55" w:rsidRDefault="00765F6E">
            <w:pPr>
              <w:spacing w:before="0" w:after="0"/>
              <w:jc w:val="right"/>
              <w:rPr>
                <w:rFonts w:eastAsia="Calibri" w:cs="Calibri"/>
                <w:color w:val="000000"/>
                <w:sz w:val="18"/>
              </w:rPr>
            </w:pPr>
            <w:r w:rsidRPr="00951C55">
              <w:rPr>
                <w:rFonts w:eastAsia="Calibri" w:cs="Calibri"/>
                <w:color w:val="000000"/>
                <w:sz w:val="18"/>
              </w:rPr>
              <w:t>490</w:t>
            </w:r>
          </w:p>
          <w:p w:rsidR="00B07220" w:rsidRPr="00951C55" w:rsidRDefault="00B07220">
            <w:pPr>
              <w:spacing w:before="0" w:after="0"/>
              <w:jc w:val="right"/>
              <w:rPr>
                <w:rFonts w:eastAsia="Calibri" w:cs="Calibri"/>
                <w:color w:val="000000"/>
                <w:sz w:val="18"/>
              </w:rPr>
            </w:pPr>
          </w:p>
        </w:tc>
      </w:tr>
      <w:tr w:rsidR="00B07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800" w:type="dxa"/>
            <w:tcBorders>
              <w:top w:val="nil"/>
              <w:left w:val="nil"/>
              <w:bottom w:val="single" w:sz="8" w:space="0" w:color="000000"/>
              <w:right w:val="nil"/>
              <w:tl2br w:val="nil"/>
              <w:tr2bl w:val="nil"/>
            </w:tcBorders>
            <w:shd w:val="clear" w:color="auto" w:fill="auto"/>
            <w:tcMar>
              <w:left w:w="0" w:type="dxa"/>
              <w:right w:w="0" w:type="dxa"/>
            </w:tcMar>
            <w:vAlign w:val="bottom"/>
          </w:tcPr>
          <w:p w:rsidR="00B07220" w:rsidRPr="00951C55" w:rsidRDefault="00B07220" w:rsidP="00B07220">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B07220" w:rsidRPr="00951C55" w:rsidRDefault="00B07220" w:rsidP="00B07220">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B07220" w:rsidRPr="00951C55" w:rsidRDefault="00B07220" w:rsidP="00B07220">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B07220" w:rsidRPr="00951C55" w:rsidRDefault="00B07220" w:rsidP="00B07220">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B07220" w:rsidRPr="00951C55" w:rsidRDefault="00B07220" w:rsidP="00B07220">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B07220" w:rsidRPr="00951C55" w:rsidRDefault="00B07220" w:rsidP="00B07220">
            <w:pPr>
              <w:spacing w:before="0" w:after="0"/>
              <w:rPr>
                <w:rFonts w:eastAsia="Calibri" w:cs="Calibri"/>
                <w:color w:val="000000"/>
                <w:sz w:val="18"/>
              </w:rPr>
            </w:pPr>
          </w:p>
        </w:tc>
      </w:tr>
      <w:tr w:rsidR="00B07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800" w:type="dxa"/>
            <w:tcBorders>
              <w:top w:val="single" w:sz="8" w:space="0" w:color="000000"/>
              <w:left w:val="nil"/>
              <w:bottom w:val="single" w:sz="8" w:space="0" w:color="000000"/>
              <w:right w:val="nil"/>
              <w:tl2br w:val="nil"/>
              <w:tr2bl w:val="nil"/>
            </w:tcBorders>
            <w:shd w:val="clear" w:color="auto" w:fill="auto"/>
            <w:tcMar>
              <w:left w:w="101" w:type="dxa"/>
              <w:right w:w="101" w:type="dxa"/>
            </w:tcMar>
            <w:vAlign w:val="bottom"/>
          </w:tcPr>
          <w:p w:rsidR="00B07220" w:rsidRPr="00951C55" w:rsidRDefault="00B07220" w:rsidP="00B07220">
            <w:pPr>
              <w:spacing w:before="0" w:after="0"/>
              <w:rPr>
                <w:rFonts w:eastAsia="Calibri" w:cs="Calibri"/>
                <w:b/>
                <w:color w:val="000000"/>
                <w:sz w:val="18"/>
              </w:rPr>
            </w:pPr>
            <w:r w:rsidRPr="00951C55">
              <w:rPr>
                <w:rFonts w:eastAsia="Calibri" w:cs="Calibri"/>
                <w:b/>
                <w:color w:val="000000"/>
                <w:sz w:val="18"/>
              </w:rPr>
              <w:t>2018-19 Budget</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B07220" w:rsidRPr="00951C55" w:rsidRDefault="00B07220" w:rsidP="00B07220">
            <w:pPr>
              <w:spacing w:before="0" w:after="0"/>
              <w:jc w:val="right"/>
              <w:rPr>
                <w:rFonts w:eastAsia="Calibri" w:cs="Calibri"/>
                <w:b/>
                <w:color w:val="000000"/>
                <w:sz w:val="18"/>
              </w:rPr>
            </w:pPr>
            <w:r w:rsidRPr="00951C55">
              <w:rPr>
                <w:rFonts w:eastAsia="Calibri" w:cs="Calibri"/>
                <w:b/>
                <w:color w:val="000000"/>
                <w:sz w:val="18"/>
              </w:rPr>
              <w:t>297</w:t>
            </w:r>
            <w:r w:rsidR="00904EBD">
              <w:rPr>
                <w:rFonts w:eastAsia="Calibri" w:cs="Calibri"/>
                <w:b/>
                <w:color w:val="000000"/>
                <w:sz w:val="18"/>
              </w:rPr>
              <w:t>,</w:t>
            </w:r>
            <w:r w:rsidRPr="00951C55">
              <w:rPr>
                <w:rFonts w:eastAsia="Calibri" w:cs="Calibri"/>
                <w:b/>
                <w:color w:val="000000"/>
                <w:sz w:val="18"/>
              </w:rPr>
              <w:t>851</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B07220" w:rsidRPr="00951C55" w:rsidRDefault="00B07220" w:rsidP="00B07220">
            <w:pPr>
              <w:spacing w:before="0" w:after="0"/>
              <w:jc w:val="right"/>
              <w:rPr>
                <w:rFonts w:eastAsia="Calibri" w:cs="Calibri"/>
                <w:b/>
                <w:color w:val="000000"/>
                <w:sz w:val="18"/>
              </w:rPr>
            </w:pPr>
            <w:r w:rsidRPr="00951C55">
              <w:rPr>
                <w:rFonts w:eastAsia="Calibri" w:cs="Calibri"/>
                <w:b/>
                <w:color w:val="000000"/>
                <w:sz w:val="18"/>
              </w:rPr>
              <w:t>310</w:t>
            </w:r>
            <w:r w:rsidR="00904EBD">
              <w:rPr>
                <w:rFonts w:eastAsia="Calibri" w:cs="Calibri"/>
                <w:b/>
                <w:color w:val="000000"/>
                <w:sz w:val="18"/>
              </w:rPr>
              <w:t>,</w:t>
            </w:r>
            <w:r w:rsidRPr="00951C55">
              <w:rPr>
                <w:rFonts w:eastAsia="Calibri" w:cs="Calibri"/>
                <w:b/>
                <w:color w:val="000000"/>
                <w:sz w:val="18"/>
              </w:rPr>
              <w:t>654</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B07220" w:rsidRPr="00951C55" w:rsidRDefault="00B07220" w:rsidP="00B07220">
            <w:pPr>
              <w:spacing w:before="0" w:after="0"/>
              <w:jc w:val="right"/>
              <w:rPr>
                <w:rFonts w:eastAsia="Calibri" w:cs="Calibri"/>
                <w:b/>
                <w:color w:val="000000"/>
                <w:sz w:val="18"/>
              </w:rPr>
            </w:pPr>
            <w:r w:rsidRPr="00951C55">
              <w:rPr>
                <w:rFonts w:eastAsia="Calibri" w:cs="Calibri"/>
                <w:b/>
                <w:color w:val="000000"/>
                <w:sz w:val="18"/>
              </w:rPr>
              <w:t>313</w:t>
            </w:r>
            <w:r w:rsidR="00904EBD">
              <w:rPr>
                <w:rFonts w:eastAsia="Calibri" w:cs="Calibri"/>
                <w:b/>
                <w:color w:val="000000"/>
                <w:sz w:val="18"/>
              </w:rPr>
              <w:t>,</w:t>
            </w:r>
            <w:r w:rsidRPr="00951C55">
              <w:rPr>
                <w:rFonts w:eastAsia="Calibri" w:cs="Calibri"/>
                <w:b/>
                <w:color w:val="000000"/>
                <w:sz w:val="18"/>
              </w:rPr>
              <w:t>625</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B07220" w:rsidRPr="00951C55" w:rsidRDefault="00B07220" w:rsidP="00B07220">
            <w:pPr>
              <w:spacing w:before="0" w:after="0"/>
              <w:jc w:val="right"/>
              <w:rPr>
                <w:rFonts w:eastAsia="Calibri" w:cs="Calibri"/>
                <w:b/>
                <w:color w:val="000000"/>
                <w:sz w:val="18"/>
              </w:rPr>
            </w:pPr>
            <w:r w:rsidRPr="00951C55">
              <w:rPr>
                <w:rFonts w:eastAsia="Calibri" w:cs="Calibri"/>
                <w:b/>
                <w:color w:val="000000"/>
                <w:sz w:val="18"/>
              </w:rPr>
              <w:t>294</w:t>
            </w:r>
            <w:r w:rsidR="00904EBD">
              <w:rPr>
                <w:rFonts w:eastAsia="Calibri" w:cs="Calibri"/>
                <w:b/>
                <w:color w:val="000000"/>
                <w:sz w:val="18"/>
              </w:rPr>
              <w:t>,</w:t>
            </w:r>
            <w:r w:rsidRPr="00951C55">
              <w:rPr>
                <w:rFonts w:eastAsia="Calibri" w:cs="Calibri"/>
                <w:b/>
                <w:color w:val="000000"/>
                <w:sz w:val="18"/>
              </w:rPr>
              <w:t>875</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B07220" w:rsidRPr="00951C55" w:rsidRDefault="00B07220" w:rsidP="00B07220">
            <w:pPr>
              <w:spacing w:before="0" w:after="0"/>
              <w:jc w:val="right"/>
              <w:rPr>
                <w:rFonts w:eastAsia="Calibri" w:cs="Calibri"/>
                <w:b/>
                <w:color w:val="000000"/>
                <w:sz w:val="18"/>
              </w:rPr>
            </w:pPr>
            <w:r w:rsidRPr="00951C55">
              <w:rPr>
                <w:rFonts w:eastAsia="Calibri" w:cs="Calibri"/>
                <w:b/>
                <w:color w:val="000000"/>
                <w:sz w:val="18"/>
              </w:rPr>
              <w:t>266</w:t>
            </w:r>
            <w:r w:rsidR="00904EBD">
              <w:rPr>
                <w:rFonts w:eastAsia="Calibri" w:cs="Calibri"/>
                <w:b/>
                <w:color w:val="000000"/>
                <w:sz w:val="18"/>
              </w:rPr>
              <w:t>,</w:t>
            </w:r>
            <w:r w:rsidRPr="00951C55">
              <w:rPr>
                <w:rFonts w:eastAsia="Calibri" w:cs="Calibri"/>
                <w:b/>
                <w:color w:val="000000"/>
                <w:sz w:val="18"/>
              </w:rPr>
              <w:t>943</w:t>
            </w:r>
          </w:p>
        </w:tc>
      </w:tr>
    </w:tbl>
    <w:p w:rsidR="00281F97" w:rsidRPr="00E77292" w:rsidRDefault="00765F6E" w:rsidP="00281F97">
      <w:pPr>
        <w:pStyle w:val="Caption"/>
        <w:pageBreakBefore/>
        <w:pBdr>
          <w:top w:val="nil"/>
          <w:left w:val="nil"/>
          <w:bottom w:val="nil"/>
          <w:right w:val="nil"/>
          <w:between w:val="nil"/>
          <w:bar w:val="nil"/>
        </w:pBdr>
        <w:outlineLvl w:val="0"/>
        <w:rPr>
          <w:bdr w:val="nil"/>
        </w:rPr>
      </w:pPr>
      <w:bookmarkStart w:id="123" w:name="_Toc514764126"/>
      <w:bookmarkStart w:id="124" w:name="_Toc514765753"/>
      <w:bookmarkStart w:id="125" w:name="_Toc514832377"/>
      <w:bookmarkStart w:id="126" w:name="_Toc514832560"/>
      <w:r w:rsidRPr="00E77292">
        <w:rPr>
          <w:bdr w:val="nil"/>
        </w:rPr>
        <w:lastRenderedPageBreak/>
        <w:t xml:space="preserve">Table </w:t>
      </w:r>
      <w:r w:rsidR="00141A32">
        <w:rPr>
          <w:bdr w:val="nil"/>
        </w:rPr>
        <w:t>29</w:t>
      </w:r>
      <w:r w:rsidRPr="00E77292">
        <w:rPr>
          <w:bdr w:val="nil"/>
        </w:rPr>
        <w:t>: Changes to appropriation –</w:t>
      </w:r>
      <w:r w:rsidRPr="00E77292">
        <w:rPr>
          <w:szCs w:val="20"/>
          <w:bdr w:val="nil"/>
        </w:rPr>
        <w:t xml:space="preserve"> </w:t>
      </w:r>
      <w:r>
        <w:rPr>
          <w:szCs w:val="20"/>
          <w:bdr w:val="nil"/>
        </w:rPr>
        <w:t xml:space="preserve">Expenses on Behalf of the </w:t>
      </w:r>
      <w:r w:rsidRPr="00E77292">
        <w:rPr>
          <w:bdr w:val="nil"/>
        </w:rPr>
        <w:t>Territor</w:t>
      </w:r>
      <w:r>
        <w:rPr>
          <w:bdr w:val="nil"/>
        </w:rPr>
        <w:t>y</w:t>
      </w:r>
      <w:bookmarkEnd w:id="123"/>
      <w:bookmarkEnd w:id="124"/>
      <w:bookmarkEnd w:id="125"/>
      <w:bookmarkEnd w:id="126"/>
    </w:p>
    <w:tbl>
      <w:tblPr>
        <w:tblStyle w:val="CDMRange2"/>
        <w:tblW w:w="9975" w:type="dxa"/>
        <w:tblLayout w:type="fixed"/>
        <w:tblLook w:val="0600" w:firstRow="0" w:lastRow="0" w:firstColumn="0" w:lastColumn="0" w:noHBand="1" w:noVBand="1"/>
      </w:tblPr>
      <w:tblGrid>
        <w:gridCol w:w="4800"/>
        <w:gridCol w:w="1035"/>
        <w:gridCol w:w="1035"/>
        <w:gridCol w:w="1035"/>
        <w:gridCol w:w="1035"/>
        <w:gridCol w:w="1035"/>
      </w:tblGrid>
      <w:tr w:rsidR="00237D6F">
        <w:trPr>
          <w:trHeight w:val="990"/>
        </w:trPr>
        <w:tc>
          <w:tcPr>
            <w:tcW w:w="4800" w:type="dxa"/>
            <w:tcBorders>
              <w:top w:val="single" w:sz="12" w:space="0" w:color="000000"/>
              <w:left w:val="nil"/>
              <w:bottom w:val="single" w:sz="12" w:space="0" w:color="000000"/>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2017-18 Estimated Outcome</w:t>
            </w:r>
          </w:p>
          <w:p w:rsidR="00237D6F" w:rsidRDefault="00765F6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2018-19 Budget</w:t>
            </w:r>
          </w:p>
          <w:p w:rsidR="00237D6F" w:rsidRDefault="00237D6F">
            <w:pPr>
              <w:spacing w:before="0" w:after="0"/>
              <w:jc w:val="right"/>
              <w:rPr>
                <w:rFonts w:eastAsia="Calibri" w:cs="Calibri"/>
                <w:b/>
                <w:color w:val="000000"/>
                <w:sz w:val="18"/>
              </w:rPr>
            </w:pPr>
          </w:p>
          <w:p w:rsidR="00237D6F" w:rsidRDefault="00765F6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2019-20 Estimate</w:t>
            </w:r>
          </w:p>
          <w:p w:rsidR="00237D6F" w:rsidRDefault="00237D6F">
            <w:pPr>
              <w:spacing w:before="0" w:after="0"/>
              <w:jc w:val="right"/>
              <w:rPr>
                <w:rFonts w:eastAsia="Calibri" w:cs="Calibri"/>
                <w:b/>
                <w:color w:val="000000"/>
                <w:sz w:val="18"/>
              </w:rPr>
            </w:pPr>
          </w:p>
          <w:p w:rsidR="00237D6F" w:rsidRDefault="00765F6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2020-21 Estimate</w:t>
            </w:r>
          </w:p>
          <w:p w:rsidR="00237D6F" w:rsidRDefault="00237D6F">
            <w:pPr>
              <w:spacing w:before="0" w:after="0"/>
              <w:jc w:val="right"/>
              <w:rPr>
                <w:rFonts w:eastAsia="Calibri" w:cs="Calibri"/>
                <w:b/>
                <w:color w:val="000000"/>
                <w:sz w:val="18"/>
              </w:rPr>
            </w:pPr>
          </w:p>
          <w:p w:rsidR="00237D6F" w:rsidRDefault="00765F6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2021-22 Estimate</w:t>
            </w:r>
          </w:p>
          <w:p w:rsidR="00237D6F" w:rsidRDefault="00237D6F">
            <w:pPr>
              <w:spacing w:before="0" w:after="0"/>
              <w:jc w:val="right"/>
              <w:rPr>
                <w:rFonts w:eastAsia="Calibri" w:cs="Calibri"/>
                <w:b/>
                <w:color w:val="000000"/>
                <w:sz w:val="18"/>
              </w:rPr>
            </w:pPr>
          </w:p>
          <w:p w:rsidR="00237D6F" w:rsidRDefault="00765F6E">
            <w:pPr>
              <w:spacing w:before="0" w:after="0"/>
              <w:jc w:val="right"/>
              <w:rPr>
                <w:rFonts w:eastAsia="Calibri" w:cs="Calibri"/>
                <w:b/>
                <w:color w:val="000000"/>
                <w:sz w:val="18"/>
              </w:rPr>
            </w:pPr>
            <w:r>
              <w:rPr>
                <w:rFonts w:eastAsia="Calibri" w:cs="Calibri"/>
                <w:b/>
                <w:color w:val="000000"/>
                <w:sz w:val="18"/>
              </w:rPr>
              <w:t>$'000</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101" w:type="dxa"/>
              <w:right w:w="101" w:type="dxa"/>
            </w:tcMar>
            <w:vAlign w:val="bottom"/>
          </w:tcPr>
          <w:p w:rsidR="00237D6F" w:rsidRDefault="00765F6E">
            <w:pPr>
              <w:spacing w:before="0" w:after="0"/>
              <w:rPr>
                <w:rFonts w:eastAsia="Calibri" w:cs="Calibri"/>
                <w:b/>
                <w:color w:val="000000"/>
                <w:sz w:val="18"/>
              </w:rPr>
            </w:pPr>
            <w:r>
              <w:rPr>
                <w:rFonts w:eastAsia="Calibri" w:cs="Calibri"/>
                <w:b/>
                <w:color w:val="000000"/>
                <w:sz w:val="18"/>
              </w:rPr>
              <w:t>2017-18 Budget</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237D6F" w:rsidRDefault="00765F6E">
            <w:pPr>
              <w:spacing w:before="0" w:after="0"/>
              <w:jc w:val="right"/>
              <w:rPr>
                <w:rFonts w:eastAsia="Calibri" w:cs="Calibri"/>
                <w:color w:val="000000"/>
                <w:sz w:val="18"/>
              </w:rPr>
            </w:pPr>
            <w:r>
              <w:rPr>
                <w:rFonts w:eastAsia="Calibri" w:cs="Calibri"/>
                <w:color w:val="000000"/>
                <w:sz w:val="18"/>
              </w:rPr>
              <w:t>18</w:t>
            </w:r>
            <w:r w:rsidR="00904EBD">
              <w:rPr>
                <w:rFonts w:eastAsia="Calibri" w:cs="Calibri"/>
                <w:color w:val="000000"/>
                <w:sz w:val="18"/>
              </w:rPr>
              <w:t>,</w:t>
            </w:r>
            <w:r>
              <w:rPr>
                <w:rFonts w:eastAsia="Calibri" w:cs="Calibri"/>
                <w:color w:val="000000"/>
                <w:sz w:val="18"/>
              </w:rPr>
              <w:t>593</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237D6F" w:rsidRDefault="00765F6E">
            <w:pPr>
              <w:spacing w:before="0" w:after="0"/>
              <w:jc w:val="right"/>
              <w:rPr>
                <w:rFonts w:eastAsia="Calibri" w:cs="Calibri"/>
                <w:color w:val="000000"/>
                <w:sz w:val="18"/>
              </w:rPr>
            </w:pPr>
            <w:r>
              <w:rPr>
                <w:rFonts w:eastAsia="Calibri" w:cs="Calibri"/>
                <w:color w:val="000000"/>
                <w:sz w:val="18"/>
              </w:rPr>
              <w:t>865</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237D6F" w:rsidRDefault="00765F6E">
            <w:pPr>
              <w:spacing w:before="0" w:after="0"/>
              <w:jc w:val="right"/>
              <w:rPr>
                <w:rFonts w:eastAsia="Calibri" w:cs="Calibri"/>
                <w:color w:val="000000"/>
                <w:sz w:val="18"/>
              </w:rPr>
            </w:pPr>
            <w:r>
              <w:rPr>
                <w:rFonts w:eastAsia="Calibri" w:cs="Calibri"/>
                <w:color w:val="000000"/>
                <w:sz w:val="18"/>
              </w:rPr>
              <w:t>887</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237D6F" w:rsidRDefault="00765F6E">
            <w:pPr>
              <w:spacing w:before="0" w:after="0"/>
              <w:jc w:val="right"/>
              <w:rPr>
                <w:rFonts w:eastAsia="Calibri" w:cs="Calibri"/>
                <w:color w:val="000000"/>
                <w:sz w:val="18"/>
              </w:rPr>
            </w:pPr>
            <w:r>
              <w:rPr>
                <w:rFonts w:eastAsia="Calibri" w:cs="Calibri"/>
                <w:color w:val="000000"/>
                <w:sz w:val="18"/>
              </w:rPr>
              <w:t>909</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237D6F" w:rsidRDefault="00765F6E">
            <w:pPr>
              <w:spacing w:before="0" w:after="0"/>
              <w:jc w:val="right"/>
              <w:rPr>
                <w:rFonts w:eastAsia="Calibri" w:cs="Calibri"/>
                <w:color w:val="000000"/>
                <w:sz w:val="18"/>
              </w:rPr>
            </w:pPr>
            <w:r>
              <w:rPr>
                <w:rFonts w:eastAsia="Calibri" w:cs="Calibri"/>
                <w:color w:val="000000"/>
                <w:sz w:val="18"/>
              </w:rPr>
              <w:t>909</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101" w:type="dxa"/>
              <w:right w:w="101" w:type="dxa"/>
            </w:tcMar>
            <w:vAlign w:val="bottom"/>
          </w:tcPr>
          <w:p w:rsidR="00237D6F" w:rsidRDefault="00765F6E">
            <w:pPr>
              <w:spacing w:before="0" w:after="0"/>
              <w:rPr>
                <w:rFonts w:eastAsia="Calibri" w:cs="Calibri"/>
                <w:b/>
                <w:color w:val="000000"/>
                <w:sz w:val="18"/>
              </w:rPr>
            </w:pPr>
            <w:r>
              <w:rPr>
                <w:rFonts w:eastAsia="Calibri" w:cs="Calibri"/>
                <w:b/>
                <w:color w:val="000000"/>
                <w:sz w:val="18"/>
              </w:rPr>
              <w:t>FMA Section 16B Rollovers from 2016-17</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rsidP="005D7538">
            <w:pPr>
              <w:spacing w:before="0" w:after="0"/>
              <w:rPr>
                <w:rFonts w:eastAsia="Calibri" w:cs="Calibri"/>
                <w:color w:val="000000"/>
                <w:sz w:val="18"/>
              </w:rPr>
            </w:pPr>
            <w:r>
              <w:rPr>
                <w:rFonts w:eastAsia="Calibri" w:cs="Calibri"/>
                <w:color w:val="000000"/>
                <w:sz w:val="18"/>
              </w:rPr>
              <w:t xml:space="preserve">Calvary Public Hospital </w:t>
            </w:r>
            <w:r w:rsidR="005D7538">
              <w:rPr>
                <w:rFonts w:eastAsia="Calibri" w:cs="Calibri"/>
                <w:color w:val="000000"/>
                <w:sz w:val="18"/>
              </w:rPr>
              <w:t>-</w:t>
            </w:r>
            <w:r>
              <w:rPr>
                <w:rFonts w:eastAsia="Calibri" w:cs="Calibri"/>
                <w:color w:val="000000"/>
                <w:sz w:val="18"/>
              </w:rPr>
              <w:t xml:space="preserve"> Expanded hospital services</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w:t>
            </w:r>
            <w:r w:rsidR="00904EBD">
              <w:rPr>
                <w:rFonts w:eastAsia="Calibri" w:cs="Calibri"/>
                <w:color w:val="000000"/>
                <w:sz w:val="18"/>
              </w:rPr>
              <w:t>,</w:t>
            </w:r>
            <w:r>
              <w:rPr>
                <w:rFonts w:eastAsia="Calibri" w:cs="Calibri"/>
                <w:color w:val="000000"/>
                <w:sz w:val="18"/>
              </w:rPr>
              <w:t>907</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rsidP="005D7538">
            <w:pPr>
              <w:spacing w:before="0" w:after="0"/>
              <w:rPr>
                <w:rFonts w:eastAsia="Calibri" w:cs="Calibri"/>
                <w:color w:val="000000"/>
                <w:sz w:val="18"/>
              </w:rPr>
            </w:pPr>
            <w:r>
              <w:rPr>
                <w:rFonts w:eastAsia="Calibri" w:cs="Calibri"/>
                <w:color w:val="000000"/>
                <w:sz w:val="18"/>
              </w:rPr>
              <w:t xml:space="preserve">Calvary Public Hospital </w:t>
            </w:r>
            <w:r w:rsidR="005D7538">
              <w:rPr>
                <w:rFonts w:eastAsia="Calibri" w:cs="Calibri"/>
                <w:color w:val="000000"/>
                <w:sz w:val="18"/>
              </w:rPr>
              <w:t>-</w:t>
            </w:r>
            <w:r>
              <w:rPr>
                <w:rFonts w:eastAsia="Calibri" w:cs="Calibri"/>
                <w:color w:val="000000"/>
                <w:sz w:val="18"/>
              </w:rPr>
              <w:t xml:space="preserve"> Operating theatre upgrade</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E95C50">
            <w:pPr>
              <w:spacing w:before="0" w:after="0"/>
              <w:jc w:val="right"/>
              <w:rPr>
                <w:rFonts w:eastAsia="Calibri" w:cs="Calibri"/>
                <w:color w:val="000000"/>
                <w:sz w:val="18"/>
              </w:rPr>
            </w:pPr>
            <w:r>
              <w:rPr>
                <w:rFonts w:eastAsia="Calibri" w:cs="Calibri"/>
                <w:color w:val="000000"/>
                <w:sz w:val="18"/>
              </w:rPr>
              <w:t>(</w:t>
            </w:r>
            <w:r w:rsidR="00765F6E">
              <w:rPr>
                <w:rFonts w:eastAsia="Calibri" w:cs="Calibri"/>
                <w:color w:val="000000"/>
                <w:sz w:val="18"/>
              </w:rPr>
              <w:t>48</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rsidP="005D7538">
            <w:pPr>
              <w:spacing w:before="0" w:after="0"/>
              <w:rPr>
                <w:rFonts w:eastAsia="Calibri" w:cs="Calibri"/>
                <w:color w:val="000000"/>
                <w:sz w:val="18"/>
              </w:rPr>
            </w:pPr>
            <w:r>
              <w:rPr>
                <w:rFonts w:eastAsia="Calibri" w:cs="Calibri"/>
                <w:color w:val="000000"/>
                <w:sz w:val="18"/>
              </w:rPr>
              <w:t xml:space="preserve">Calvary Public Hospital </w:t>
            </w:r>
            <w:r w:rsidR="005D7538">
              <w:rPr>
                <w:rFonts w:eastAsia="Calibri" w:cs="Calibri"/>
                <w:color w:val="000000"/>
                <w:sz w:val="18"/>
              </w:rPr>
              <w:t>-</w:t>
            </w:r>
            <w:r>
              <w:rPr>
                <w:rFonts w:eastAsia="Calibri" w:cs="Calibri"/>
                <w:color w:val="000000"/>
                <w:sz w:val="18"/>
              </w:rPr>
              <w:t xml:space="preserve"> Upgrade of medical imaging equipment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113</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University of Ca</w:t>
            </w:r>
            <w:r w:rsidR="00994B45">
              <w:rPr>
                <w:rFonts w:eastAsia="Calibri" w:cs="Calibri"/>
                <w:color w:val="000000"/>
                <w:sz w:val="18"/>
              </w:rPr>
              <w:t>nberra Hospital Car Park</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000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rsidR="00237D6F" w:rsidRDefault="00765F6E">
            <w:pPr>
              <w:spacing w:before="0" w:after="0"/>
              <w:rPr>
                <w:rFonts w:eastAsia="Calibri" w:cs="Calibri"/>
                <w:b/>
                <w:color w:val="000000"/>
                <w:sz w:val="18"/>
              </w:rPr>
            </w:pPr>
            <w:r>
              <w:rPr>
                <w:rFonts w:eastAsia="Calibri" w:cs="Calibri"/>
                <w:b/>
                <w:color w:val="000000"/>
                <w:sz w:val="18"/>
              </w:rPr>
              <w:t>2018-19 Budget Policy Decisions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r>
      <w:tr w:rsidR="00B34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B34ABC" w:rsidRDefault="00B34ABC">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B34ABC" w:rsidRDefault="00B34ABC">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B34ABC" w:rsidRDefault="00B34ABC">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B34ABC" w:rsidRDefault="00B34ABC">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B34ABC" w:rsidRDefault="00B34ABC">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B34ABC" w:rsidRDefault="00B34ABC">
            <w:pPr>
              <w:spacing w:before="0" w:after="0"/>
              <w:jc w:val="right"/>
              <w:rPr>
                <w:rFonts w:eastAsia="Calibri" w:cs="Calibri"/>
                <w:color w:val="000000"/>
                <w:sz w:val="18"/>
              </w:rPr>
            </w:pPr>
          </w:p>
        </w:tc>
      </w:tr>
      <w:tr w:rsidR="004A4F18" w:rsidRPr="004E0396" w:rsidTr="00A34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4800" w:type="dxa"/>
            <w:tcBorders>
              <w:top w:val="nil"/>
              <w:left w:val="nil"/>
              <w:bottom w:val="nil"/>
              <w:right w:val="nil"/>
              <w:tl2br w:val="nil"/>
              <w:tr2bl w:val="nil"/>
            </w:tcBorders>
            <w:shd w:val="clear" w:color="auto" w:fill="auto"/>
            <w:tcMar>
              <w:left w:w="101" w:type="dxa"/>
              <w:right w:w="101" w:type="dxa"/>
            </w:tcMar>
          </w:tcPr>
          <w:p w:rsidR="004A4F18" w:rsidRPr="004E0396" w:rsidRDefault="004A4F18">
            <w:pPr>
              <w:spacing w:before="0" w:after="0"/>
              <w:rPr>
                <w:rFonts w:eastAsia="Calibri" w:cs="Calibri"/>
                <w:color w:val="000000"/>
                <w:sz w:val="18"/>
                <w:u w:val="single"/>
              </w:rPr>
            </w:pPr>
            <w:r w:rsidRPr="004E0396">
              <w:rPr>
                <w:rFonts w:eastAsia="Calibri" w:cs="Calibri"/>
                <w:color w:val="000000"/>
                <w:sz w:val="18"/>
                <w:u w:val="single"/>
              </w:rPr>
              <w:t xml:space="preserve">Better healthcare for a growing community  </w:t>
            </w:r>
          </w:p>
        </w:tc>
        <w:tc>
          <w:tcPr>
            <w:tcW w:w="1035" w:type="dxa"/>
            <w:tcBorders>
              <w:top w:val="nil"/>
              <w:left w:val="nil"/>
              <w:bottom w:val="nil"/>
              <w:right w:val="nil"/>
              <w:tl2br w:val="nil"/>
              <w:tr2bl w:val="nil"/>
            </w:tcBorders>
            <w:shd w:val="clear" w:color="auto" w:fill="auto"/>
            <w:noWrap/>
            <w:tcMar>
              <w:left w:w="101" w:type="dxa"/>
              <w:right w:w="101" w:type="dxa"/>
            </w:tcMar>
          </w:tcPr>
          <w:p w:rsidR="004A4F18" w:rsidRPr="004E0396" w:rsidRDefault="004A4F18">
            <w:pPr>
              <w:spacing w:before="0" w:after="0"/>
              <w:jc w:val="right"/>
              <w:rPr>
                <w:rFonts w:eastAsia="Calibri" w:cs="Calibri"/>
                <w:color w:val="000000"/>
                <w:sz w:val="18"/>
                <w:u w:val="single"/>
              </w:rPr>
            </w:pPr>
          </w:p>
        </w:tc>
        <w:tc>
          <w:tcPr>
            <w:tcW w:w="1035" w:type="dxa"/>
            <w:tcBorders>
              <w:top w:val="nil"/>
              <w:left w:val="nil"/>
              <w:bottom w:val="nil"/>
              <w:right w:val="nil"/>
              <w:tl2br w:val="nil"/>
              <w:tr2bl w:val="nil"/>
            </w:tcBorders>
            <w:shd w:val="clear" w:color="auto" w:fill="auto"/>
            <w:noWrap/>
            <w:tcMar>
              <w:left w:w="101" w:type="dxa"/>
              <w:right w:w="101" w:type="dxa"/>
            </w:tcMar>
          </w:tcPr>
          <w:p w:rsidR="004A4F18" w:rsidRPr="004E0396" w:rsidRDefault="004A4F18">
            <w:pPr>
              <w:spacing w:before="0" w:after="0"/>
              <w:jc w:val="right"/>
              <w:rPr>
                <w:rFonts w:eastAsia="Calibri" w:cs="Calibri"/>
                <w:color w:val="000000"/>
                <w:sz w:val="18"/>
                <w:u w:val="single"/>
              </w:rPr>
            </w:pPr>
          </w:p>
        </w:tc>
        <w:tc>
          <w:tcPr>
            <w:tcW w:w="1035" w:type="dxa"/>
            <w:tcBorders>
              <w:top w:val="nil"/>
              <w:left w:val="nil"/>
              <w:bottom w:val="nil"/>
              <w:right w:val="nil"/>
              <w:tl2br w:val="nil"/>
              <w:tr2bl w:val="nil"/>
            </w:tcBorders>
            <w:shd w:val="clear" w:color="auto" w:fill="auto"/>
            <w:noWrap/>
            <w:tcMar>
              <w:left w:w="101" w:type="dxa"/>
              <w:right w:w="101" w:type="dxa"/>
            </w:tcMar>
          </w:tcPr>
          <w:p w:rsidR="004A4F18" w:rsidRPr="004E0396" w:rsidRDefault="004A4F18">
            <w:pPr>
              <w:spacing w:before="0" w:after="0"/>
              <w:jc w:val="right"/>
              <w:rPr>
                <w:rFonts w:eastAsia="Calibri" w:cs="Calibri"/>
                <w:color w:val="000000"/>
                <w:sz w:val="18"/>
                <w:u w:val="single"/>
              </w:rPr>
            </w:pPr>
          </w:p>
        </w:tc>
        <w:tc>
          <w:tcPr>
            <w:tcW w:w="1035" w:type="dxa"/>
            <w:tcBorders>
              <w:top w:val="nil"/>
              <w:left w:val="nil"/>
              <w:bottom w:val="nil"/>
              <w:right w:val="nil"/>
              <w:tl2br w:val="nil"/>
              <w:tr2bl w:val="nil"/>
            </w:tcBorders>
            <w:shd w:val="clear" w:color="auto" w:fill="auto"/>
            <w:noWrap/>
            <w:tcMar>
              <w:left w:w="101" w:type="dxa"/>
              <w:right w:w="101" w:type="dxa"/>
            </w:tcMar>
          </w:tcPr>
          <w:p w:rsidR="004A4F18" w:rsidRPr="004E0396" w:rsidRDefault="004A4F18">
            <w:pPr>
              <w:spacing w:before="0" w:after="0"/>
              <w:jc w:val="right"/>
              <w:rPr>
                <w:rFonts w:eastAsia="Calibri" w:cs="Calibri"/>
                <w:color w:val="000000"/>
                <w:sz w:val="18"/>
                <w:u w:val="single"/>
              </w:rPr>
            </w:pPr>
          </w:p>
        </w:tc>
        <w:tc>
          <w:tcPr>
            <w:tcW w:w="1035" w:type="dxa"/>
            <w:tcBorders>
              <w:top w:val="nil"/>
              <w:left w:val="nil"/>
              <w:bottom w:val="nil"/>
              <w:right w:val="nil"/>
              <w:tl2br w:val="nil"/>
              <w:tr2bl w:val="nil"/>
            </w:tcBorders>
            <w:shd w:val="clear" w:color="auto" w:fill="auto"/>
            <w:noWrap/>
            <w:tcMar>
              <w:left w:w="101" w:type="dxa"/>
              <w:right w:w="101" w:type="dxa"/>
            </w:tcMar>
          </w:tcPr>
          <w:p w:rsidR="004A4F18" w:rsidRPr="004E0396" w:rsidRDefault="004A4F18">
            <w:pPr>
              <w:spacing w:before="0" w:after="0"/>
              <w:jc w:val="right"/>
              <w:rPr>
                <w:rFonts w:eastAsia="Calibri" w:cs="Calibri"/>
                <w:color w:val="000000"/>
                <w:sz w:val="18"/>
                <w:u w:val="single"/>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ACT Health critical assets upgrades</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590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w:t>
            </w:r>
            <w:r w:rsidR="00904EBD">
              <w:rPr>
                <w:rFonts w:eastAsia="Calibri" w:cs="Calibri"/>
                <w:color w:val="000000"/>
                <w:sz w:val="18"/>
              </w:rPr>
              <w:t>,</w:t>
            </w:r>
            <w:r>
              <w:rPr>
                <w:rFonts w:eastAsia="Calibri" w:cs="Calibri"/>
                <w:color w:val="000000"/>
                <w:sz w:val="18"/>
              </w:rPr>
              <w:t>370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F7642A">
            <w:pPr>
              <w:spacing w:before="0" w:after="0"/>
              <w:rPr>
                <w:rFonts w:eastAsia="Calibri" w:cs="Calibri"/>
                <w:color w:val="000000"/>
                <w:sz w:val="18"/>
              </w:rPr>
            </w:pPr>
            <w:r>
              <w:rPr>
                <w:rFonts w:eastAsia="Calibri" w:cs="Calibri"/>
                <w:color w:val="000000"/>
                <w:sz w:val="18"/>
              </w:rPr>
              <w:t>Better facilities for Calvary Public Hospital</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F7642A">
            <w:pPr>
              <w:spacing w:before="0" w:after="0"/>
              <w:jc w:val="right"/>
              <w:rPr>
                <w:rFonts w:eastAsia="Calibri" w:cs="Calibri"/>
                <w:color w:val="000000"/>
                <w:sz w:val="18"/>
              </w:rPr>
            </w:pPr>
            <w:r>
              <w:rPr>
                <w:rFonts w:eastAsia="Calibri" w:cs="Calibri"/>
                <w:color w:val="000000"/>
                <w:sz w:val="18"/>
              </w:rPr>
              <w:t>15,000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 xml:space="preserve">New facility for </w:t>
            </w:r>
            <w:proofErr w:type="spellStart"/>
            <w:r>
              <w:rPr>
                <w:rFonts w:eastAsia="Calibri" w:cs="Calibri"/>
                <w:color w:val="000000"/>
                <w:sz w:val="18"/>
              </w:rPr>
              <w:t>Winnunga</w:t>
            </w:r>
            <w:proofErr w:type="spellEnd"/>
            <w:r>
              <w:rPr>
                <w:rFonts w:eastAsia="Calibri" w:cs="Calibri"/>
                <w:color w:val="000000"/>
                <w:sz w:val="18"/>
              </w:rPr>
              <w:t xml:space="preserve"> </w:t>
            </w:r>
            <w:proofErr w:type="spellStart"/>
            <w:r>
              <w:rPr>
                <w:rFonts w:eastAsia="Calibri" w:cs="Calibri"/>
                <w:color w:val="000000"/>
                <w:sz w:val="18"/>
              </w:rPr>
              <w:t>Nimmityjah</w:t>
            </w:r>
            <w:proofErr w:type="spellEnd"/>
            <w:r>
              <w:rPr>
                <w:rFonts w:eastAsia="Calibri" w:cs="Calibri"/>
                <w:color w:val="000000"/>
                <w:sz w:val="18"/>
              </w:rPr>
              <w:t xml:space="preserve"> Abor</w:t>
            </w:r>
            <w:r w:rsidR="00BC45E1">
              <w:rPr>
                <w:rFonts w:eastAsia="Calibri" w:cs="Calibri"/>
                <w:color w:val="000000"/>
                <w:sz w:val="18"/>
              </w:rPr>
              <w:t>iginal Health Service</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700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165</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w:t>
            </w:r>
            <w:r w:rsidR="00904EBD">
              <w:rPr>
                <w:rFonts w:eastAsia="Calibri" w:cs="Calibri"/>
                <w:color w:val="000000"/>
                <w:sz w:val="18"/>
              </w:rPr>
              <w:t>,</w:t>
            </w:r>
            <w:r>
              <w:rPr>
                <w:rFonts w:eastAsia="Calibri" w:cs="Calibri"/>
                <w:color w:val="000000"/>
                <w:sz w:val="18"/>
              </w:rPr>
              <w:t>435</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7</w:t>
            </w:r>
            <w:r w:rsidR="00904EBD">
              <w:rPr>
                <w:rFonts w:eastAsia="Calibri" w:cs="Calibri"/>
                <w:color w:val="000000"/>
                <w:sz w:val="18"/>
              </w:rPr>
              <w:t>,</w:t>
            </w:r>
            <w:r>
              <w:rPr>
                <w:rFonts w:eastAsia="Calibri" w:cs="Calibri"/>
                <w:color w:val="000000"/>
                <w:sz w:val="18"/>
              </w:rPr>
              <w:t>700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rsidR="00237D6F" w:rsidRDefault="00765F6E">
            <w:pPr>
              <w:spacing w:before="0" w:after="0"/>
              <w:rPr>
                <w:rFonts w:eastAsia="Calibri" w:cs="Calibri"/>
                <w:b/>
                <w:color w:val="000000"/>
                <w:sz w:val="18"/>
              </w:rPr>
            </w:pPr>
            <w:r>
              <w:rPr>
                <w:rFonts w:eastAsia="Calibri" w:cs="Calibri"/>
                <w:b/>
                <w:color w:val="000000"/>
                <w:sz w:val="18"/>
              </w:rPr>
              <w:t>2018-19 Budget Technical Adjustments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5D7538">
            <w:pPr>
              <w:spacing w:before="0" w:after="0"/>
              <w:rPr>
                <w:rFonts w:eastAsia="Calibri" w:cs="Calibri"/>
                <w:color w:val="000000"/>
                <w:sz w:val="18"/>
              </w:rPr>
            </w:pPr>
            <w:r>
              <w:rPr>
                <w:rFonts w:eastAsia="Calibri" w:cs="Calibri"/>
                <w:color w:val="000000"/>
                <w:sz w:val="18"/>
              </w:rPr>
              <w:t>Revised indexation p</w:t>
            </w:r>
            <w:r w:rsidR="00765F6E">
              <w:rPr>
                <w:rFonts w:eastAsia="Calibri" w:cs="Calibri"/>
                <w:color w:val="000000"/>
                <w:sz w:val="18"/>
              </w:rPr>
              <w:t>arameters</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23</w:t>
            </w:r>
          </w:p>
        </w:tc>
      </w:tr>
      <w:tr w:rsidR="00237D6F" w:rsidTr="0099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rsidP="005D7538">
            <w:pPr>
              <w:spacing w:before="0" w:after="0"/>
              <w:rPr>
                <w:rFonts w:eastAsia="Calibri" w:cs="Calibri"/>
                <w:color w:val="000000"/>
                <w:sz w:val="18"/>
              </w:rPr>
            </w:pPr>
            <w:r>
              <w:rPr>
                <w:rFonts w:eastAsia="Calibri" w:cs="Calibri"/>
                <w:color w:val="000000"/>
                <w:sz w:val="18"/>
              </w:rPr>
              <w:t xml:space="preserve">S14B Transfer </w:t>
            </w:r>
            <w:r w:rsidR="005D7538">
              <w:rPr>
                <w:rFonts w:eastAsia="Calibri" w:cs="Calibri"/>
                <w:color w:val="000000"/>
                <w:sz w:val="18"/>
              </w:rPr>
              <w:t>-</w:t>
            </w:r>
            <w:r>
              <w:rPr>
                <w:rFonts w:eastAsia="Calibri" w:cs="Calibri"/>
                <w:color w:val="000000"/>
                <w:sz w:val="18"/>
              </w:rPr>
              <w:t xml:space="preserve"> University of Canberra Hospital</w:t>
            </w:r>
            <w:r w:rsidR="00994B45">
              <w:rPr>
                <w:rFonts w:eastAsia="Calibri" w:cs="Calibri"/>
                <w:color w:val="000000"/>
                <w:sz w:val="18"/>
              </w:rPr>
              <w:t xml:space="preserve"> Car Park</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E95C50">
            <w:pPr>
              <w:spacing w:before="0" w:after="0"/>
              <w:jc w:val="right"/>
              <w:rPr>
                <w:rFonts w:eastAsia="Calibri" w:cs="Calibri"/>
                <w:color w:val="000000"/>
                <w:sz w:val="18"/>
              </w:rPr>
            </w:pPr>
            <w:r>
              <w:rPr>
                <w:rFonts w:eastAsia="Calibri" w:cs="Calibri"/>
                <w:color w:val="000000"/>
                <w:sz w:val="18"/>
              </w:rPr>
              <w:t>(</w:t>
            </w:r>
            <w:r w:rsidR="00765F6E">
              <w:rPr>
                <w:rFonts w:eastAsia="Calibri" w:cs="Calibri"/>
                <w:color w:val="000000"/>
                <w:sz w:val="18"/>
              </w:rPr>
              <w:t>11</w:t>
            </w:r>
            <w:r w:rsidR="00904EBD">
              <w:rPr>
                <w:rFonts w:eastAsia="Calibri" w:cs="Calibri"/>
                <w:color w:val="000000"/>
                <w:sz w:val="18"/>
              </w:rPr>
              <w:t>,</w:t>
            </w:r>
            <w:r w:rsidR="00765F6E">
              <w:rPr>
                <w:rFonts w:eastAsia="Calibri" w:cs="Calibri"/>
                <w:color w:val="000000"/>
                <w:sz w:val="18"/>
              </w:rPr>
              <w:t>200</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237D6F" w:rsidRDefault="00765F6E">
            <w:pPr>
              <w:spacing w:before="0" w:after="0"/>
              <w:rPr>
                <w:rFonts w:eastAsia="Calibri" w:cs="Calibri"/>
                <w:b/>
                <w:color w:val="000000"/>
                <w:sz w:val="18"/>
              </w:rPr>
            </w:pPr>
            <w:r>
              <w:rPr>
                <w:rFonts w:eastAsia="Calibri" w:cs="Calibri"/>
                <w:b/>
                <w:color w:val="000000"/>
                <w:sz w:val="18"/>
              </w:rPr>
              <w:t>2018-19 Budget</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237D6F" w:rsidRDefault="00765F6E">
            <w:pPr>
              <w:spacing w:before="0" w:after="0"/>
              <w:jc w:val="right"/>
              <w:rPr>
                <w:rFonts w:eastAsia="Calibri" w:cs="Calibri"/>
                <w:b/>
                <w:color w:val="000000"/>
                <w:sz w:val="18"/>
              </w:rPr>
            </w:pPr>
            <w:r>
              <w:rPr>
                <w:rFonts w:eastAsia="Calibri" w:cs="Calibri"/>
                <w:b/>
                <w:color w:val="000000"/>
                <w:sz w:val="18"/>
              </w:rPr>
              <w:t>28</w:t>
            </w:r>
            <w:r w:rsidR="00904EBD">
              <w:rPr>
                <w:rFonts w:eastAsia="Calibri" w:cs="Calibri"/>
                <w:b/>
                <w:color w:val="000000"/>
                <w:sz w:val="18"/>
              </w:rPr>
              <w:t>,</w:t>
            </w:r>
            <w:r>
              <w:rPr>
                <w:rFonts w:eastAsia="Calibri" w:cs="Calibri"/>
                <w:b/>
                <w:color w:val="000000"/>
                <w:sz w:val="18"/>
              </w:rPr>
              <w:t>065</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237D6F" w:rsidRDefault="00765F6E">
            <w:pPr>
              <w:spacing w:before="0" w:after="0"/>
              <w:jc w:val="right"/>
              <w:rPr>
                <w:rFonts w:eastAsia="Calibri" w:cs="Calibri"/>
                <w:b/>
                <w:color w:val="000000"/>
                <w:sz w:val="18"/>
              </w:rPr>
            </w:pPr>
            <w:r>
              <w:rPr>
                <w:rFonts w:eastAsia="Calibri" w:cs="Calibri"/>
                <w:b/>
                <w:color w:val="000000"/>
                <w:sz w:val="18"/>
              </w:rPr>
              <w:t>2</w:t>
            </w:r>
            <w:r w:rsidR="00904EBD">
              <w:rPr>
                <w:rFonts w:eastAsia="Calibri" w:cs="Calibri"/>
                <w:b/>
                <w:color w:val="000000"/>
                <w:sz w:val="18"/>
              </w:rPr>
              <w:t>,</w:t>
            </w:r>
            <w:r>
              <w:rPr>
                <w:rFonts w:eastAsia="Calibri" w:cs="Calibri"/>
                <w:b/>
                <w:color w:val="000000"/>
                <w:sz w:val="18"/>
              </w:rPr>
              <w:t>620</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237D6F" w:rsidRDefault="00765F6E">
            <w:pPr>
              <w:spacing w:before="0" w:after="0"/>
              <w:jc w:val="right"/>
              <w:rPr>
                <w:rFonts w:eastAsia="Calibri" w:cs="Calibri"/>
                <w:b/>
                <w:color w:val="000000"/>
                <w:sz w:val="18"/>
              </w:rPr>
            </w:pPr>
            <w:r>
              <w:rPr>
                <w:rFonts w:eastAsia="Calibri" w:cs="Calibri"/>
                <w:b/>
                <w:color w:val="000000"/>
                <w:sz w:val="18"/>
              </w:rPr>
              <w:t>5</w:t>
            </w:r>
            <w:r w:rsidR="00904EBD">
              <w:rPr>
                <w:rFonts w:eastAsia="Calibri" w:cs="Calibri"/>
                <w:b/>
                <w:color w:val="000000"/>
                <w:sz w:val="18"/>
              </w:rPr>
              <w:t>,</w:t>
            </w:r>
            <w:r>
              <w:rPr>
                <w:rFonts w:eastAsia="Calibri" w:cs="Calibri"/>
                <w:b/>
                <w:color w:val="000000"/>
                <w:sz w:val="18"/>
              </w:rPr>
              <w:t>692</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237D6F" w:rsidRDefault="00765F6E">
            <w:pPr>
              <w:spacing w:before="0" w:after="0"/>
              <w:jc w:val="right"/>
              <w:rPr>
                <w:rFonts w:eastAsia="Calibri" w:cs="Calibri"/>
                <w:b/>
                <w:color w:val="000000"/>
                <w:sz w:val="18"/>
              </w:rPr>
            </w:pPr>
            <w:r>
              <w:rPr>
                <w:rFonts w:eastAsia="Calibri" w:cs="Calibri"/>
                <w:b/>
                <w:color w:val="000000"/>
                <w:sz w:val="18"/>
              </w:rPr>
              <w:t>8</w:t>
            </w:r>
            <w:r w:rsidR="00904EBD">
              <w:rPr>
                <w:rFonts w:eastAsia="Calibri" w:cs="Calibri"/>
                <w:b/>
                <w:color w:val="000000"/>
                <w:sz w:val="18"/>
              </w:rPr>
              <w:t>,</w:t>
            </w:r>
            <w:r>
              <w:rPr>
                <w:rFonts w:eastAsia="Calibri" w:cs="Calibri"/>
                <w:b/>
                <w:color w:val="000000"/>
                <w:sz w:val="18"/>
              </w:rPr>
              <w:t>609</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237D6F" w:rsidRDefault="00765F6E">
            <w:pPr>
              <w:spacing w:before="0" w:after="0"/>
              <w:jc w:val="right"/>
              <w:rPr>
                <w:rFonts w:eastAsia="Calibri" w:cs="Calibri"/>
                <w:b/>
                <w:color w:val="000000"/>
                <w:sz w:val="18"/>
              </w:rPr>
            </w:pPr>
            <w:r>
              <w:rPr>
                <w:rFonts w:eastAsia="Calibri" w:cs="Calibri"/>
                <w:b/>
                <w:color w:val="000000"/>
                <w:sz w:val="18"/>
              </w:rPr>
              <w:t>932</w:t>
            </w:r>
          </w:p>
        </w:tc>
      </w:tr>
    </w:tbl>
    <w:p w:rsidR="00281F97" w:rsidRPr="00D227CE" w:rsidRDefault="00765F6E" w:rsidP="00281F97">
      <w:pPr>
        <w:pStyle w:val="Caption"/>
        <w:pageBreakBefore/>
        <w:pBdr>
          <w:top w:val="nil"/>
          <w:left w:val="nil"/>
          <w:bottom w:val="nil"/>
          <w:right w:val="nil"/>
          <w:between w:val="nil"/>
          <w:bar w:val="nil"/>
        </w:pBdr>
        <w:rPr>
          <w:bdr w:val="nil"/>
        </w:rPr>
      </w:pPr>
      <w:r w:rsidRPr="00D227CE">
        <w:rPr>
          <w:bdr w:val="nil"/>
        </w:rPr>
        <w:lastRenderedPageBreak/>
        <w:t xml:space="preserve">Table </w:t>
      </w:r>
      <w:r>
        <w:rPr>
          <w:bdr w:val="nil"/>
        </w:rPr>
        <w:t>3</w:t>
      </w:r>
      <w:r w:rsidR="00141A32">
        <w:rPr>
          <w:bdr w:val="nil"/>
        </w:rPr>
        <w:t>0</w:t>
      </w:r>
      <w:r w:rsidRPr="00D227CE">
        <w:rPr>
          <w:bdr w:val="nil"/>
        </w:rPr>
        <w:t>: Changes to appropriation – Capital Injections, Controlled</w:t>
      </w:r>
    </w:p>
    <w:tbl>
      <w:tblPr>
        <w:tblStyle w:val="CDMRange1"/>
        <w:tblW w:w="9975" w:type="dxa"/>
        <w:tblLayout w:type="fixed"/>
        <w:tblLook w:val="0600" w:firstRow="0" w:lastRow="0" w:firstColumn="0" w:lastColumn="0" w:noHBand="1" w:noVBand="1"/>
      </w:tblPr>
      <w:tblGrid>
        <w:gridCol w:w="4800"/>
        <w:gridCol w:w="1035"/>
        <w:gridCol w:w="1035"/>
        <w:gridCol w:w="1035"/>
        <w:gridCol w:w="1035"/>
        <w:gridCol w:w="1035"/>
      </w:tblGrid>
      <w:tr w:rsidR="00237D6F">
        <w:trPr>
          <w:trHeight w:val="990"/>
        </w:trPr>
        <w:tc>
          <w:tcPr>
            <w:tcW w:w="4800" w:type="dxa"/>
            <w:tcBorders>
              <w:top w:val="single" w:sz="12" w:space="0" w:color="000000"/>
              <w:left w:val="nil"/>
              <w:bottom w:val="single" w:sz="12" w:space="0" w:color="000000"/>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2017-18 Estimated Outcome</w:t>
            </w:r>
          </w:p>
          <w:p w:rsidR="00237D6F" w:rsidRDefault="00765F6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2018-19 Budget</w:t>
            </w:r>
          </w:p>
          <w:p w:rsidR="00237D6F" w:rsidRDefault="00237D6F">
            <w:pPr>
              <w:spacing w:before="0" w:after="0"/>
              <w:jc w:val="right"/>
              <w:rPr>
                <w:rFonts w:eastAsia="Calibri" w:cs="Calibri"/>
                <w:b/>
                <w:color w:val="000000"/>
                <w:sz w:val="18"/>
              </w:rPr>
            </w:pPr>
          </w:p>
          <w:p w:rsidR="00237D6F" w:rsidRDefault="00765F6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2019-20 Estimate</w:t>
            </w:r>
          </w:p>
          <w:p w:rsidR="00237D6F" w:rsidRDefault="00237D6F">
            <w:pPr>
              <w:spacing w:before="0" w:after="0"/>
              <w:jc w:val="right"/>
              <w:rPr>
                <w:rFonts w:eastAsia="Calibri" w:cs="Calibri"/>
                <w:b/>
                <w:color w:val="000000"/>
                <w:sz w:val="18"/>
              </w:rPr>
            </w:pPr>
          </w:p>
          <w:p w:rsidR="00237D6F" w:rsidRDefault="00765F6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2020-21 Estimate</w:t>
            </w:r>
          </w:p>
          <w:p w:rsidR="00237D6F" w:rsidRDefault="00237D6F">
            <w:pPr>
              <w:spacing w:before="0" w:after="0"/>
              <w:jc w:val="right"/>
              <w:rPr>
                <w:rFonts w:eastAsia="Calibri" w:cs="Calibri"/>
                <w:b/>
                <w:color w:val="000000"/>
                <w:sz w:val="18"/>
              </w:rPr>
            </w:pPr>
          </w:p>
          <w:p w:rsidR="00237D6F" w:rsidRDefault="00765F6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2021-22 Estimate</w:t>
            </w:r>
          </w:p>
          <w:p w:rsidR="00237D6F" w:rsidRDefault="00237D6F">
            <w:pPr>
              <w:spacing w:before="0" w:after="0"/>
              <w:jc w:val="right"/>
              <w:rPr>
                <w:rFonts w:eastAsia="Calibri" w:cs="Calibri"/>
                <w:b/>
                <w:color w:val="000000"/>
                <w:sz w:val="18"/>
              </w:rPr>
            </w:pPr>
          </w:p>
          <w:p w:rsidR="00237D6F" w:rsidRDefault="00765F6E">
            <w:pPr>
              <w:spacing w:before="0" w:after="0"/>
              <w:jc w:val="right"/>
              <w:rPr>
                <w:rFonts w:eastAsia="Calibri" w:cs="Calibri"/>
                <w:b/>
                <w:color w:val="000000"/>
                <w:sz w:val="18"/>
              </w:rPr>
            </w:pPr>
            <w:r>
              <w:rPr>
                <w:rFonts w:eastAsia="Calibri" w:cs="Calibri"/>
                <w:b/>
                <w:color w:val="000000"/>
                <w:sz w:val="18"/>
              </w:rPr>
              <w:t>$'000</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101" w:type="dxa"/>
              <w:right w:w="101" w:type="dxa"/>
            </w:tcMar>
            <w:vAlign w:val="bottom"/>
          </w:tcPr>
          <w:p w:rsidR="00237D6F" w:rsidRDefault="00765F6E">
            <w:pPr>
              <w:spacing w:before="0" w:after="0"/>
              <w:rPr>
                <w:rFonts w:eastAsia="Calibri" w:cs="Calibri"/>
                <w:b/>
                <w:color w:val="000000"/>
                <w:sz w:val="18"/>
              </w:rPr>
            </w:pPr>
            <w:r>
              <w:rPr>
                <w:rFonts w:eastAsia="Calibri" w:cs="Calibri"/>
                <w:b/>
                <w:color w:val="000000"/>
                <w:sz w:val="18"/>
              </w:rPr>
              <w:t>2017-18 Budget</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237D6F" w:rsidRDefault="00765F6E">
            <w:pPr>
              <w:spacing w:before="0" w:after="0"/>
              <w:jc w:val="right"/>
              <w:rPr>
                <w:rFonts w:eastAsia="Calibri" w:cs="Calibri"/>
                <w:color w:val="000000"/>
                <w:sz w:val="18"/>
              </w:rPr>
            </w:pPr>
            <w:r>
              <w:rPr>
                <w:rFonts w:eastAsia="Calibri" w:cs="Calibri"/>
                <w:color w:val="000000"/>
                <w:sz w:val="18"/>
              </w:rPr>
              <w:t>157</w:t>
            </w:r>
            <w:r w:rsidR="00904EBD">
              <w:rPr>
                <w:rFonts w:eastAsia="Calibri" w:cs="Calibri"/>
                <w:color w:val="000000"/>
                <w:sz w:val="18"/>
              </w:rPr>
              <w:t>,</w:t>
            </w:r>
            <w:r>
              <w:rPr>
                <w:rFonts w:eastAsia="Calibri" w:cs="Calibri"/>
                <w:color w:val="000000"/>
                <w:sz w:val="18"/>
              </w:rPr>
              <w:t>393</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237D6F" w:rsidRDefault="00765F6E">
            <w:pPr>
              <w:spacing w:before="0" w:after="0"/>
              <w:jc w:val="right"/>
              <w:rPr>
                <w:rFonts w:eastAsia="Calibri" w:cs="Calibri"/>
                <w:color w:val="000000"/>
                <w:sz w:val="18"/>
              </w:rPr>
            </w:pPr>
            <w:r>
              <w:rPr>
                <w:rFonts w:eastAsia="Calibri" w:cs="Calibri"/>
                <w:color w:val="000000"/>
                <w:sz w:val="18"/>
              </w:rPr>
              <w:t>58</w:t>
            </w:r>
            <w:r w:rsidR="00904EBD">
              <w:rPr>
                <w:rFonts w:eastAsia="Calibri" w:cs="Calibri"/>
                <w:color w:val="000000"/>
                <w:sz w:val="18"/>
              </w:rPr>
              <w:t>,</w:t>
            </w:r>
            <w:r>
              <w:rPr>
                <w:rFonts w:eastAsia="Calibri" w:cs="Calibri"/>
                <w:color w:val="000000"/>
                <w:sz w:val="18"/>
              </w:rPr>
              <w:t>217</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237D6F" w:rsidRDefault="00765F6E">
            <w:pPr>
              <w:spacing w:before="0" w:after="0"/>
              <w:jc w:val="right"/>
              <w:rPr>
                <w:rFonts w:eastAsia="Calibri" w:cs="Calibri"/>
                <w:color w:val="000000"/>
                <w:sz w:val="18"/>
              </w:rPr>
            </w:pPr>
            <w:r>
              <w:rPr>
                <w:rFonts w:eastAsia="Calibri" w:cs="Calibri"/>
                <w:color w:val="000000"/>
                <w:sz w:val="18"/>
              </w:rPr>
              <w:t>10</w:t>
            </w:r>
            <w:r w:rsidR="00904EBD">
              <w:rPr>
                <w:rFonts w:eastAsia="Calibri" w:cs="Calibri"/>
                <w:color w:val="000000"/>
                <w:sz w:val="18"/>
              </w:rPr>
              <w:t>,</w:t>
            </w:r>
            <w:r>
              <w:rPr>
                <w:rFonts w:eastAsia="Calibri" w:cs="Calibri"/>
                <w:color w:val="000000"/>
                <w:sz w:val="18"/>
              </w:rPr>
              <w:t>361</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237D6F" w:rsidRDefault="00765F6E">
            <w:pPr>
              <w:spacing w:before="0" w:after="0"/>
              <w:jc w:val="right"/>
              <w:rPr>
                <w:rFonts w:eastAsia="Calibri" w:cs="Calibri"/>
                <w:color w:val="000000"/>
                <w:sz w:val="18"/>
              </w:rPr>
            </w:pPr>
            <w:r>
              <w:rPr>
                <w:rFonts w:eastAsia="Calibri" w:cs="Calibri"/>
                <w:color w:val="000000"/>
                <w:sz w:val="18"/>
              </w:rPr>
              <w:t>4</w:t>
            </w:r>
            <w:r w:rsidR="00904EBD">
              <w:rPr>
                <w:rFonts w:eastAsia="Calibri" w:cs="Calibri"/>
                <w:color w:val="000000"/>
                <w:sz w:val="18"/>
              </w:rPr>
              <w:t>,</w:t>
            </w:r>
            <w:r>
              <w:rPr>
                <w:rFonts w:eastAsia="Calibri" w:cs="Calibri"/>
                <w:color w:val="000000"/>
                <w:sz w:val="18"/>
              </w:rPr>
              <w:t>970</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237D6F" w:rsidRDefault="00765F6E">
            <w:pPr>
              <w:spacing w:before="0" w:after="0"/>
              <w:jc w:val="right"/>
              <w:rPr>
                <w:rFonts w:eastAsia="Calibri" w:cs="Calibri"/>
                <w:color w:val="000000"/>
                <w:sz w:val="18"/>
              </w:rPr>
            </w:pPr>
            <w:r>
              <w:rPr>
                <w:rFonts w:eastAsia="Calibri" w:cs="Calibri"/>
                <w:color w:val="000000"/>
                <w:sz w:val="18"/>
              </w:rPr>
              <w:t>4</w:t>
            </w:r>
            <w:r w:rsidR="00904EBD">
              <w:rPr>
                <w:rFonts w:eastAsia="Calibri" w:cs="Calibri"/>
                <w:color w:val="000000"/>
                <w:sz w:val="18"/>
              </w:rPr>
              <w:t>,</w:t>
            </w:r>
            <w:r>
              <w:rPr>
                <w:rFonts w:eastAsia="Calibri" w:cs="Calibri"/>
                <w:color w:val="000000"/>
                <w:sz w:val="18"/>
              </w:rPr>
              <w:t>570</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rsidR="00237D6F" w:rsidRDefault="00765F6E">
            <w:pPr>
              <w:spacing w:before="0" w:after="0"/>
              <w:rPr>
                <w:rFonts w:eastAsia="Calibri" w:cs="Calibri"/>
                <w:b/>
                <w:color w:val="000000"/>
                <w:sz w:val="18"/>
              </w:rPr>
            </w:pPr>
            <w:r>
              <w:rPr>
                <w:rFonts w:eastAsia="Calibri" w:cs="Calibri"/>
                <w:b/>
                <w:color w:val="000000"/>
                <w:sz w:val="18"/>
              </w:rPr>
              <w:t>2nd Appropriation</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r>
      <w:tr w:rsidR="006B07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6B071A" w:rsidRDefault="006B071A">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6B071A" w:rsidRDefault="006B071A">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6B071A" w:rsidRDefault="006B071A">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6B071A" w:rsidRDefault="006B071A">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6B071A" w:rsidRDefault="006B071A">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6B071A" w:rsidRDefault="006B071A">
            <w:pPr>
              <w:spacing w:before="0" w:after="0"/>
              <w:jc w:val="right"/>
              <w:rPr>
                <w:rFonts w:eastAsia="Calibri" w:cs="Calibri"/>
                <w:color w:val="000000"/>
                <w:sz w:val="18"/>
              </w:rPr>
            </w:pPr>
          </w:p>
        </w:tc>
      </w:tr>
      <w:tr w:rsidR="006B07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6B071A" w:rsidRDefault="006B071A" w:rsidP="006B071A">
            <w:pPr>
              <w:spacing w:before="0" w:after="0"/>
              <w:rPr>
                <w:rFonts w:eastAsia="Calibri" w:cs="Calibri"/>
                <w:color w:val="000000"/>
                <w:sz w:val="18"/>
              </w:rPr>
            </w:pPr>
            <w:r w:rsidRPr="003C5F47">
              <w:rPr>
                <w:rFonts w:eastAsia="Calibri" w:cs="Calibri"/>
                <w:color w:val="000000"/>
                <w:sz w:val="18"/>
                <w:u w:val="single"/>
              </w:rPr>
              <w:t xml:space="preserve">Better </w:t>
            </w:r>
            <w:r>
              <w:rPr>
                <w:rFonts w:eastAsia="Calibri" w:cs="Calibri"/>
                <w:color w:val="000000"/>
                <w:sz w:val="18"/>
                <w:u w:val="single"/>
              </w:rPr>
              <w:t>care when you need it</w:t>
            </w:r>
          </w:p>
        </w:tc>
        <w:tc>
          <w:tcPr>
            <w:tcW w:w="1035" w:type="dxa"/>
            <w:tcBorders>
              <w:top w:val="nil"/>
              <w:left w:val="nil"/>
              <w:bottom w:val="nil"/>
              <w:right w:val="nil"/>
              <w:tl2br w:val="nil"/>
              <w:tr2bl w:val="nil"/>
            </w:tcBorders>
            <w:shd w:val="clear" w:color="auto" w:fill="auto"/>
            <w:noWrap/>
            <w:tcMar>
              <w:left w:w="101" w:type="dxa"/>
              <w:right w:w="101" w:type="dxa"/>
            </w:tcMar>
          </w:tcPr>
          <w:p w:rsidR="006B071A" w:rsidRDefault="006B071A">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6B071A" w:rsidRDefault="006B071A">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6B071A" w:rsidRDefault="006B071A">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6B071A" w:rsidRDefault="006B071A">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6B071A" w:rsidRDefault="006B071A">
            <w:pPr>
              <w:spacing w:before="0" w:after="0"/>
              <w:jc w:val="right"/>
              <w:rPr>
                <w:rFonts w:eastAsia="Calibri" w:cs="Calibri"/>
                <w:color w:val="000000"/>
                <w:sz w:val="18"/>
              </w:rPr>
            </w:pPr>
          </w:p>
        </w:tc>
      </w:tr>
      <w:tr w:rsidR="006B07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6B071A" w:rsidRDefault="006B071A">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6B071A" w:rsidRDefault="006B071A">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6B071A" w:rsidRDefault="006B071A">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6B071A" w:rsidRDefault="006B071A">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6B071A" w:rsidRDefault="006B071A">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6B071A" w:rsidRDefault="006B071A">
            <w:pPr>
              <w:spacing w:before="0" w:after="0"/>
              <w:jc w:val="right"/>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New medical imaging equipment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500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rsidP="005D7538">
            <w:pPr>
              <w:spacing w:before="0" w:after="0"/>
              <w:rPr>
                <w:rFonts w:eastAsia="Calibri" w:cs="Calibri"/>
                <w:color w:val="000000"/>
                <w:sz w:val="18"/>
              </w:rPr>
            </w:pPr>
            <w:r>
              <w:rPr>
                <w:rFonts w:eastAsia="Calibri" w:cs="Calibri"/>
                <w:color w:val="000000"/>
                <w:sz w:val="18"/>
              </w:rPr>
              <w:t xml:space="preserve">Replacement of polyethylene aluminium composite panels </w:t>
            </w:r>
            <w:r w:rsidR="005D7538">
              <w:rPr>
                <w:rFonts w:eastAsia="Calibri" w:cs="Calibri"/>
                <w:color w:val="000000"/>
                <w:sz w:val="18"/>
              </w:rPr>
              <w:t>-</w:t>
            </w:r>
            <w:r>
              <w:rPr>
                <w:rFonts w:eastAsia="Calibri" w:cs="Calibri"/>
                <w:color w:val="000000"/>
                <w:sz w:val="18"/>
              </w:rPr>
              <w:t xml:space="preserve"> Centenary Hospital for Women and Children</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625</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101" w:type="dxa"/>
              <w:right w:w="101" w:type="dxa"/>
            </w:tcMar>
            <w:vAlign w:val="bottom"/>
          </w:tcPr>
          <w:p w:rsidR="00237D6F" w:rsidRDefault="00765F6E">
            <w:pPr>
              <w:spacing w:before="0" w:after="0"/>
              <w:rPr>
                <w:rFonts w:eastAsia="Calibri" w:cs="Calibri"/>
                <w:b/>
                <w:color w:val="000000"/>
                <w:sz w:val="18"/>
              </w:rPr>
            </w:pPr>
            <w:r>
              <w:rPr>
                <w:rFonts w:eastAsia="Calibri" w:cs="Calibri"/>
                <w:b/>
                <w:color w:val="000000"/>
                <w:sz w:val="18"/>
              </w:rPr>
              <w:t>FMA Section 16B Rollovers from 2016-17</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Better Infrastructure Fund</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3</w:t>
            </w:r>
            <w:r w:rsidR="00904EBD">
              <w:rPr>
                <w:rFonts w:eastAsia="Calibri" w:cs="Calibri"/>
                <w:color w:val="000000"/>
                <w:sz w:val="18"/>
              </w:rPr>
              <w:t>,</w:t>
            </w:r>
            <w:r>
              <w:rPr>
                <w:rFonts w:eastAsia="Calibri" w:cs="Calibri"/>
                <w:color w:val="000000"/>
                <w:sz w:val="18"/>
              </w:rPr>
              <w:t>199</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An E-Healthy Future</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w:t>
            </w:r>
            <w:r w:rsidR="00904EBD">
              <w:rPr>
                <w:rFonts w:eastAsia="Calibri" w:cs="Calibri"/>
                <w:color w:val="000000"/>
                <w:sz w:val="18"/>
              </w:rPr>
              <w:t>,</w:t>
            </w:r>
            <w:r>
              <w:rPr>
                <w:rFonts w:eastAsia="Calibri" w:cs="Calibri"/>
                <w:color w:val="000000"/>
                <w:sz w:val="18"/>
              </w:rPr>
              <w:t>786</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5D7538">
            <w:pPr>
              <w:spacing w:before="0" w:after="0"/>
              <w:rPr>
                <w:rFonts w:eastAsia="Calibri" w:cs="Calibri"/>
                <w:color w:val="000000"/>
                <w:sz w:val="18"/>
              </w:rPr>
            </w:pPr>
            <w:r>
              <w:rPr>
                <w:rFonts w:eastAsia="Calibri" w:cs="Calibri"/>
                <w:color w:val="000000"/>
                <w:sz w:val="18"/>
              </w:rPr>
              <w:t>Improve</w:t>
            </w:r>
            <w:r w:rsidR="00765F6E">
              <w:rPr>
                <w:rFonts w:eastAsia="Calibri" w:cs="Calibri"/>
                <w:color w:val="000000"/>
                <w:sz w:val="18"/>
              </w:rPr>
              <w:t xml:space="preserve"> the Drugs and Poisons Information System (DAPIS)</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50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Upgrading and maintaining ACT Health assets</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w:t>
            </w:r>
            <w:r w:rsidR="00904EBD">
              <w:rPr>
                <w:rFonts w:eastAsia="Calibri" w:cs="Calibri"/>
                <w:color w:val="000000"/>
                <w:sz w:val="18"/>
              </w:rPr>
              <w:t>,</w:t>
            </w:r>
            <w:r>
              <w:rPr>
                <w:rFonts w:eastAsia="Calibri" w:cs="Calibri"/>
                <w:color w:val="000000"/>
                <w:sz w:val="18"/>
              </w:rPr>
              <w:t>000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3C5F47">
            <w:pPr>
              <w:spacing w:before="0" w:after="0"/>
              <w:jc w:val="right"/>
              <w:rPr>
                <w:rFonts w:eastAsia="Calibri" w:cs="Calibri"/>
                <w:color w:val="000000"/>
                <w:sz w:val="18"/>
              </w:rPr>
            </w:pPr>
            <w:r>
              <w:rPr>
                <w:rFonts w:eastAsia="Calibri" w:cs="Calibri"/>
                <w:color w:val="000000"/>
                <w:sz w:val="18"/>
              </w:rPr>
              <w:t>3</w:t>
            </w:r>
            <w:r w:rsidR="00904EBD">
              <w:rPr>
                <w:rFonts w:eastAsia="Calibri" w:cs="Calibri"/>
                <w:color w:val="000000"/>
                <w:sz w:val="18"/>
              </w:rPr>
              <w:t>,</w:t>
            </w:r>
            <w:r>
              <w:rPr>
                <w:rFonts w:eastAsia="Calibri" w:cs="Calibri"/>
                <w:color w:val="000000"/>
                <w:sz w:val="18"/>
              </w:rPr>
              <w:t>618</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5D7538">
            <w:pPr>
              <w:spacing w:before="0" w:after="0"/>
              <w:rPr>
                <w:rFonts w:eastAsia="Calibri" w:cs="Calibri"/>
                <w:color w:val="000000"/>
                <w:sz w:val="18"/>
              </w:rPr>
            </w:pPr>
            <w:r>
              <w:rPr>
                <w:rFonts w:eastAsia="Calibri" w:cs="Calibri"/>
                <w:color w:val="000000"/>
                <w:sz w:val="18"/>
              </w:rPr>
              <w:t>Bowes Street fit o</w:t>
            </w:r>
            <w:r w:rsidR="00765F6E">
              <w:rPr>
                <w:rFonts w:eastAsia="Calibri" w:cs="Calibri"/>
                <w:color w:val="000000"/>
                <w:sz w:val="18"/>
              </w:rPr>
              <w:t>ut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515</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Clinical Services and Inpatient Unit Design and Infrastructure Expansion</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200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175E20">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485</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rsidP="005D7538">
            <w:pPr>
              <w:spacing w:before="0" w:after="0"/>
              <w:rPr>
                <w:rFonts w:eastAsia="Calibri" w:cs="Calibri"/>
                <w:color w:val="000000"/>
                <w:sz w:val="18"/>
              </w:rPr>
            </w:pPr>
            <w:r>
              <w:rPr>
                <w:rFonts w:eastAsia="Calibri" w:cs="Calibri"/>
                <w:color w:val="000000"/>
                <w:sz w:val="18"/>
              </w:rPr>
              <w:t xml:space="preserve">Clinical Services Redevelopment </w:t>
            </w:r>
            <w:r w:rsidR="005D7538">
              <w:rPr>
                <w:rFonts w:eastAsia="Calibri" w:cs="Calibri"/>
                <w:color w:val="000000"/>
                <w:sz w:val="18"/>
              </w:rPr>
              <w:t>-</w:t>
            </w:r>
            <w:r>
              <w:rPr>
                <w:rFonts w:eastAsia="Calibri" w:cs="Calibri"/>
                <w:color w:val="000000"/>
                <w:sz w:val="18"/>
              </w:rPr>
              <w:t xml:space="preserve"> Phase 2</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264</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rsidP="005D7538">
            <w:pPr>
              <w:spacing w:before="0" w:after="0"/>
              <w:rPr>
                <w:rFonts w:eastAsia="Calibri" w:cs="Calibri"/>
                <w:color w:val="000000"/>
                <w:sz w:val="18"/>
              </w:rPr>
            </w:pPr>
            <w:r>
              <w:rPr>
                <w:rFonts w:eastAsia="Calibri" w:cs="Calibri"/>
                <w:color w:val="000000"/>
                <w:sz w:val="18"/>
              </w:rPr>
              <w:t xml:space="preserve">Continuity of Health Services Plan </w:t>
            </w:r>
            <w:r w:rsidR="005D7538">
              <w:rPr>
                <w:rFonts w:eastAsia="Calibri" w:cs="Calibri"/>
                <w:color w:val="000000"/>
                <w:sz w:val="18"/>
              </w:rPr>
              <w:t>-</w:t>
            </w:r>
            <w:r>
              <w:rPr>
                <w:rFonts w:eastAsia="Calibri" w:cs="Calibri"/>
                <w:color w:val="000000"/>
                <w:sz w:val="18"/>
              </w:rPr>
              <w:t xml:space="preserve"> Essential Infrastructure</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300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175E20">
            <w:pPr>
              <w:spacing w:before="0" w:after="0"/>
              <w:jc w:val="right"/>
              <w:rPr>
                <w:rFonts w:eastAsia="Calibri" w:cs="Calibri"/>
                <w:color w:val="000000"/>
                <w:sz w:val="18"/>
              </w:rPr>
            </w:pPr>
            <w:r>
              <w:rPr>
                <w:rFonts w:eastAsia="Calibri" w:cs="Calibri"/>
                <w:color w:val="000000"/>
                <w:sz w:val="18"/>
              </w:rPr>
              <w:t>646</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rsidP="005D7538">
            <w:pPr>
              <w:spacing w:before="0" w:after="0"/>
              <w:rPr>
                <w:rFonts w:eastAsia="Calibri" w:cs="Calibri"/>
                <w:color w:val="000000"/>
                <w:sz w:val="18"/>
              </w:rPr>
            </w:pPr>
            <w:r>
              <w:rPr>
                <w:rFonts w:eastAsia="Calibri" w:cs="Calibri"/>
                <w:color w:val="000000"/>
                <w:sz w:val="18"/>
              </w:rPr>
              <w:t xml:space="preserve">Critical Hospital Infrastructure Systems </w:t>
            </w:r>
            <w:r w:rsidR="005D7538">
              <w:rPr>
                <w:rFonts w:eastAsia="Calibri" w:cs="Calibri"/>
                <w:color w:val="000000"/>
                <w:sz w:val="18"/>
              </w:rPr>
              <w:t>-</w:t>
            </w:r>
            <w:r>
              <w:rPr>
                <w:rFonts w:eastAsia="Calibri" w:cs="Calibri"/>
                <w:color w:val="000000"/>
                <w:sz w:val="18"/>
              </w:rPr>
              <w:t xml:space="preserve"> Enhancing patient and staff safety</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483</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5D7538">
            <w:pPr>
              <w:spacing w:before="0" w:after="0"/>
              <w:rPr>
                <w:rFonts w:eastAsia="Calibri" w:cs="Calibri"/>
                <w:color w:val="000000"/>
                <w:sz w:val="18"/>
              </w:rPr>
            </w:pPr>
            <w:r>
              <w:rPr>
                <w:rFonts w:eastAsia="Calibri" w:cs="Calibri"/>
                <w:color w:val="000000"/>
                <w:sz w:val="18"/>
              </w:rPr>
              <w:t>Health Infrastructure Program -</w:t>
            </w:r>
            <w:r w:rsidR="00765F6E">
              <w:rPr>
                <w:rFonts w:eastAsia="Calibri" w:cs="Calibri"/>
                <w:color w:val="000000"/>
                <w:sz w:val="18"/>
              </w:rPr>
              <w:t xml:space="preserve"> Project management continuation</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611</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237D6F" w:rsidTr="003C5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Major Building Plant Replacement and Upgrade</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AF40E5">
            <w:pPr>
              <w:spacing w:before="0" w:after="0"/>
              <w:jc w:val="right"/>
              <w:rPr>
                <w:rFonts w:eastAsia="Calibri" w:cs="Calibri"/>
                <w:color w:val="000000"/>
                <w:sz w:val="18"/>
              </w:rPr>
            </w:pPr>
            <w:r>
              <w:rPr>
                <w:rFonts w:eastAsia="Calibri" w:cs="Calibri"/>
                <w:color w:val="000000"/>
                <w:sz w:val="18"/>
              </w:rPr>
              <w:t>(</w:t>
            </w:r>
            <w:r w:rsidR="00765F6E">
              <w:rPr>
                <w:rFonts w:eastAsia="Calibri" w:cs="Calibri"/>
                <w:color w:val="000000"/>
                <w:sz w:val="18"/>
              </w:rPr>
              <w:t>88</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237D6F" w:rsidTr="003C5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More nurse</w:t>
            </w:r>
            <w:r w:rsidR="005D7538">
              <w:rPr>
                <w:rFonts w:eastAsia="Calibri" w:cs="Calibri"/>
                <w:color w:val="000000"/>
                <w:sz w:val="18"/>
              </w:rPr>
              <w:t xml:space="preserve"> </w:t>
            </w:r>
            <w:r>
              <w:rPr>
                <w:rFonts w:eastAsia="Calibri" w:cs="Calibri"/>
                <w:color w:val="000000"/>
                <w:sz w:val="18"/>
              </w:rPr>
              <w:t>-</w:t>
            </w:r>
            <w:r w:rsidR="005D7538">
              <w:rPr>
                <w:rFonts w:eastAsia="Calibri" w:cs="Calibri"/>
                <w:color w:val="000000"/>
                <w:sz w:val="18"/>
              </w:rPr>
              <w:t xml:space="preserve"> </w:t>
            </w:r>
            <w:r>
              <w:rPr>
                <w:rFonts w:eastAsia="Calibri" w:cs="Calibri"/>
                <w:color w:val="000000"/>
                <w:sz w:val="18"/>
              </w:rPr>
              <w:t>led Walk in Centres</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500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83FCE">
            <w:pPr>
              <w:spacing w:before="0" w:after="0"/>
              <w:jc w:val="right"/>
              <w:rPr>
                <w:rFonts w:eastAsia="Calibri" w:cs="Calibri"/>
                <w:color w:val="000000"/>
                <w:sz w:val="18"/>
              </w:rPr>
            </w:pPr>
            <w:r>
              <w:rPr>
                <w:rFonts w:eastAsia="Calibri" w:cs="Calibri"/>
                <w:color w:val="000000"/>
                <w:sz w:val="18"/>
              </w:rPr>
              <w:t>325</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237D6F" w:rsidTr="003C5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Ngunnawal Bush Healing Farm</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320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237D6F" w:rsidTr="003C5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Replacement of CT Scanner at the Canberra Hospital</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100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237D6F" w:rsidTr="003C5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Secure Mental Health Unit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504</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175E20">
            <w:pPr>
              <w:spacing w:before="0" w:after="0"/>
              <w:jc w:val="right"/>
              <w:rPr>
                <w:rFonts w:eastAsia="Calibri" w:cs="Calibri"/>
                <w:color w:val="000000"/>
                <w:sz w:val="18"/>
              </w:rPr>
            </w:pPr>
            <w:r>
              <w:rPr>
                <w:rFonts w:eastAsia="Calibri" w:cs="Calibri"/>
                <w:color w:val="000000"/>
                <w:sz w:val="18"/>
              </w:rPr>
              <w:t>1</w:t>
            </w:r>
            <w:r w:rsidR="0030116B">
              <w:rPr>
                <w:rFonts w:eastAsia="Calibri" w:cs="Calibri"/>
                <w:color w:val="000000"/>
                <w:sz w:val="18"/>
              </w:rPr>
              <w:t>,</w:t>
            </w:r>
            <w:r>
              <w:rPr>
                <w:rFonts w:eastAsia="Calibri" w:cs="Calibri"/>
                <w:color w:val="000000"/>
                <w:sz w:val="18"/>
              </w:rPr>
              <w:t>00</w:t>
            </w:r>
            <w:r w:rsidR="00765F6E">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237D6F" w:rsidTr="003C5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rsidP="005D7538">
            <w:pPr>
              <w:spacing w:before="0" w:after="0"/>
              <w:rPr>
                <w:rFonts w:eastAsia="Calibri" w:cs="Calibri"/>
                <w:color w:val="000000"/>
                <w:sz w:val="18"/>
              </w:rPr>
            </w:pPr>
            <w:r>
              <w:rPr>
                <w:rFonts w:eastAsia="Calibri" w:cs="Calibri"/>
                <w:color w:val="000000"/>
                <w:sz w:val="18"/>
              </w:rPr>
              <w:t xml:space="preserve">Sterilising Services </w:t>
            </w:r>
            <w:r w:rsidR="005D7538">
              <w:rPr>
                <w:rFonts w:eastAsia="Calibri" w:cs="Calibri"/>
                <w:color w:val="000000"/>
                <w:sz w:val="18"/>
              </w:rPr>
              <w:t>-</w:t>
            </w:r>
            <w:r>
              <w:rPr>
                <w:rFonts w:eastAsia="Calibri" w:cs="Calibri"/>
                <w:color w:val="000000"/>
                <w:sz w:val="18"/>
              </w:rPr>
              <w:t xml:space="preserve"> Relocation and upgrade</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31</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rsidP="005D7538">
            <w:pPr>
              <w:spacing w:before="0" w:after="0"/>
              <w:rPr>
                <w:rFonts w:eastAsia="Calibri" w:cs="Calibri"/>
                <w:color w:val="000000"/>
                <w:sz w:val="18"/>
              </w:rPr>
            </w:pPr>
            <w:r>
              <w:rPr>
                <w:rFonts w:eastAsia="Calibri" w:cs="Calibri"/>
                <w:color w:val="000000"/>
                <w:sz w:val="18"/>
              </w:rPr>
              <w:t xml:space="preserve">The Canberra Hospital </w:t>
            </w:r>
            <w:r w:rsidR="005D7538">
              <w:rPr>
                <w:rFonts w:eastAsia="Calibri" w:cs="Calibri"/>
                <w:color w:val="000000"/>
                <w:sz w:val="18"/>
              </w:rPr>
              <w:t>-</w:t>
            </w:r>
            <w:r>
              <w:rPr>
                <w:rFonts w:eastAsia="Calibri" w:cs="Calibri"/>
                <w:color w:val="000000"/>
                <w:sz w:val="18"/>
              </w:rPr>
              <w:t xml:space="preserve"> Essential infrastructure and engineering works</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390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237D6F" w:rsidTr="003C5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The Canberra Hospital Redevelopment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w:t>
            </w:r>
            <w:r w:rsidR="00904EBD">
              <w:rPr>
                <w:rFonts w:eastAsia="Calibri" w:cs="Calibri"/>
                <w:color w:val="000000"/>
                <w:sz w:val="18"/>
              </w:rPr>
              <w:t>,</w:t>
            </w:r>
            <w:r>
              <w:rPr>
                <w:rFonts w:eastAsia="Calibri" w:cs="Calibri"/>
                <w:color w:val="000000"/>
                <w:sz w:val="18"/>
              </w:rPr>
              <w:t>130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237D6F" w:rsidTr="003C5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800" w:type="dxa"/>
            <w:tcBorders>
              <w:top w:val="nil"/>
              <w:left w:val="nil"/>
              <w:bottom w:val="nil"/>
              <w:right w:val="nil"/>
              <w:tl2br w:val="nil"/>
              <w:tr2bl w:val="nil"/>
            </w:tcBorders>
            <w:shd w:val="clear" w:color="auto" w:fill="auto"/>
            <w:tcMar>
              <w:left w:w="101" w:type="dxa"/>
              <w:right w:w="101" w:type="dxa"/>
            </w:tcMar>
          </w:tcPr>
          <w:p w:rsidR="00237D6F" w:rsidRPr="00D67F0B" w:rsidRDefault="00765F6E" w:rsidP="005F6895">
            <w:pPr>
              <w:spacing w:before="0" w:after="0"/>
              <w:rPr>
                <w:rFonts w:eastAsia="Calibri" w:cs="Calibri"/>
                <w:color w:val="000000"/>
                <w:sz w:val="18"/>
              </w:rPr>
            </w:pPr>
            <w:r w:rsidRPr="00D67F0B">
              <w:rPr>
                <w:rFonts w:eastAsia="Calibri" w:cs="Calibri"/>
                <w:color w:val="000000"/>
                <w:sz w:val="18"/>
              </w:rPr>
              <w:t>University of Canberra Hospital</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D67F0B" w:rsidRDefault="00D67F0B" w:rsidP="00D67F0B">
            <w:pPr>
              <w:spacing w:before="0" w:after="0"/>
              <w:jc w:val="right"/>
              <w:rPr>
                <w:rFonts w:eastAsia="Calibri" w:cs="Calibri"/>
                <w:color w:val="000000"/>
                <w:sz w:val="18"/>
              </w:rPr>
            </w:pPr>
            <w:r w:rsidRPr="00D67F0B">
              <w:rPr>
                <w:rFonts w:eastAsia="Calibri" w:cs="Calibri"/>
                <w:color w:val="000000"/>
                <w:sz w:val="18"/>
              </w:rPr>
              <w:t>10</w:t>
            </w:r>
            <w:r w:rsidR="00904EBD">
              <w:rPr>
                <w:rFonts w:eastAsia="Calibri" w:cs="Calibri"/>
                <w:color w:val="000000"/>
                <w:sz w:val="18"/>
              </w:rPr>
              <w:t>,</w:t>
            </w:r>
            <w:r w:rsidRPr="00D67F0B">
              <w:rPr>
                <w:rFonts w:eastAsia="Calibri" w:cs="Calibri"/>
                <w:color w:val="000000"/>
                <w:sz w:val="18"/>
              </w:rPr>
              <w:t>327</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D67F0B" w:rsidRDefault="00765F6E">
            <w:pPr>
              <w:spacing w:before="0" w:after="0"/>
              <w:jc w:val="right"/>
              <w:rPr>
                <w:rFonts w:eastAsia="Calibri" w:cs="Calibri"/>
                <w:color w:val="000000"/>
                <w:sz w:val="18"/>
              </w:rPr>
            </w:pPr>
            <w:r w:rsidRPr="00D67F0B">
              <w:rPr>
                <w:rFonts w:eastAsia="Calibri" w:cs="Calibri"/>
                <w:color w:val="000000"/>
                <w:sz w:val="18"/>
              </w:rPr>
              <w:t>4</w:t>
            </w:r>
            <w:r w:rsidR="00904EBD">
              <w:rPr>
                <w:rFonts w:eastAsia="Calibri" w:cs="Calibri"/>
                <w:color w:val="000000"/>
                <w:sz w:val="18"/>
              </w:rPr>
              <w:t>,</w:t>
            </w:r>
            <w:r w:rsidRPr="00D67F0B">
              <w:rPr>
                <w:rFonts w:eastAsia="Calibri" w:cs="Calibri"/>
                <w:color w:val="000000"/>
                <w:sz w:val="18"/>
              </w:rPr>
              <w:t>984</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Pr="00D67F0B" w:rsidRDefault="00872A4A">
            <w:pPr>
              <w:spacing w:before="0" w:after="0"/>
              <w:jc w:val="right"/>
              <w:rPr>
                <w:rFonts w:eastAsia="Calibri" w:cs="Calibri"/>
                <w:color w:val="000000"/>
                <w:sz w:val="18"/>
              </w:rPr>
            </w:pPr>
            <w:r w:rsidRPr="00D67F0B">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Improved infrastructure for acute aged care and cancer inpatients</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w:t>
            </w:r>
            <w:r w:rsidR="00904EBD">
              <w:rPr>
                <w:rFonts w:eastAsia="Calibri" w:cs="Calibri"/>
                <w:color w:val="000000"/>
                <w:sz w:val="18"/>
              </w:rPr>
              <w:t>,</w:t>
            </w:r>
            <w:r>
              <w:rPr>
                <w:rFonts w:eastAsia="Calibri" w:cs="Calibri"/>
                <w:color w:val="000000"/>
                <w:sz w:val="18"/>
              </w:rPr>
              <w:t>200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rsidR="00237D6F" w:rsidRDefault="00765F6E">
            <w:pPr>
              <w:spacing w:before="0" w:after="0"/>
              <w:rPr>
                <w:rFonts w:eastAsia="Calibri" w:cs="Calibri"/>
                <w:b/>
                <w:color w:val="000000"/>
                <w:sz w:val="18"/>
              </w:rPr>
            </w:pPr>
            <w:r>
              <w:rPr>
                <w:rFonts w:eastAsia="Calibri" w:cs="Calibri"/>
                <w:b/>
                <w:color w:val="000000"/>
                <w:sz w:val="18"/>
              </w:rPr>
              <w:t>2018-19 Budget Policy Decisions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r>
      <w:tr w:rsidR="008A2C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8A2C93" w:rsidRDefault="008A2C93">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8A2C93" w:rsidRDefault="008A2C93">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8A2C93" w:rsidRDefault="008A2C93">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8A2C93" w:rsidRDefault="008A2C93">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8A2C93" w:rsidRDefault="008A2C93">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8A2C93" w:rsidRDefault="008A2C93">
            <w:pPr>
              <w:spacing w:before="0" w:after="0"/>
              <w:jc w:val="right"/>
              <w:rPr>
                <w:rFonts w:eastAsia="Calibri" w:cs="Calibri"/>
                <w:color w:val="000000"/>
                <w:sz w:val="18"/>
              </w:rPr>
            </w:pPr>
          </w:p>
        </w:tc>
      </w:tr>
      <w:tr w:rsidR="008A2C93" w:rsidTr="00A34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4800" w:type="dxa"/>
            <w:tcBorders>
              <w:top w:val="nil"/>
              <w:left w:val="nil"/>
              <w:bottom w:val="nil"/>
              <w:right w:val="nil"/>
              <w:tl2br w:val="nil"/>
              <w:tr2bl w:val="nil"/>
            </w:tcBorders>
            <w:shd w:val="clear" w:color="auto" w:fill="auto"/>
            <w:tcMar>
              <w:left w:w="101" w:type="dxa"/>
              <w:right w:w="101" w:type="dxa"/>
            </w:tcMar>
          </w:tcPr>
          <w:p w:rsidR="008A2C93" w:rsidRPr="003C5F47" w:rsidRDefault="008A2C93">
            <w:pPr>
              <w:spacing w:before="0" w:after="0"/>
              <w:rPr>
                <w:rFonts w:eastAsia="Calibri" w:cs="Calibri"/>
                <w:color w:val="000000"/>
                <w:sz w:val="18"/>
                <w:u w:val="single"/>
              </w:rPr>
            </w:pPr>
            <w:r w:rsidRPr="003C5F47">
              <w:rPr>
                <w:rFonts w:eastAsia="Calibri" w:cs="Calibri"/>
                <w:color w:val="000000"/>
                <w:sz w:val="18"/>
                <w:u w:val="single"/>
              </w:rPr>
              <w:t>Better healthcare for a growing community</w:t>
            </w:r>
          </w:p>
        </w:tc>
        <w:tc>
          <w:tcPr>
            <w:tcW w:w="1035" w:type="dxa"/>
            <w:tcBorders>
              <w:top w:val="nil"/>
              <w:left w:val="nil"/>
              <w:bottom w:val="nil"/>
              <w:right w:val="nil"/>
              <w:tl2br w:val="nil"/>
              <w:tr2bl w:val="nil"/>
            </w:tcBorders>
            <w:shd w:val="clear" w:color="auto" w:fill="auto"/>
            <w:noWrap/>
            <w:tcMar>
              <w:left w:w="101" w:type="dxa"/>
              <w:right w:w="101" w:type="dxa"/>
            </w:tcMar>
          </w:tcPr>
          <w:p w:rsidR="008A2C93" w:rsidRDefault="008A2C93">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8A2C93" w:rsidRDefault="008A2C93">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8A2C93" w:rsidRDefault="008A2C93">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8A2C93" w:rsidRDefault="008A2C93">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8A2C93" w:rsidRDefault="008A2C93">
            <w:pPr>
              <w:spacing w:before="0" w:after="0"/>
              <w:jc w:val="right"/>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ACT Health critical assets upgrades</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12</w:t>
            </w:r>
            <w:r w:rsidR="00904EBD">
              <w:rPr>
                <w:rFonts w:eastAsia="Calibri" w:cs="Calibri"/>
                <w:color w:val="000000"/>
                <w:sz w:val="18"/>
              </w:rPr>
              <w:t>,</w:t>
            </w:r>
            <w:r>
              <w:rPr>
                <w:rFonts w:eastAsia="Calibri" w:cs="Calibri"/>
                <w:color w:val="000000"/>
                <w:sz w:val="18"/>
              </w:rPr>
              <w:t>100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12</w:t>
            </w:r>
            <w:r w:rsidR="00904EBD">
              <w:rPr>
                <w:rFonts w:eastAsia="Calibri" w:cs="Calibri"/>
                <w:color w:val="000000"/>
                <w:sz w:val="18"/>
              </w:rPr>
              <w:t>,</w:t>
            </w:r>
            <w:r>
              <w:rPr>
                <w:rFonts w:eastAsia="Calibri" w:cs="Calibri"/>
                <w:color w:val="000000"/>
                <w:sz w:val="18"/>
              </w:rPr>
              <w:t>780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ACT Health ICT upgrades</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10</w:t>
            </w:r>
            <w:r w:rsidR="00904EBD">
              <w:rPr>
                <w:rFonts w:eastAsia="Calibri" w:cs="Calibri"/>
                <w:color w:val="000000"/>
                <w:sz w:val="18"/>
              </w:rPr>
              <w:t>,</w:t>
            </w:r>
            <w:r>
              <w:rPr>
                <w:rFonts w:eastAsia="Calibri" w:cs="Calibri"/>
                <w:color w:val="000000"/>
                <w:sz w:val="18"/>
              </w:rPr>
              <w:t>582</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w:t>
            </w:r>
            <w:r w:rsidR="00904EBD">
              <w:rPr>
                <w:rFonts w:eastAsia="Calibri" w:cs="Calibri"/>
                <w:color w:val="000000"/>
                <w:sz w:val="18"/>
              </w:rPr>
              <w:t>,</w:t>
            </w:r>
            <w:r>
              <w:rPr>
                <w:rFonts w:eastAsia="Calibri" w:cs="Calibri"/>
                <w:color w:val="000000"/>
                <w:sz w:val="18"/>
              </w:rPr>
              <w:t>891</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ACT Pathology Laboratory information system replacement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5</w:t>
            </w:r>
            <w:r w:rsidR="00904EBD">
              <w:rPr>
                <w:rFonts w:eastAsia="Calibri" w:cs="Calibri"/>
                <w:color w:val="000000"/>
                <w:sz w:val="18"/>
              </w:rPr>
              <w:t>,</w:t>
            </w:r>
            <w:r>
              <w:rPr>
                <w:rFonts w:eastAsia="Calibri" w:cs="Calibri"/>
                <w:color w:val="000000"/>
                <w:sz w:val="18"/>
              </w:rPr>
              <w:t>829</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887</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Expanding Centenary Hospital - More services for women and children</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w:t>
            </w:r>
            <w:r w:rsidR="00904EBD">
              <w:rPr>
                <w:rFonts w:eastAsia="Calibri" w:cs="Calibri"/>
                <w:color w:val="000000"/>
                <w:sz w:val="18"/>
              </w:rPr>
              <w:t>,</w:t>
            </w:r>
            <w:r>
              <w:rPr>
                <w:rFonts w:eastAsia="Calibri" w:cs="Calibri"/>
                <w:color w:val="000000"/>
                <w:sz w:val="18"/>
              </w:rPr>
              <w:t>500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More mental health accommodation</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123</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6</w:t>
            </w:r>
            <w:r w:rsidR="00904EBD">
              <w:rPr>
                <w:rFonts w:eastAsia="Calibri" w:cs="Calibri"/>
                <w:color w:val="000000"/>
                <w:sz w:val="18"/>
              </w:rPr>
              <w:t>,</w:t>
            </w:r>
            <w:r>
              <w:rPr>
                <w:rFonts w:eastAsia="Calibri" w:cs="Calibri"/>
                <w:color w:val="000000"/>
                <w:sz w:val="18"/>
              </w:rPr>
              <w:t>233</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5</w:t>
            </w:r>
            <w:r w:rsidR="00904EBD">
              <w:rPr>
                <w:rFonts w:eastAsia="Calibri" w:cs="Calibri"/>
                <w:color w:val="000000"/>
                <w:sz w:val="18"/>
              </w:rPr>
              <w:t>,</w:t>
            </w:r>
            <w:r>
              <w:rPr>
                <w:rFonts w:eastAsia="Calibri" w:cs="Calibri"/>
                <w:color w:val="000000"/>
                <w:sz w:val="18"/>
              </w:rPr>
              <w:t>560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320</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rsidP="0030116B">
            <w:pPr>
              <w:spacing w:before="0" w:after="0"/>
              <w:rPr>
                <w:rFonts w:eastAsia="Calibri" w:cs="Calibri"/>
                <w:color w:val="000000"/>
                <w:sz w:val="18"/>
              </w:rPr>
            </w:pPr>
            <w:r>
              <w:rPr>
                <w:rFonts w:eastAsia="Calibri" w:cs="Calibri"/>
                <w:color w:val="000000"/>
                <w:sz w:val="18"/>
              </w:rPr>
              <w:t xml:space="preserve">Surgical Procedures, Interventional Radiology and Emergency </w:t>
            </w:r>
            <w:r w:rsidR="0030116B">
              <w:rPr>
                <w:rFonts w:eastAsia="Calibri" w:cs="Calibri"/>
                <w:color w:val="000000"/>
                <w:sz w:val="18"/>
              </w:rPr>
              <w:t xml:space="preserve">(SPIRE) </w:t>
            </w:r>
            <w:r>
              <w:rPr>
                <w:rFonts w:eastAsia="Calibri" w:cs="Calibri"/>
                <w:color w:val="000000"/>
                <w:sz w:val="18"/>
              </w:rPr>
              <w:t xml:space="preserve">Centre </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13</w:t>
            </w:r>
            <w:r w:rsidR="00904EBD">
              <w:rPr>
                <w:rFonts w:eastAsia="Calibri" w:cs="Calibri"/>
                <w:color w:val="000000"/>
                <w:sz w:val="18"/>
              </w:rPr>
              <w:t>,</w:t>
            </w:r>
            <w:r>
              <w:rPr>
                <w:rFonts w:eastAsia="Calibri" w:cs="Calibri"/>
                <w:color w:val="000000"/>
                <w:sz w:val="18"/>
              </w:rPr>
              <w:t>000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8A2C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8A2C93" w:rsidRDefault="008A2C93">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8A2C93" w:rsidRDefault="008A2C93">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8A2C93" w:rsidRDefault="008A2C93">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8A2C93" w:rsidRDefault="008A2C93">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8A2C93" w:rsidRDefault="008A2C93">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8A2C93" w:rsidRDefault="008A2C93">
            <w:pPr>
              <w:spacing w:before="0" w:after="0"/>
              <w:jc w:val="right"/>
              <w:rPr>
                <w:rFonts w:eastAsia="Calibri" w:cs="Calibri"/>
                <w:color w:val="000000"/>
                <w:sz w:val="18"/>
              </w:rPr>
            </w:pPr>
          </w:p>
        </w:tc>
      </w:tr>
    </w:tbl>
    <w:p w:rsidR="00AE17B5" w:rsidRPr="00D227CE" w:rsidRDefault="00AE17B5" w:rsidP="00AE17B5">
      <w:pPr>
        <w:pStyle w:val="Caption"/>
        <w:pageBreakBefore/>
        <w:pBdr>
          <w:top w:val="nil"/>
          <w:left w:val="nil"/>
          <w:bottom w:val="nil"/>
          <w:right w:val="nil"/>
          <w:between w:val="nil"/>
          <w:bar w:val="nil"/>
        </w:pBdr>
        <w:rPr>
          <w:bdr w:val="nil"/>
        </w:rPr>
      </w:pPr>
      <w:r w:rsidRPr="00D227CE">
        <w:rPr>
          <w:bdr w:val="nil"/>
        </w:rPr>
        <w:lastRenderedPageBreak/>
        <w:t xml:space="preserve">Table </w:t>
      </w:r>
      <w:r>
        <w:rPr>
          <w:bdr w:val="nil"/>
        </w:rPr>
        <w:t>3</w:t>
      </w:r>
      <w:r w:rsidR="00141A32">
        <w:rPr>
          <w:bdr w:val="nil"/>
        </w:rPr>
        <w:t>0</w:t>
      </w:r>
      <w:r w:rsidRPr="00D227CE">
        <w:rPr>
          <w:bdr w:val="nil"/>
        </w:rPr>
        <w:t>: Changes to appropriation – Capital Injections, Controlled</w:t>
      </w:r>
      <w:r w:rsidR="006D40C9">
        <w:rPr>
          <w:bdr w:val="nil"/>
        </w:rPr>
        <w:t xml:space="preserve"> (continued)</w:t>
      </w:r>
    </w:p>
    <w:tbl>
      <w:tblPr>
        <w:tblStyle w:val="CDMRange1"/>
        <w:tblW w:w="9975" w:type="dxa"/>
        <w:tblLayout w:type="fixed"/>
        <w:tblLook w:val="0600" w:firstRow="0" w:lastRow="0" w:firstColumn="0" w:lastColumn="0" w:noHBand="1" w:noVBand="1"/>
      </w:tblPr>
      <w:tblGrid>
        <w:gridCol w:w="4800"/>
        <w:gridCol w:w="1035"/>
        <w:gridCol w:w="1035"/>
        <w:gridCol w:w="1035"/>
        <w:gridCol w:w="1035"/>
        <w:gridCol w:w="1035"/>
      </w:tblGrid>
      <w:tr w:rsidR="00AE17B5" w:rsidTr="000B31F8">
        <w:trPr>
          <w:trHeight w:val="990"/>
        </w:trPr>
        <w:tc>
          <w:tcPr>
            <w:tcW w:w="4800" w:type="dxa"/>
            <w:tcBorders>
              <w:top w:val="single" w:sz="12" w:space="0" w:color="000000"/>
              <w:left w:val="nil"/>
              <w:bottom w:val="single" w:sz="12" w:space="0" w:color="000000"/>
              <w:right w:val="nil"/>
              <w:tl2br w:val="nil"/>
              <w:tr2bl w:val="nil"/>
            </w:tcBorders>
            <w:shd w:val="clear" w:color="auto" w:fill="auto"/>
            <w:noWrap/>
            <w:tcMar>
              <w:left w:w="0" w:type="dxa"/>
              <w:right w:w="0" w:type="dxa"/>
            </w:tcMar>
            <w:vAlign w:val="bottom"/>
          </w:tcPr>
          <w:p w:rsidR="00AE17B5" w:rsidRDefault="00AE17B5" w:rsidP="000B31F8">
            <w:pPr>
              <w:spacing w:before="0" w:after="0"/>
              <w:rPr>
                <w:rFonts w:eastAsia="Calibri" w:cs="Calibri"/>
                <w:color w:val="000000"/>
                <w:sz w:val="18"/>
              </w:rPr>
            </w:pP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AE17B5" w:rsidRDefault="00AE17B5" w:rsidP="000B31F8">
            <w:pPr>
              <w:spacing w:before="0" w:after="0"/>
              <w:jc w:val="right"/>
              <w:rPr>
                <w:rFonts w:eastAsia="Calibri" w:cs="Calibri"/>
                <w:b/>
                <w:color w:val="000000"/>
                <w:sz w:val="18"/>
              </w:rPr>
            </w:pPr>
            <w:r>
              <w:rPr>
                <w:rFonts w:eastAsia="Calibri" w:cs="Calibri"/>
                <w:b/>
                <w:color w:val="000000"/>
                <w:sz w:val="18"/>
              </w:rPr>
              <w:t>2017-18 Estimated Outcome</w:t>
            </w:r>
          </w:p>
          <w:p w:rsidR="00AE17B5" w:rsidRDefault="00AE17B5" w:rsidP="000B31F8">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AE17B5" w:rsidRDefault="00AE17B5" w:rsidP="000B31F8">
            <w:pPr>
              <w:spacing w:before="0" w:after="0"/>
              <w:jc w:val="right"/>
              <w:rPr>
                <w:rFonts w:eastAsia="Calibri" w:cs="Calibri"/>
                <w:b/>
                <w:color w:val="000000"/>
                <w:sz w:val="18"/>
              </w:rPr>
            </w:pPr>
            <w:r>
              <w:rPr>
                <w:rFonts w:eastAsia="Calibri" w:cs="Calibri"/>
                <w:b/>
                <w:color w:val="000000"/>
                <w:sz w:val="18"/>
              </w:rPr>
              <w:t>2018-19 Budget</w:t>
            </w:r>
          </w:p>
          <w:p w:rsidR="00AE17B5" w:rsidRDefault="00AE17B5" w:rsidP="000B31F8">
            <w:pPr>
              <w:spacing w:before="0" w:after="0"/>
              <w:jc w:val="right"/>
              <w:rPr>
                <w:rFonts w:eastAsia="Calibri" w:cs="Calibri"/>
                <w:b/>
                <w:color w:val="000000"/>
                <w:sz w:val="18"/>
              </w:rPr>
            </w:pPr>
          </w:p>
          <w:p w:rsidR="00AE17B5" w:rsidRDefault="00AE17B5" w:rsidP="000B31F8">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AE17B5" w:rsidRDefault="00AE17B5" w:rsidP="000B31F8">
            <w:pPr>
              <w:spacing w:before="0" w:after="0"/>
              <w:jc w:val="right"/>
              <w:rPr>
                <w:rFonts w:eastAsia="Calibri" w:cs="Calibri"/>
                <w:b/>
                <w:color w:val="000000"/>
                <w:sz w:val="18"/>
              </w:rPr>
            </w:pPr>
            <w:r>
              <w:rPr>
                <w:rFonts w:eastAsia="Calibri" w:cs="Calibri"/>
                <w:b/>
                <w:color w:val="000000"/>
                <w:sz w:val="18"/>
              </w:rPr>
              <w:t>2019-20 Estimate</w:t>
            </w:r>
          </w:p>
          <w:p w:rsidR="00AE17B5" w:rsidRDefault="00AE17B5" w:rsidP="000B31F8">
            <w:pPr>
              <w:spacing w:before="0" w:after="0"/>
              <w:jc w:val="right"/>
              <w:rPr>
                <w:rFonts w:eastAsia="Calibri" w:cs="Calibri"/>
                <w:b/>
                <w:color w:val="000000"/>
                <w:sz w:val="18"/>
              </w:rPr>
            </w:pPr>
          </w:p>
          <w:p w:rsidR="00AE17B5" w:rsidRDefault="00AE17B5" w:rsidP="000B31F8">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AE17B5" w:rsidRDefault="00AE17B5" w:rsidP="000B31F8">
            <w:pPr>
              <w:spacing w:before="0" w:after="0"/>
              <w:jc w:val="right"/>
              <w:rPr>
                <w:rFonts w:eastAsia="Calibri" w:cs="Calibri"/>
                <w:b/>
                <w:color w:val="000000"/>
                <w:sz w:val="18"/>
              </w:rPr>
            </w:pPr>
            <w:r>
              <w:rPr>
                <w:rFonts w:eastAsia="Calibri" w:cs="Calibri"/>
                <w:b/>
                <w:color w:val="000000"/>
                <w:sz w:val="18"/>
              </w:rPr>
              <w:t>2020-21 Estimate</w:t>
            </w:r>
          </w:p>
          <w:p w:rsidR="00AE17B5" w:rsidRDefault="00AE17B5" w:rsidP="000B31F8">
            <w:pPr>
              <w:spacing w:before="0" w:after="0"/>
              <w:jc w:val="right"/>
              <w:rPr>
                <w:rFonts w:eastAsia="Calibri" w:cs="Calibri"/>
                <w:b/>
                <w:color w:val="000000"/>
                <w:sz w:val="18"/>
              </w:rPr>
            </w:pPr>
          </w:p>
          <w:p w:rsidR="00AE17B5" w:rsidRDefault="00AE17B5" w:rsidP="000B31F8">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AE17B5" w:rsidRDefault="00AE17B5" w:rsidP="000B31F8">
            <w:pPr>
              <w:spacing w:before="0" w:after="0"/>
              <w:jc w:val="right"/>
              <w:rPr>
                <w:rFonts w:eastAsia="Calibri" w:cs="Calibri"/>
                <w:b/>
                <w:color w:val="000000"/>
                <w:sz w:val="18"/>
              </w:rPr>
            </w:pPr>
            <w:r>
              <w:rPr>
                <w:rFonts w:eastAsia="Calibri" w:cs="Calibri"/>
                <w:b/>
                <w:color w:val="000000"/>
                <w:sz w:val="18"/>
              </w:rPr>
              <w:t>2021-22 Estimate</w:t>
            </w:r>
          </w:p>
          <w:p w:rsidR="00AE17B5" w:rsidRDefault="00AE17B5" w:rsidP="000B31F8">
            <w:pPr>
              <w:spacing w:before="0" w:after="0"/>
              <w:jc w:val="right"/>
              <w:rPr>
                <w:rFonts w:eastAsia="Calibri" w:cs="Calibri"/>
                <w:b/>
                <w:color w:val="000000"/>
                <w:sz w:val="18"/>
              </w:rPr>
            </w:pPr>
          </w:p>
          <w:p w:rsidR="00AE17B5" w:rsidRDefault="00AE17B5" w:rsidP="000B31F8">
            <w:pPr>
              <w:spacing w:before="0" w:after="0"/>
              <w:jc w:val="right"/>
              <w:rPr>
                <w:rFonts w:eastAsia="Calibri" w:cs="Calibri"/>
                <w:b/>
                <w:color w:val="000000"/>
                <w:sz w:val="18"/>
              </w:rPr>
            </w:pPr>
            <w:r>
              <w:rPr>
                <w:rFonts w:eastAsia="Calibri" w:cs="Calibri"/>
                <w:b/>
                <w:color w:val="000000"/>
                <w:sz w:val="18"/>
              </w:rPr>
              <w:t>$'000</w:t>
            </w:r>
          </w:p>
        </w:tc>
      </w:tr>
      <w:tr w:rsidR="00AE17B5" w:rsidTr="000B3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AE17B5" w:rsidRDefault="00AE17B5" w:rsidP="000B31F8">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AE17B5" w:rsidRDefault="00AE17B5" w:rsidP="000B31F8">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AE17B5" w:rsidRDefault="00AE17B5" w:rsidP="000B31F8">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AE17B5" w:rsidRDefault="00AE17B5" w:rsidP="000B31F8">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AE17B5" w:rsidRDefault="00AE17B5" w:rsidP="000B31F8">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AE17B5" w:rsidRDefault="00AE17B5" w:rsidP="000B31F8">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rsidR="00237D6F" w:rsidRDefault="00765F6E">
            <w:pPr>
              <w:spacing w:before="0" w:after="0"/>
              <w:rPr>
                <w:rFonts w:eastAsia="Calibri" w:cs="Calibri"/>
                <w:b/>
                <w:color w:val="000000"/>
                <w:sz w:val="18"/>
              </w:rPr>
            </w:pPr>
            <w:r>
              <w:rPr>
                <w:rFonts w:eastAsia="Calibri" w:cs="Calibri"/>
                <w:b/>
                <w:color w:val="000000"/>
                <w:sz w:val="18"/>
              </w:rPr>
              <w:t>2018-19 Budget Technical Adjustments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FFFFFF"/>
                <w:sz w:val="18"/>
              </w:rPr>
            </w:pPr>
          </w:p>
        </w:tc>
      </w:tr>
      <w:tr w:rsidR="006A20BB" w:rsidTr="005D6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6A20BB" w:rsidRPr="00D67F0B" w:rsidRDefault="006A20BB" w:rsidP="005D6268">
            <w:pPr>
              <w:spacing w:before="0" w:after="0"/>
              <w:rPr>
                <w:rFonts w:eastAsia="Calibri" w:cs="Calibri"/>
                <w:color w:val="000000"/>
                <w:sz w:val="18"/>
              </w:rPr>
            </w:pPr>
            <w:r w:rsidRPr="00D67F0B">
              <w:rPr>
                <w:rFonts w:eastAsia="Calibri" w:cs="Calibri"/>
                <w:color w:val="000000"/>
                <w:sz w:val="18"/>
              </w:rPr>
              <w:t xml:space="preserve">Offset – </w:t>
            </w:r>
            <w:r w:rsidR="000E4DA3">
              <w:rPr>
                <w:rFonts w:cs="Arial"/>
                <w:color w:val="000000"/>
                <w:sz w:val="18"/>
                <w:szCs w:val="18"/>
                <w:lang w:eastAsia="en-AU"/>
              </w:rPr>
              <w:t>More mental health accommo</w:t>
            </w:r>
            <w:r w:rsidRPr="00D67F0B">
              <w:rPr>
                <w:rFonts w:cs="Arial"/>
                <w:color w:val="000000"/>
                <w:sz w:val="18"/>
                <w:szCs w:val="18"/>
                <w:lang w:eastAsia="en-AU"/>
              </w:rPr>
              <w:t>dation</w:t>
            </w:r>
          </w:p>
        </w:tc>
        <w:tc>
          <w:tcPr>
            <w:tcW w:w="1035" w:type="dxa"/>
            <w:tcBorders>
              <w:top w:val="nil"/>
              <w:left w:val="nil"/>
              <w:bottom w:val="nil"/>
              <w:right w:val="nil"/>
              <w:tl2br w:val="nil"/>
              <w:tr2bl w:val="nil"/>
            </w:tcBorders>
            <w:shd w:val="clear" w:color="auto" w:fill="auto"/>
            <w:noWrap/>
            <w:tcMar>
              <w:left w:w="101" w:type="dxa"/>
              <w:right w:w="101" w:type="dxa"/>
            </w:tcMar>
          </w:tcPr>
          <w:p w:rsidR="006A20BB" w:rsidRPr="00D67F0B" w:rsidRDefault="00AF40E5" w:rsidP="005D6268">
            <w:pPr>
              <w:spacing w:before="0" w:after="0"/>
              <w:jc w:val="right"/>
              <w:rPr>
                <w:rFonts w:eastAsia="Calibri" w:cs="Calibri"/>
                <w:color w:val="000000"/>
                <w:sz w:val="18"/>
              </w:rPr>
            </w:pPr>
            <w:r>
              <w:rPr>
                <w:rFonts w:eastAsia="Calibri" w:cs="Calibri"/>
                <w:color w:val="000000"/>
                <w:sz w:val="18"/>
              </w:rPr>
              <w:t>(</w:t>
            </w:r>
            <w:r w:rsidR="006A20BB" w:rsidRPr="00D67F0B">
              <w:rPr>
                <w:rFonts w:eastAsia="Calibri" w:cs="Calibri"/>
                <w:color w:val="000000"/>
                <w:sz w:val="18"/>
              </w:rPr>
              <w:t>7</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6A20BB" w:rsidRPr="00D67F0B" w:rsidRDefault="00AF40E5" w:rsidP="005D6268">
            <w:pPr>
              <w:spacing w:before="0" w:after="0"/>
              <w:jc w:val="right"/>
              <w:rPr>
                <w:rFonts w:eastAsia="Calibri" w:cs="Calibri"/>
                <w:color w:val="000000"/>
                <w:sz w:val="18"/>
              </w:rPr>
            </w:pPr>
            <w:r>
              <w:rPr>
                <w:rFonts w:eastAsia="Calibri" w:cs="Calibri"/>
                <w:color w:val="000000"/>
                <w:sz w:val="18"/>
              </w:rPr>
              <w:t>(</w:t>
            </w:r>
            <w:r w:rsidR="006A20BB" w:rsidRPr="00D67F0B">
              <w:rPr>
                <w:rFonts w:eastAsia="Calibri" w:cs="Calibri"/>
                <w:color w:val="000000"/>
                <w:sz w:val="18"/>
              </w:rPr>
              <w:t>24</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6A20BB" w:rsidRPr="00D67F0B" w:rsidRDefault="00AF40E5" w:rsidP="005D6268">
            <w:pPr>
              <w:spacing w:before="0" w:after="0"/>
              <w:jc w:val="right"/>
              <w:rPr>
                <w:rFonts w:eastAsia="Calibri" w:cs="Calibri"/>
                <w:color w:val="000000"/>
                <w:sz w:val="18"/>
              </w:rPr>
            </w:pPr>
            <w:r>
              <w:rPr>
                <w:rFonts w:eastAsia="Calibri" w:cs="Calibri"/>
                <w:color w:val="000000"/>
                <w:sz w:val="18"/>
              </w:rPr>
              <w:t>(</w:t>
            </w:r>
            <w:r w:rsidR="006A20BB" w:rsidRPr="00D67F0B">
              <w:rPr>
                <w:rFonts w:eastAsia="Calibri" w:cs="Calibri"/>
                <w:color w:val="000000"/>
                <w:sz w:val="18"/>
              </w:rPr>
              <w:t>2</w:t>
            </w:r>
            <w:r w:rsidR="00904EBD">
              <w:rPr>
                <w:rFonts w:eastAsia="Calibri" w:cs="Calibri"/>
                <w:color w:val="000000"/>
                <w:sz w:val="18"/>
              </w:rPr>
              <w:t>,</w:t>
            </w:r>
            <w:r w:rsidR="006A20BB" w:rsidRPr="00D67F0B">
              <w:rPr>
                <w:rFonts w:eastAsia="Calibri" w:cs="Calibri"/>
                <w:color w:val="000000"/>
                <w:sz w:val="18"/>
              </w:rPr>
              <w:t>029</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6A20BB" w:rsidRPr="00D67F0B" w:rsidRDefault="006A20BB" w:rsidP="005D6268">
            <w:pPr>
              <w:spacing w:before="0" w:after="0"/>
              <w:jc w:val="right"/>
              <w:rPr>
                <w:rFonts w:eastAsia="Calibri" w:cs="Calibri"/>
                <w:color w:val="000000"/>
                <w:sz w:val="18"/>
              </w:rPr>
            </w:pPr>
            <w:r w:rsidRPr="00D67F0B">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6A20BB" w:rsidRPr="00D67F0B" w:rsidRDefault="006A20BB" w:rsidP="005D6268">
            <w:pPr>
              <w:spacing w:before="0" w:after="0"/>
              <w:jc w:val="right"/>
              <w:rPr>
                <w:rFonts w:eastAsia="Calibri" w:cs="Calibri"/>
                <w:color w:val="000000"/>
                <w:sz w:val="18"/>
              </w:rPr>
            </w:pPr>
            <w:r w:rsidRPr="00D67F0B">
              <w:rPr>
                <w:rFonts w:eastAsia="Calibri" w:cs="Calibri"/>
                <w:color w:val="000000"/>
                <w:sz w:val="18"/>
              </w:rPr>
              <w:t>-</w:t>
            </w:r>
          </w:p>
        </w:tc>
      </w:tr>
      <w:tr w:rsidR="006A20BB" w:rsidTr="005D6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6A20BB" w:rsidRDefault="006A20BB" w:rsidP="006A20BB">
            <w:pPr>
              <w:spacing w:before="0" w:after="0"/>
              <w:rPr>
                <w:rFonts w:eastAsia="Calibri" w:cs="Calibri"/>
                <w:color w:val="000000"/>
                <w:sz w:val="18"/>
              </w:rPr>
            </w:pPr>
            <w:r>
              <w:rPr>
                <w:rFonts w:eastAsia="Calibri" w:cs="Calibri"/>
                <w:color w:val="000000"/>
                <w:sz w:val="18"/>
              </w:rPr>
              <w:t xml:space="preserve">Offset </w:t>
            </w:r>
            <w:r w:rsidRPr="00D67F0B">
              <w:rPr>
                <w:rFonts w:eastAsia="Calibri" w:cs="Calibri"/>
                <w:color w:val="000000"/>
                <w:sz w:val="18"/>
              </w:rPr>
              <w:t>–</w:t>
            </w:r>
            <w:r>
              <w:rPr>
                <w:rFonts w:eastAsia="Calibri" w:cs="Calibri"/>
                <w:color w:val="000000"/>
                <w:sz w:val="18"/>
              </w:rPr>
              <w:t xml:space="preserve"> New facility for </w:t>
            </w:r>
            <w:proofErr w:type="spellStart"/>
            <w:r>
              <w:rPr>
                <w:rFonts w:eastAsia="Calibri" w:cs="Calibri"/>
                <w:color w:val="000000"/>
                <w:sz w:val="18"/>
              </w:rPr>
              <w:t>Winnunga</w:t>
            </w:r>
            <w:proofErr w:type="spellEnd"/>
            <w:r>
              <w:rPr>
                <w:rFonts w:eastAsia="Calibri" w:cs="Calibri"/>
                <w:color w:val="000000"/>
                <w:sz w:val="18"/>
              </w:rPr>
              <w:t xml:space="preserve"> </w:t>
            </w:r>
            <w:proofErr w:type="spellStart"/>
            <w:r>
              <w:rPr>
                <w:rFonts w:eastAsia="Calibri" w:cs="Calibri"/>
                <w:color w:val="000000"/>
                <w:sz w:val="18"/>
              </w:rPr>
              <w:t>Nimmityjah</w:t>
            </w:r>
            <w:proofErr w:type="spellEnd"/>
            <w:r>
              <w:rPr>
                <w:rFonts w:eastAsia="Calibri" w:cs="Calibri"/>
                <w:color w:val="000000"/>
                <w:sz w:val="18"/>
              </w:rPr>
              <w:t xml:space="preserve"> Abor</w:t>
            </w:r>
            <w:r w:rsidR="00BC45E1">
              <w:rPr>
                <w:rFonts w:eastAsia="Calibri" w:cs="Calibri"/>
                <w:color w:val="000000"/>
                <w:sz w:val="18"/>
              </w:rPr>
              <w:t>iginal Health Service</w:t>
            </w:r>
          </w:p>
        </w:tc>
        <w:tc>
          <w:tcPr>
            <w:tcW w:w="1035" w:type="dxa"/>
            <w:tcBorders>
              <w:top w:val="nil"/>
              <w:left w:val="nil"/>
              <w:bottom w:val="nil"/>
              <w:right w:val="nil"/>
              <w:tl2br w:val="nil"/>
              <w:tr2bl w:val="nil"/>
            </w:tcBorders>
            <w:shd w:val="clear" w:color="auto" w:fill="auto"/>
            <w:noWrap/>
            <w:tcMar>
              <w:left w:w="101" w:type="dxa"/>
              <w:right w:w="101" w:type="dxa"/>
            </w:tcMar>
          </w:tcPr>
          <w:p w:rsidR="006A20BB" w:rsidRDefault="00AF40E5" w:rsidP="005D6268">
            <w:pPr>
              <w:spacing w:before="0" w:after="0"/>
              <w:jc w:val="right"/>
              <w:rPr>
                <w:rFonts w:eastAsia="Calibri" w:cs="Calibri"/>
                <w:color w:val="000000"/>
                <w:sz w:val="18"/>
              </w:rPr>
            </w:pPr>
            <w:r>
              <w:rPr>
                <w:rFonts w:eastAsia="Calibri" w:cs="Calibri"/>
                <w:color w:val="000000"/>
                <w:sz w:val="18"/>
              </w:rPr>
              <w:t>(</w:t>
            </w:r>
            <w:r w:rsidR="006A20BB">
              <w:rPr>
                <w:rFonts w:eastAsia="Calibri" w:cs="Calibri"/>
                <w:color w:val="000000"/>
                <w:sz w:val="18"/>
              </w:rPr>
              <w:t>1</w:t>
            </w:r>
            <w:r w:rsidR="00904EBD">
              <w:rPr>
                <w:rFonts w:eastAsia="Calibri" w:cs="Calibri"/>
                <w:color w:val="000000"/>
                <w:sz w:val="18"/>
              </w:rPr>
              <w:t>,</w:t>
            </w:r>
            <w:r w:rsidR="006A20BB">
              <w:rPr>
                <w:rFonts w:eastAsia="Calibri" w:cs="Calibri"/>
                <w:color w:val="000000"/>
                <w:sz w:val="18"/>
              </w:rPr>
              <w:t>000</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6A20BB" w:rsidRDefault="00AF40E5" w:rsidP="005D6268">
            <w:pPr>
              <w:spacing w:before="0" w:after="0"/>
              <w:jc w:val="right"/>
              <w:rPr>
                <w:rFonts w:eastAsia="Calibri" w:cs="Calibri"/>
                <w:color w:val="000000"/>
                <w:sz w:val="18"/>
              </w:rPr>
            </w:pPr>
            <w:r>
              <w:rPr>
                <w:rFonts w:eastAsia="Calibri" w:cs="Calibri"/>
                <w:color w:val="000000"/>
                <w:sz w:val="18"/>
              </w:rPr>
              <w:t>(</w:t>
            </w:r>
            <w:r w:rsidR="006A20BB">
              <w:rPr>
                <w:rFonts w:eastAsia="Calibri" w:cs="Calibri"/>
                <w:color w:val="000000"/>
                <w:sz w:val="18"/>
              </w:rPr>
              <w:t>5</w:t>
            </w:r>
            <w:r w:rsidR="00904EBD">
              <w:rPr>
                <w:rFonts w:eastAsia="Calibri" w:cs="Calibri"/>
                <w:color w:val="000000"/>
                <w:sz w:val="18"/>
              </w:rPr>
              <w:t>,</w:t>
            </w:r>
            <w:r w:rsidR="006A20BB">
              <w:rPr>
                <w:rFonts w:eastAsia="Calibri" w:cs="Calibri"/>
                <w:color w:val="000000"/>
                <w:sz w:val="18"/>
              </w:rPr>
              <w:t>000</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6A20BB" w:rsidRDefault="00AF40E5" w:rsidP="005D6268">
            <w:pPr>
              <w:spacing w:before="0" w:after="0"/>
              <w:jc w:val="right"/>
              <w:rPr>
                <w:rFonts w:eastAsia="Calibri" w:cs="Calibri"/>
                <w:color w:val="000000"/>
                <w:sz w:val="18"/>
              </w:rPr>
            </w:pPr>
            <w:r>
              <w:rPr>
                <w:rFonts w:eastAsia="Calibri" w:cs="Calibri"/>
                <w:color w:val="000000"/>
                <w:sz w:val="18"/>
              </w:rPr>
              <w:t>(</w:t>
            </w:r>
            <w:r w:rsidR="006A20BB">
              <w:rPr>
                <w:rFonts w:eastAsia="Calibri" w:cs="Calibri"/>
                <w:color w:val="000000"/>
                <w:sz w:val="18"/>
              </w:rPr>
              <w:t>5</w:t>
            </w:r>
            <w:r w:rsidR="00904EBD">
              <w:rPr>
                <w:rFonts w:eastAsia="Calibri" w:cs="Calibri"/>
                <w:color w:val="000000"/>
                <w:sz w:val="18"/>
              </w:rPr>
              <w:t>,</w:t>
            </w:r>
            <w:r w:rsidR="006A20BB">
              <w:rPr>
                <w:rFonts w:eastAsia="Calibri" w:cs="Calibri"/>
                <w:color w:val="000000"/>
                <w:sz w:val="18"/>
              </w:rPr>
              <w:t>600</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6A20BB" w:rsidRDefault="00AF40E5" w:rsidP="005D6268">
            <w:pPr>
              <w:spacing w:before="0" w:after="0"/>
              <w:jc w:val="right"/>
              <w:rPr>
                <w:rFonts w:eastAsia="Calibri" w:cs="Calibri"/>
                <w:color w:val="000000"/>
                <w:sz w:val="18"/>
              </w:rPr>
            </w:pPr>
            <w:r>
              <w:rPr>
                <w:rFonts w:eastAsia="Calibri" w:cs="Calibri"/>
                <w:color w:val="000000"/>
                <w:sz w:val="18"/>
              </w:rPr>
              <w:t>(</w:t>
            </w:r>
            <w:r w:rsidR="006A20BB">
              <w:rPr>
                <w:rFonts w:eastAsia="Calibri" w:cs="Calibri"/>
                <w:color w:val="000000"/>
                <w:sz w:val="18"/>
              </w:rPr>
              <w:t>400</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6A20BB" w:rsidRDefault="006A20BB" w:rsidP="005D6268">
            <w:pPr>
              <w:spacing w:before="0" w:after="0"/>
              <w:jc w:val="right"/>
              <w:rPr>
                <w:rFonts w:eastAsia="Calibri" w:cs="Calibri"/>
                <w:color w:val="000000"/>
                <w:sz w:val="18"/>
              </w:rPr>
            </w:pPr>
            <w:r>
              <w:rPr>
                <w:rFonts w:eastAsia="Calibri" w:cs="Calibri"/>
                <w:color w:val="000000"/>
                <w:sz w:val="18"/>
              </w:rPr>
              <w:t>-</w:t>
            </w:r>
          </w:p>
        </w:tc>
      </w:tr>
      <w:tr w:rsidR="008A2C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8A2C93" w:rsidRDefault="008A2C93">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8A2C93" w:rsidRDefault="008A2C93">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8A2C93" w:rsidRDefault="008A2C93">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8A2C93" w:rsidRDefault="008A2C93">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8A2C93" w:rsidRDefault="008A2C93">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8A2C93" w:rsidRDefault="008A2C93">
            <w:pPr>
              <w:spacing w:before="0" w:after="0"/>
              <w:jc w:val="right"/>
              <w:rPr>
                <w:rFonts w:eastAsia="Calibri" w:cs="Calibri"/>
                <w:color w:val="000000"/>
                <w:sz w:val="18"/>
              </w:rPr>
            </w:pPr>
          </w:p>
        </w:tc>
      </w:tr>
      <w:tr w:rsidR="008A2C93" w:rsidTr="00A34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4800" w:type="dxa"/>
            <w:tcBorders>
              <w:top w:val="nil"/>
              <w:left w:val="nil"/>
              <w:bottom w:val="nil"/>
              <w:right w:val="nil"/>
              <w:tl2br w:val="nil"/>
              <w:tr2bl w:val="nil"/>
            </w:tcBorders>
            <w:shd w:val="clear" w:color="auto" w:fill="auto"/>
            <w:tcMar>
              <w:left w:w="101" w:type="dxa"/>
              <w:right w:w="101" w:type="dxa"/>
            </w:tcMar>
          </w:tcPr>
          <w:p w:rsidR="008A2C93" w:rsidRPr="008C1B46" w:rsidRDefault="008A2C93">
            <w:pPr>
              <w:spacing w:before="0" w:after="0"/>
              <w:rPr>
                <w:rFonts w:eastAsia="Calibri" w:cs="Calibri"/>
                <w:color w:val="000000"/>
                <w:sz w:val="18"/>
                <w:u w:val="single"/>
              </w:rPr>
            </w:pPr>
            <w:r w:rsidRPr="008C1B46">
              <w:rPr>
                <w:rFonts w:eastAsia="Calibri" w:cs="Calibri"/>
                <w:color w:val="000000"/>
                <w:sz w:val="18"/>
                <w:u w:val="single"/>
              </w:rPr>
              <w:t>Revised Funding Profile</w:t>
            </w:r>
          </w:p>
        </w:tc>
        <w:tc>
          <w:tcPr>
            <w:tcW w:w="1035" w:type="dxa"/>
            <w:tcBorders>
              <w:top w:val="nil"/>
              <w:left w:val="nil"/>
              <w:bottom w:val="nil"/>
              <w:right w:val="nil"/>
              <w:tl2br w:val="nil"/>
              <w:tr2bl w:val="nil"/>
            </w:tcBorders>
            <w:shd w:val="clear" w:color="auto" w:fill="auto"/>
            <w:noWrap/>
            <w:tcMar>
              <w:left w:w="101" w:type="dxa"/>
              <w:right w:w="101" w:type="dxa"/>
            </w:tcMar>
          </w:tcPr>
          <w:p w:rsidR="008A2C93" w:rsidRDefault="008A2C93">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8A2C93" w:rsidRDefault="008A2C93">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8A2C93" w:rsidRDefault="008A2C93">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8A2C93" w:rsidRDefault="008A2C93">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8A2C93" w:rsidRDefault="008A2C93">
            <w:pPr>
              <w:spacing w:before="0" w:after="0"/>
              <w:jc w:val="right"/>
              <w:rPr>
                <w:rFonts w:eastAsia="Calibri" w:cs="Calibri"/>
                <w:color w:val="000000"/>
                <w:sz w:val="18"/>
              </w:rPr>
            </w:pPr>
          </w:p>
        </w:tc>
      </w:tr>
      <w:tr w:rsidR="00A34885" w:rsidTr="00B43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A34885" w:rsidRDefault="00A34885" w:rsidP="00B43A2B">
            <w:pPr>
              <w:spacing w:before="0" w:after="0"/>
              <w:rPr>
                <w:rFonts w:eastAsia="Calibri" w:cs="Calibri"/>
                <w:color w:val="000000"/>
                <w:sz w:val="18"/>
              </w:rPr>
            </w:pPr>
            <w:r>
              <w:rPr>
                <w:rFonts w:eastAsia="Calibri" w:cs="Calibri"/>
                <w:color w:val="000000"/>
                <w:sz w:val="18"/>
              </w:rPr>
              <w:t>An E-Healthy Future</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F40E5" w:rsidP="00B43A2B">
            <w:pPr>
              <w:spacing w:before="0" w:after="0"/>
              <w:jc w:val="right"/>
              <w:rPr>
                <w:rFonts w:eastAsia="Calibri" w:cs="Calibri"/>
                <w:color w:val="000000"/>
                <w:sz w:val="18"/>
              </w:rPr>
            </w:pPr>
            <w:r>
              <w:rPr>
                <w:rFonts w:eastAsia="Calibri" w:cs="Calibri"/>
                <w:color w:val="000000"/>
                <w:sz w:val="18"/>
              </w:rPr>
              <w:t>(</w:t>
            </w:r>
            <w:r w:rsidR="00A34885">
              <w:rPr>
                <w:rFonts w:eastAsia="Calibri" w:cs="Calibri"/>
                <w:color w:val="000000"/>
                <w:sz w:val="18"/>
              </w:rPr>
              <w:t>5</w:t>
            </w:r>
            <w:r w:rsidR="00904EBD">
              <w:rPr>
                <w:rFonts w:eastAsia="Calibri" w:cs="Calibri"/>
                <w:color w:val="000000"/>
                <w:sz w:val="18"/>
              </w:rPr>
              <w:t>,</w:t>
            </w:r>
            <w:r w:rsidR="00A34885">
              <w:rPr>
                <w:rFonts w:eastAsia="Calibri" w:cs="Calibri"/>
                <w:color w:val="000000"/>
                <w:sz w:val="18"/>
              </w:rPr>
              <w:t>064</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34885" w:rsidP="00B43A2B">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854</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34885" w:rsidP="00B43A2B">
            <w:pPr>
              <w:spacing w:before="0" w:after="0"/>
              <w:jc w:val="right"/>
              <w:rPr>
                <w:rFonts w:eastAsia="Calibri" w:cs="Calibri"/>
                <w:color w:val="000000"/>
                <w:sz w:val="18"/>
              </w:rPr>
            </w:pPr>
            <w:r>
              <w:rPr>
                <w:rFonts w:eastAsia="Calibri" w:cs="Calibri"/>
                <w:color w:val="000000"/>
                <w:sz w:val="18"/>
              </w:rPr>
              <w:t>3</w:t>
            </w:r>
            <w:r w:rsidR="00904EBD">
              <w:rPr>
                <w:rFonts w:eastAsia="Calibri" w:cs="Calibri"/>
                <w:color w:val="000000"/>
                <w:sz w:val="18"/>
              </w:rPr>
              <w:t>,</w:t>
            </w:r>
            <w:r>
              <w:rPr>
                <w:rFonts w:eastAsia="Calibri" w:cs="Calibri"/>
                <w:color w:val="000000"/>
                <w:sz w:val="18"/>
              </w:rPr>
              <w:t>210</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34885" w:rsidP="00B43A2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34885" w:rsidP="00B43A2B">
            <w:pPr>
              <w:spacing w:before="0" w:after="0"/>
              <w:jc w:val="right"/>
              <w:rPr>
                <w:rFonts w:eastAsia="Calibri" w:cs="Calibri"/>
                <w:color w:val="000000"/>
                <w:sz w:val="18"/>
              </w:rPr>
            </w:pPr>
            <w:r>
              <w:rPr>
                <w:rFonts w:eastAsia="Calibri" w:cs="Calibri"/>
                <w:color w:val="000000"/>
                <w:sz w:val="18"/>
              </w:rPr>
              <w:t>-</w:t>
            </w:r>
          </w:p>
        </w:tc>
      </w:tr>
      <w:tr w:rsidR="00A34885" w:rsidTr="00B43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A34885" w:rsidRDefault="00A34885" w:rsidP="00B43A2B">
            <w:pPr>
              <w:spacing w:before="0" w:after="0"/>
              <w:rPr>
                <w:rFonts w:eastAsia="Calibri" w:cs="Calibri"/>
                <w:color w:val="000000"/>
                <w:sz w:val="18"/>
              </w:rPr>
            </w:pPr>
            <w:r>
              <w:rPr>
                <w:rFonts w:eastAsia="Calibri" w:cs="Calibri"/>
                <w:color w:val="000000"/>
                <w:sz w:val="18"/>
              </w:rPr>
              <w:t>Bowes Street Fit Out</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F40E5" w:rsidP="00B43A2B">
            <w:pPr>
              <w:spacing w:before="0" w:after="0"/>
              <w:jc w:val="right"/>
              <w:rPr>
                <w:rFonts w:eastAsia="Calibri" w:cs="Calibri"/>
                <w:color w:val="000000"/>
                <w:sz w:val="18"/>
              </w:rPr>
            </w:pPr>
            <w:r>
              <w:rPr>
                <w:rFonts w:eastAsia="Calibri" w:cs="Calibri"/>
                <w:color w:val="000000"/>
                <w:sz w:val="18"/>
              </w:rPr>
              <w:t>(</w:t>
            </w:r>
            <w:r w:rsidR="00A34885">
              <w:rPr>
                <w:rFonts w:eastAsia="Calibri" w:cs="Calibri"/>
                <w:color w:val="000000"/>
                <w:sz w:val="18"/>
              </w:rPr>
              <w:t>126</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34885" w:rsidP="00B43A2B">
            <w:pPr>
              <w:spacing w:before="0" w:after="0"/>
              <w:jc w:val="right"/>
              <w:rPr>
                <w:rFonts w:eastAsia="Calibri" w:cs="Calibri"/>
                <w:color w:val="000000"/>
                <w:sz w:val="18"/>
              </w:rPr>
            </w:pPr>
            <w:r>
              <w:rPr>
                <w:rFonts w:eastAsia="Calibri" w:cs="Calibri"/>
                <w:color w:val="000000"/>
                <w:sz w:val="18"/>
              </w:rPr>
              <w:t>126</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34885" w:rsidP="00B43A2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34885" w:rsidP="00B43A2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34885" w:rsidP="00B43A2B">
            <w:pPr>
              <w:spacing w:before="0" w:after="0"/>
              <w:jc w:val="right"/>
              <w:rPr>
                <w:rFonts w:eastAsia="Calibri" w:cs="Calibri"/>
                <w:color w:val="000000"/>
                <w:sz w:val="18"/>
              </w:rPr>
            </w:pPr>
            <w:r>
              <w:rPr>
                <w:rFonts w:eastAsia="Calibri" w:cs="Calibri"/>
                <w:color w:val="000000"/>
                <w:sz w:val="18"/>
              </w:rPr>
              <w:t>-</w:t>
            </w:r>
          </w:p>
        </w:tc>
      </w:tr>
      <w:tr w:rsidR="00A34885" w:rsidTr="00B43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A34885" w:rsidRDefault="00A34885" w:rsidP="00B43A2B">
            <w:pPr>
              <w:spacing w:before="0" w:after="0"/>
              <w:rPr>
                <w:rFonts w:eastAsia="Calibri" w:cs="Calibri"/>
                <w:color w:val="000000"/>
                <w:sz w:val="18"/>
              </w:rPr>
            </w:pPr>
            <w:r>
              <w:rPr>
                <w:rFonts w:eastAsia="Calibri" w:cs="Calibri"/>
                <w:color w:val="000000"/>
                <w:sz w:val="18"/>
              </w:rPr>
              <w:t>Clinical Services and Inpatient Unit Design and Infrastructure Expansion</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F40E5" w:rsidP="00B43A2B">
            <w:pPr>
              <w:spacing w:before="0" w:after="0"/>
              <w:jc w:val="right"/>
              <w:rPr>
                <w:rFonts w:eastAsia="Calibri" w:cs="Calibri"/>
                <w:color w:val="000000"/>
                <w:sz w:val="18"/>
              </w:rPr>
            </w:pPr>
            <w:r>
              <w:rPr>
                <w:rFonts w:eastAsia="Calibri" w:cs="Calibri"/>
                <w:color w:val="000000"/>
                <w:sz w:val="18"/>
              </w:rPr>
              <w:t>(</w:t>
            </w:r>
            <w:r w:rsidR="00A34885">
              <w:rPr>
                <w:rFonts w:eastAsia="Calibri" w:cs="Calibri"/>
                <w:color w:val="000000"/>
                <w:sz w:val="18"/>
              </w:rPr>
              <w:t>1</w:t>
            </w:r>
            <w:r w:rsidR="00904EBD">
              <w:rPr>
                <w:rFonts w:eastAsia="Calibri" w:cs="Calibri"/>
                <w:color w:val="000000"/>
                <w:sz w:val="18"/>
              </w:rPr>
              <w:t>,</w:t>
            </w:r>
            <w:r w:rsidR="00A34885">
              <w:rPr>
                <w:rFonts w:eastAsia="Calibri" w:cs="Calibri"/>
                <w:color w:val="000000"/>
                <w:sz w:val="18"/>
              </w:rPr>
              <w:t>846</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34885" w:rsidP="00B43A2B">
            <w:pPr>
              <w:spacing w:before="0" w:after="0"/>
              <w:jc w:val="right"/>
              <w:rPr>
                <w:rFonts w:eastAsia="Calibri" w:cs="Calibri"/>
                <w:color w:val="000000"/>
                <w:sz w:val="18"/>
              </w:rPr>
            </w:pPr>
            <w:r>
              <w:rPr>
                <w:rFonts w:eastAsia="Calibri" w:cs="Calibri"/>
                <w:color w:val="000000"/>
                <w:sz w:val="18"/>
              </w:rPr>
              <w:t>923</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34885" w:rsidP="00B43A2B">
            <w:pPr>
              <w:spacing w:before="0" w:after="0"/>
              <w:jc w:val="right"/>
              <w:rPr>
                <w:rFonts w:eastAsia="Calibri" w:cs="Calibri"/>
                <w:color w:val="000000"/>
                <w:sz w:val="18"/>
              </w:rPr>
            </w:pPr>
            <w:r>
              <w:rPr>
                <w:rFonts w:eastAsia="Calibri" w:cs="Calibri"/>
                <w:color w:val="000000"/>
                <w:sz w:val="18"/>
              </w:rPr>
              <w:t>923</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34885" w:rsidP="00B43A2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34885" w:rsidP="00B43A2B">
            <w:pPr>
              <w:spacing w:before="0" w:after="0"/>
              <w:jc w:val="right"/>
              <w:rPr>
                <w:rFonts w:eastAsia="Calibri" w:cs="Calibri"/>
                <w:color w:val="000000"/>
                <w:sz w:val="18"/>
              </w:rPr>
            </w:pPr>
            <w:r>
              <w:rPr>
                <w:rFonts w:eastAsia="Calibri" w:cs="Calibri"/>
                <w:color w:val="000000"/>
                <w:sz w:val="18"/>
              </w:rPr>
              <w:t>-</w:t>
            </w:r>
          </w:p>
        </w:tc>
      </w:tr>
      <w:tr w:rsidR="00A34885" w:rsidTr="00B43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A34885" w:rsidRDefault="00A34885" w:rsidP="005D7538">
            <w:pPr>
              <w:spacing w:before="0" w:after="0"/>
              <w:rPr>
                <w:rFonts w:eastAsia="Calibri" w:cs="Calibri"/>
                <w:color w:val="000000"/>
                <w:sz w:val="18"/>
              </w:rPr>
            </w:pPr>
            <w:r>
              <w:rPr>
                <w:rFonts w:eastAsia="Calibri" w:cs="Calibri"/>
                <w:color w:val="000000"/>
                <w:sz w:val="18"/>
              </w:rPr>
              <w:t xml:space="preserve">Clinical Services Redevelopment </w:t>
            </w:r>
            <w:r w:rsidR="005D7538">
              <w:rPr>
                <w:rFonts w:eastAsia="Calibri" w:cs="Calibri"/>
                <w:color w:val="000000"/>
                <w:sz w:val="18"/>
              </w:rPr>
              <w:t>-</w:t>
            </w:r>
            <w:r>
              <w:rPr>
                <w:rFonts w:eastAsia="Calibri" w:cs="Calibri"/>
                <w:color w:val="000000"/>
                <w:sz w:val="18"/>
              </w:rPr>
              <w:t xml:space="preserve"> Phase 2</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F40E5" w:rsidP="00B43A2B">
            <w:pPr>
              <w:spacing w:before="0" w:after="0"/>
              <w:jc w:val="right"/>
              <w:rPr>
                <w:rFonts w:eastAsia="Calibri" w:cs="Calibri"/>
                <w:color w:val="000000"/>
                <w:sz w:val="18"/>
              </w:rPr>
            </w:pPr>
            <w:r>
              <w:rPr>
                <w:rFonts w:eastAsia="Calibri" w:cs="Calibri"/>
                <w:color w:val="000000"/>
                <w:sz w:val="18"/>
              </w:rPr>
              <w:t>(</w:t>
            </w:r>
            <w:r w:rsidR="00A34885">
              <w:rPr>
                <w:rFonts w:eastAsia="Calibri" w:cs="Calibri"/>
                <w:color w:val="000000"/>
                <w:sz w:val="18"/>
              </w:rPr>
              <w:t>217</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34885" w:rsidP="00B43A2B">
            <w:pPr>
              <w:spacing w:before="0" w:after="0"/>
              <w:jc w:val="right"/>
              <w:rPr>
                <w:rFonts w:eastAsia="Calibri" w:cs="Calibri"/>
                <w:color w:val="000000"/>
                <w:sz w:val="18"/>
              </w:rPr>
            </w:pPr>
            <w:r>
              <w:rPr>
                <w:rFonts w:eastAsia="Calibri" w:cs="Calibri"/>
                <w:color w:val="000000"/>
                <w:sz w:val="18"/>
              </w:rPr>
              <w:t>217</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34885" w:rsidP="00B43A2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34885" w:rsidP="00B43A2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34885" w:rsidP="00B43A2B">
            <w:pPr>
              <w:spacing w:before="0" w:after="0"/>
              <w:jc w:val="right"/>
              <w:rPr>
                <w:rFonts w:eastAsia="Calibri" w:cs="Calibri"/>
                <w:color w:val="000000"/>
                <w:sz w:val="18"/>
              </w:rPr>
            </w:pPr>
            <w:r>
              <w:rPr>
                <w:rFonts w:eastAsia="Calibri" w:cs="Calibri"/>
                <w:color w:val="000000"/>
                <w:sz w:val="18"/>
              </w:rPr>
              <w:t>-</w:t>
            </w:r>
          </w:p>
        </w:tc>
      </w:tr>
      <w:tr w:rsidR="00A34885" w:rsidTr="00B43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A34885" w:rsidRDefault="00A34885" w:rsidP="005D7538">
            <w:pPr>
              <w:spacing w:before="0" w:after="0"/>
              <w:rPr>
                <w:rFonts w:eastAsia="Calibri" w:cs="Calibri"/>
                <w:color w:val="000000"/>
                <w:sz w:val="18"/>
              </w:rPr>
            </w:pPr>
            <w:r>
              <w:rPr>
                <w:rFonts w:eastAsia="Calibri" w:cs="Calibri"/>
                <w:color w:val="000000"/>
                <w:sz w:val="18"/>
              </w:rPr>
              <w:t xml:space="preserve">Clinical Services Redevelopment </w:t>
            </w:r>
            <w:r w:rsidR="005D7538">
              <w:rPr>
                <w:rFonts w:eastAsia="Calibri" w:cs="Calibri"/>
                <w:color w:val="000000"/>
                <w:sz w:val="18"/>
              </w:rPr>
              <w:t>-</w:t>
            </w:r>
            <w:r>
              <w:rPr>
                <w:rFonts w:eastAsia="Calibri" w:cs="Calibri"/>
                <w:color w:val="000000"/>
                <w:sz w:val="18"/>
              </w:rPr>
              <w:t xml:space="preserve"> Phase 3</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F40E5" w:rsidP="00B43A2B">
            <w:pPr>
              <w:spacing w:before="0" w:after="0"/>
              <w:jc w:val="right"/>
              <w:rPr>
                <w:rFonts w:eastAsia="Calibri" w:cs="Calibri"/>
                <w:color w:val="000000"/>
                <w:sz w:val="18"/>
              </w:rPr>
            </w:pPr>
            <w:r>
              <w:rPr>
                <w:rFonts w:eastAsia="Calibri" w:cs="Calibri"/>
                <w:color w:val="000000"/>
                <w:sz w:val="18"/>
              </w:rPr>
              <w:t>(</w:t>
            </w:r>
            <w:r w:rsidR="00A34885">
              <w:rPr>
                <w:rFonts w:eastAsia="Calibri" w:cs="Calibri"/>
                <w:color w:val="000000"/>
                <w:sz w:val="18"/>
              </w:rPr>
              <w:t>2</w:t>
            </w:r>
            <w:r w:rsidR="00904EBD">
              <w:rPr>
                <w:rFonts w:eastAsia="Calibri" w:cs="Calibri"/>
                <w:color w:val="000000"/>
                <w:sz w:val="18"/>
              </w:rPr>
              <w:t>,</w:t>
            </w:r>
            <w:r w:rsidR="00A34885">
              <w:rPr>
                <w:rFonts w:eastAsia="Calibri" w:cs="Calibri"/>
                <w:color w:val="000000"/>
                <w:sz w:val="18"/>
              </w:rPr>
              <w:t>022</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34885" w:rsidP="00B43A2B">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011</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34885" w:rsidP="00B43A2B">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011</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34885" w:rsidP="00B43A2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34885" w:rsidP="00B43A2B">
            <w:pPr>
              <w:spacing w:before="0" w:after="0"/>
              <w:jc w:val="right"/>
              <w:rPr>
                <w:rFonts w:eastAsia="Calibri" w:cs="Calibri"/>
                <w:color w:val="000000"/>
                <w:sz w:val="18"/>
              </w:rPr>
            </w:pPr>
            <w:r>
              <w:rPr>
                <w:rFonts w:eastAsia="Calibri" w:cs="Calibri"/>
                <w:color w:val="000000"/>
                <w:sz w:val="18"/>
              </w:rPr>
              <w:t>-</w:t>
            </w:r>
          </w:p>
        </w:tc>
      </w:tr>
      <w:tr w:rsidR="00A34885" w:rsidTr="00B43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A34885" w:rsidRDefault="00A34885" w:rsidP="005D7538">
            <w:pPr>
              <w:spacing w:before="0" w:after="0"/>
              <w:rPr>
                <w:rFonts w:eastAsia="Calibri" w:cs="Calibri"/>
                <w:color w:val="000000"/>
                <w:sz w:val="18"/>
              </w:rPr>
            </w:pPr>
            <w:r>
              <w:rPr>
                <w:rFonts w:eastAsia="Calibri" w:cs="Calibri"/>
                <w:color w:val="000000"/>
                <w:sz w:val="18"/>
              </w:rPr>
              <w:t xml:space="preserve">Continuity of Health Services Plan </w:t>
            </w:r>
            <w:r w:rsidR="005D7538">
              <w:rPr>
                <w:rFonts w:eastAsia="Calibri" w:cs="Calibri"/>
                <w:color w:val="000000"/>
                <w:sz w:val="18"/>
              </w:rPr>
              <w:t>-</w:t>
            </w:r>
            <w:r>
              <w:rPr>
                <w:rFonts w:eastAsia="Calibri" w:cs="Calibri"/>
                <w:color w:val="000000"/>
                <w:sz w:val="18"/>
              </w:rPr>
              <w:t xml:space="preserve"> Essential Infrastructure</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F40E5" w:rsidP="00B43A2B">
            <w:pPr>
              <w:spacing w:before="0" w:after="0"/>
              <w:jc w:val="right"/>
              <w:rPr>
                <w:rFonts w:eastAsia="Calibri" w:cs="Calibri"/>
                <w:color w:val="000000"/>
                <w:sz w:val="18"/>
              </w:rPr>
            </w:pPr>
            <w:r>
              <w:rPr>
                <w:rFonts w:eastAsia="Calibri" w:cs="Calibri"/>
                <w:color w:val="000000"/>
                <w:sz w:val="18"/>
              </w:rPr>
              <w:t>(</w:t>
            </w:r>
            <w:r w:rsidR="00A34885">
              <w:rPr>
                <w:rFonts w:eastAsia="Calibri" w:cs="Calibri"/>
                <w:color w:val="000000"/>
                <w:sz w:val="18"/>
              </w:rPr>
              <w:t>169</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34885" w:rsidP="00B43A2B">
            <w:pPr>
              <w:spacing w:before="0" w:after="0"/>
              <w:jc w:val="right"/>
              <w:rPr>
                <w:rFonts w:eastAsia="Calibri" w:cs="Calibri"/>
                <w:color w:val="000000"/>
                <w:sz w:val="18"/>
              </w:rPr>
            </w:pPr>
            <w:r>
              <w:rPr>
                <w:rFonts w:eastAsia="Calibri" w:cs="Calibri"/>
                <w:color w:val="000000"/>
                <w:sz w:val="18"/>
              </w:rPr>
              <w:t>169</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34885" w:rsidP="00B43A2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34885" w:rsidP="00B43A2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34885" w:rsidP="00B43A2B">
            <w:pPr>
              <w:spacing w:before="0" w:after="0"/>
              <w:jc w:val="right"/>
              <w:rPr>
                <w:rFonts w:eastAsia="Calibri" w:cs="Calibri"/>
                <w:color w:val="000000"/>
                <w:sz w:val="18"/>
              </w:rPr>
            </w:pPr>
            <w:r>
              <w:rPr>
                <w:rFonts w:eastAsia="Calibri" w:cs="Calibri"/>
                <w:color w:val="000000"/>
                <w:sz w:val="18"/>
              </w:rPr>
              <w:t>-</w:t>
            </w:r>
          </w:p>
        </w:tc>
      </w:tr>
      <w:tr w:rsidR="00B43A2B" w:rsidTr="00B43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B43A2B" w:rsidRDefault="00B43A2B" w:rsidP="005D7538">
            <w:pPr>
              <w:spacing w:before="0" w:after="0"/>
              <w:rPr>
                <w:rFonts w:eastAsia="Calibri" w:cs="Calibri"/>
                <w:color w:val="000000"/>
                <w:sz w:val="18"/>
              </w:rPr>
            </w:pPr>
            <w:r>
              <w:rPr>
                <w:rFonts w:eastAsia="Calibri" w:cs="Calibri"/>
                <w:color w:val="000000"/>
                <w:sz w:val="18"/>
              </w:rPr>
              <w:t xml:space="preserve">Health Infrastructure Program </w:t>
            </w:r>
            <w:r w:rsidR="005D7538">
              <w:rPr>
                <w:rFonts w:eastAsia="Calibri" w:cs="Calibri"/>
                <w:color w:val="000000"/>
                <w:sz w:val="18"/>
              </w:rPr>
              <w:t>-</w:t>
            </w:r>
            <w:r>
              <w:rPr>
                <w:rFonts w:eastAsia="Calibri" w:cs="Calibri"/>
                <w:color w:val="000000"/>
                <w:sz w:val="18"/>
              </w:rPr>
              <w:t xml:space="preserve"> Project management continuation</w:t>
            </w:r>
          </w:p>
        </w:tc>
        <w:tc>
          <w:tcPr>
            <w:tcW w:w="1035" w:type="dxa"/>
            <w:tcBorders>
              <w:top w:val="nil"/>
              <w:left w:val="nil"/>
              <w:bottom w:val="nil"/>
              <w:right w:val="nil"/>
              <w:tl2br w:val="nil"/>
              <w:tr2bl w:val="nil"/>
            </w:tcBorders>
            <w:shd w:val="clear" w:color="auto" w:fill="auto"/>
            <w:noWrap/>
            <w:tcMar>
              <w:left w:w="101" w:type="dxa"/>
              <w:right w:w="101" w:type="dxa"/>
            </w:tcMar>
          </w:tcPr>
          <w:p w:rsidR="00B43A2B" w:rsidRDefault="00AF40E5" w:rsidP="00B43A2B">
            <w:pPr>
              <w:spacing w:before="0" w:after="0"/>
              <w:jc w:val="right"/>
              <w:rPr>
                <w:rFonts w:eastAsia="Calibri" w:cs="Calibri"/>
                <w:color w:val="000000"/>
                <w:sz w:val="18"/>
              </w:rPr>
            </w:pPr>
            <w:r>
              <w:rPr>
                <w:rFonts w:eastAsia="Calibri" w:cs="Calibri"/>
                <w:color w:val="000000"/>
                <w:sz w:val="18"/>
              </w:rPr>
              <w:t>(</w:t>
            </w:r>
            <w:r w:rsidR="00B43A2B">
              <w:rPr>
                <w:rFonts w:eastAsia="Calibri" w:cs="Calibri"/>
                <w:color w:val="000000"/>
                <w:sz w:val="18"/>
              </w:rPr>
              <w:t>490</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B43A2B" w:rsidRDefault="00B43A2B" w:rsidP="00B43A2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B43A2B" w:rsidRDefault="00B43A2B" w:rsidP="00B43A2B">
            <w:pPr>
              <w:spacing w:before="0" w:after="0"/>
              <w:jc w:val="right"/>
              <w:rPr>
                <w:rFonts w:eastAsia="Calibri" w:cs="Calibri"/>
                <w:color w:val="000000"/>
                <w:sz w:val="18"/>
              </w:rPr>
            </w:pPr>
            <w:r>
              <w:rPr>
                <w:rFonts w:eastAsia="Calibri" w:cs="Calibri"/>
                <w:color w:val="000000"/>
                <w:sz w:val="18"/>
              </w:rPr>
              <w:t>490</w:t>
            </w:r>
          </w:p>
        </w:tc>
        <w:tc>
          <w:tcPr>
            <w:tcW w:w="1035" w:type="dxa"/>
            <w:tcBorders>
              <w:top w:val="nil"/>
              <w:left w:val="nil"/>
              <w:bottom w:val="nil"/>
              <w:right w:val="nil"/>
              <w:tl2br w:val="nil"/>
              <w:tr2bl w:val="nil"/>
            </w:tcBorders>
            <w:shd w:val="clear" w:color="auto" w:fill="auto"/>
            <w:noWrap/>
            <w:tcMar>
              <w:left w:w="101" w:type="dxa"/>
              <w:right w:w="101" w:type="dxa"/>
            </w:tcMar>
          </w:tcPr>
          <w:p w:rsidR="00B43A2B" w:rsidRDefault="00B43A2B" w:rsidP="00B43A2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B43A2B" w:rsidRDefault="00B43A2B" w:rsidP="00B43A2B">
            <w:pPr>
              <w:spacing w:before="0" w:after="0"/>
              <w:jc w:val="right"/>
              <w:rPr>
                <w:rFonts w:eastAsia="Calibri" w:cs="Calibri"/>
                <w:color w:val="000000"/>
                <w:sz w:val="18"/>
              </w:rPr>
            </w:pPr>
            <w:r>
              <w:rPr>
                <w:rFonts w:eastAsia="Calibri" w:cs="Calibri"/>
                <w:color w:val="000000"/>
                <w:sz w:val="18"/>
              </w:rPr>
              <w:t>-</w:t>
            </w:r>
          </w:p>
        </w:tc>
      </w:tr>
      <w:tr w:rsidR="00B43A2B" w:rsidTr="00B43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B43A2B" w:rsidRDefault="00B43A2B" w:rsidP="00B43A2B">
            <w:pPr>
              <w:spacing w:before="0" w:after="0"/>
              <w:rPr>
                <w:rFonts w:eastAsia="Calibri" w:cs="Calibri"/>
                <w:color w:val="000000"/>
                <w:sz w:val="18"/>
              </w:rPr>
            </w:pPr>
            <w:r>
              <w:rPr>
                <w:rFonts w:eastAsia="Calibri" w:cs="Calibri"/>
                <w:color w:val="000000"/>
                <w:sz w:val="18"/>
              </w:rPr>
              <w:t>Improved infrastructure for acute aged care and cancer inpatients</w:t>
            </w:r>
          </w:p>
        </w:tc>
        <w:tc>
          <w:tcPr>
            <w:tcW w:w="1035" w:type="dxa"/>
            <w:tcBorders>
              <w:top w:val="nil"/>
              <w:left w:val="nil"/>
              <w:bottom w:val="nil"/>
              <w:right w:val="nil"/>
              <w:tl2br w:val="nil"/>
              <w:tr2bl w:val="nil"/>
            </w:tcBorders>
            <w:shd w:val="clear" w:color="auto" w:fill="auto"/>
            <w:noWrap/>
            <w:tcMar>
              <w:left w:w="101" w:type="dxa"/>
              <w:right w:w="101" w:type="dxa"/>
            </w:tcMar>
          </w:tcPr>
          <w:p w:rsidR="00B43A2B" w:rsidRDefault="00AF40E5" w:rsidP="00B43A2B">
            <w:pPr>
              <w:spacing w:before="0" w:after="0"/>
              <w:jc w:val="right"/>
              <w:rPr>
                <w:rFonts w:eastAsia="Calibri" w:cs="Calibri"/>
                <w:color w:val="000000"/>
                <w:sz w:val="18"/>
              </w:rPr>
            </w:pPr>
            <w:r>
              <w:rPr>
                <w:rFonts w:eastAsia="Calibri" w:cs="Calibri"/>
                <w:color w:val="000000"/>
                <w:sz w:val="18"/>
              </w:rPr>
              <w:t>(</w:t>
            </w:r>
            <w:r w:rsidR="00B43A2B">
              <w:rPr>
                <w:rFonts w:eastAsia="Calibri" w:cs="Calibri"/>
                <w:color w:val="000000"/>
                <w:sz w:val="18"/>
              </w:rPr>
              <w:t>9</w:t>
            </w:r>
            <w:r w:rsidR="00904EBD">
              <w:rPr>
                <w:rFonts w:eastAsia="Calibri" w:cs="Calibri"/>
                <w:color w:val="000000"/>
                <w:sz w:val="18"/>
              </w:rPr>
              <w:t>,</w:t>
            </w:r>
            <w:r w:rsidR="00B43A2B">
              <w:rPr>
                <w:rFonts w:eastAsia="Calibri" w:cs="Calibri"/>
                <w:color w:val="000000"/>
                <w:sz w:val="18"/>
              </w:rPr>
              <w:t>419</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B43A2B" w:rsidRDefault="00AF40E5" w:rsidP="00B43A2B">
            <w:pPr>
              <w:spacing w:before="0" w:after="0"/>
              <w:jc w:val="right"/>
              <w:rPr>
                <w:rFonts w:eastAsia="Calibri" w:cs="Calibri"/>
                <w:color w:val="000000"/>
                <w:sz w:val="18"/>
              </w:rPr>
            </w:pPr>
            <w:r>
              <w:rPr>
                <w:rFonts w:eastAsia="Calibri" w:cs="Calibri"/>
                <w:color w:val="000000"/>
                <w:sz w:val="18"/>
              </w:rPr>
              <w:t>(</w:t>
            </w:r>
            <w:r w:rsidR="00B43A2B">
              <w:rPr>
                <w:rFonts w:eastAsia="Calibri" w:cs="Calibri"/>
                <w:color w:val="000000"/>
                <w:sz w:val="18"/>
              </w:rPr>
              <w:t>217</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B43A2B" w:rsidRDefault="00B43A2B" w:rsidP="00B43A2B">
            <w:pPr>
              <w:spacing w:before="0" w:after="0"/>
              <w:jc w:val="right"/>
              <w:rPr>
                <w:rFonts w:eastAsia="Calibri" w:cs="Calibri"/>
                <w:color w:val="000000"/>
                <w:sz w:val="18"/>
              </w:rPr>
            </w:pPr>
            <w:r>
              <w:rPr>
                <w:rFonts w:eastAsia="Calibri" w:cs="Calibri"/>
                <w:color w:val="000000"/>
                <w:sz w:val="18"/>
              </w:rPr>
              <w:t>9</w:t>
            </w:r>
            <w:r w:rsidR="00904EBD">
              <w:rPr>
                <w:rFonts w:eastAsia="Calibri" w:cs="Calibri"/>
                <w:color w:val="000000"/>
                <w:sz w:val="18"/>
              </w:rPr>
              <w:t>,</w:t>
            </w:r>
            <w:r>
              <w:rPr>
                <w:rFonts w:eastAsia="Calibri" w:cs="Calibri"/>
                <w:color w:val="000000"/>
                <w:sz w:val="18"/>
              </w:rPr>
              <w:t>636</w:t>
            </w:r>
          </w:p>
        </w:tc>
        <w:tc>
          <w:tcPr>
            <w:tcW w:w="1035" w:type="dxa"/>
            <w:tcBorders>
              <w:top w:val="nil"/>
              <w:left w:val="nil"/>
              <w:bottom w:val="nil"/>
              <w:right w:val="nil"/>
              <w:tl2br w:val="nil"/>
              <w:tr2bl w:val="nil"/>
            </w:tcBorders>
            <w:shd w:val="clear" w:color="auto" w:fill="auto"/>
            <w:noWrap/>
            <w:tcMar>
              <w:left w:w="101" w:type="dxa"/>
              <w:right w:w="101" w:type="dxa"/>
            </w:tcMar>
          </w:tcPr>
          <w:p w:rsidR="00B43A2B" w:rsidRDefault="00B43A2B" w:rsidP="00B43A2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B43A2B" w:rsidRDefault="00B43A2B" w:rsidP="00B43A2B">
            <w:pPr>
              <w:spacing w:before="0" w:after="0"/>
              <w:jc w:val="right"/>
              <w:rPr>
                <w:rFonts w:eastAsia="Calibri" w:cs="Calibri"/>
                <w:color w:val="000000"/>
                <w:sz w:val="18"/>
              </w:rPr>
            </w:pPr>
            <w:r>
              <w:rPr>
                <w:rFonts w:eastAsia="Calibri" w:cs="Calibri"/>
                <w:color w:val="000000"/>
                <w:sz w:val="18"/>
              </w:rPr>
              <w:t>-</w:t>
            </w:r>
          </w:p>
        </w:tc>
      </w:tr>
      <w:tr w:rsidR="00A34885" w:rsidTr="00B43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A34885" w:rsidRDefault="00A34885" w:rsidP="00B43A2B">
            <w:pPr>
              <w:spacing w:before="0" w:after="0"/>
              <w:rPr>
                <w:rFonts w:eastAsia="Calibri" w:cs="Calibri"/>
                <w:color w:val="000000"/>
                <w:sz w:val="18"/>
              </w:rPr>
            </w:pPr>
            <w:r>
              <w:rPr>
                <w:rFonts w:eastAsia="Calibri" w:cs="Calibri"/>
                <w:color w:val="000000"/>
                <w:sz w:val="18"/>
              </w:rPr>
              <w:t>More mobile dental clinics</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F40E5" w:rsidP="00B43A2B">
            <w:pPr>
              <w:spacing w:before="0" w:after="0"/>
              <w:jc w:val="right"/>
              <w:rPr>
                <w:rFonts w:eastAsia="Calibri" w:cs="Calibri"/>
                <w:color w:val="000000"/>
                <w:sz w:val="18"/>
              </w:rPr>
            </w:pPr>
            <w:r>
              <w:rPr>
                <w:rFonts w:eastAsia="Calibri" w:cs="Calibri"/>
                <w:color w:val="000000"/>
                <w:sz w:val="18"/>
              </w:rPr>
              <w:t>(</w:t>
            </w:r>
            <w:r w:rsidR="00A34885">
              <w:rPr>
                <w:rFonts w:eastAsia="Calibri" w:cs="Calibri"/>
                <w:color w:val="000000"/>
                <w:sz w:val="18"/>
              </w:rPr>
              <w:t>385</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34885" w:rsidP="00B43A2B">
            <w:pPr>
              <w:spacing w:before="0" w:after="0"/>
              <w:jc w:val="right"/>
              <w:rPr>
                <w:rFonts w:eastAsia="Calibri" w:cs="Calibri"/>
                <w:color w:val="000000"/>
                <w:sz w:val="18"/>
              </w:rPr>
            </w:pPr>
            <w:r>
              <w:rPr>
                <w:rFonts w:eastAsia="Calibri" w:cs="Calibri"/>
                <w:color w:val="000000"/>
                <w:sz w:val="18"/>
              </w:rPr>
              <w:t>385</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34885" w:rsidP="00B43A2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34885" w:rsidP="00B43A2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34885" w:rsidP="00B43A2B">
            <w:pPr>
              <w:spacing w:before="0" w:after="0"/>
              <w:jc w:val="right"/>
              <w:rPr>
                <w:rFonts w:eastAsia="Calibri" w:cs="Calibri"/>
                <w:color w:val="000000"/>
                <w:sz w:val="18"/>
              </w:rPr>
            </w:pPr>
            <w:r>
              <w:rPr>
                <w:rFonts w:eastAsia="Calibri" w:cs="Calibri"/>
                <w:color w:val="000000"/>
                <w:sz w:val="18"/>
              </w:rPr>
              <w:t>-</w:t>
            </w:r>
          </w:p>
        </w:tc>
      </w:tr>
      <w:tr w:rsidR="00A34885" w:rsidTr="00B43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A34885" w:rsidRDefault="00A34885" w:rsidP="00B43A2B">
            <w:pPr>
              <w:spacing w:before="0" w:after="0"/>
              <w:rPr>
                <w:rFonts w:eastAsia="Calibri" w:cs="Calibri"/>
                <w:color w:val="000000"/>
                <w:sz w:val="18"/>
              </w:rPr>
            </w:pPr>
            <w:r>
              <w:rPr>
                <w:rFonts w:eastAsia="Calibri" w:cs="Calibri"/>
                <w:color w:val="000000"/>
                <w:sz w:val="18"/>
              </w:rPr>
              <w:t>More nurse</w:t>
            </w:r>
            <w:r w:rsidR="005D7538">
              <w:rPr>
                <w:rFonts w:eastAsia="Calibri" w:cs="Calibri"/>
                <w:color w:val="000000"/>
                <w:sz w:val="18"/>
              </w:rPr>
              <w:t xml:space="preserve"> </w:t>
            </w:r>
            <w:r>
              <w:rPr>
                <w:rFonts w:eastAsia="Calibri" w:cs="Calibri"/>
                <w:color w:val="000000"/>
                <w:sz w:val="18"/>
              </w:rPr>
              <w:t>-</w:t>
            </w:r>
            <w:r w:rsidR="005D7538">
              <w:rPr>
                <w:rFonts w:eastAsia="Calibri" w:cs="Calibri"/>
                <w:color w:val="000000"/>
                <w:sz w:val="18"/>
              </w:rPr>
              <w:t xml:space="preserve"> </w:t>
            </w:r>
            <w:r>
              <w:rPr>
                <w:rFonts w:eastAsia="Calibri" w:cs="Calibri"/>
                <w:color w:val="000000"/>
                <w:sz w:val="18"/>
              </w:rPr>
              <w:t>led Walk in Centres</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F40E5" w:rsidP="00B43A2B">
            <w:pPr>
              <w:spacing w:before="0" w:after="0"/>
              <w:jc w:val="right"/>
              <w:rPr>
                <w:rFonts w:eastAsia="Calibri" w:cs="Calibri"/>
                <w:color w:val="000000"/>
                <w:sz w:val="18"/>
              </w:rPr>
            </w:pPr>
            <w:r>
              <w:rPr>
                <w:rFonts w:eastAsia="Calibri" w:cs="Calibri"/>
                <w:color w:val="000000"/>
                <w:sz w:val="18"/>
              </w:rPr>
              <w:t>(</w:t>
            </w:r>
            <w:r w:rsidR="00A34885">
              <w:rPr>
                <w:rFonts w:eastAsia="Calibri" w:cs="Calibri"/>
                <w:color w:val="000000"/>
                <w:sz w:val="18"/>
              </w:rPr>
              <w:t>2</w:t>
            </w:r>
            <w:r w:rsidR="00904EBD">
              <w:rPr>
                <w:rFonts w:eastAsia="Calibri" w:cs="Calibri"/>
                <w:color w:val="000000"/>
                <w:sz w:val="18"/>
              </w:rPr>
              <w:t>,</w:t>
            </w:r>
            <w:r w:rsidR="00A34885">
              <w:rPr>
                <w:rFonts w:eastAsia="Calibri" w:cs="Calibri"/>
                <w:color w:val="000000"/>
                <w:sz w:val="18"/>
              </w:rPr>
              <w:t>476</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34885" w:rsidP="00B43A2B">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238</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34885" w:rsidP="00B43A2B">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238</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34885" w:rsidP="00B43A2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34885" w:rsidP="00B43A2B">
            <w:pPr>
              <w:spacing w:before="0" w:after="0"/>
              <w:jc w:val="right"/>
              <w:rPr>
                <w:rFonts w:eastAsia="Calibri" w:cs="Calibri"/>
                <w:color w:val="000000"/>
                <w:sz w:val="18"/>
              </w:rPr>
            </w:pPr>
            <w:r>
              <w:rPr>
                <w:rFonts w:eastAsia="Calibri" w:cs="Calibri"/>
                <w:color w:val="000000"/>
                <w:sz w:val="18"/>
              </w:rPr>
              <w:t>-</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Ngunnawal Bush Healing Farm</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AF40E5">
            <w:pPr>
              <w:spacing w:before="0" w:after="0"/>
              <w:jc w:val="right"/>
              <w:rPr>
                <w:rFonts w:eastAsia="Calibri" w:cs="Calibri"/>
                <w:color w:val="000000"/>
                <w:sz w:val="18"/>
              </w:rPr>
            </w:pPr>
            <w:r>
              <w:rPr>
                <w:rFonts w:eastAsia="Calibri" w:cs="Calibri"/>
                <w:color w:val="000000"/>
                <w:sz w:val="18"/>
              </w:rPr>
              <w:t>(</w:t>
            </w:r>
            <w:r w:rsidR="00765F6E">
              <w:rPr>
                <w:rFonts w:eastAsia="Calibri" w:cs="Calibri"/>
                <w:color w:val="000000"/>
                <w:sz w:val="18"/>
              </w:rPr>
              <w:t>1</w:t>
            </w:r>
            <w:r w:rsidR="00904EBD">
              <w:rPr>
                <w:rFonts w:eastAsia="Calibri" w:cs="Calibri"/>
                <w:color w:val="000000"/>
                <w:sz w:val="18"/>
              </w:rPr>
              <w:t>,</w:t>
            </w:r>
            <w:r w:rsidR="00765F6E">
              <w:rPr>
                <w:rFonts w:eastAsia="Calibri" w:cs="Calibri"/>
                <w:color w:val="000000"/>
                <w:sz w:val="18"/>
              </w:rPr>
              <w:t>355</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355</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A34885" w:rsidTr="00B43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A34885" w:rsidRDefault="00A34885" w:rsidP="00B43A2B">
            <w:pPr>
              <w:spacing w:before="0" w:after="0"/>
              <w:rPr>
                <w:rFonts w:eastAsia="Calibri" w:cs="Calibri"/>
                <w:color w:val="000000"/>
                <w:sz w:val="18"/>
              </w:rPr>
            </w:pPr>
            <w:r>
              <w:rPr>
                <w:rFonts w:eastAsia="Calibri" w:cs="Calibri"/>
                <w:color w:val="000000"/>
                <w:sz w:val="18"/>
              </w:rPr>
              <w:t xml:space="preserve">Protecting </w:t>
            </w:r>
            <w:proofErr w:type="spellStart"/>
            <w:r>
              <w:rPr>
                <w:rFonts w:eastAsia="Calibri" w:cs="Calibri"/>
                <w:color w:val="000000"/>
                <w:sz w:val="18"/>
              </w:rPr>
              <w:t>Canberrans</w:t>
            </w:r>
            <w:proofErr w:type="spellEnd"/>
            <w:r>
              <w:rPr>
                <w:rFonts w:eastAsia="Calibri" w:cs="Calibri"/>
                <w:color w:val="000000"/>
                <w:sz w:val="18"/>
              </w:rPr>
              <w:t xml:space="preserve"> from infectious diseases</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F40E5" w:rsidP="00B43A2B">
            <w:pPr>
              <w:spacing w:before="0" w:after="0"/>
              <w:jc w:val="right"/>
              <w:rPr>
                <w:rFonts w:eastAsia="Calibri" w:cs="Calibri"/>
                <w:color w:val="000000"/>
                <w:sz w:val="18"/>
              </w:rPr>
            </w:pPr>
            <w:r>
              <w:rPr>
                <w:rFonts w:eastAsia="Calibri" w:cs="Calibri"/>
                <w:color w:val="000000"/>
                <w:sz w:val="18"/>
              </w:rPr>
              <w:t>(</w:t>
            </w:r>
            <w:r w:rsidR="00A34885">
              <w:rPr>
                <w:rFonts w:eastAsia="Calibri" w:cs="Calibri"/>
                <w:color w:val="000000"/>
                <w:sz w:val="18"/>
              </w:rPr>
              <w:t>398</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34885" w:rsidP="00B43A2B">
            <w:pPr>
              <w:spacing w:before="0" w:after="0"/>
              <w:jc w:val="right"/>
              <w:rPr>
                <w:rFonts w:eastAsia="Calibri" w:cs="Calibri"/>
                <w:color w:val="000000"/>
                <w:sz w:val="18"/>
              </w:rPr>
            </w:pPr>
            <w:r>
              <w:rPr>
                <w:rFonts w:eastAsia="Calibri" w:cs="Calibri"/>
                <w:color w:val="000000"/>
                <w:sz w:val="18"/>
              </w:rPr>
              <w:t>398</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34885" w:rsidP="00B43A2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34885" w:rsidP="00B43A2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A34885" w:rsidRDefault="00A34885" w:rsidP="00B43A2B">
            <w:pPr>
              <w:spacing w:before="0" w:after="0"/>
              <w:jc w:val="right"/>
              <w:rPr>
                <w:rFonts w:eastAsia="Calibri" w:cs="Calibri"/>
                <w:color w:val="000000"/>
                <w:sz w:val="18"/>
              </w:rPr>
            </w:pPr>
            <w:r>
              <w:rPr>
                <w:rFonts w:eastAsia="Calibri" w:cs="Calibri"/>
                <w:color w:val="000000"/>
                <w:sz w:val="18"/>
              </w:rPr>
              <w:t>-</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rsidP="005D7538">
            <w:pPr>
              <w:spacing w:before="0" w:after="0"/>
              <w:rPr>
                <w:rFonts w:eastAsia="Calibri" w:cs="Calibri"/>
                <w:color w:val="000000"/>
                <w:sz w:val="18"/>
              </w:rPr>
            </w:pPr>
            <w:r>
              <w:rPr>
                <w:rFonts w:eastAsia="Calibri" w:cs="Calibri"/>
                <w:color w:val="000000"/>
                <w:sz w:val="18"/>
              </w:rPr>
              <w:t xml:space="preserve">Replacement of polyethylene aluminium composite panels </w:t>
            </w:r>
            <w:r w:rsidR="005D7538">
              <w:rPr>
                <w:rFonts w:eastAsia="Calibri" w:cs="Calibri"/>
                <w:color w:val="000000"/>
                <w:sz w:val="18"/>
              </w:rPr>
              <w:t>-</w:t>
            </w:r>
            <w:r>
              <w:rPr>
                <w:rFonts w:eastAsia="Calibri" w:cs="Calibri"/>
                <w:color w:val="000000"/>
                <w:sz w:val="18"/>
              </w:rPr>
              <w:t xml:space="preserve"> Centenary Hospital for Women and Children</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AF40E5">
            <w:pPr>
              <w:spacing w:before="0" w:after="0"/>
              <w:jc w:val="right"/>
              <w:rPr>
                <w:rFonts w:eastAsia="Calibri" w:cs="Calibri"/>
                <w:color w:val="000000"/>
                <w:sz w:val="18"/>
              </w:rPr>
            </w:pPr>
            <w:r>
              <w:rPr>
                <w:rFonts w:eastAsia="Calibri" w:cs="Calibri"/>
                <w:color w:val="000000"/>
                <w:sz w:val="18"/>
              </w:rPr>
              <w:t>(</w:t>
            </w:r>
            <w:r w:rsidR="00765F6E">
              <w:rPr>
                <w:rFonts w:eastAsia="Calibri" w:cs="Calibri"/>
                <w:color w:val="000000"/>
                <w:sz w:val="18"/>
              </w:rPr>
              <w:t>1</w:t>
            </w:r>
            <w:r w:rsidR="00904EBD">
              <w:rPr>
                <w:rFonts w:eastAsia="Calibri" w:cs="Calibri"/>
                <w:color w:val="000000"/>
                <w:sz w:val="18"/>
              </w:rPr>
              <w:t>,</w:t>
            </w:r>
            <w:r w:rsidR="00765F6E">
              <w:rPr>
                <w:rFonts w:eastAsia="Calibri" w:cs="Calibri"/>
                <w:color w:val="000000"/>
                <w:sz w:val="18"/>
              </w:rPr>
              <w:t>321</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321</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B43A2B" w:rsidTr="00B43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B43A2B" w:rsidRDefault="00B43A2B" w:rsidP="00B43A2B">
            <w:pPr>
              <w:spacing w:before="0" w:after="0"/>
              <w:rPr>
                <w:rFonts w:eastAsia="Calibri" w:cs="Calibri"/>
                <w:color w:val="000000"/>
                <w:sz w:val="18"/>
              </w:rPr>
            </w:pPr>
            <w:r>
              <w:rPr>
                <w:rFonts w:eastAsia="Calibri" w:cs="Calibri"/>
                <w:color w:val="000000"/>
                <w:sz w:val="18"/>
              </w:rPr>
              <w:t>Secure Mental Health Unit</w:t>
            </w:r>
          </w:p>
        </w:tc>
        <w:tc>
          <w:tcPr>
            <w:tcW w:w="1035" w:type="dxa"/>
            <w:tcBorders>
              <w:top w:val="nil"/>
              <w:left w:val="nil"/>
              <w:bottom w:val="nil"/>
              <w:right w:val="nil"/>
              <w:tl2br w:val="nil"/>
              <w:tr2bl w:val="nil"/>
            </w:tcBorders>
            <w:shd w:val="clear" w:color="auto" w:fill="auto"/>
            <w:noWrap/>
            <w:tcMar>
              <w:left w:w="101" w:type="dxa"/>
              <w:right w:w="101" w:type="dxa"/>
            </w:tcMar>
          </w:tcPr>
          <w:p w:rsidR="00B43A2B" w:rsidRDefault="00AF40E5" w:rsidP="00B43A2B">
            <w:pPr>
              <w:spacing w:before="0" w:after="0"/>
              <w:jc w:val="right"/>
              <w:rPr>
                <w:rFonts w:eastAsia="Calibri" w:cs="Calibri"/>
                <w:color w:val="000000"/>
                <w:sz w:val="18"/>
              </w:rPr>
            </w:pPr>
            <w:r>
              <w:rPr>
                <w:rFonts w:eastAsia="Calibri" w:cs="Calibri"/>
                <w:color w:val="000000"/>
                <w:sz w:val="18"/>
              </w:rPr>
              <w:t>(</w:t>
            </w:r>
            <w:r w:rsidR="00B43A2B">
              <w:rPr>
                <w:rFonts w:eastAsia="Calibri" w:cs="Calibri"/>
                <w:color w:val="000000"/>
                <w:sz w:val="18"/>
              </w:rPr>
              <w:t>287</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B43A2B" w:rsidRDefault="00B43A2B" w:rsidP="00B43A2B">
            <w:pPr>
              <w:spacing w:before="0" w:after="0"/>
              <w:jc w:val="right"/>
              <w:rPr>
                <w:rFonts w:eastAsia="Calibri" w:cs="Calibri"/>
                <w:color w:val="000000"/>
                <w:sz w:val="18"/>
              </w:rPr>
            </w:pPr>
            <w:r>
              <w:rPr>
                <w:rFonts w:eastAsia="Calibri" w:cs="Calibri"/>
                <w:color w:val="000000"/>
                <w:sz w:val="18"/>
              </w:rPr>
              <w:t>287</w:t>
            </w:r>
          </w:p>
        </w:tc>
        <w:tc>
          <w:tcPr>
            <w:tcW w:w="1035" w:type="dxa"/>
            <w:tcBorders>
              <w:top w:val="nil"/>
              <w:left w:val="nil"/>
              <w:bottom w:val="nil"/>
              <w:right w:val="nil"/>
              <w:tl2br w:val="nil"/>
              <w:tr2bl w:val="nil"/>
            </w:tcBorders>
            <w:shd w:val="clear" w:color="auto" w:fill="auto"/>
            <w:noWrap/>
            <w:tcMar>
              <w:left w:w="101" w:type="dxa"/>
              <w:right w:w="101" w:type="dxa"/>
            </w:tcMar>
          </w:tcPr>
          <w:p w:rsidR="00B43A2B" w:rsidRDefault="00B43A2B" w:rsidP="00B43A2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B43A2B" w:rsidRDefault="00B43A2B" w:rsidP="00B43A2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B43A2B" w:rsidRDefault="00B43A2B" w:rsidP="00B43A2B">
            <w:pPr>
              <w:spacing w:before="0" w:after="0"/>
              <w:jc w:val="right"/>
              <w:rPr>
                <w:rFonts w:eastAsia="Calibri" w:cs="Calibri"/>
                <w:color w:val="000000"/>
                <w:sz w:val="18"/>
              </w:rPr>
            </w:pPr>
            <w:r>
              <w:rPr>
                <w:rFonts w:eastAsia="Calibri" w:cs="Calibri"/>
                <w:color w:val="000000"/>
                <w:sz w:val="18"/>
              </w:rPr>
              <w:t>-</w:t>
            </w:r>
          </w:p>
        </w:tc>
      </w:tr>
      <w:tr w:rsidR="00B43A2B" w:rsidTr="00B43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B43A2B" w:rsidRDefault="00B43A2B" w:rsidP="005D7538">
            <w:pPr>
              <w:spacing w:before="0" w:after="0"/>
              <w:rPr>
                <w:rFonts w:eastAsia="Calibri" w:cs="Calibri"/>
                <w:color w:val="000000"/>
                <w:sz w:val="18"/>
              </w:rPr>
            </w:pPr>
            <w:r>
              <w:rPr>
                <w:rFonts w:eastAsia="Calibri" w:cs="Calibri"/>
                <w:color w:val="000000"/>
                <w:sz w:val="18"/>
              </w:rPr>
              <w:t xml:space="preserve">Sterilising Services </w:t>
            </w:r>
            <w:r w:rsidR="005D7538">
              <w:rPr>
                <w:rFonts w:eastAsia="Calibri" w:cs="Calibri"/>
                <w:color w:val="000000"/>
                <w:sz w:val="18"/>
              </w:rPr>
              <w:t>-</w:t>
            </w:r>
            <w:r>
              <w:rPr>
                <w:rFonts w:eastAsia="Calibri" w:cs="Calibri"/>
                <w:color w:val="000000"/>
                <w:sz w:val="18"/>
              </w:rPr>
              <w:t xml:space="preserve"> Relocation and upgrade</w:t>
            </w:r>
          </w:p>
        </w:tc>
        <w:tc>
          <w:tcPr>
            <w:tcW w:w="1035" w:type="dxa"/>
            <w:tcBorders>
              <w:top w:val="nil"/>
              <w:left w:val="nil"/>
              <w:bottom w:val="nil"/>
              <w:right w:val="nil"/>
              <w:tl2br w:val="nil"/>
              <w:tr2bl w:val="nil"/>
            </w:tcBorders>
            <w:shd w:val="clear" w:color="auto" w:fill="auto"/>
            <w:noWrap/>
            <w:tcMar>
              <w:left w:w="101" w:type="dxa"/>
              <w:right w:w="101" w:type="dxa"/>
            </w:tcMar>
          </w:tcPr>
          <w:p w:rsidR="00B43A2B" w:rsidRDefault="00AF40E5" w:rsidP="00B43A2B">
            <w:pPr>
              <w:spacing w:before="0" w:after="0"/>
              <w:jc w:val="right"/>
              <w:rPr>
                <w:rFonts w:eastAsia="Calibri" w:cs="Calibri"/>
                <w:color w:val="000000"/>
                <w:sz w:val="18"/>
              </w:rPr>
            </w:pPr>
            <w:r>
              <w:rPr>
                <w:rFonts w:eastAsia="Calibri" w:cs="Calibri"/>
                <w:color w:val="000000"/>
                <w:sz w:val="18"/>
              </w:rPr>
              <w:t>(</w:t>
            </w:r>
            <w:r w:rsidR="00B43A2B">
              <w:rPr>
                <w:rFonts w:eastAsia="Calibri" w:cs="Calibri"/>
                <w:color w:val="000000"/>
                <w:sz w:val="18"/>
              </w:rPr>
              <w:t>379</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B43A2B" w:rsidRDefault="00B43A2B" w:rsidP="00B43A2B">
            <w:pPr>
              <w:spacing w:before="0" w:after="0"/>
              <w:jc w:val="right"/>
              <w:rPr>
                <w:rFonts w:eastAsia="Calibri" w:cs="Calibri"/>
                <w:color w:val="000000"/>
                <w:sz w:val="18"/>
              </w:rPr>
            </w:pPr>
            <w:r>
              <w:rPr>
                <w:rFonts w:eastAsia="Calibri" w:cs="Calibri"/>
                <w:color w:val="000000"/>
                <w:sz w:val="18"/>
              </w:rPr>
              <w:t>379</w:t>
            </w:r>
          </w:p>
        </w:tc>
        <w:tc>
          <w:tcPr>
            <w:tcW w:w="1035" w:type="dxa"/>
            <w:tcBorders>
              <w:top w:val="nil"/>
              <w:left w:val="nil"/>
              <w:bottom w:val="nil"/>
              <w:right w:val="nil"/>
              <w:tl2br w:val="nil"/>
              <w:tr2bl w:val="nil"/>
            </w:tcBorders>
            <w:shd w:val="clear" w:color="auto" w:fill="auto"/>
            <w:noWrap/>
            <w:tcMar>
              <w:left w:w="101" w:type="dxa"/>
              <w:right w:w="101" w:type="dxa"/>
            </w:tcMar>
          </w:tcPr>
          <w:p w:rsidR="00B43A2B" w:rsidRDefault="00B43A2B" w:rsidP="00B43A2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B43A2B" w:rsidRDefault="00B43A2B" w:rsidP="00B43A2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B43A2B" w:rsidRDefault="00B43A2B" w:rsidP="00B43A2B">
            <w:pPr>
              <w:spacing w:before="0" w:after="0"/>
              <w:jc w:val="right"/>
              <w:rPr>
                <w:rFonts w:eastAsia="Calibri" w:cs="Calibri"/>
                <w:color w:val="000000"/>
                <w:sz w:val="18"/>
              </w:rPr>
            </w:pPr>
            <w:r>
              <w:rPr>
                <w:rFonts w:eastAsia="Calibri" w:cs="Calibri"/>
                <w:color w:val="000000"/>
                <w:sz w:val="18"/>
              </w:rPr>
              <w:t>-</w:t>
            </w:r>
          </w:p>
        </w:tc>
      </w:tr>
      <w:tr w:rsidR="00B43A2B" w:rsidTr="00B43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B43A2B" w:rsidRDefault="00B43A2B" w:rsidP="00B43A2B">
            <w:pPr>
              <w:spacing w:before="0" w:after="0"/>
              <w:rPr>
                <w:rFonts w:eastAsia="Calibri" w:cs="Calibri"/>
                <w:color w:val="000000"/>
                <w:sz w:val="18"/>
              </w:rPr>
            </w:pPr>
            <w:r>
              <w:rPr>
                <w:rFonts w:eastAsia="Calibri" w:cs="Calibri"/>
                <w:color w:val="000000"/>
                <w:sz w:val="18"/>
              </w:rPr>
              <w:t>Support for people with mental health issues to recover and live in the community</w:t>
            </w:r>
          </w:p>
        </w:tc>
        <w:tc>
          <w:tcPr>
            <w:tcW w:w="1035" w:type="dxa"/>
            <w:tcBorders>
              <w:top w:val="nil"/>
              <w:left w:val="nil"/>
              <w:bottom w:val="nil"/>
              <w:right w:val="nil"/>
              <w:tl2br w:val="nil"/>
              <w:tr2bl w:val="nil"/>
            </w:tcBorders>
            <w:shd w:val="clear" w:color="auto" w:fill="auto"/>
            <w:noWrap/>
            <w:tcMar>
              <w:left w:w="101" w:type="dxa"/>
              <w:right w:w="101" w:type="dxa"/>
            </w:tcMar>
          </w:tcPr>
          <w:p w:rsidR="00B43A2B" w:rsidRDefault="00AF40E5" w:rsidP="00B43A2B">
            <w:pPr>
              <w:spacing w:before="0" w:after="0"/>
              <w:jc w:val="right"/>
              <w:rPr>
                <w:rFonts w:eastAsia="Calibri" w:cs="Calibri"/>
                <w:color w:val="000000"/>
                <w:sz w:val="18"/>
              </w:rPr>
            </w:pPr>
            <w:r>
              <w:rPr>
                <w:rFonts w:eastAsia="Calibri" w:cs="Calibri"/>
                <w:color w:val="000000"/>
                <w:sz w:val="18"/>
              </w:rPr>
              <w:t>(</w:t>
            </w:r>
            <w:r w:rsidR="00B43A2B">
              <w:rPr>
                <w:rFonts w:eastAsia="Calibri" w:cs="Calibri"/>
                <w:color w:val="000000"/>
                <w:sz w:val="18"/>
              </w:rPr>
              <w:t>2</w:t>
            </w:r>
            <w:r w:rsidR="00904EBD">
              <w:rPr>
                <w:rFonts w:eastAsia="Calibri" w:cs="Calibri"/>
                <w:color w:val="000000"/>
                <w:sz w:val="18"/>
              </w:rPr>
              <w:t>,</w:t>
            </w:r>
            <w:r w:rsidR="00B43A2B">
              <w:rPr>
                <w:rFonts w:eastAsia="Calibri" w:cs="Calibri"/>
                <w:color w:val="000000"/>
                <w:sz w:val="18"/>
              </w:rPr>
              <w:t>029</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B43A2B" w:rsidRDefault="00B43A2B" w:rsidP="00B43A2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B43A2B" w:rsidRDefault="00B43A2B" w:rsidP="00B43A2B">
            <w:pPr>
              <w:spacing w:before="0" w:after="0"/>
              <w:jc w:val="right"/>
              <w:rPr>
                <w:rFonts w:eastAsia="Calibri" w:cs="Calibri"/>
                <w:color w:val="000000"/>
                <w:sz w:val="18"/>
              </w:rPr>
            </w:pPr>
            <w:r>
              <w:rPr>
                <w:rFonts w:eastAsia="Calibri" w:cs="Calibri"/>
                <w:color w:val="000000"/>
                <w:sz w:val="18"/>
              </w:rPr>
              <w:t>2</w:t>
            </w:r>
            <w:r w:rsidR="00904EBD">
              <w:rPr>
                <w:rFonts w:eastAsia="Calibri" w:cs="Calibri"/>
                <w:color w:val="000000"/>
                <w:sz w:val="18"/>
              </w:rPr>
              <w:t>,</w:t>
            </w:r>
            <w:r>
              <w:rPr>
                <w:rFonts w:eastAsia="Calibri" w:cs="Calibri"/>
                <w:color w:val="000000"/>
                <w:sz w:val="18"/>
              </w:rPr>
              <w:t>029</w:t>
            </w:r>
          </w:p>
        </w:tc>
        <w:tc>
          <w:tcPr>
            <w:tcW w:w="1035" w:type="dxa"/>
            <w:tcBorders>
              <w:top w:val="nil"/>
              <w:left w:val="nil"/>
              <w:bottom w:val="nil"/>
              <w:right w:val="nil"/>
              <w:tl2br w:val="nil"/>
              <w:tr2bl w:val="nil"/>
            </w:tcBorders>
            <w:shd w:val="clear" w:color="auto" w:fill="auto"/>
            <w:noWrap/>
            <w:tcMar>
              <w:left w:w="101" w:type="dxa"/>
              <w:right w:w="101" w:type="dxa"/>
            </w:tcMar>
          </w:tcPr>
          <w:p w:rsidR="00B43A2B" w:rsidRDefault="00B43A2B" w:rsidP="00B43A2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B43A2B" w:rsidRDefault="00B43A2B" w:rsidP="00B43A2B">
            <w:pPr>
              <w:spacing w:before="0" w:after="0"/>
              <w:jc w:val="right"/>
              <w:rPr>
                <w:rFonts w:eastAsia="Calibri" w:cs="Calibri"/>
                <w:color w:val="000000"/>
                <w:sz w:val="18"/>
              </w:rPr>
            </w:pPr>
            <w:r>
              <w:rPr>
                <w:rFonts w:eastAsia="Calibri" w:cs="Calibri"/>
                <w:color w:val="000000"/>
                <w:sz w:val="18"/>
              </w:rPr>
              <w:t>-</w:t>
            </w:r>
          </w:p>
        </w:tc>
      </w:tr>
      <w:tr w:rsidR="00B43A2B" w:rsidTr="00B43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B43A2B" w:rsidRDefault="00B43A2B" w:rsidP="005D7538">
            <w:pPr>
              <w:spacing w:before="0" w:after="0"/>
              <w:rPr>
                <w:rFonts w:eastAsia="Calibri" w:cs="Calibri"/>
                <w:color w:val="000000"/>
                <w:sz w:val="18"/>
              </w:rPr>
            </w:pPr>
            <w:r>
              <w:rPr>
                <w:rFonts w:eastAsia="Calibri" w:cs="Calibri"/>
                <w:color w:val="000000"/>
                <w:sz w:val="18"/>
              </w:rPr>
              <w:t xml:space="preserve">The Canberra Hospital </w:t>
            </w:r>
            <w:r w:rsidR="005D7538">
              <w:rPr>
                <w:rFonts w:eastAsia="Calibri" w:cs="Calibri"/>
                <w:color w:val="000000"/>
                <w:sz w:val="18"/>
              </w:rPr>
              <w:t>-</w:t>
            </w:r>
            <w:r>
              <w:rPr>
                <w:rFonts w:eastAsia="Calibri" w:cs="Calibri"/>
                <w:color w:val="000000"/>
                <w:sz w:val="18"/>
              </w:rPr>
              <w:t xml:space="preserve"> Essential infrastructure and engineering works</w:t>
            </w:r>
          </w:p>
        </w:tc>
        <w:tc>
          <w:tcPr>
            <w:tcW w:w="1035" w:type="dxa"/>
            <w:tcBorders>
              <w:top w:val="nil"/>
              <w:left w:val="nil"/>
              <w:bottom w:val="nil"/>
              <w:right w:val="nil"/>
              <w:tl2br w:val="nil"/>
              <w:tr2bl w:val="nil"/>
            </w:tcBorders>
            <w:shd w:val="clear" w:color="auto" w:fill="auto"/>
            <w:noWrap/>
            <w:tcMar>
              <w:left w:w="101" w:type="dxa"/>
              <w:right w:w="101" w:type="dxa"/>
            </w:tcMar>
          </w:tcPr>
          <w:p w:rsidR="00B43A2B" w:rsidRDefault="00AF40E5" w:rsidP="00B43A2B">
            <w:pPr>
              <w:spacing w:before="0" w:after="0"/>
              <w:jc w:val="right"/>
              <w:rPr>
                <w:rFonts w:eastAsia="Calibri" w:cs="Calibri"/>
                <w:color w:val="000000"/>
                <w:sz w:val="18"/>
              </w:rPr>
            </w:pPr>
            <w:r>
              <w:rPr>
                <w:rFonts w:eastAsia="Calibri" w:cs="Calibri"/>
                <w:color w:val="000000"/>
                <w:sz w:val="18"/>
              </w:rPr>
              <w:t>(</w:t>
            </w:r>
            <w:r w:rsidR="00B43A2B">
              <w:rPr>
                <w:rFonts w:eastAsia="Calibri" w:cs="Calibri"/>
                <w:color w:val="000000"/>
                <w:sz w:val="18"/>
              </w:rPr>
              <w:t>1</w:t>
            </w:r>
            <w:r w:rsidR="00904EBD">
              <w:rPr>
                <w:rFonts w:eastAsia="Calibri" w:cs="Calibri"/>
                <w:color w:val="000000"/>
                <w:sz w:val="18"/>
              </w:rPr>
              <w:t>,</w:t>
            </w:r>
            <w:r w:rsidR="00B43A2B">
              <w:rPr>
                <w:rFonts w:eastAsia="Calibri" w:cs="Calibri"/>
                <w:color w:val="000000"/>
                <w:sz w:val="18"/>
              </w:rPr>
              <w:t>748</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B43A2B" w:rsidRDefault="00B43A2B" w:rsidP="00B43A2B">
            <w:pPr>
              <w:spacing w:before="0" w:after="0"/>
              <w:jc w:val="right"/>
              <w:rPr>
                <w:rFonts w:eastAsia="Calibri" w:cs="Calibri"/>
                <w:color w:val="000000"/>
                <w:sz w:val="18"/>
              </w:rPr>
            </w:pPr>
            <w:r>
              <w:rPr>
                <w:rFonts w:eastAsia="Calibri" w:cs="Calibri"/>
                <w:color w:val="000000"/>
                <w:sz w:val="18"/>
              </w:rPr>
              <w:t>874</w:t>
            </w:r>
          </w:p>
        </w:tc>
        <w:tc>
          <w:tcPr>
            <w:tcW w:w="1035" w:type="dxa"/>
            <w:tcBorders>
              <w:top w:val="nil"/>
              <w:left w:val="nil"/>
              <w:bottom w:val="nil"/>
              <w:right w:val="nil"/>
              <w:tl2br w:val="nil"/>
              <w:tr2bl w:val="nil"/>
            </w:tcBorders>
            <w:shd w:val="clear" w:color="auto" w:fill="auto"/>
            <w:noWrap/>
            <w:tcMar>
              <w:left w:w="101" w:type="dxa"/>
              <w:right w:w="101" w:type="dxa"/>
            </w:tcMar>
          </w:tcPr>
          <w:p w:rsidR="00B43A2B" w:rsidRDefault="00B43A2B" w:rsidP="00B43A2B">
            <w:pPr>
              <w:spacing w:before="0" w:after="0"/>
              <w:jc w:val="right"/>
              <w:rPr>
                <w:rFonts w:eastAsia="Calibri" w:cs="Calibri"/>
                <w:color w:val="000000"/>
                <w:sz w:val="18"/>
              </w:rPr>
            </w:pPr>
            <w:r>
              <w:rPr>
                <w:rFonts w:eastAsia="Calibri" w:cs="Calibri"/>
                <w:color w:val="000000"/>
                <w:sz w:val="18"/>
              </w:rPr>
              <w:t>874</w:t>
            </w:r>
          </w:p>
        </w:tc>
        <w:tc>
          <w:tcPr>
            <w:tcW w:w="1035" w:type="dxa"/>
            <w:tcBorders>
              <w:top w:val="nil"/>
              <w:left w:val="nil"/>
              <w:bottom w:val="nil"/>
              <w:right w:val="nil"/>
              <w:tl2br w:val="nil"/>
              <w:tr2bl w:val="nil"/>
            </w:tcBorders>
            <w:shd w:val="clear" w:color="auto" w:fill="auto"/>
            <w:noWrap/>
            <w:tcMar>
              <w:left w:w="101" w:type="dxa"/>
              <w:right w:w="101" w:type="dxa"/>
            </w:tcMar>
          </w:tcPr>
          <w:p w:rsidR="00B43A2B" w:rsidRDefault="00B43A2B" w:rsidP="00B43A2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B43A2B" w:rsidRDefault="00B43A2B" w:rsidP="00B43A2B">
            <w:pPr>
              <w:spacing w:before="0" w:after="0"/>
              <w:jc w:val="right"/>
              <w:rPr>
                <w:rFonts w:eastAsia="Calibri" w:cs="Calibri"/>
                <w:color w:val="000000"/>
                <w:sz w:val="18"/>
              </w:rPr>
            </w:pPr>
            <w:r>
              <w:rPr>
                <w:rFonts w:eastAsia="Calibri" w:cs="Calibri"/>
                <w:color w:val="000000"/>
                <w:sz w:val="18"/>
              </w:rPr>
              <w:t>-</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Training our future health workforce</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AF40E5">
            <w:pPr>
              <w:spacing w:before="0" w:after="0"/>
              <w:jc w:val="right"/>
              <w:rPr>
                <w:rFonts w:eastAsia="Calibri" w:cs="Calibri"/>
                <w:color w:val="000000"/>
                <w:sz w:val="18"/>
              </w:rPr>
            </w:pPr>
            <w:r>
              <w:rPr>
                <w:rFonts w:eastAsia="Calibri" w:cs="Calibri"/>
                <w:color w:val="000000"/>
                <w:sz w:val="18"/>
              </w:rPr>
              <w:t>(</w:t>
            </w:r>
            <w:r w:rsidR="00765F6E">
              <w:rPr>
                <w:rFonts w:eastAsia="Calibri" w:cs="Calibri"/>
                <w:color w:val="000000"/>
                <w:sz w:val="18"/>
              </w:rPr>
              <w:t>500</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500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B43A2B" w:rsidTr="00B43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B43A2B" w:rsidRDefault="00B43A2B" w:rsidP="00B43A2B">
            <w:pPr>
              <w:spacing w:before="0" w:after="0"/>
              <w:rPr>
                <w:rFonts w:eastAsia="Calibri" w:cs="Calibri"/>
                <w:color w:val="000000"/>
                <w:sz w:val="18"/>
              </w:rPr>
            </w:pPr>
            <w:r>
              <w:rPr>
                <w:rFonts w:eastAsia="Calibri" w:cs="Calibri"/>
                <w:color w:val="000000"/>
                <w:sz w:val="18"/>
              </w:rPr>
              <w:t>University of Canberra Hospital</w:t>
            </w:r>
          </w:p>
        </w:tc>
        <w:tc>
          <w:tcPr>
            <w:tcW w:w="1035" w:type="dxa"/>
            <w:tcBorders>
              <w:top w:val="nil"/>
              <w:left w:val="nil"/>
              <w:bottom w:val="nil"/>
              <w:right w:val="nil"/>
              <w:tl2br w:val="nil"/>
              <w:tr2bl w:val="nil"/>
            </w:tcBorders>
            <w:shd w:val="clear" w:color="auto" w:fill="auto"/>
            <w:noWrap/>
            <w:tcMar>
              <w:left w:w="101" w:type="dxa"/>
              <w:right w:w="101" w:type="dxa"/>
            </w:tcMar>
          </w:tcPr>
          <w:p w:rsidR="00B43A2B" w:rsidRDefault="00AF40E5" w:rsidP="00B43A2B">
            <w:pPr>
              <w:spacing w:before="0" w:after="0"/>
              <w:jc w:val="right"/>
              <w:rPr>
                <w:rFonts w:eastAsia="Calibri" w:cs="Calibri"/>
                <w:color w:val="000000"/>
                <w:sz w:val="18"/>
              </w:rPr>
            </w:pPr>
            <w:r>
              <w:rPr>
                <w:rFonts w:eastAsia="Calibri" w:cs="Calibri"/>
                <w:color w:val="000000"/>
                <w:sz w:val="18"/>
              </w:rPr>
              <w:t>(</w:t>
            </w:r>
            <w:r w:rsidR="00B43A2B">
              <w:rPr>
                <w:rFonts w:eastAsia="Calibri" w:cs="Calibri"/>
                <w:color w:val="000000"/>
                <w:sz w:val="18"/>
              </w:rPr>
              <w:t>30</w:t>
            </w:r>
            <w:r w:rsidR="00904EBD">
              <w:rPr>
                <w:rFonts w:eastAsia="Calibri" w:cs="Calibri"/>
                <w:color w:val="000000"/>
                <w:sz w:val="18"/>
              </w:rPr>
              <w:t>,</w:t>
            </w:r>
            <w:r w:rsidR="00B43A2B">
              <w:rPr>
                <w:rFonts w:eastAsia="Calibri" w:cs="Calibri"/>
                <w:color w:val="000000"/>
                <w:sz w:val="18"/>
              </w:rPr>
              <w:t>268</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B43A2B" w:rsidRDefault="00B43A2B" w:rsidP="00B43A2B">
            <w:pPr>
              <w:spacing w:before="0" w:after="0"/>
              <w:jc w:val="right"/>
              <w:rPr>
                <w:rFonts w:eastAsia="Calibri" w:cs="Calibri"/>
                <w:color w:val="000000"/>
                <w:sz w:val="18"/>
              </w:rPr>
            </w:pPr>
            <w:r>
              <w:rPr>
                <w:rFonts w:eastAsia="Calibri" w:cs="Calibri"/>
                <w:color w:val="000000"/>
                <w:sz w:val="18"/>
              </w:rPr>
              <w:t>10</w:t>
            </w:r>
            <w:r w:rsidR="00904EBD">
              <w:rPr>
                <w:rFonts w:eastAsia="Calibri" w:cs="Calibri"/>
                <w:color w:val="000000"/>
                <w:sz w:val="18"/>
              </w:rPr>
              <w:t>,</w:t>
            </w:r>
            <w:r>
              <w:rPr>
                <w:rFonts w:eastAsia="Calibri" w:cs="Calibri"/>
                <w:color w:val="000000"/>
                <w:sz w:val="18"/>
              </w:rPr>
              <w:t>000</w:t>
            </w:r>
          </w:p>
        </w:tc>
        <w:tc>
          <w:tcPr>
            <w:tcW w:w="1035" w:type="dxa"/>
            <w:tcBorders>
              <w:top w:val="nil"/>
              <w:left w:val="nil"/>
              <w:bottom w:val="nil"/>
              <w:right w:val="nil"/>
              <w:tl2br w:val="nil"/>
              <w:tr2bl w:val="nil"/>
            </w:tcBorders>
            <w:shd w:val="clear" w:color="auto" w:fill="auto"/>
            <w:noWrap/>
            <w:tcMar>
              <w:left w:w="101" w:type="dxa"/>
              <w:right w:w="101" w:type="dxa"/>
            </w:tcMar>
          </w:tcPr>
          <w:p w:rsidR="00B43A2B" w:rsidRDefault="00B43A2B" w:rsidP="00B43A2B">
            <w:pPr>
              <w:spacing w:before="0" w:after="0"/>
              <w:jc w:val="right"/>
              <w:rPr>
                <w:rFonts w:eastAsia="Calibri" w:cs="Calibri"/>
                <w:color w:val="000000"/>
                <w:sz w:val="18"/>
              </w:rPr>
            </w:pPr>
            <w:r>
              <w:rPr>
                <w:rFonts w:eastAsia="Calibri" w:cs="Calibri"/>
                <w:color w:val="000000"/>
                <w:sz w:val="18"/>
              </w:rPr>
              <w:t>20</w:t>
            </w:r>
            <w:r w:rsidR="00904EBD">
              <w:rPr>
                <w:rFonts w:eastAsia="Calibri" w:cs="Calibri"/>
                <w:color w:val="000000"/>
                <w:sz w:val="18"/>
              </w:rPr>
              <w:t>,</w:t>
            </w:r>
            <w:r>
              <w:rPr>
                <w:rFonts w:eastAsia="Calibri" w:cs="Calibri"/>
                <w:color w:val="000000"/>
                <w:sz w:val="18"/>
              </w:rPr>
              <w:t>268</w:t>
            </w:r>
          </w:p>
        </w:tc>
        <w:tc>
          <w:tcPr>
            <w:tcW w:w="1035" w:type="dxa"/>
            <w:tcBorders>
              <w:top w:val="nil"/>
              <w:left w:val="nil"/>
              <w:bottom w:val="nil"/>
              <w:right w:val="nil"/>
              <w:tl2br w:val="nil"/>
              <w:tr2bl w:val="nil"/>
            </w:tcBorders>
            <w:shd w:val="clear" w:color="auto" w:fill="auto"/>
            <w:noWrap/>
            <w:tcMar>
              <w:left w:w="101" w:type="dxa"/>
              <w:right w:w="101" w:type="dxa"/>
            </w:tcMar>
          </w:tcPr>
          <w:p w:rsidR="00B43A2B" w:rsidRDefault="00B43A2B" w:rsidP="00B43A2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B43A2B" w:rsidRDefault="00B43A2B" w:rsidP="00B43A2B">
            <w:pPr>
              <w:spacing w:before="0" w:after="0"/>
              <w:jc w:val="right"/>
              <w:rPr>
                <w:rFonts w:eastAsia="Calibri" w:cs="Calibri"/>
                <w:color w:val="000000"/>
                <w:sz w:val="18"/>
              </w:rPr>
            </w:pPr>
            <w:r>
              <w:rPr>
                <w:rFonts w:eastAsia="Calibri" w:cs="Calibri"/>
                <w:color w:val="000000"/>
                <w:sz w:val="18"/>
              </w:rPr>
              <w:t>-</w:t>
            </w:r>
          </w:p>
        </w:tc>
      </w:tr>
      <w:tr w:rsidR="00237D6F" w:rsidTr="00B43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Upgrading and maintaining ACT Health assets</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AF40E5">
            <w:pPr>
              <w:spacing w:before="0" w:after="0"/>
              <w:jc w:val="right"/>
              <w:rPr>
                <w:rFonts w:eastAsia="Calibri" w:cs="Calibri"/>
                <w:color w:val="000000"/>
                <w:sz w:val="18"/>
              </w:rPr>
            </w:pPr>
            <w:r>
              <w:rPr>
                <w:rFonts w:eastAsia="Calibri" w:cs="Calibri"/>
                <w:color w:val="000000"/>
                <w:sz w:val="18"/>
              </w:rPr>
              <w:t>(</w:t>
            </w:r>
            <w:r w:rsidR="00765F6E">
              <w:rPr>
                <w:rFonts w:eastAsia="Calibri" w:cs="Calibri"/>
                <w:color w:val="000000"/>
                <w:sz w:val="18"/>
              </w:rPr>
              <w:t>25</w:t>
            </w:r>
            <w:r w:rsidR="00904EBD">
              <w:rPr>
                <w:rFonts w:eastAsia="Calibri" w:cs="Calibri"/>
                <w:color w:val="000000"/>
                <w:sz w:val="18"/>
              </w:rPr>
              <w:t>,</w:t>
            </w:r>
            <w:r w:rsidR="00765F6E">
              <w:rPr>
                <w:rFonts w:eastAsia="Calibri" w:cs="Calibri"/>
                <w:color w:val="000000"/>
                <w:sz w:val="18"/>
              </w:rPr>
              <w:t>321</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AF40E5">
            <w:pPr>
              <w:spacing w:before="0" w:after="0"/>
              <w:jc w:val="right"/>
              <w:rPr>
                <w:rFonts w:eastAsia="Calibri" w:cs="Calibri"/>
                <w:color w:val="000000"/>
                <w:sz w:val="18"/>
              </w:rPr>
            </w:pPr>
            <w:r>
              <w:rPr>
                <w:rFonts w:eastAsia="Calibri" w:cs="Calibri"/>
                <w:color w:val="000000"/>
                <w:sz w:val="18"/>
              </w:rPr>
              <w:t>(</w:t>
            </w:r>
            <w:r w:rsidR="00765F6E">
              <w:rPr>
                <w:rFonts w:eastAsia="Calibri" w:cs="Calibri"/>
                <w:color w:val="000000"/>
                <w:sz w:val="18"/>
              </w:rPr>
              <w:t>10</w:t>
            </w:r>
            <w:r w:rsidR="00904EBD">
              <w:rPr>
                <w:rFonts w:eastAsia="Calibri" w:cs="Calibri"/>
                <w:color w:val="000000"/>
                <w:sz w:val="18"/>
              </w:rPr>
              <w:t>,</w:t>
            </w:r>
            <w:r w:rsidR="00765F6E">
              <w:rPr>
                <w:rFonts w:eastAsia="Calibri" w:cs="Calibri"/>
                <w:color w:val="000000"/>
                <w:sz w:val="18"/>
              </w:rPr>
              <w:t>000</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35</w:t>
            </w:r>
            <w:r w:rsidR="00904EBD">
              <w:rPr>
                <w:rFonts w:eastAsia="Calibri" w:cs="Calibri"/>
                <w:color w:val="000000"/>
                <w:sz w:val="18"/>
              </w:rPr>
              <w:t>,</w:t>
            </w:r>
            <w:r>
              <w:rPr>
                <w:rFonts w:eastAsia="Calibri" w:cs="Calibri"/>
                <w:color w:val="000000"/>
                <w:sz w:val="18"/>
              </w:rPr>
              <w:t>321</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Revised Indexation Parameters</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91</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237D6F" w:rsidRDefault="00765F6E" w:rsidP="005D7538">
            <w:pPr>
              <w:spacing w:before="0" w:after="0"/>
              <w:rPr>
                <w:rFonts w:eastAsia="Calibri" w:cs="Calibri"/>
                <w:color w:val="000000"/>
                <w:sz w:val="18"/>
              </w:rPr>
            </w:pPr>
            <w:r>
              <w:rPr>
                <w:rFonts w:eastAsia="Calibri" w:cs="Calibri"/>
                <w:color w:val="000000"/>
                <w:sz w:val="18"/>
              </w:rPr>
              <w:t xml:space="preserve">S14B Transfer </w:t>
            </w:r>
            <w:r w:rsidR="005D7538">
              <w:rPr>
                <w:rFonts w:eastAsia="Calibri" w:cs="Calibri"/>
                <w:color w:val="000000"/>
                <w:sz w:val="18"/>
              </w:rPr>
              <w:t>-</w:t>
            </w:r>
            <w:r>
              <w:rPr>
                <w:rFonts w:eastAsia="Calibri" w:cs="Calibri"/>
                <w:color w:val="000000"/>
                <w:sz w:val="18"/>
              </w:rPr>
              <w:t xml:space="preserve"> University of Ca</w:t>
            </w:r>
            <w:r w:rsidR="00994B45">
              <w:rPr>
                <w:rFonts w:eastAsia="Calibri" w:cs="Calibri"/>
                <w:color w:val="000000"/>
                <w:sz w:val="18"/>
              </w:rPr>
              <w:t>nberra Hospital Car Park</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11</w:t>
            </w:r>
            <w:r w:rsidR="00904EBD">
              <w:rPr>
                <w:rFonts w:eastAsia="Calibri" w:cs="Calibri"/>
                <w:color w:val="000000"/>
                <w:sz w:val="18"/>
              </w:rPr>
              <w:t>,</w:t>
            </w:r>
            <w:r>
              <w:rPr>
                <w:rFonts w:eastAsia="Calibri" w:cs="Calibri"/>
                <w:color w:val="000000"/>
                <w:sz w:val="18"/>
              </w:rPr>
              <w:t>200</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37D6F" w:rsidRDefault="00872A4A">
            <w:pPr>
              <w:spacing w:before="0" w:after="0"/>
              <w:jc w:val="right"/>
              <w:rPr>
                <w:rFonts w:eastAsia="Calibri" w:cs="Calibri"/>
                <w:color w:val="000000"/>
                <w:sz w:val="18"/>
              </w:rPr>
            </w:pPr>
            <w:r>
              <w:rPr>
                <w:rFonts w:eastAsia="Calibri" w:cs="Calibri"/>
                <w:color w:val="000000"/>
                <w:sz w:val="18"/>
              </w:rPr>
              <w:t>-</w:t>
            </w:r>
          </w:p>
        </w:tc>
      </w:tr>
      <w:tr w:rsidR="00D67F0B" w:rsidTr="00B43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67F0B" w:rsidRPr="00D67F0B" w:rsidRDefault="00D67F0B" w:rsidP="00D67F0B">
            <w:pPr>
              <w:spacing w:before="0" w:after="0"/>
              <w:rPr>
                <w:rFonts w:eastAsia="Calibri" w:cs="Calibri"/>
                <w:color w:val="000000"/>
                <w:sz w:val="18"/>
              </w:rPr>
            </w:pPr>
            <w:r w:rsidRPr="00D67F0B">
              <w:rPr>
                <w:rFonts w:eastAsia="Calibri" w:cs="Calibri"/>
                <w:color w:val="000000"/>
                <w:sz w:val="18"/>
              </w:rPr>
              <w:t>University of Ca</w:t>
            </w:r>
            <w:r w:rsidR="00994B45">
              <w:rPr>
                <w:rFonts w:eastAsia="Calibri" w:cs="Calibri"/>
                <w:color w:val="000000"/>
                <w:sz w:val="18"/>
              </w:rPr>
              <w:t>nberra Hospital Car Park</w:t>
            </w:r>
          </w:p>
        </w:tc>
        <w:tc>
          <w:tcPr>
            <w:tcW w:w="1035" w:type="dxa"/>
            <w:tcBorders>
              <w:top w:val="nil"/>
              <w:left w:val="nil"/>
              <w:bottom w:val="nil"/>
              <w:right w:val="nil"/>
              <w:tl2br w:val="nil"/>
              <w:tr2bl w:val="nil"/>
            </w:tcBorders>
            <w:shd w:val="clear" w:color="auto" w:fill="auto"/>
            <w:noWrap/>
            <w:tcMar>
              <w:left w:w="101" w:type="dxa"/>
              <w:right w:w="101" w:type="dxa"/>
            </w:tcMar>
          </w:tcPr>
          <w:p w:rsidR="00D67F0B" w:rsidRPr="00D67F0B" w:rsidRDefault="00AF40E5" w:rsidP="00D67F0B">
            <w:pPr>
              <w:spacing w:before="0" w:after="0"/>
              <w:jc w:val="right"/>
              <w:rPr>
                <w:rFonts w:eastAsia="Calibri" w:cs="Calibri"/>
                <w:color w:val="000000"/>
                <w:sz w:val="18"/>
              </w:rPr>
            </w:pPr>
            <w:r>
              <w:rPr>
                <w:rFonts w:eastAsia="Calibri" w:cs="Calibri"/>
                <w:color w:val="000000"/>
                <w:sz w:val="18"/>
              </w:rPr>
              <w:t>(</w:t>
            </w:r>
            <w:r w:rsidR="00D67F0B" w:rsidRPr="00D67F0B">
              <w:rPr>
                <w:rFonts w:eastAsia="Calibri" w:cs="Calibri"/>
                <w:color w:val="000000"/>
                <w:sz w:val="18"/>
              </w:rPr>
              <w:t>8</w:t>
            </w:r>
            <w:r w:rsidR="00904EBD">
              <w:rPr>
                <w:rFonts w:eastAsia="Calibri" w:cs="Calibri"/>
                <w:color w:val="000000"/>
                <w:sz w:val="18"/>
              </w:rPr>
              <w:t>,</w:t>
            </w:r>
            <w:r w:rsidR="00D67F0B" w:rsidRPr="00D67F0B">
              <w:rPr>
                <w:rFonts w:eastAsia="Calibri" w:cs="Calibri"/>
                <w:color w:val="000000"/>
                <w:sz w:val="18"/>
              </w:rPr>
              <w:t>180</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D67F0B" w:rsidRPr="00D67F0B" w:rsidRDefault="00D67F0B" w:rsidP="00D67F0B">
            <w:pPr>
              <w:spacing w:before="0" w:after="0"/>
              <w:jc w:val="right"/>
              <w:rPr>
                <w:rFonts w:eastAsia="Calibri" w:cs="Calibri"/>
                <w:color w:val="000000"/>
                <w:sz w:val="18"/>
              </w:rPr>
            </w:pPr>
            <w:r w:rsidRPr="00D67F0B">
              <w:rPr>
                <w:rFonts w:eastAsia="Calibri" w:cs="Calibri"/>
                <w:color w:val="000000"/>
                <w:sz w:val="18"/>
              </w:rPr>
              <w:t>8</w:t>
            </w:r>
            <w:r w:rsidR="00904EBD">
              <w:rPr>
                <w:rFonts w:eastAsia="Calibri" w:cs="Calibri"/>
                <w:color w:val="000000"/>
                <w:sz w:val="18"/>
              </w:rPr>
              <w:t>,</w:t>
            </w:r>
            <w:r w:rsidRPr="00D67F0B">
              <w:rPr>
                <w:rFonts w:eastAsia="Calibri" w:cs="Calibri"/>
                <w:color w:val="000000"/>
                <w:sz w:val="18"/>
              </w:rPr>
              <w:t>180</w:t>
            </w:r>
          </w:p>
        </w:tc>
        <w:tc>
          <w:tcPr>
            <w:tcW w:w="1035" w:type="dxa"/>
            <w:tcBorders>
              <w:top w:val="nil"/>
              <w:left w:val="nil"/>
              <w:bottom w:val="nil"/>
              <w:right w:val="nil"/>
              <w:tl2br w:val="nil"/>
              <w:tr2bl w:val="nil"/>
            </w:tcBorders>
            <w:shd w:val="clear" w:color="auto" w:fill="auto"/>
            <w:noWrap/>
            <w:tcMar>
              <w:left w:w="101" w:type="dxa"/>
              <w:right w:w="101" w:type="dxa"/>
            </w:tcMar>
          </w:tcPr>
          <w:p w:rsidR="00D67F0B" w:rsidRPr="00D67F0B" w:rsidRDefault="00D67F0B" w:rsidP="00D67F0B">
            <w:pPr>
              <w:spacing w:before="0" w:after="0"/>
              <w:jc w:val="right"/>
              <w:rPr>
                <w:rFonts w:eastAsia="Calibri" w:cs="Calibri"/>
                <w:color w:val="000000"/>
                <w:sz w:val="18"/>
              </w:rPr>
            </w:pPr>
            <w:r w:rsidRPr="00D67F0B">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D67F0B" w:rsidRPr="00D67F0B" w:rsidRDefault="00D67F0B" w:rsidP="00D67F0B">
            <w:pPr>
              <w:spacing w:before="0" w:after="0"/>
              <w:jc w:val="right"/>
              <w:rPr>
                <w:rFonts w:eastAsia="Calibri" w:cs="Calibri"/>
                <w:color w:val="000000"/>
                <w:sz w:val="18"/>
              </w:rPr>
            </w:pPr>
            <w:r w:rsidRPr="00D67F0B">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D67F0B" w:rsidRDefault="00D67F0B" w:rsidP="00D67F0B">
            <w:pPr>
              <w:spacing w:before="0" w:after="0"/>
              <w:jc w:val="right"/>
              <w:rPr>
                <w:rFonts w:eastAsia="Calibri" w:cs="Calibri"/>
                <w:color w:val="000000"/>
                <w:sz w:val="18"/>
              </w:rPr>
            </w:pPr>
            <w:r>
              <w:rPr>
                <w:rFonts w:eastAsia="Calibri" w:cs="Calibri"/>
                <w:color w:val="000000"/>
                <w:sz w:val="18"/>
              </w:rPr>
              <w:t>-</w:t>
            </w:r>
          </w:p>
        </w:tc>
      </w:tr>
      <w:tr w:rsidR="00D67F0B" w:rsidTr="00B43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67F0B" w:rsidRDefault="00D67F0B" w:rsidP="00D67F0B">
            <w:pPr>
              <w:spacing w:before="0" w:after="0"/>
              <w:rPr>
                <w:rFonts w:eastAsia="Calibri" w:cs="Calibri"/>
                <w:color w:val="000000"/>
                <w:sz w:val="18"/>
              </w:rPr>
            </w:pPr>
            <w:r>
              <w:rPr>
                <w:rFonts w:eastAsia="Calibri" w:cs="Calibri"/>
                <w:color w:val="000000"/>
                <w:sz w:val="18"/>
              </w:rPr>
              <w:t>Upgrad</w:t>
            </w:r>
            <w:r w:rsidR="005D7538">
              <w:rPr>
                <w:rFonts w:eastAsia="Calibri" w:cs="Calibri"/>
                <w:color w:val="000000"/>
                <w:sz w:val="18"/>
              </w:rPr>
              <w:t>ing and maintaining ACT Health a</w:t>
            </w:r>
            <w:r>
              <w:rPr>
                <w:rFonts w:eastAsia="Calibri" w:cs="Calibri"/>
                <w:color w:val="000000"/>
                <w:sz w:val="18"/>
              </w:rPr>
              <w:t>ssets</w:t>
            </w:r>
          </w:p>
        </w:tc>
        <w:tc>
          <w:tcPr>
            <w:tcW w:w="1035" w:type="dxa"/>
            <w:tcBorders>
              <w:top w:val="nil"/>
              <w:left w:val="nil"/>
              <w:bottom w:val="nil"/>
              <w:right w:val="nil"/>
              <w:tl2br w:val="nil"/>
              <w:tr2bl w:val="nil"/>
            </w:tcBorders>
            <w:shd w:val="clear" w:color="auto" w:fill="auto"/>
            <w:noWrap/>
            <w:tcMar>
              <w:left w:w="101" w:type="dxa"/>
              <w:right w:w="101" w:type="dxa"/>
            </w:tcMar>
          </w:tcPr>
          <w:p w:rsidR="00D67F0B" w:rsidRDefault="00AF40E5" w:rsidP="00D67F0B">
            <w:pPr>
              <w:spacing w:before="0" w:after="0"/>
              <w:jc w:val="right"/>
              <w:rPr>
                <w:rFonts w:eastAsia="Calibri" w:cs="Calibri"/>
                <w:color w:val="000000"/>
                <w:sz w:val="18"/>
              </w:rPr>
            </w:pPr>
            <w:r>
              <w:rPr>
                <w:rFonts w:eastAsia="Calibri" w:cs="Calibri"/>
                <w:color w:val="000000"/>
                <w:sz w:val="18"/>
              </w:rPr>
              <w:t>(</w:t>
            </w:r>
            <w:r w:rsidR="00D67F0B">
              <w:rPr>
                <w:rFonts w:eastAsia="Calibri" w:cs="Calibri"/>
                <w:color w:val="000000"/>
                <w:sz w:val="18"/>
              </w:rPr>
              <w:t>4</w:t>
            </w:r>
            <w:r w:rsidR="00904EBD">
              <w:rPr>
                <w:rFonts w:eastAsia="Calibri" w:cs="Calibri"/>
                <w:color w:val="000000"/>
                <w:sz w:val="18"/>
              </w:rPr>
              <w:t>,</w:t>
            </w:r>
            <w:r w:rsidR="00D67F0B">
              <w:rPr>
                <w:rFonts w:eastAsia="Calibri" w:cs="Calibri"/>
                <w:color w:val="000000"/>
                <w:sz w:val="18"/>
              </w:rPr>
              <w:t>187</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D67F0B" w:rsidRDefault="00D67F0B" w:rsidP="00D67F0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D67F0B" w:rsidRDefault="00D67F0B" w:rsidP="00D67F0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D67F0B" w:rsidRDefault="00D67F0B" w:rsidP="00D67F0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D67F0B" w:rsidRDefault="00D67F0B" w:rsidP="00D67F0B">
            <w:pPr>
              <w:spacing w:before="0" w:after="0"/>
              <w:jc w:val="right"/>
              <w:rPr>
                <w:rFonts w:eastAsia="Calibri" w:cs="Calibri"/>
                <w:color w:val="000000"/>
                <w:sz w:val="18"/>
              </w:rPr>
            </w:pPr>
            <w:r>
              <w:rPr>
                <w:rFonts w:eastAsia="Calibri" w:cs="Calibri"/>
                <w:color w:val="000000"/>
                <w:sz w:val="18"/>
              </w:rPr>
              <w:t>-</w:t>
            </w:r>
          </w:p>
        </w:tc>
      </w:tr>
      <w:tr w:rsidR="00D67F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67F0B" w:rsidRDefault="00D67F0B" w:rsidP="00062176">
            <w:pPr>
              <w:spacing w:before="0" w:after="0"/>
              <w:rPr>
                <w:rFonts w:eastAsia="Calibri" w:cs="Calibri"/>
                <w:color w:val="000000"/>
                <w:sz w:val="18"/>
              </w:rPr>
            </w:pPr>
            <w:r w:rsidRPr="00752916">
              <w:rPr>
                <w:rFonts w:eastAsia="Calibri" w:cs="Calibri"/>
                <w:color w:val="000000"/>
                <w:sz w:val="18"/>
              </w:rPr>
              <w:t>Better</w:t>
            </w:r>
            <w:r w:rsidR="00062176">
              <w:rPr>
                <w:rFonts w:eastAsia="Calibri" w:cs="Calibri"/>
                <w:color w:val="000000"/>
                <w:sz w:val="18"/>
              </w:rPr>
              <w:t xml:space="preserve"> Infrastructure F</w:t>
            </w:r>
            <w:r w:rsidR="005D7538">
              <w:rPr>
                <w:rFonts w:eastAsia="Calibri" w:cs="Calibri"/>
                <w:color w:val="000000"/>
                <w:sz w:val="18"/>
              </w:rPr>
              <w:t>und u</w:t>
            </w:r>
            <w:r w:rsidRPr="00752916">
              <w:rPr>
                <w:rFonts w:eastAsia="Calibri" w:cs="Calibri"/>
                <w:color w:val="000000"/>
                <w:sz w:val="18"/>
              </w:rPr>
              <w:t>nderspend</w:t>
            </w:r>
          </w:p>
        </w:tc>
        <w:tc>
          <w:tcPr>
            <w:tcW w:w="1035" w:type="dxa"/>
            <w:tcBorders>
              <w:top w:val="nil"/>
              <w:left w:val="nil"/>
              <w:bottom w:val="nil"/>
              <w:right w:val="nil"/>
              <w:tl2br w:val="nil"/>
              <w:tr2bl w:val="nil"/>
            </w:tcBorders>
            <w:shd w:val="clear" w:color="auto" w:fill="auto"/>
            <w:noWrap/>
            <w:tcMar>
              <w:left w:w="101" w:type="dxa"/>
              <w:right w:w="101" w:type="dxa"/>
            </w:tcMar>
          </w:tcPr>
          <w:p w:rsidR="00D67F0B" w:rsidRDefault="00D67F0B" w:rsidP="00D67F0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D67F0B" w:rsidRDefault="00AF40E5" w:rsidP="00D67F0B">
            <w:pPr>
              <w:spacing w:before="0" w:after="0"/>
              <w:jc w:val="right"/>
              <w:rPr>
                <w:rFonts w:eastAsia="Calibri" w:cs="Calibri"/>
                <w:color w:val="000000"/>
                <w:sz w:val="18"/>
              </w:rPr>
            </w:pPr>
            <w:r>
              <w:rPr>
                <w:rFonts w:eastAsia="Calibri" w:cs="Calibri"/>
                <w:color w:val="000000"/>
                <w:sz w:val="18"/>
              </w:rPr>
              <w:t>(</w:t>
            </w:r>
            <w:r w:rsidR="00D67F0B">
              <w:rPr>
                <w:rFonts w:eastAsia="Calibri" w:cs="Calibri"/>
                <w:color w:val="000000"/>
                <w:sz w:val="18"/>
              </w:rPr>
              <w:t>364</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D67F0B" w:rsidRDefault="00D67F0B" w:rsidP="00D67F0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D67F0B" w:rsidRDefault="00D67F0B" w:rsidP="00D67F0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D67F0B" w:rsidRDefault="00D67F0B" w:rsidP="00D67F0B">
            <w:pPr>
              <w:spacing w:before="0" w:after="0"/>
              <w:jc w:val="right"/>
              <w:rPr>
                <w:rFonts w:eastAsia="Calibri" w:cs="Calibri"/>
                <w:color w:val="000000"/>
                <w:sz w:val="18"/>
              </w:rPr>
            </w:pPr>
            <w:r>
              <w:rPr>
                <w:rFonts w:eastAsia="Calibri" w:cs="Calibri"/>
                <w:color w:val="000000"/>
                <w:sz w:val="18"/>
              </w:rPr>
              <w:t>-</w:t>
            </w:r>
          </w:p>
        </w:tc>
      </w:tr>
      <w:tr w:rsidR="00223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22350F" w:rsidRDefault="00FC6FB2" w:rsidP="0022350F">
            <w:pPr>
              <w:spacing w:before="0" w:after="0"/>
              <w:rPr>
                <w:rFonts w:eastAsia="Calibri" w:cs="Calibri"/>
                <w:color w:val="000000"/>
                <w:sz w:val="18"/>
              </w:rPr>
            </w:pPr>
            <w:r>
              <w:rPr>
                <w:rFonts w:eastAsia="Calibri" w:cs="Calibri"/>
                <w:color w:val="000000"/>
                <w:sz w:val="18"/>
              </w:rPr>
              <w:t xml:space="preserve">Transfer - </w:t>
            </w:r>
            <w:r w:rsidR="0022350F">
              <w:rPr>
                <w:rFonts w:eastAsia="Calibri" w:cs="Calibri"/>
                <w:color w:val="000000"/>
                <w:sz w:val="18"/>
              </w:rPr>
              <w:t>University of Canberra Hospital</w:t>
            </w:r>
          </w:p>
        </w:tc>
        <w:tc>
          <w:tcPr>
            <w:tcW w:w="1035" w:type="dxa"/>
            <w:tcBorders>
              <w:top w:val="nil"/>
              <w:left w:val="nil"/>
              <w:bottom w:val="nil"/>
              <w:right w:val="nil"/>
              <w:tl2br w:val="nil"/>
              <w:tr2bl w:val="nil"/>
            </w:tcBorders>
            <w:shd w:val="clear" w:color="auto" w:fill="auto"/>
            <w:noWrap/>
            <w:tcMar>
              <w:left w:w="101" w:type="dxa"/>
              <w:right w:w="101" w:type="dxa"/>
            </w:tcMar>
          </w:tcPr>
          <w:p w:rsidR="0022350F" w:rsidRDefault="0022350F" w:rsidP="00D67F0B">
            <w:pPr>
              <w:spacing w:before="0" w:after="0"/>
              <w:jc w:val="right"/>
              <w:rPr>
                <w:rFonts w:eastAsia="Calibri" w:cs="Calibri"/>
                <w:color w:val="000000"/>
                <w:sz w:val="18"/>
              </w:rPr>
            </w:pPr>
            <w:r>
              <w:rPr>
                <w:rFonts w:eastAsia="Calibri" w:cs="Calibri"/>
                <w:color w:val="000000"/>
                <w:sz w:val="18"/>
              </w:rPr>
              <w:t>(3,135)</w:t>
            </w:r>
          </w:p>
        </w:tc>
        <w:tc>
          <w:tcPr>
            <w:tcW w:w="1035" w:type="dxa"/>
            <w:tcBorders>
              <w:top w:val="nil"/>
              <w:left w:val="nil"/>
              <w:bottom w:val="nil"/>
              <w:right w:val="nil"/>
              <w:tl2br w:val="nil"/>
              <w:tr2bl w:val="nil"/>
            </w:tcBorders>
            <w:shd w:val="clear" w:color="auto" w:fill="auto"/>
            <w:noWrap/>
            <w:tcMar>
              <w:left w:w="101" w:type="dxa"/>
              <w:right w:w="101" w:type="dxa"/>
            </w:tcMar>
          </w:tcPr>
          <w:p w:rsidR="0022350F" w:rsidRDefault="00FC6FB2" w:rsidP="00D67F0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2350F" w:rsidRDefault="00FC6FB2" w:rsidP="00D67F0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2350F" w:rsidRDefault="00FC6FB2" w:rsidP="00D67F0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2350F" w:rsidRDefault="00FC6FB2" w:rsidP="00D67F0B">
            <w:pPr>
              <w:spacing w:before="0" w:after="0"/>
              <w:jc w:val="right"/>
              <w:rPr>
                <w:rFonts w:eastAsia="Calibri" w:cs="Calibri"/>
                <w:color w:val="000000"/>
                <w:sz w:val="18"/>
              </w:rPr>
            </w:pPr>
            <w:r>
              <w:rPr>
                <w:rFonts w:eastAsia="Calibri" w:cs="Calibri"/>
                <w:color w:val="000000"/>
                <w:sz w:val="18"/>
              </w:rPr>
              <w:t>-</w:t>
            </w:r>
          </w:p>
        </w:tc>
      </w:tr>
      <w:tr w:rsidR="00223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22350F" w:rsidRDefault="00FC6FB2" w:rsidP="0022350F">
            <w:pPr>
              <w:spacing w:before="0" w:after="0"/>
              <w:rPr>
                <w:rFonts w:eastAsia="Calibri" w:cs="Calibri"/>
                <w:color w:val="000000"/>
                <w:sz w:val="18"/>
              </w:rPr>
            </w:pPr>
            <w:r>
              <w:rPr>
                <w:rFonts w:eastAsia="Calibri" w:cs="Calibri"/>
                <w:color w:val="000000"/>
                <w:sz w:val="18"/>
              </w:rPr>
              <w:t xml:space="preserve">Transfer - </w:t>
            </w:r>
            <w:r w:rsidR="0022350F">
              <w:rPr>
                <w:rFonts w:eastAsia="Calibri" w:cs="Calibri"/>
                <w:color w:val="000000"/>
                <w:sz w:val="18"/>
              </w:rPr>
              <w:t>University of Canberra Hospital - Car Park</w:t>
            </w:r>
          </w:p>
        </w:tc>
        <w:tc>
          <w:tcPr>
            <w:tcW w:w="1035" w:type="dxa"/>
            <w:tcBorders>
              <w:top w:val="nil"/>
              <w:left w:val="nil"/>
              <w:bottom w:val="nil"/>
              <w:right w:val="nil"/>
              <w:tl2br w:val="nil"/>
              <w:tr2bl w:val="nil"/>
            </w:tcBorders>
            <w:shd w:val="clear" w:color="auto" w:fill="auto"/>
            <w:noWrap/>
            <w:tcMar>
              <w:left w:w="101" w:type="dxa"/>
              <w:right w:w="101" w:type="dxa"/>
            </w:tcMar>
          </w:tcPr>
          <w:p w:rsidR="0022350F" w:rsidRDefault="0022350F" w:rsidP="00D67F0B">
            <w:pPr>
              <w:spacing w:before="0" w:after="0"/>
              <w:jc w:val="right"/>
              <w:rPr>
                <w:rFonts w:eastAsia="Calibri" w:cs="Calibri"/>
                <w:color w:val="000000"/>
                <w:sz w:val="18"/>
              </w:rPr>
            </w:pPr>
            <w:r>
              <w:rPr>
                <w:rFonts w:eastAsia="Calibri" w:cs="Calibri"/>
                <w:color w:val="000000"/>
                <w:sz w:val="18"/>
              </w:rPr>
              <w:t>3,135</w:t>
            </w:r>
          </w:p>
        </w:tc>
        <w:tc>
          <w:tcPr>
            <w:tcW w:w="1035" w:type="dxa"/>
            <w:tcBorders>
              <w:top w:val="nil"/>
              <w:left w:val="nil"/>
              <w:bottom w:val="nil"/>
              <w:right w:val="nil"/>
              <w:tl2br w:val="nil"/>
              <w:tr2bl w:val="nil"/>
            </w:tcBorders>
            <w:shd w:val="clear" w:color="auto" w:fill="auto"/>
            <w:noWrap/>
            <w:tcMar>
              <w:left w:w="101" w:type="dxa"/>
              <w:right w:w="101" w:type="dxa"/>
            </w:tcMar>
          </w:tcPr>
          <w:p w:rsidR="0022350F" w:rsidRDefault="00FC6FB2" w:rsidP="00D67F0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2350F" w:rsidRDefault="00FC6FB2" w:rsidP="00D67F0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2350F" w:rsidRDefault="00FC6FB2" w:rsidP="00D67F0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22350F" w:rsidRDefault="00FC6FB2" w:rsidP="00D67F0B">
            <w:pPr>
              <w:spacing w:before="0" w:after="0"/>
              <w:jc w:val="right"/>
              <w:rPr>
                <w:rFonts w:eastAsia="Calibri" w:cs="Calibri"/>
                <w:color w:val="000000"/>
                <w:sz w:val="18"/>
              </w:rPr>
            </w:pPr>
            <w:r>
              <w:rPr>
                <w:rFonts w:eastAsia="Calibri" w:cs="Calibri"/>
                <w:color w:val="000000"/>
                <w:sz w:val="18"/>
              </w:rPr>
              <w:t>-</w:t>
            </w:r>
          </w:p>
        </w:tc>
      </w:tr>
      <w:tr w:rsidR="00D67F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67F0B" w:rsidRDefault="00D67F0B" w:rsidP="00D67F0B">
            <w:pPr>
              <w:spacing w:before="0" w:after="0"/>
              <w:rPr>
                <w:rFonts w:eastAsia="Calibri" w:cs="Calibri"/>
                <w:color w:val="000000"/>
                <w:sz w:val="18"/>
              </w:rPr>
            </w:pPr>
            <w:r>
              <w:rPr>
                <w:rFonts w:eastAsia="Calibri" w:cs="Calibri"/>
                <w:color w:val="000000"/>
                <w:sz w:val="18"/>
              </w:rPr>
              <w:t>Savings - Staging, Decanting and Continuity of Services</w:t>
            </w:r>
          </w:p>
        </w:tc>
        <w:tc>
          <w:tcPr>
            <w:tcW w:w="1035" w:type="dxa"/>
            <w:tcBorders>
              <w:top w:val="nil"/>
              <w:left w:val="nil"/>
              <w:bottom w:val="nil"/>
              <w:right w:val="nil"/>
              <w:tl2br w:val="nil"/>
              <w:tr2bl w:val="nil"/>
            </w:tcBorders>
            <w:shd w:val="clear" w:color="auto" w:fill="auto"/>
            <w:noWrap/>
            <w:tcMar>
              <w:left w:w="101" w:type="dxa"/>
              <w:right w:w="101" w:type="dxa"/>
            </w:tcMar>
          </w:tcPr>
          <w:p w:rsidR="00D67F0B" w:rsidRDefault="00AF40E5" w:rsidP="00D67F0B">
            <w:pPr>
              <w:spacing w:before="0" w:after="0"/>
              <w:jc w:val="right"/>
              <w:rPr>
                <w:rFonts w:eastAsia="Calibri" w:cs="Calibri"/>
                <w:color w:val="000000"/>
                <w:sz w:val="18"/>
              </w:rPr>
            </w:pPr>
            <w:r>
              <w:rPr>
                <w:rFonts w:eastAsia="Calibri" w:cs="Calibri"/>
                <w:color w:val="000000"/>
                <w:sz w:val="18"/>
              </w:rPr>
              <w:t>(</w:t>
            </w:r>
            <w:r w:rsidR="00D67F0B">
              <w:rPr>
                <w:rFonts w:eastAsia="Calibri" w:cs="Calibri"/>
                <w:color w:val="000000"/>
                <w:sz w:val="18"/>
              </w:rPr>
              <w:t>750</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D67F0B" w:rsidRDefault="00D67F0B" w:rsidP="00D67F0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D67F0B" w:rsidRDefault="00D67F0B" w:rsidP="00D67F0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D67F0B" w:rsidRDefault="00D67F0B" w:rsidP="00D67F0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D67F0B" w:rsidRDefault="00D67F0B" w:rsidP="00D67F0B">
            <w:pPr>
              <w:spacing w:before="0" w:after="0"/>
              <w:jc w:val="right"/>
              <w:rPr>
                <w:rFonts w:eastAsia="Calibri" w:cs="Calibri"/>
                <w:color w:val="000000"/>
                <w:sz w:val="18"/>
              </w:rPr>
            </w:pPr>
            <w:r>
              <w:rPr>
                <w:rFonts w:eastAsia="Calibri" w:cs="Calibri"/>
                <w:color w:val="000000"/>
                <w:sz w:val="18"/>
              </w:rPr>
              <w:t>-</w:t>
            </w:r>
          </w:p>
        </w:tc>
      </w:tr>
      <w:tr w:rsidR="00D67F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67F0B" w:rsidRDefault="00D67F0B" w:rsidP="00D67F0B">
            <w:pPr>
              <w:spacing w:before="0" w:after="0"/>
              <w:rPr>
                <w:rFonts w:eastAsia="Calibri" w:cs="Calibri"/>
                <w:color w:val="000000"/>
                <w:sz w:val="18"/>
              </w:rPr>
            </w:pPr>
            <w:r>
              <w:rPr>
                <w:rFonts w:eastAsia="Calibri" w:cs="Calibri"/>
                <w:color w:val="000000"/>
                <w:sz w:val="18"/>
              </w:rPr>
              <w:t>Savings - The Canberra Hospital More Beds</w:t>
            </w:r>
          </w:p>
        </w:tc>
        <w:tc>
          <w:tcPr>
            <w:tcW w:w="1035" w:type="dxa"/>
            <w:tcBorders>
              <w:top w:val="nil"/>
              <w:left w:val="nil"/>
              <w:bottom w:val="nil"/>
              <w:right w:val="nil"/>
              <w:tl2br w:val="nil"/>
              <w:tr2bl w:val="nil"/>
            </w:tcBorders>
            <w:shd w:val="clear" w:color="auto" w:fill="auto"/>
            <w:noWrap/>
            <w:tcMar>
              <w:left w:w="101" w:type="dxa"/>
              <w:right w:w="101" w:type="dxa"/>
            </w:tcMar>
          </w:tcPr>
          <w:p w:rsidR="00D67F0B" w:rsidRDefault="00AF40E5" w:rsidP="00D67F0B">
            <w:pPr>
              <w:spacing w:before="0" w:after="0"/>
              <w:jc w:val="right"/>
              <w:rPr>
                <w:rFonts w:eastAsia="Calibri" w:cs="Calibri"/>
                <w:color w:val="000000"/>
                <w:sz w:val="18"/>
              </w:rPr>
            </w:pPr>
            <w:r>
              <w:rPr>
                <w:rFonts w:eastAsia="Calibri" w:cs="Calibri"/>
                <w:color w:val="000000"/>
                <w:sz w:val="18"/>
              </w:rPr>
              <w:t>(</w:t>
            </w:r>
            <w:r w:rsidR="00D67F0B">
              <w:rPr>
                <w:rFonts w:eastAsia="Calibri" w:cs="Calibri"/>
                <w:color w:val="000000"/>
                <w:sz w:val="18"/>
              </w:rPr>
              <w:t>500</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D67F0B" w:rsidRDefault="00D67F0B" w:rsidP="00D67F0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D67F0B" w:rsidRDefault="00D67F0B" w:rsidP="00D67F0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D67F0B" w:rsidRDefault="00D67F0B" w:rsidP="00D67F0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D67F0B" w:rsidRDefault="00D67F0B" w:rsidP="00D67F0B">
            <w:pPr>
              <w:spacing w:before="0" w:after="0"/>
              <w:jc w:val="right"/>
              <w:rPr>
                <w:rFonts w:eastAsia="Calibri" w:cs="Calibri"/>
                <w:color w:val="000000"/>
                <w:sz w:val="18"/>
              </w:rPr>
            </w:pPr>
            <w:r>
              <w:rPr>
                <w:rFonts w:eastAsia="Calibri" w:cs="Calibri"/>
                <w:color w:val="000000"/>
                <w:sz w:val="18"/>
              </w:rPr>
              <w:t>-</w:t>
            </w:r>
          </w:p>
        </w:tc>
      </w:tr>
      <w:tr w:rsidR="00D67F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67F0B" w:rsidRDefault="00D67F0B" w:rsidP="00D67F0B">
            <w:pPr>
              <w:spacing w:before="0" w:after="0"/>
              <w:rPr>
                <w:rFonts w:eastAsia="Calibri" w:cs="Calibri"/>
                <w:color w:val="000000"/>
                <w:sz w:val="18"/>
              </w:rPr>
            </w:pPr>
            <w:r>
              <w:rPr>
                <w:rFonts w:eastAsia="Calibri" w:cs="Calibri"/>
                <w:color w:val="000000"/>
                <w:sz w:val="18"/>
              </w:rPr>
              <w:t>Savings - The Canberra Hospital Redevelopment</w:t>
            </w:r>
          </w:p>
        </w:tc>
        <w:tc>
          <w:tcPr>
            <w:tcW w:w="1035" w:type="dxa"/>
            <w:tcBorders>
              <w:top w:val="nil"/>
              <w:left w:val="nil"/>
              <w:bottom w:val="nil"/>
              <w:right w:val="nil"/>
              <w:tl2br w:val="nil"/>
              <w:tr2bl w:val="nil"/>
            </w:tcBorders>
            <w:shd w:val="clear" w:color="auto" w:fill="auto"/>
            <w:noWrap/>
            <w:tcMar>
              <w:left w:w="101" w:type="dxa"/>
              <w:right w:w="101" w:type="dxa"/>
            </w:tcMar>
          </w:tcPr>
          <w:p w:rsidR="00D67F0B" w:rsidRDefault="00AF40E5" w:rsidP="00D67F0B">
            <w:pPr>
              <w:spacing w:before="0" w:after="0"/>
              <w:jc w:val="right"/>
              <w:rPr>
                <w:rFonts w:eastAsia="Calibri" w:cs="Calibri"/>
                <w:color w:val="000000"/>
                <w:sz w:val="18"/>
              </w:rPr>
            </w:pPr>
            <w:r>
              <w:rPr>
                <w:rFonts w:eastAsia="Calibri" w:cs="Calibri"/>
                <w:color w:val="000000"/>
                <w:sz w:val="18"/>
              </w:rPr>
              <w:t>(</w:t>
            </w:r>
            <w:r w:rsidR="00D67F0B">
              <w:rPr>
                <w:rFonts w:eastAsia="Calibri" w:cs="Calibri"/>
                <w:color w:val="000000"/>
                <w:sz w:val="18"/>
              </w:rPr>
              <w:t>2</w:t>
            </w:r>
            <w:r w:rsidR="00904EBD">
              <w:rPr>
                <w:rFonts w:eastAsia="Calibri" w:cs="Calibri"/>
                <w:color w:val="000000"/>
                <w:sz w:val="18"/>
              </w:rPr>
              <w:t>,</w:t>
            </w:r>
            <w:r w:rsidR="00D67F0B">
              <w:rPr>
                <w:rFonts w:eastAsia="Calibri" w:cs="Calibri"/>
                <w:color w:val="000000"/>
                <w:sz w:val="18"/>
              </w:rPr>
              <w:t>130</w:t>
            </w: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D67F0B" w:rsidRDefault="00D67F0B" w:rsidP="00D67F0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D67F0B" w:rsidRDefault="00D67F0B" w:rsidP="00D67F0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D67F0B" w:rsidRDefault="00D67F0B" w:rsidP="00D67F0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D67F0B" w:rsidRDefault="00D67F0B" w:rsidP="00D67F0B">
            <w:pPr>
              <w:spacing w:before="0" w:after="0"/>
              <w:jc w:val="right"/>
              <w:rPr>
                <w:rFonts w:eastAsia="Calibri" w:cs="Calibri"/>
                <w:color w:val="000000"/>
                <w:sz w:val="18"/>
              </w:rPr>
            </w:pPr>
            <w:r>
              <w:rPr>
                <w:rFonts w:eastAsia="Calibri" w:cs="Calibri"/>
                <w:color w:val="000000"/>
                <w:sz w:val="18"/>
              </w:rPr>
              <w:t>-</w:t>
            </w:r>
          </w:p>
        </w:tc>
      </w:tr>
      <w:tr w:rsidR="00D67F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67F0B" w:rsidRDefault="00D67F0B" w:rsidP="00D67F0B">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67F0B" w:rsidRDefault="00D67F0B" w:rsidP="00D67F0B">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67F0B" w:rsidRDefault="00D67F0B" w:rsidP="00D67F0B">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67F0B" w:rsidRDefault="00D67F0B" w:rsidP="00D67F0B">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67F0B" w:rsidRDefault="00D67F0B" w:rsidP="00D67F0B">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67F0B" w:rsidRDefault="00D67F0B" w:rsidP="00D67F0B">
            <w:pPr>
              <w:spacing w:before="0" w:after="0"/>
              <w:rPr>
                <w:rFonts w:eastAsia="Calibri" w:cs="Calibri"/>
                <w:color w:val="000000"/>
                <w:sz w:val="18"/>
              </w:rPr>
            </w:pPr>
          </w:p>
        </w:tc>
      </w:tr>
      <w:tr w:rsidR="00D67F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67F0B" w:rsidRDefault="00D67F0B" w:rsidP="00D67F0B">
            <w:pPr>
              <w:spacing w:before="0" w:after="0"/>
              <w:rPr>
                <w:rFonts w:eastAsia="Calibri" w:cs="Calibri"/>
                <w:b/>
                <w:color w:val="000000"/>
                <w:sz w:val="18"/>
              </w:rPr>
            </w:pPr>
            <w:r>
              <w:rPr>
                <w:rFonts w:eastAsia="Calibri" w:cs="Calibri"/>
                <w:b/>
                <w:color w:val="000000"/>
                <w:sz w:val="18"/>
              </w:rPr>
              <w:t>2018-19 Budget</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67F0B" w:rsidRDefault="00D67F0B" w:rsidP="00D67F0B">
            <w:pPr>
              <w:spacing w:before="0" w:after="0"/>
              <w:jc w:val="right"/>
              <w:rPr>
                <w:rFonts w:eastAsia="Calibri" w:cs="Calibri"/>
                <w:b/>
                <w:color w:val="000000"/>
                <w:sz w:val="18"/>
              </w:rPr>
            </w:pPr>
            <w:r>
              <w:rPr>
                <w:rFonts w:eastAsia="Calibri" w:cs="Calibri"/>
                <w:b/>
                <w:color w:val="000000"/>
                <w:sz w:val="18"/>
              </w:rPr>
              <w:t>99</w:t>
            </w:r>
            <w:r w:rsidR="00904EBD">
              <w:rPr>
                <w:rFonts w:eastAsia="Calibri" w:cs="Calibri"/>
                <w:b/>
                <w:color w:val="000000"/>
                <w:sz w:val="18"/>
              </w:rPr>
              <w:t>,</w:t>
            </w:r>
            <w:r>
              <w:rPr>
                <w:rFonts w:eastAsia="Calibri" w:cs="Calibri"/>
                <w:b/>
                <w:color w:val="000000"/>
                <w:sz w:val="18"/>
              </w:rPr>
              <w:t>146</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67F0B" w:rsidRDefault="00D67F0B" w:rsidP="00D67F0B">
            <w:pPr>
              <w:spacing w:before="0" w:after="0"/>
              <w:jc w:val="right"/>
              <w:rPr>
                <w:rFonts w:eastAsia="Calibri" w:cs="Calibri"/>
                <w:b/>
                <w:color w:val="000000"/>
                <w:sz w:val="18"/>
              </w:rPr>
            </w:pPr>
            <w:r>
              <w:rPr>
                <w:rFonts w:eastAsia="Calibri" w:cs="Calibri"/>
                <w:b/>
                <w:color w:val="000000"/>
                <w:sz w:val="18"/>
              </w:rPr>
              <w:t>123</w:t>
            </w:r>
            <w:r w:rsidR="00904EBD">
              <w:rPr>
                <w:rFonts w:eastAsia="Calibri" w:cs="Calibri"/>
                <w:b/>
                <w:color w:val="000000"/>
                <w:sz w:val="18"/>
              </w:rPr>
              <w:t>,</w:t>
            </w:r>
            <w:r>
              <w:rPr>
                <w:rFonts w:eastAsia="Calibri" w:cs="Calibri"/>
                <w:b/>
                <w:color w:val="000000"/>
                <w:sz w:val="18"/>
              </w:rPr>
              <w:t>012</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67F0B" w:rsidRDefault="00D67F0B" w:rsidP="00D67F0B">
            <w:pPr>
              <w:spacing w:before="0" w:after="0"/>
              <w:jc w:val="right"/>
              <w:rPr>
                <w:rFonts w:eastAsia="Calibri" w:cs="Calibri"/>
                <w:b/>
                <w:color w:val="000000"/>
                <w:sz w:val="18"/>
              </w:rPr>
            </w:pPr>
            <w:r>
              <w:rPr>
                <w:rFonts w:eastAsia="Calibri" w:cs="Calibri"/>
                <w:b/>
                <w:color w:val="000000"/>
                <w:sz w:val="18"/>
              </w:rPr>
              <w:t>105</w:t>
            </w:r>
            <w:r w:rsidR="00904EBD">
              <w:rPr>
                <w:rFonts w:eastAsia="Calibri" w:cs="Calibri"/>
                <w:b/>
                <w:color w:val="000000"/>
                <w:sz w:val="18"/>
              </w:rPr>
              <w:t>,</w:t>
            </w:r>
            <w:r>
              <w:rPr>
                <w:rFonts w:eastAsia="Calibri" w:cs="Calibri"/>
                <w:b/>
                <w:color w:val="000000"/>
                <w:sz w:val="18"/>
              </w:rPr>
              <w:t>465</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67F0B" w:rsidRDefault="00D67F0B" w:rsidP="00D67F0B">
            <w:pPr>
              <w:spacing w:before="0" w:after="0"/>
              <w:jc w:val="right"/>
              <w:rPr>
                <w:rFonts w:eastAsia="Calibri" w:cs="Calibri"/>
                <w:b/>
                <w:color w:val="000000"/>
                <w:sz w:val="18"/>
              </w:rPr>
            </w:pPr>
            <w:r>
              <w:rPr>
                <w:rFonts w:eastAsia="Calibri" w:cs="Calibri"/>
                <w:b/>
                <w:color w:val="000000"/>
                <w:sz w:val="18"/>
              </w:rPr>
              <w:t>11</w:t>
            </w:r>
            <w:r w:rsidR="00904EBD">
              <w:rPr>
                <w:rFonts w:eastAsia="Calibri" w:cs="Calibri"/>
                <w:b/>
                <w:color w:val="000000"/>
                <w:sz w:val="18"/>
              </w:rPr>
              <w:t>,</w:t>
            </w:r>
            <w:r>
              <w:rPr>
                <w:rFonts w:eastAsia="Calibri" w:cs="Calibri"/>
                <w:b/>
                <w:color w:val="000000"/>
                <w:sz w:val="18"/>
              </w:rPr>
              <w:t>017</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67F0B" w:rsidRDefault="00D67F0B" w:rsidP="00D67F0B">
            <w:pPr>
              <w:spacing w:before="0" w:after="0"/>
              <w:jc w:val="right"/>
              <w:rPr>
                <w:rFonts w:eastAsia="Calibri" w:cs="Calibri"/>
                <w:b/>
                <w:color w:val="000000"/>
                <w:sz w:val="18"/>
              </w:rPr>
            </w:pPr>
            <w:r>
              <w:rPr>
                <w:rFonts w:eastAsia="Calibri" w:cs="Calibri"/>
                <w:b/>
                <w:color w:val="000000"/>
                <w:sz w:val="18"/>
              </w:rPr>
              <w:t>4</w:t>
            </w:r>
            <w:r w:rsidR="00904EBD">
              <w:rPr>
                <w:rFonts w:eastAsia="Calibri" w:cs="Calibri"/>
                <w:b/>
                <w:color w:val="000000"/>
                <w:sz w:val="18"/>
              </w:rPr>
              <w:t>,</w:t>
            </w:r>
            <w:r>
              <w:rPr>
                <w:rFonts w:eastAsia="Calibri" w:cs="Calibri"/>
                <w:b/>
                <w:color w:val="000000"/>
                <w:sz w:val="18"/>
              </w:rPr>
              <w:t>981</w:t>
            </w:r>
          </w:p>
        </w:tc>
      </w:tr>
    </w:tbl>
    <w:p w:rsidR="00281F97" w:rsidRPr="008A2C93" w:rsidRDefault="00765F6E" w:rsidP="00281F97">
      <w:pPr>
        <w:pStyle w:val="Heading2"/>
        <w:pageBreakBefore/>
        <w:pBdr>
          <w:top w:val="nil"/>
          <w:left w:val="nil"/>
          <w:bottom w:val="nil"/>
          <w:right w:val="nil"/>
          <w:between w:val="nil"/>
          <w:bar w:val="nil"/>
        </w:pBdr>
        <w:rPr>
          <w:bdr w:val="nil"/>
        </w:rPr>
      </w:pPr>
      <w:bookmarkStart w:id="127" w:name="_Toc452127417"/>
      <w:bookmarkStart w:id="128" w:name="_Toc514765754"/>
      <w:bookmarkStart w:id="129" w:name="_Toc514832561"/>
      <w:r w:rsidRPr="008A2C93">
        <w:rPr>
          <w:bdr w:val="nil"/>
        </w:rPr>
        <w:lastRenderedPageBreak/>
        <w:t>Summary of 2018-19 Infrastructure Program</w:t>
      </w:r>
      <w:bookmarkEnd w:id="127"/>
      <w:bookmarkEnd w:id="128"/>
      <w:bookmarkEnd w:id="129"/>
    </w:p>
    <w:p w:rsidR="00281F97" w:rsidRPr="00EC7E1F" w:rsidRDefault="00765F6E" w:rsidP="00281F97">
      <w:pPr>
        <w:pStyle w:val="Caption"/>
        <w:pBdr>
          <w:top w:val="nil"/>
          <w:left w:val="nil"/>
          <w:bottom w:val="nil"/>
          <w:right w:val="nil"/>
          <w:between w:val="nil"/>
          <w:bar w:val="nil"/>
        </w:pBdr>
        <w:spacing w:after="0"/>
        <w:rPr>
          <w:bdr w:val="nil"/>
        </w:rPr>
      </w:pPr>
      <w:r w:rsidRPr="008A2C93">
        <w:rPr>
          <w:bdr w:val="nil"/>
        </w:rPr>
        <w:t>Table 3</w:t>
      </w:r>
      <w:r w:rsidR="00141A32">
        <w:rPr>
          <w:bdr w:val="nil"/>
        </w:rPr>
        <w:t>1</w:t>
      </w:r>
      <w:r w:rsidRPr="008A2C93">
        <w:rPr>
          <w:bdr w:val="nil"/>
        </w:rPr>
        <w:t>: 2018-19 Health Directorate Infrastructure</w:t>
      </w:r>
      <w:r>
        <w:rPr>
          <w:bdr w:val="nil"/>
        </w:rPr>
        <w:t xml:space="preserve"> Program</w:t>
      </w:r>
    </w:p>
    <w:tbl>
      <w:tblPr>
        <w:tblW w:w="9979" w:type="dxa"/>
        <w:tblLook w:val="04A0" w:firstRow="1" w:lastRow="0" w:firstColumn="1" w:lastColumn="0" w:noHBand="0" w:noVBand="1"/>
      </w:tblPr>
      <w:tblGrid>
        <w:gridCol w:w="3402"/>
        <w:gridCol w:w="1033"/>
        <w:gridCol w:w="1033"/>
        <w:gridCol w:w="1033"/>
        <w:gridCol w:w="1033"/>
        <w:gridCol w:w="1165"/>
        <w:gridCol w:w="1280"/>
      </w:tblGrid>
      <w:tr w:rsidR="00977B84" w:rsidRPr="00977B84" w:rsidTr="00952B87">
        <w:trPr>
          <w:trHeight w:val="750"/>
        </w:trPr>
        <w:tc>
          <w:tcPr>
            <w:tcW w:w="3402" w:type="dxa"/>
            <w:tcBorders>
              <w:top w:val="single" w:sz="4" w:space="0" w:color="auto"/>
              <w:left w:val="nil"/>
              <w:bottom w:val="single" w:sz="4" w:space="0" w:color="auto"/>
              <w:right w:val="nil"/>
            </w:tcBorders>
            <w:shd w:val="clear" w:color="000000" w:fill="FFFFFF"/>
            <w:hideMark/>
          </w:tcPr>
          <w:p w:rsidR="00977B84" w:rsidRPr="00977B84" w:rsidRDefault="00977B84" w:rsidP="00977B84">
            <w:pPr>
              <w:spacing w:before="0" w:after="0"/>
              <w:rPr>
                <w:rFonts w:cs="Arial"/>
                <w:b/>
                <w:bCs/>
                <w:sz w:val="18"/>
                <w:szCs w:val="18"/>
                <w:lang w:eastAsia="en-AU"/>
              </w:rPr>
            </w:pPr>
            <w:bookmarkStart w:id="130" w:name="RANGE!A3:G66"/>
            <w:bookmarkStart w:id="131" w:name="_Toc452467803"/>
            <w:r w:rsidRPr="00977B84">
              <w:rPr>
                <w:rFonts w:cs="Arial"/>
                <w:b/>
                <w:bCs/>
                <w:color w:val="000000"/>
                <w:sz w:val="18"/>
                <w:szCs w:val="18"/>
                <w:lang w:eastAsia="en-AU"/>
              </w:rPr>
              <w:t>Project</w:t>
            </w:r>
            <w:bookmarkEnd w:id="130"/>
          </w:p>
        </w:tc>
        <w:tc>
          <w:tcPr>
            <w:tcW w:w="1033" w:type="dxa"/>
            <w:tcBorders>
              <w:top w:val="single" w:sz="4" w:space="0" w:color="auto"/>
              <w:left w:val="nil"/>
              <w:bottom w:val="single" w:sz="4" w:space="0" w:color="auto"/>
              <w:right w:val="nil"/>
            </w:tcBorders>
            <w:shd w:val="clear" w:color="auto" w:fill="auto"/>
            <w:hideMark/>
          </w:tcPr>
          <w:p w:rsidR="00977B84" w:rsidRPr="00977B84" w:rsidRDefault="00977B84" w:rsidP="000F1974">
            <w:pPr>
              <w:spacing w:before="0" w:after="0"/>
              <w:jc w:val="right"/>
              <w:rPr>
                <w:rFonts w:cs="Arial"/>
                <w:b/>
                <w:bCs/>
                <w:sz w:val="18"/>
                <w:szCs w:val="18"/>
                <w:lang w:eastAsia="en-AU"/>
              </w:rPr>
            </w:pPr>
            <w:r w:rsidRPr="00977B84">
              <w:rPr>
                <w:rFonts w:cs="Arial"/>
                <w:b/>
                <w:bCs/>
                <w:color w:val="000000"/>
                <w:sz w:val="18"/>
                <w:szCs w:val="18"/>
                <w:lang w:eastAsia="en-AU"/>
              </w:rPr>
              <w:t>2018-19</w:t>
            </w:r>
            <w:r w:rsidRPr="00977B84">
              <w:rPr>
                <w:rFonts w:cs="Arial"/>
                <w:b/>
                <w:bCs/>
                <w:color w:val="000000"/>
                <w:sz w:val="18"/>
                <w:szCs w:val="18"/>
                <w:lang w:eastAsia="en-AU"/>
              </w:rPr>
              <w:br/>
              <w:t>$'0</w:t>
            </w:r>
            <w:r w:rsidRPr="00977B84">
              <w:rPr>
                <w:rFonts w:cs="Arial"/>
                <w:b/>
                <w:bCs/>
                <w:sz w:val="18"/>
                <w:szCs w:val="18"/>
                <w:lang w:eastAsia="en-AU"/>
              </w:rPr>
              <w:t>00</w:t>
            </w:r>
          </w:p>
        </w:tc>
        <w:tc>
          <w:tcPr>
            <w:tcW w:w="1033" w:type="dxa"/>
            <w:tcBorders>
              <w:top w:val="single" w:sz="4" w:space="0" w:color="auto"/>
              <w:left w:val="nil"/>
              <w:bottom w:val="single" w:sz="4" w:space="0" w:color="auto"/>
              <w:right w:val="nil"/>
            </w:tcBorders>
            <w:shd w:val="clear" w:color="auto" w:fill="auto"/>
            <w:hideMark/>
          </w:tcPr>
          <w:p w:rsidR="00977B84" w:rsidRPr="00977B84" w:rsidRDefault="00977B84" w:rsidP="000F1974">
            <w:pPr>
              <w:spacing w:before="0" w:after="0"/>
              <w:jc w:val="right"/>
              <w:rPr>
                <w:rFonts w:cs="Arial"/>
                <w:b/>
                <w:bCs/>
                <w:sz w:val="18"/>
                <w:szCs w:val="18"/>
                <w:lang w:eastAsia="en-AU"/>
              </w:rPr>
            </w:pPr>
            <w:r w:rsidRPr="00977B84">
              <w:rPr>
                <w:rFonts w:cs="Arial"/>
                <w:b/>
                <w:bCs/>
                <w:color w:val="000000"/>
                <w:sz w:val="18"/>
                <w:szCs w:val="18"/>
                <w:lang w:eastAsia="en-AU"/>
              </w:rPr>
              <w:t>2019-20</w:t>
            </w:r>
            <w:r w:rsidRPr="00977B84">
              <w:rPr>
                <w:rFonts w:cs="Arial"/>
                <w:b/>
                <w:bCs/>
                <w:color w:val="000000"/>
                <w:sz w:val="18"/>
                <w:szCs w:val="18"/>
                <w:lang w:eastAsia="en-AU"/>
              </w:rPr>
              <w:br/>
              <w:t>$'0</w:t>
            </w:r>
            <w:r w:rsidRPr="00977B84">
              <w:rPr>
                <w:rFonts w:cs="Arial"/>
                <w:b/>
                <w:bCs/>
                <w:sz w:val="18"/>
                <w:szCs w:val="18"/>
                <w:lang w:eastAsia="en-AU"/>
              </w:rPr>
              <w:t>00</w:t>
            </w:r>
          </w:p>
        </w:tc>
        <w:tc>
          <w:tcPr>
            <w:tcW w:w="1033" w:type="dxa"/>
            <w:tcBorders>
              <w:top w:val="single" w:sz="4" w:space="0" w:color="auto"/>
              <w:left w:val="nil"/>
              <w:bottom w:val="single" w:sz="4" w:space="0" w:color="auto"/>
              <w:right w:val="nil"/>
            </w:tcBorders>
            <w:shd w:val="clear" w:color="auto" w:fill="auto"/>
            <w:hideMark/>
          </w:tcPr>
          <w:p w:rsidR="00977B84" w:rsidRPr="00977B84" w:rsidRDefault="00977B84" w:rsidP="000F1974">
            <w:pPr>
              <w:spacing w:before="0" w:after="0"/>
              <w:jc w:val="right"/>
              <w:rPr>
                <w:rFonts w:cs="Arial"/>
                <w:b/>
                <w:bCs/>
                <w:sz w:val="18"/>
                <w:szCs w:val="18"/>
                <w:lang w:eastAsia="en-AU"/>
              </w:rPr>
            </w:pPr>
            <w:r w:rsidRPr="00977B84">
              <w:rPr>
                <w:rFonts w:cs="Arial"/>
                <w:b/>
                <w:bCs/>
                <w:color w:val="000000"/>
                <w:sz w:val="18"/>
                <w:szCs w:val="18"/>
                <w:lang w:eastAsia="en-AU"/>
              </w:rPr>
              <w:t>2020-21</w:t>
            </w:r>
            <w:r w:rsidRPr="00977B84">
              <w:rPr>
                <w:rFonts w:cs="Arial"/>
                <w:b/>
                <w:bCs/>
                <w:color w:val="000000"/>
                <w:sz w:val="18"/>
                <w:szCs w:val="18"/>
                <w:lang w:eastAsia="en-AU"/>
              </w:rPr>
              <w:br/>
              <w:t>$'0</w:t>
            </w:r>
            <w:r w:rsidRPr="00977B84">
              <w:rPr>
                <w:rFonts w:cs="Arial"/>
                <w:b/>
                <w:bCs/>
                <w:sz w:val="18"/>
                <w:szCs w:val="18"/>
                <w:lang w:eastAsia="en-AU"/>
              </w:rPr>
              <w:t>00</w:t>
            </w:r>
          </w:p>
        </w:tc>
        <w:tc>
          <w:tcPr>
            <w:tcW w:w="1033" w:type="dxa"/>
            <w:tcBorders>
              <w:top w:val="single" w:sz="4" w:space="0" w:color="auto"/>
              <w:left w:val="nil"/>
              <w:bottom w:val="single" w:sz="4" w:space="0" w:color="auto"/>
              <w:right w:val="nil"/>
            </w:tcBorders>
            <w:shd w:val="clear" w:color="auto" w:fill="auto"/>
            <w:hideMark/>
          </w:tcPr>
          <w:p w:rsidR="00977B84" w:rsidRPr="00977B84" w:rsidRDefault="00977B84" w:rsidP="000F1974">
            <w:pPr>
              <w:spacing w:before="0" w:after="0"/>
              <w:jc w:val="right"/>
              <w:rPr>
                <w:rFonts w:cs="Arial"/>
                <w:b/>
                <w:bCs/>
                <w:sz w:val="18"/>
                <w:szCs w:val="18"/>
                <w:lang w:eastAsia="en-AU"/>
              </w:rPr>
            </w:pPr>
            <w:r w:rsidRPr="00977B84">
              <w:rPr>
                <w:rFonts w:cs="Arial"/>
                <w:b/>
                <w:bCs/>
                <w:color w:val="000000"/>
                <w:sz w:val="18"/>
                <w:szCs w:val="18"/>
                <w:lang w:eastAsia="en-AU"/>
              </w:rPr>
              <w:t>2021-22</w:t>
            </w:r>
            <w:r w:rsidRPr="00977B84">
              <w:rPr>
                <w:rFonts w:cs="Arial"/>
                <w:b/>
                <w:bCs/>
                <w:color w:val="000000"/>
                <w:sz w:val="18"/>
                <w:szCs w:val="18"/>
                <w:lang w:eastAsia="en-AU"/>
              </w:rPr>
              <w:br/>
              <w:t>$'0</w:t>
            </w:r>
            <w:r w:rsidRPr="00977B84">
              <w:rPr>
                <w:rFonts w:cs="Arial"/>
                <w:b/>
                <w:bCs/>
                <w:sz w:val="18"/>
                <w:szCs w:val="18"/>
                <w:lang w:eastAsia="en-AU"/>
              </w:rPr>
              <w:t>00</w:t>
            </w:r>
          </w:p>
        </w:tc>
        <w:tc>
          <w:tcPr>
            <w:tcW w:w="1165" w:type="dxa"/>
            <w:tcBorders>
              <w:top w:val="single" w:sz="4" w:space="0" w:color="auto"/>
              <w:left w:val="nil"/>
              <w:bottom w:val="single" w:sz="4" w:space="0" w:color="auto"/>
              <w:right w:val="nil"/>
            </w:tcBorders>
            <w:shd w:val="clear" w:color="000000" w:fill="FFFFFF"/>
            <w:hideMark/>
          </w:tcPr>
          <w:p w:rsidR="00977B84" w:rsidRPr="00977B84" w:rsidRDefault="00977B84" w:rsidP="000F1974">
            <w:pPr>
              <w:spacing w:before="0" w:after="240"/>
              <w:jc w:val="right"/>
              <w:rPr>
                <w:rFonts w:cs="Arial"/>
                <w:b/>
                <w:bCs/>
                <w:sz w:val="18"/>
                <w:szCs w:val="18"/>
                <w:lang w:eastAsia="en-AU"/>
              </w:rPr>
            </w:pPr>
            <w:r w:rsidRPr="00977B84">
              <w:rPr>
                <w:rFonts w:cs="Arial"/>
                <w:b/>
                <w:bCs/>
                <w:color w:val="000000"/>
                <w:sz w:val="18"/>
                <w:szCs w:val="18"/>
                <w:lang w:eastAsia="en-AU"/>
              </w:rPr>
              <w:t>Four Year</w:t>
            </w:r>
            <w:r w:rsidRPr="00977B84">
              <w:rPr>
                <w:rFonts w:cs="Arial"/>
                <w:b/>
                <w:bCs/>
                <w:color w:val="000000"/>
                <w:sz w:val="18"/>
                <w:szCs w:val="18"/>
                <w:lang w:eastAsia="en-AU"/>
              </w:rPr>
              <w:br/>
              <w:t>Investment</w:t>
            </w:r>
            <w:r w:rsidRPr="00977B84">
              <w:rPr>
                <w:rFonts w:cs="Arial"/>
                <w:b/>
                <w:bCs/>
                <w:color w:val="000000"/>
                <w:sz w:val="18"/>
                <w:szCs w:val="18"/>
                <w:lang w:eastAsia="en-AU"/>
              </w:rPr>
              <w:br/>
              <w:t>$</w:t>
            </w:r>
            <w:r w:rsidRPr="00977B84">
              <w:rPr>
                <w:rFonts w:cs="Arial"/>
                <w:b/>
                <w:bCs/>
                <w:sz w:val="18"/>
                <w:szCs w:val="18"/>
                <w:lang w:eastAsia="en-AU"/>
              </w:rPr>
              <w:t>'000</w:t>
            </w:r>
          </w:p>
        </w:tc>
        <w:tc>
          <w:tcPr>
            <w:tcW w:w="1280" w:type="dxa"/>
            <w:tcBorders>
              <w:top w:val="single" w:sz="4" w:space="0" w:color="auto"/>
              <w:left w:val="nil"/>
              <w:bottom w:val="single" w:sz="4" w:space="0" w:color="auto"/>
              <w:right w:val="nil"/>
            </w:tcBorders>
            <w:shd w:val="clear" w:color="000000" w:fill="FFFFFF"/>
            <w:hideMark/>
          </w:tcPr>
          <w:p w:rsidR="00977B84" w:rsidRPr="00977B84" w:rsidRDefault="00977B84" w:rsidP="000F1974">
            <w:pPr>
              <w:spacing w:before="0" w:after="0"/>
              <w:jc w:val="right"/>
              <w:rPr>
                <w:rFonts w:cs="Arial"/>
                <w:b/>
                <w:bCs/>
                <w:sz w:val="18"/>
                <w:szCs w:val="18"/>
                <w:lang w:eastAsia="en-AU"/>
              </w:rPr>
            </w:pPr>
            <w:r w:rsidRPr="00977B84">
              <w:rPr>
                <w:rFonts w:cs="Arial"/>
                <w:b/>
                <w:bCs/>
                <w:color w:val="000000"/>
                <w:sz w:val="18"/>
                <w:szCs w:val="18"/>
                <w:lang w:eastAsia="en-AU"/>
              </w:rPr>
              <w:t>Physical</w:t>
            </w:r>
            <w:r w:rsidRPr="00977B84">
              <w:rPr>
                <w:rFonts w:cs="Arial"/>
                <w:b/>
                <w:bCs/>
                <w:color w:val="000000"/>
                <w:sz w:val="18"/>
                <w:szCs w:val="18"/>
                <w:lang w:eastAsia="en-AU"/>
              </w:rPr>
              <w:br/>
              <w:t>Completion</w:t>
            </w:r>
            <w:r w:rsidRPr="00977B84">
              <w:rPr>
                <w:rFonts w:cs="Arial"/>
                <w:b/>
                <w:bCs/>
                <w:color w:val="000000"/>
                <w:sz w:val="18"/>
                <w:szCs w:val="18"/>
                <w:lang w:eastAsia="en-AU"/>
              </w:rPr>
              <w:br/>
            </w:r>
            <w:r w:rsidRPr="00977B84">
              <w:rPr>
                <w:rFonts w:cs="Arial"/>
                <w:b/>
                <w:bCs/>
                <w:sz w:val="18"/>
                <w:szCs w:val="18"/>
                <w:lang w:eastAsia="en-AU"/>
              </w:rPr>
              <w:t>Date</w:t>
            </w:r>
          </w:p>
        </w:tc>
      </w:tr>
      <w:tr w:rsidR="00977B84" w:rsidRPr="00977B84" w:rsidTr="00952B87">
        <w:trPr>
          <w:trHeight w:val="240"/>
        </w:trPr>
        <w:tc>
          <w:tcPr>
            <w:tcW w:w="3402" w:type="dxa"/>
            <w:tcBorders>
              <w:top w:val="nil"/>
              <w:left w:val="nil"/>
              <w:bottom w:val="nil"/>
              <w:right w:val="nil"/>
            </w:tcBorders>
            <w:shd w:val="clear" w:color="auto" w:fill="auto"/>
            <w:hideMark/>
          </w:tcPr>
          <w:p w:rsidR="00977B84" w:rsidRPr="00977B84" w:rsidRDefault="00977B84" w:rsidP="00977B84">
            <w:pPr>
              <w:spacing w:before="0" w:after="0"/>
              <w:rPr>
                <w:rFonts w:cs="Arial"/>
                <w:color w:val="000000"/>
                <w:sz w:val="18"/>
                <w:szCs w:val="18"/>
                <w:lang w:eastAsia="en-AU"/>
              </w:rPr>
            </w:pPr>
            <w:r w:rsidRPr="00977B84">
              <w:rPr>
                <w:rFonts w:cs="Arial"/>
                <w:color w:val="000000"/>
                <w:sz w:val="18"/>
                <w:szCs w:val="18"/>
                <w:lang w:eastAsia="en-AU"/>
              </w:rPr>
              <w:t> </w:t>
            </w:r>
          </w:p>
        </w:tc>
        <w:tc>
          <w:tcPr>
            <w:tcW w:w="1033" w:type="dxa"/>
            <w:tcBorders>
              <w:top w:val="nil"/>
              <w:left w:val="nil"/>
              <w:bottom w:val="nil"/>
              <w:right w:val="nil"/>
            </w:tcBorders>
            <w:shd w:val="clear" w:color="auto" w:fill="auto"/>
            <w:noWrap/>
            <w:hideMark/>
          </w:tcPr>
          <w:p w:rsidR="00977B84" w:rsidRPr="00977B84" w:rsidRDefault="00977B84" w:rsidP="00977B84">
            <w:pPr>
              <w:spacing w:before="0" w:after="0"/>
              <w:rPr>
                <w:rFonts w:cs="Arial"/>
                <w:color w:val="000000"/>
                <w:sz w:val="18"/>
                <w:szCs w:val="18"/>
                <w:lang w:eastAsia="en-AU"/>
              </w:rPr>
            </w:pPr>
            <w:r w:rsidRPr="00977B84">
              <w:rPr>
                <w:rFonts w:cs="Arial"/>
                <w:color w:val="000000"/>
                <w:sz w:val="18"/>
                <w:szCs w:val="18"/>
                <w:lang w:eastAsia="en-AU"/>
              </w:rPr>
              <w:t> </w:t>
            </w:r>
          </w:p>
        </w:tc>
        <w:tc>
          <w:tcPr>
            <w:tcW w:w="1033" w:type="dxa"/>
            <w:tcBorders>
              <w:top w:val="nil"/>
              <w:left w:val="nil"/>
              <w:bottom w:val="nil"/>
              <w:right w:val="nil"/>
            </w:tcBorders>
            <w:shd w:val="clear" w:color="auto" w:fill="auto"/>
            <w:noWrap/>
            <w:hideMark/>
          </w:tcPr>
          <w:p w:rsidR="00977B84" w:rsidRPr="00977B84" w:rsidRDefault="00977B84" w:rsidP="00977B84">
            <w:pPr>
              <w:spacing w:before="0" w:after="0"/>
              <w:rPr>
                <w:rFonts w:cs="Arial"/>
                <w:color w:val="000000"/>
                <w:sz w:val="18"/>
                <w:szCs w:val="18"/>
                <w:lang w:eastAsia="en-AU"/>
              </w:rPr>
            </w:pPr>
            <w:r w:rsidRPr="00977B84">
              <w:rPr>
                <w:rFonts w:cs="Arial"/>
                <w:color w:val="000000"/>
                <w:sz w:val="18"/>
                <w:szCs w:val="18"/>
                <w:lang w:eastAsia="en-AU"/>
              </w:rPr>
              <w:t> </w:t>
            </w:r>
          </w:p>
        </w:tc>
        <w:tc>
          <w:tcPr>
            <w:tcW w:w="1033" w:type="dxa"/>
            <w:tcBorders>
              <w:top w:val="nil"/>
              <w:left w:val="nil"/>
              <w:bottom w:val="nil"/>
              <w:right w:val="nil"/>
            </w:tcBorders>
            <w:shd w:val="clear" w:color="auto" w:fill="auto"/>
            <w:noWrap/>
            <w:hideMark/>
          </w:tcPr>
          <w:p w:rsidR="00977B84" w:rsidRPr="00977B84" w:rsidRDefault="00977B84" w:rsidP="00977B84">
            <w:pPr>
              <w:spacing w:before="0" w:after="0"/>
              <w:rPr>
                <w:rFonts w:cs="Arial"/>
                <w:color w:val="000000"/>
                <w:sz w:val="18"/>
                <w:szCs w:val="18"/>
                <w:lang w:eastAsia="en-AU"/>
              </w:rPr>
            </w:pPr>
            <w:r w:rsidRPr="00977B84">
              <w:rPr>
                <w:rFonts w:cs="Arial"/>
                <w:color w:val="000000"/>
                <w:sz w:val="18"/>
                <w:szCs w:val="18"/>
                <w:lang w:eastAsia="en-AU"/>
              </w:rPr>
              <w:t> </w:t>
            </w:r>
          </w:p>
        </w:tc>
        <w:tc>
          <w:tcPr>
            <w:tcW w:w="1033" w:type="dxa"/>
            <w:tcBorders>
              <w:top w:val="nil"/>
              <w:left w:val="nil"/>
              <w:bottom w:val="nil"/>
              <w:right w:val="nil"/>
            </w:tcBorders>
            <w:shd w:val="clear" w:color="auto" w:fill="auto"/>
            <w:noWrap/>
            <w:hideMark/>
          </w:tcPr>
          <w:p w:rsidR="00977B84" w:rsidRPr="00977B84" w:rsidRDefault="00977B84" w:rsidP="00977B84">
            <w:pPr>
              <w:spacing w:before="0" w:after="0"/>
              <w:rPr>
                <w:rFonts w:cs="Arial"/>
                <w:color w:val="000000"/>
                <w:sz w:val="18"/>
                <w:szCs w:val="18"/>
                <w:lang w:eastAsia="en-AU"/>
              </w:rPr>
            </w:pPr>
            <w:r w:rsidRPr="00977B84">
              <w:rPr>
                <w:rFonts w:cs="Arial"/>
                <w:color w:val="000000"/>
                <w:sz w:val="18"/>
                <w:szCs w:val="18"/>
                <w:lang w:eastAsia="en-AU"/>
              </w:rPr>
              <w:t> </w:t>
            </w:r>
          </w:p>
        </w:tc>
        <w:tc>
          <w:tcPr>
            <w:tcW w:w="1165" w:type="dxa"/>
            <w:tcBorders>
              <w:top w:val="nil"/>
              <w:left w:val="nil"/>
              <w:bottom w:val="nil"/>
              <w:right w:val="nil"/>
            </w:tcBorders>
            <w:shd w:val="clear" w:color="auto" w:fill="auto"/>
            <w:noWrap/>
            <w:hideMark/>
          </w:tcPr>
          <w:p w:rsidR="00977B84" w:rsidRPr="00977B84" w:rsidRDefault="00977B84" w:rsidP="00977B84">
            <w:pPr>
              <w:spacing w:before="0" w:after="0"/>
              <w:rPr>
                <w:rFonts w:cs="Arial"/>
                <w:color w:val="000000"/>
                <w:sz w:val="18"/>
                <w:szCs w:val="18"/>
                <w:lang w:eastAsia="en-AU"/>
              </w:rPr>
            </w:pPr>
            <w:r w:rsidRPr="00977B84">
              <w:rPr>
                <w:rFonts w:cs="Arial"/>
                <w:color w:val="000000"/>
                <w:sz w:val="18"/>
                <w:szCs w:val="18"/>
                <w:lang w:eastAsia="en-AU"/>
              </w:rPr>
              <w:t> </w:t>
            </w:r>
          </w:p>
        </w:tc>
        <w:tc>
          <w:tcPr>
            <w:tcW w:w="1280" w:type="dxa"/>
            <w:tcBorders>
              <w:top w:val="nil"/>
              <w:left w:val="nil"/>
              <w:bottom w:val="nil"/>
              <w:right w:val="nil"/>
            </w:tcBorders>
            <w:shd w:val="clear" w:color="auto" w:fill="auto"/>
            <w:noWrap/>
            <w:hideMark/>
          </w:tcPr>
          <w:p w:rsidR="00977B84" w:rsidRPr="00977B84" w:rsidRDefault="00977B84" w:rsidP="00977B84">
            <w:pPr>
              <w:spacing w:before="0" w:after="0"/>
              <w:jc w:val="right"/>
              <w:rPr>
                <w:rFonts w:cs="Arial"/>
                <w:color w:val="000000"/>
                <w:sz w:val="18"/>
                <w:szCs w:val="18"/>
                <w:lang w:eastAsia="en-AU"/>
              </w:rPr>
            </w:pPr>
            <w:r w:rsidRPr="00977B84">
              <w:rPr>
                <w:rFonts w:cs="Arial"/>
                <w:color w:val="000000"/>
                <w:sz w:val="18"/>
                <w:szCs w:val="18"/>
                <w:lang w:eastAsia="en-AU"/>
              </w:rPr>
              <w:t> </w:t>
            </w:r>
          </w:p>
        </w:tc>
      </w:tr>
      <w:tr w:rsidR="00977B84" w:rsidRPr="00977B84" w:rsidTr="00952B87">
        <w:trPr>
          <w:trHeight w:val="240"/>
        </w:trPr>
        <w:tc>
          <w:tcPr>
            <w:tcW w:w="3402" w:type="dxa"/>
            <w:tcBorders>
              <w:top w:val="nil"/>
              <w:left w:val="nil"/>
              <w:bottom w:val="nil"/>
              <w:right w:val="nil"/>
            </w:tcBorders>
            <w:shd w:val="clear" w:color="auto" w:fill="auto"/>
            <w:hideMark/>
          </w:tcPr>
          <w:p w:rsidR="00977B84" w:rsidRPr="00977B84" w:rsidRDefault="00977B84" w:rsidP="00977B84">
            <w:pPr>
              <w:spacing w:before="0" w:after="0"/>
              <w:rPr>
                <w:rFonts w:cs="Arial"/>
                <w:b/>
                <w:bCs/>
                <w:color w:val="000000"/>
                <w:sz w:val="18"/>
                <w:szCs w:val="18"/>
                <w:lang w:eastAsia="en-AU"/>
              </w:rPr>
            </w:pPr>
            <w:r w:rsidRPr="00977B84">
              <w:rPr>
                <w:rFonts w:cs="Arial"/>
                <w:b/>
                <w:bCs/>
                <w:color w:val="000000"/>
                <w:sz w:val="18"/>
                <w:szCs w:val="18"/>
                <w:lang w:eastAsia="en-AU"/>
              </w:rPr>
              <w:t>CAPITAL WORKS PROGRAM</w:t>
            </w:r>
          </w:p>
        </w:tc>
        <w:tc>
          <w:tcPr>
            <w:tcW w:w="1033" w:type="dxa"/>
            <w:tcBorders>
              <w:top w:val="nil"/>
              <w:left w:val="nil"/>
              <w:bottom w:val="nil"/>
              <w:right w:val="nil"/>
            </w:tcBorders>
            <w:shd w:val="clear" w:color="auto" w:fill="auto"/>
            <w:noWrap/>
            <w:hideMark/>
          </w:tcPr>
          <w:p w:rsidR="00977B84" w:rsidRPr="00977B84" w:rsidRDefault="00977B84" w:rsidP="00977B84">
            <w:pPr>
              <w:spacing w:before="0" w:after="0"/>
              <w:rPr>
                <w:rFonts w:cs="Arial"/>
                <w:b/>
                <w:bCs/>
                <w:color w:val="000000"/>
                <w:sz w:val="18"/>
                <w:szCs w:val="18"/>
                <w:lang w:eastAsia="en-AU"/>
              </w:rPr>
            </w:pPr>
          </w:p>
        </w:tc>
        <w:tc>
          <w:tcPr>
            <w:tcW w:w="1033" w:type="dxa"/>
            <w:tcBorders>
              <w:top w:val="nil"/>
              <w:left w:val="nil"/>
              <w:bottom w:val="nil"/>
              <w:right w:val="nil"/>
            </w:tcBorders>
            <w:shd w:val="clear" w:color="auto" w:fill="auto"/>
            <w:noWrap/>
            <w:hideMark/>
          </w:tcPr>
          <w:p w:rsidR="00977B84" w:rsidRPr="00977B84" w:rsidRDefault="00977B84" w:rsidP="00977B84">
            <w:pPr>
              <w:spacing w:before="0" w:after="0"/>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977B84" w:rsidRDefault="00977B84" w:rsidP="00977B84">
            <w:pPr>
              <w:spacing w:before="0" w:after="0"/>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977B84" w:rsidRDefault="00977B84" w:rsidP="00977B84">
            <w:pPr>
              <w:spacing w:before="0" w:after="0"/>
              <w:rPr>
                <w:rFonts w:ascii="Times New Roman" w:hAnsi="Times New Roman"/>
                <w:sz w:val="20"/>
                <w:lang w:eastAsia="en-AU"/>
              </w:rPr>
            </w:pPr>
          </w:p>
        </w:tc>
        <w:tc>
          <w:tcPr>
            <w:tcW w:w="1165" w:type="dxa"/>
            <w:tcBorders>
              <w:top w:val="nil"/>
              <w:left w:val="nil"/>
              <w:bottom w:val="nil"/>
              <w:right w:val="nil"/>
            </w:tcBorders>
            <w:shd w:val="clear" w:color="auto" w:fill="auto"/>
            <w:noWrap/>
            <w:hideMark/>
          </w:tcPr>
          <w:p w:rsidR="00977B84" w:rsidRPr="00977B84" w:rsidRDefault="00977B84" w:rsidP="00977B84">
            <w:pPr>
              <w:spacing w:before="0" w:after="0"/>
              <w:rPr>
                <w:rFonts w:ascii="Times New Roman" w:hAnsi="Times New Roman"/>
                <w:sz w:val="20"/>
                <w:lang w:eastAsia="en-AU"/>
              </w:rPr>
            </w:pPr>
          </w:p>
        </w:tc>
        <w:tc>
          <w:tcPr>
            <w:tcW w:w="1280" w:type="dxa"/>
            <w:tcBorders>
              <w:top w:val="nil"/>
              <w:left w:val="nil"/>
              <w:bottom w:val="nil"/>
              <w:right w:val="nil"/>
            </w:tcBorders>
            <w:shd w:val="clear" w:color="auto" w:fill="auto"/>
            <w:noWrap/>
            <w:hideMark/>
          </w:tcPr>
          <w:p w:rsidR="00977B84" w:rsidRPr="00977B84" w:rsidRDefault="00977B84" w:rsidP="00977B84">
            <w:pPr>
              <w:spacing w:before="0" w:after="0"/>
              <w:rPr>
                <w:rFonts w:ascii="Times New Roman" w:hAnsi="Times New Roman"/>
                <w:sz w:val="20"/>
                <w:lang w:eastAsia="en-AU"/>
              </w:rPr>
            </w:pPr>
          </w:p>
        </w:tc>
      </w:tr>
      <w:tr w:rsidR="00977B84" w:rsidRPr="00977B84" w:rsidTr="00952B87">
        <w:trPr>
          <w:trHeight w:val="240"/>
        </w:trPr>
        <w:tc>
          <w:tcPr>
            <w:tcW w:w="3402" w:type="dxa"/>
            <w:tcBorders>
              <w:top w:val="nil"/>
              <w:left w:val="nil"/>
              <w:bottom w:val="nil"/>
              <w:right w:val="nil"/>
            </w:tcBorders>
            <w:shd w:val="clear" w:color="auto" w:fill="auto"/>
            <w:hideMark/>
          </w:tcPr>
          <w:p w:rsidR="00977B84" w:rsidRPr="00977B84" w:rsidRDefault="00977B84" w:rsidP="00977B84">
            <w:pPr>
              <w:spacing w:before="0" w:after="0"/>
              <w:jc w:val="right"/>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977B84" w:rsidRDefault="00977B84" w:rsidP="00977B84">
            <w:pPr>
              <w:spacing w:before="0" w:after="0"/>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977B84" w:rsidRDefault="00977B84" w:rsidP="00977B84">
            <w:pPr>
              <w:spacing w:before="0" w:after="0"/>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977B84" w:rsidRDefault="00977B84" w:rsidP="00977B84">
            <w:pPr>
              <w:spacing w:before="0" w:after="0"/>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977B84" w:rsidRDefault="00977B84" w:rsidP="00977B84">
            <w:pPr>
              <w:spacing w:before="0" w:after="0"/>
              <w:rPr>
                <w:rFonts w:ascii="Times New Roman" w:hAnsi="Times New Roman"/>
                <w:sz w:val="20"/>
                <w:lang w:eastAsia="en-AU"/>
              </w:rPr>
            </w:pPr>
          </w:p>
        </w:tc>
        <w:tc>
          <w:tcPr>
            <w:tcW w:w="1165" w:type="dxa"/>
            <w:tcBorders>
              <w:top w:val="nil"/>
              <w:left w:val="nil"/>
              <w:bottom w:val="nil"/>
              <w:right w:val="nil"/>
            </w:tcBorders>
            <w:shd w:val="clear" w:color="auto" w:fill="auto"/>
            <w:noWrap/>
            <w:hideMark/>
          </w:tcPr>
          <w:p w:rsidR="00977B84" w:rsidRPr="00977B84" w:rsidRDefault="00977B84" w:rsidP="00977B84">
            <w:pPr>
              <w:spacing w:before="0" w:after="0"/>
              <w:rPr>
                <w:rFonts w:ascii="Times New Roman" w:hAnsi="Times New Roman"/>
                <w:sz w:val="20"/>
                <w:lang w:eastAsia="en-AU"/>
              </w:rPr>
            </w:pPr>
          </w:p>
        </w:tc>
        <w:tc>
          <w:tcPr>
            <w:tcW w:w="1280" w:type="dxa"/>
            <w:tcBorders>
              <w:top w:val="nil"/>
              <w:left w:val="nil"/>
              <w:bottom w:val="nil"/>
              <w:right w:val="nil"/>
            </w:tcBorders>
            <w:shd w:val="clear" w:color="auto" w:fill="auto"/>
            <w:noWrap/>
            <w:hideMark/>
          </w:tcPr>
          <w:p w:rsidR="00977B84" w:rsidRPr="00977B84" w:rsidRDefault="00977B84" w:rsidP="00977B84">
            <w:pPr>
              <w:spacing w:before="0" w:after="0"/>
              <w:rPr>
                <w:rFonts w:ascii="Times New Roman" w:hAnsi="Times New Roman"/>
                <w:sz w:val="20"/>
                <w:lang w:eastAsia="en-AU"/>
              </w:rPr>
            </w:pPr>
          </w:p>
        </w:tc>
      </w:tr>
      <w:tr w:rsidR="00977B84" w:rsidRPr="00977B84" w:rsidTr="00952B87">
        <w:trPr>
          <w:trHeight w:val="240"/>
        </w:trPr>
        <w:tc>
          <w:tcPr>
            <w:tcW w:w="3402" w:type="dxa"/>
            <w:tcBorders>
              <w:top w:val="nil"/>
              <w:left w:val="nil"/>
              <w:bottom w:val="nil"/>
              <w:right w:val="nil"/>
            </w:tcBorders>
            <w:shd w:val="clear" w:color="auto" w:fill="auto"/>
            <w:hideMark/>
          </w:tcPr>
          <w:p w:rsidR="00977B84" w:rsidRPr="00977B84" w:rsidRDefault="00977B84" w:rsidP="00977B84">
            <w:pPr>
              <w:spacing w:before="0" w:after="0"/>
              <w:rPr>
                <w:rFonts w:cs="Arial"/>
                <w:b/>
                <w:bCs/>
                <w:color w:val="000000"/>
                <w:sz w:val="18"/>
                <w:szCs w:val="18"/>
                <w:lang w:eastAsia="en-AU"/>
              </w:rPr>
            </w:pPr>
            <w:r w:rsidRPr="00977B84">
              <w:rPr>
                <w:rFonts w:cs="Arial"/>
                <w:b/>
                <w:bCs/>
                <w:color w:val="000000"/>
                <w:sz w:val="18"/>
                <w:szCs w:val="18"/>
                <w:lang w:eastAsia="en-AU"/>
              </w:rPr>
              <w:t>New Works</w:t>
            </w:r>
          </w:p>
        </w:tc>
        <w:tc>
          <w:tcPr>
            <w:tcW w:w="1033" w:type="dxa"/>
            <w:tcBorders>
              <w:top w:val="nil"/>
              <w:left w:val="nil"/>
              <w:bottom w:val="nil"/>
              <w:right w:val="nil"/>
            </w:tcBorders>
            <w:shd w:val="clear" w:color="auto" w:fill="auto"/>
            <w:noWrap/>
            <w:hideMark/>
          </w:tcPr>
          <w:p w:rsidR="00977B84" w:rsidRPr="00977B84" w:rsidRDefault="00977B84" w:rsidP="00977B84">
            <w:pPr>
              <w:spacing w:before="0" w:after="0"/>
              <w:rPr>
                <w:rFonts w:cs="Arial"/>
                <w:b/>
                <w:bCs/>
                <w:color w:val="000000"/>
                <w:sz w:val="18"/>
                <w:szCs w:val="18"/>
                <w:lang w:eastAsia="en-AU"/>
              </w:rPr>
            </w:pPr>
          </w:p>
        </w:tc>
        <w:tc>
          <w:tcPr>
            <w:tcW w:w="1033" w:type="dxa"/>
            <w:tcBorders>
              <w:top w:val="nil"/>
              <w:left w:val="nil"/>
              <w:bottom w:val="nil"/>
              <w:right w:val="nil"/>
            </w:tcBorders>
            <w:shd w:val="clear" w:color="auto" w:fill="auto"/>
            <w:noWrap/>
            <w:hideMark/>
          </w:tcPr>
          <w:p w:rsidR="00977B84" w:rsidRPr="00977B84" w:rsidRDefault="00977B84" w:rsidP="00977B84">
            <w:pPr>
              <w:spacing w:before="0" w:after="0"/>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977B84" w:rsidRDefault="00977B84" w:rsidP="00977B84">
            <w:pPr>
              <w:spacing w:before="0" w:after="0"/>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977B84" w:rsidRDefault="00977B84" w:rsidP="00977B84">
            <w:pPr>
              <w:spacing w:before="0" w:after="0"/>
              <w:rPr>
                <w:rFonts w:ascii="Times New Roman" w:hAnsi="Times New Roman"/>
                <w:sz w:val="20"/>
                <w:lang w:eastAsia="en-AU"/>
              </w:rPr>
            </w:pPr>
          </w:p>
        </w:tc>
        <w:tc>
          <w:tcPr>
            <w:tcW w:w="1165" w:type="dxa"/>
            <w:tcBorders>
              <w:top w:val="nil"/>
              <w:left w:val="nil"/>
              <w:bottom w:val="nil"/>
              <w:right w:val="nil"/>
            </w:tcBorders>
            <w:shd w:val="clear" w:color="auto" w:fill="auto"/>
            <w:noWrap/>
            <w:hideMark/>
          </w:tcPr>
          <w:p w:rsidR="00977B84" w:rsidRPr="00977B84" w:rsidRDefault="00977B84" w:rsidP="00977B84">
            <w:pPr>
              <w:spacing w:before="0" w:after="0"/>
              <w:rPr>
                <w:rFonts w:ascii="Times New Roman" w:hAnsi="Times New Roman"/>
                <w:sz w:val="20"/>
                <w:lang w:eastAsia="en-AU"/>
              </w:rPr>
            </w:pPr>
          </w:p>
        </w:tc>
        <w:tc>
          <w:tcPr>
            <w:tcW w:w="1280" w:type="dxa"/>
            <w:tcBorders>
              <w:top w:val="nil"/>
              <w:left w:val="nil"/>
              <w:bottom w:val="nil"/>
              <w:right w:val="nil"/>
            </w:tcBorders>
            <w:shd w:val="clear" w:color="auto" w:fill="auto"/>
            <w:noWrap/>
            <w:hideMark/>
          </w:tcPr>
          <w:p w:rsidR="00977B84" w:rsidRPr="00977B84" w:rsidRDefault="00977B84" w:rsidP="00977B84">
            <w:pPr>
              <w:spacing w:before="0" w:after="0"/>
              <w:rPr>
                <w:rFonts w:ascii="Times New Roman" w:hAnsi="Times New Roman"/>
                <w:sz w:val="20"/>
                <w:lang w:eastAsia="en-AU"/>
              </w:rPr>
            </w:pPr>
          </w:p>
        </w:tc>
      </w:tr>
      <w:tr w:rsidR="00977B84" w:rsidRPr="00977B84" w:rsidTr="00952B87">
        <w:trPr>
          <w:trHeight w:val="240"/>
        </w:trPr>
        <w:tc>
          <w:tcPr>
            <w:tcW w:w="3402" w:type="dxa"/>
            <w:tcBorders>
              <w:top w:val="nil"/>
              <w:left w:val="nil"/>
              <w:bottom w:val="nil"/>
              <w:right w:val="nil"/>
            </w:tcBorders>
            <w:shd w:val="clear" w:color="auto" w:fill="auto"/>
            <w:hideMark/>
          </w:tcPr>
          <w:p w:rsidR="00977B84" w:rsidRPr="00977B84" w:rsidRDefault="00977B84" w:rsidP="00977B84">
            <w:pPr>
              <w:spacing w:before="0" w:after="0"/>
              <w:jc w:val="right"/>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977B84" w:rsidRDefault="00977B84" w:rsidP="00977B84">
            <w:pPr>
              <w:spacing w:before="0" w:after="0"/>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977B84" w:rsidRDefault="00977B84" w:rsidP="00977B84">
            <w:pPr>
              <w:spacing w:before="0" w:after="0"/>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977B84" w:rsidRDefault="00977B84" w:rsidP="00977B84">
            <w:pPr>
              <w:spacing w:before="0" w:after="0"/>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977B84" w:rsidRDefault="00977B84" w:rsidP="00977B84">
            <w:pPr>
              <w:spacing w:before="0" w:after="0"/>
              <w:rPr>
                <w:rFonts w:ascii="Times New Roman" w:hAnsi="Times New Roman"/>
                <w:sz w:val="20"/>
                <w:lang w:eastAsia="en-AU"/>
              </w:rPr>
            </w:pPr>
          </w:p>
        </w:tc>
        <w:tc>
          <w:tcPr>
            <w:tcW w:w="1165" w:type="dxa"/>
            <w:tcBorders>
              <w:top w:val="nil"/>
              <w:left w:val="nil"/>
              <w:bottom w:val="nil"/>
              <w:right w:val="nil"/>
            </w:tcBorders>
            <w:shd w:val="clear" w:color="auto" w:fill="auto"/>
            <w:noWrap/>
            <w:hideMark/>
          </w:tcPr>
          <w:p w:rsidR="00977B84" w:rsidRPr="00977B84" w:rsidRDefault="00977B84" w:rsidP="00977B84">
            <w:pPr>
              <w:spacing w:before="0" w:after="0"/>
              <w:rPr>
                <w:rFonts w:ascii="Times New Roman" w:hAnsi="Times New Roman"/>
                <w:sz w:val="20"/>
                <w:lang w:eastAsia="en-AU"/>
              </w:rPr>
            </w:pPr>
          </w:p>
        </w:tc>
        <w:tc>
          <w:tcPr>
            <w:tcW w:w="1280" w:type="dxa"/>
            <w:tcBorders>
              <w:top w:val="nil"/>
              <w:left w:val="nil"/>
              <w:bottom w:val="nil"/>
              <w:right w:val="nil"/>
            </w:tcBorders>
            <w:shd w:val="clear" w:color="auto" w:fill="auto"/>
            <w:noWrap/>
            <w:hideMark/>
          </w:tcPr>
          <w:p w:rsidR="00977B84" w:rsidRPr="00977B84" w:rsidRDefault="00977B84" w:rsidP="00977B84">
            <w:pPr>
              <w:spacing w:before="0" w:after="0"/>
              <w:rPr>
                <w:rFonts w:ascii="Times New Roman" w:hAnsi="Times New Roman"/>
                <w:sz w:val="20"/>
                <w:lang w:eastAsia="en-AU"/>
              </w:rPr>
            </w:pPr>
          </w:p>
        </w:tc>
      </w:tr>
      <w:tr w:rsidR="00977B84" w:rsidRPr="00977B84" w:rsidTr="00952B87">
        <w:trPr>
          <w:trHeight w:val="240"/>
        </w:trPr>
        <w:tc>
          <w:tcPr>
            <w:tcW w:w="3402" w:type="dxa"/>
            <w:tcBorders>
              <w:top w:val="nil"/>
              <w:left w:val="nil"/>
              <w:bottom w:val="nil"/>
              <w:right w:val="nil"/>
            </w:tcBorders>
            <w:shd w:val="clear" w:color="auto" w:fill="auto"/>
            <w:hideMark/>
          </w:tcPr>
          <w:p w:rsidR="00977B84" w:rsidRPr="00977B84" w:rsidRDefault="00977B84" w:rsidP="00977B84">
            <w:pPr>
              <w:spacing w:before="0" w:after="0"/>
              <w:rPr>
                <w:rFonts w:cs="Arial"/>
                <w:color w:val="000000"/>
                <w:sz w:val="18"/>
                <w:szCs w:val="18"/>
                <w:u w:val="single"/>
                <w:lang w:eastAsia="en-AU"/>
              </w:rPr>
            </w:pPr>
            <w:r w:rsidRPr="00977B84">
              <w:rPr>
                <w:rFonts w:cs="Arial"/>
                <w:color w:val="000000"/>
                <w:sz w:val="18"/>
                <w:szCs w:val="18"/>
                <w:u w:val="single"/>
                <w:lang w:eastAsia="en-AU"/>
              </w:rPr>
              <w:t>Construction</w:t>
            </w:r>
          </w:p>
        </w:tc>
        <w:tc>
          <w:tcPr>
            <w:tcW w:w="1033" w:type="dxa"/>
            <w:tcBorders>
              <w:top w:val="nil"/>
              <w:left w:val="nil"/>
              <w:bottom w:val="nil"/>
              <w:right w:val="nil"/>
            </w:tcBorders>
            <w:shd w:val="clear" w:color="auto" w:fill="auto"/>
            <w:noWrap/>
            <w:hideMark/>
          </w:tcPr>
          <w:p w:rsidR="00977B84" w:rsidRPr="00977B84" w:rsidRDefault="00977B84" w:rsidP="00977B84">
            <w:pPr>
              <w:spacing w:before="0" w:after="0"/>
              <w:rPr>
                <w:rFonts w:cs="Arial"/>
                <w:color w:val="000000"/>
                <w:sz w:val="18"/>
                <w:szCs w:val="18"/>
                <w:u w:val="single"/>
                <w:lang w:eastAsia="en-AU"/>
              </w:rPr>
            </w:pPr>
          </w:p>
        </w:tc>
        <w:tc>
          <w:tcPr>
            <w:tcW w:w="1033" w:type="dxa"/>
            <w:tcBorders>
              <w:top w:val="nil"/>
              <w:left w:val="nil"/>
              <w:bottom w:val="nil"/>
              <w:right w:val="nil"/>
            </w:tcBorders>
            <w:shd w:val="clear" w:color="auto" w:fill="auto"/>
            <w:noWrap/>
            <w:hideMark/>
          </w:tcPr>
          <w:p w:rsidR="00977B84" w:rsidRPr="00977B84" w:rsidRDefault="00977B84" w:rsidP="00977B84">
            <w:pPr>
              <w:spacing w:before="0" w:after="0"/>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977B84" w:rsidRDefault="00977B84" w:rsidP="00977B84">
            <w:pPr>
              <w:spacing w:before="0" w:after="0"/>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977B84" w:rsidRDefault="00977B84" w:rsidP="00977B84">
            <w:pPr>
              <w:spacing w:before="0" w:after="0"/>
              <w:rPr>
                <w:rFonts w:ascii="Times New Roman" w:hAnsi="Times New Roman"/>
                <w:sz w:val="20"/>
                <w:lang w:eastAsia="en-AU"/>
              </w:rPr>
            </w:pPr>
          </w:p>
        </w:tc>
        <w:tc>
          <w:tcPr>
            <w:tcW w:w="1165" w:type="dxa"/>
            <w:tcBorders>
              <w:top w:val="nil"/>
              <w:left w:val="nil"/>
              <w:bottom w:val="nil"/>
              <w:right w:val="nil"/>
            </w:tcBorders>
            <w:shd w:val="clear" w:color="auto" w:fill="auto"/>
            <w:noWrap/>
            <w:hideMark/>
          </w:tcPr>
          <w:p w:rsidR="00977B84" w:rsidRPr="00977B84" w:rsidRDefault="00977B84" w:rsidP="00977B84">
            <w:pPr>
              <w:spacing w:before="0" w:after="0"/>
              <w:rPr>
                <w:rFonts w:ascii="Times New Roman" w:hAnsi="Times New Roman"/>
                <w:sz w:val="20"/>
                <w:lang w:eastAsia="en-AU"/>
              </w:rPr>
            </w:pPr>
          </w:p>
        </w:tc>
        <w:tc>
          <w:tcPr>
            <w:tcW w:w="1280" w:type="dxa"/>
            <w:tcBorders>
              <w:top w:val="nil"/>
              <w:left w:val="nil"/>
              <w:bottom w:val="nil"/>
              <w:right w:val="nil"/>
            </w:tcBorders>
            <w:shd w:val="clear" w:color="auto" w:fill="auto"/>
            <w:noWrap/>
            <w:hideMark/>
          </w:tcPr>
          <w:p w:rsidR="00977B84" w:rsidRPr="00977B84" w:rsidRDefault="00977B84" w:rsidP="00977B84">
            <w:pPr>
              <w:spacing w:before="0" w:after="0"/>
              <w:rPr>
                <w:rFonts w:ascii="Times New Roman" w:hAnsi="Times New Roman"/>
                <w:sz w:val="20"/>
                <w:lang w:eastAsia="en-AU"/>
              </w:rPr>
            </w:pPr>
          </w:p>
        </w:tc>
      </w:tr>
      <w:tr w:rsidR="00977B84" w:rsidRPr="00E03421" w:rsidTr="00952B87">
        <w:trPr>
          <w:trHeight w:hRule="exact" w:val="238"/>
        </w:trPr>
        <w:tc>
          <w:tcPr>
            <w:tcW w:w="3402" w:type="dxa"/>
            <w:tcBorders>
              <w:top w:val="nil"/>
              <w:left w:val="nil"/>
              <w:bottom w:val="nil"/>
              <w:right w:val="nil"/>
            </w:tcBorders>
            <w:shd w:val="clear" w:color="auto" w:fill="auto"/>
            <w:hideMark/>
          </w:tcPr>
          <w:p w:rsidR="00977B84" w:rsidRPr="00E03421" w:rsidRDefault="00227F26" w:rsidP="00977B84">
            <w:pPr>
              <w:spacing w:before="0" w:after="0"/>
              <w:rPr>
                <w:rFonts w:cs="Arial"/>
                <w:color w:val="000000"/>
                <w:sz w:val="18"/>
                <w:szCs w:val="18"/>
                <w:lang w:eastAsia="en-AU"/>
              </w:rPr>
            </w:pPr>
            <w:r>
              <w:rPr>
                <w:rFonts w:cs="Arial"/>
                <w:color w:val="000000"/>
                <w:sz w:val="18"/>
                <w:szCs w:val="18"/>
                <w:lang w:eastAsia="en-AU"/>
              </w:rPr>
              <w:t>More Mental H</w:t>
            </w:r>
            <w:r w:rsidR="00977B84" w:rsidRPr="00E03421">
              <w:rPr>
                <w:rFonts w:cs="Arial"/>
                <w:color w:val="000000"/>
                <w:sz w:val="18"/>
                <w:szCs w:val="18"/>
                <w:lang w:eastAsia="en-AU"/>
              </w:rPr>
              <w:t xml:space="preserve">ealth </w:t>
            </w:r>
            <w:r>
              <w:rPr>
                <w:rFonts w:cs="Arial"/>
                <w:color w:val="000000"/>
                <w:sz w:val="18"/>
                <w:szCs w:val="18"/>
                <w:lang w:eastAsia="en-AU"/>
              </w:rPr>
              <w:t>A</w:t>
            </w:r>
            <w:r w:rsidR="000E4DA3" w:rsidRPr="00E03421">
              <w:rPr>
                <w:rFonts w:cs="Arial"/>
                <w:color w:val="000000"/>
                <w:sz w:val="18"/>
                <w:szCs w:val="18"/>
                <w:lang w:eastAsia="en-AU"/>
              </w:rPr>
              <w:t>ccommodation</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color w:val="000000"/>
                <w:sz w:val="18"/>
                <w:szCs w:val="18"/>
                <w:lang w:eastAsia="en-AU"/>
              </w:rPr>
            </w:pPr>
            <w:r w:rsidRPr="00E03421">
              <w:rPr>
                <w:rFonts w:cs="Arial"/>
                <w:color w:val="000000"/>
                <w:sz w:val="18"/>
                <w:szCs w:val="18"/>
                <w:lang w:eastAsia="en-AU"/>
              </w:rPr>
              <w:t>123</w:t>
            </w:r>
          </w:p>
        </w:tc>
        <w:tc>
          <w:tcPr>
            <w:tcW w:w="1033" w:type="dxa"/>
            <w:tcBorders>
              <w:top w:val="nil"/>
              <w:left w:val="nil"/>
              <w:bottom w:val="nil"/>
              <w:right w:val="nil"/>
            </w:tcBorders>
            <w:shd w:val="clear" w:color="auto" w:fill="auto"/>
            <w:noWrap/>
            <w:hideMark/>
          </w:tcPr>
          <w:p w:rsidR="00977B84" w:rsidRPr="00E03421" w:rsidRDefault="00977B84" w:rsidP="00AF40E5">
            <w:pPr>
              <w:spacing w:before="0" w:after="0"/>
              <w:jc w:val="right"/>
              <w:rPr>
                <w:rFonts w:cs="Arial"/>
                <w:color w:val="000000"/>
                <w:sz w:val="18"/>
                <w:szCs w:val="18"/>
                <w:lang w:eastAsia="en-AU"/>
              </w:rPr>
            </w:pPr>
            <w:r w:rsidRPr="00E03421">
              <w:rPr>
                <w:rFonts w:cs="Arial"/>
                <w:color w:val="000000"/>
                <w:sz w:val="18"/>
                <w:szCs w:val="18"/>
                <w:lang w:eastAsia="en-AU"/>
              </w:rPr>
              <w:t>6</w:t>
            </w:r>
            <w:r w:rsidR="00904EBD" w:rsidRPr="00E03421">
              <w:rPr>
                <w:rFonts w:cs="Arial"/>
                <w:color w:val="000000"/>
                <w:sz w:val="18"/>
                <w:szCs w:val="18"/>
                <w:lang w:eastAsia="en-AU"/>
              </w:rPr>
              <w:t>,</w:t>
            </w:r>
            <w:r w:rsidRPr="00E03421">
              <w:rPr>
                <w:rFonts w:cs="Arial"/>
                <w:color w:val="000000"/>
                <w:sz w:val="18"/>
                <w:szCs w:val="18"/>
                <w:lang w:eastAsia="en-AU"/>
              </w:rPr>
              <w:t>233</w:t>
            </w:r>
          </w:p>
        </w:tc>
        <w:tc>
          <w:tcPr>
            <w:tcW w:w="1033" w:type="dxa"/>
            <w:tcBorders>
              <w:top w:val="nil"/>
              <w:left w:val="nil"/>
              <w:bottom w:val="nil"/>
              <w:right w:val="nil"/>
            </w:tcBorders>
            <w:shd w:val="clear" w:color="auto" w:fill="auto"/>
            <w:noWrap/>
            <w:hideMark/>
          </w:tcPr>
          <w:p w:rsidR="00977B84" w:rsidRPr="00E03421" w:rsidRDefault="00977B84" w:rsidP="00AF40E5">
            <w:pPr>
              <w:spacing w:before="0" w:after="0"/>
              <w:jc w:val="right"/>
              <w:rPr>
                <w:rFonts w:cs="Arial"/>
                <w:color w:val="000000"/>
                <w:sz w:val="18"/>
                <w:szCs w:val="18"/>
                <w:lang w:eastAsia="en-AU"/>
              </w:rPr>
            </w:pPr>
            <w:r w:rsidRPr="00E03421">
              <w:rPr>
                <w:rFonts w:cs="Arial"/>
                <w:color w:val="000000"/>
                <w:sz w:val="18"/>
                <w:szCs w:val="18"/>
                <w:lang w:eastAsia="en-AU"/>
              </w:rPr>
              <w:t>5</w:t>
            </w:r>
            <w:r w:rsidR="00904EBD" w:rsidRPr="00E03421">
              <w:rPr>
                <w:rFonts w:cs="Arial"/>
                <w:color w:val="000000"/>
                <w:sz w:val="18"/>
                <w:szCs w:val="18"/>
                <w:lang w:eastAsia="en-AU"/>
              </w:rPr>
              <w:t>,</w:t>
            </w:r>
            <w:r w:rsidRPr="00E03421">
              <w:rPr>
                <w:rFonts w:cs="Arial"/>
                <w:color w:val="000000"/>
                <w:sz w:val="18"/>
                <w:szCs w:val="18"/>
                <w:lang w:eastAsia="en-AU"/>
              </w:rPr>
              <w:t>560</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color w:val="000000"/>
                <w:sz w:val="18"/>
                <w:szCs w:val="18"/>
                <w:lang w:eastAsia="en-AU"/>
              </w:rPr>
            </w:pPr>
            <w:r w:rsidRPr="00E03421">
              <w:rPr>
                <w:rFonts w:cs="Arial"/>
                <w:color w:val="000000"/>
                <w:sz w:val="18"/>
                <w:szCs w:val="18"/>
                <w:lang w:eastAsia="en-AU"/>
              </w:rPr>
              <w:t>320</w:t>
            </w:r>
          </w:p>
        </w:tc>
        <w:tc>
          <w:tcPr>
            <w:tcW w:w="1165" w:type="dxa"/>
            <w:tcBorders>
              <w:top w:val="nil"/>
              <w:left w:val="nil"/>
              <w:bottom w:val="nil"/>
              <w:right w:val="nil"/>
            </w:tcBorders>
            <w:shd w:val="clear" w:color="auto" w:fill="auto"/>
            <w:noWrap/>
            <w:hideMark/>
          </w:tcPr>
          <w:p w:rsidR="00977B84" w:rsidRPr="00E03421" w:rsidRDefault="00AF40E5" w:rsidP="00B43A2B">
            <w:pPr>
              <w:spacing w:before="0" w:after="0"/>
              <w:jc w:val="right"/>
              <w:rPr>
                <w:rFonts w:cs="Arial"/>
                <w:color w:val="000000"/>
                <w:sz w:val="18"/>
                <w:szCs w:val="18"/>
                <w:lang w:eastAsia="en-AU"/>
              </w:rPr>
            </w:pPr>
            <w:r w:rsidRPr="00E03421">
              <w:rPr>
                <w:rFonts w:cs="Arial"/>
                <w:color w:val="000000"/>
                <w:sz w:val="18"/>
                <w:szCs w:val="18"/>
                <w:lang w:eastAsia="en-AU"/>
              </w:rPr>
              <w:t>12</w:t>
            </w:r>
            <w:r w:rsidR="00904EBD" w:rsidRPr="00E03421">
              <w:rPr>
                <w:rFonts w:cs="Arial"/>
                <w:color w:val="000000"/>
                <w:sz w:val="18"/>
                <w:szCs w:val="18"/>
                <w:lang w:eastAsia="en-AU"/>
              </w:rPr>
              <w:t>,</w:t>
            </w:r>
            <w:r w:rsidR="00977B84" w:rsidRPr="00E03421">
              <w:rPr>
                <w:rFonts w:cs="Arial"/>
                <w:color w:val="000000"/>
                <w:sz w:val="18"/>
                <w:szCs w:val="18"/>
                <w:lang w:eastAsia="en-AU"/>
              </w:rPr>
              <w:t>236</w:t>
            </w:r>
          </w:p>
        </w:tc>
        <w:tc>
          <w:tcPr>
            <w:tcW w:w="1280" w:type="dxa"/>
            <w:tcBorders>
              <w:top w:val="nil"/>
              <w:left w:val="nil"/>
              <w:bottom w:val="nil"/>
              <w:right w:val="nil"/>
            </w:tcBorders>
            <w:shd w:val="clear" w:color="auto" w:fill="auto"/>
            <w:noWrap/>
            <w:hideMark/>
          </w:tcPr>
          <w:p w:rsidR="00977B84" w:rsidRPr="00E03421" w:rsidRDefault="00660ABC" w:rsidP="00B43A2B">
            <w:pPr>
              <w:spacing w:before="0" w:after="0"/>
              <w:jc w:val="right"/>
              <w:rPr>
                <w:rFonts w:cs="Arial"/>
                <w:color w:val="000000"/>
                <w:sz w:val="18"/>
                <w:szCs w:val="18"/>
                <w:lang w:eastAsia="en-AU"/>
              </w:rPr>
            </w:pPr>
            <w:r w:rsidRPr="00E03421">
              <w:rPr>
                <w:rFonts w:cs="Arial"/>
                <w:color w:val="000000"/>
                <w:sz w:val="18"/>
                <w:szCs w:val="18"/>
                <w:lang w:eastAsia="en-AU"/>
              </w:rPr>
              <w:t>Sep-20</w:t>
            </w:r>
          </w:p>
        </w:tc>
      </w:tr>
      <w:tr w:rsidR="00977B84" w:rsidRPr="00E03421" w:rsidTr="00952B87">
        <w:trPr>
          <w:trHeight w:val="482"/>
        </w:trPr>
        <w:tc>
          <w:tcPr>
            <w:tcW w:w="3402" w:type="dxa"/>
            <w:tcBorders>
              <w:top w:val="nil"/>
              <w:left w:val="nil"/>
              <w:bottom w:val="nil"/>
              <w:right w:val="nil"/>
            </w:tcBorders>
            <w:shd w:val="clear" w:color="auto" w:fill="auto"/>
            <w:hideMark/>
          </w:tcPr>
          <w:p w:rsidR="00977B84" w:rsidRPr="00E03421" w:rsidRDefault="00977B84" w:rsidP="00977B84">
            <w:pPr>
              <w:spacing w:before="0" w:after="0"/>
              <w:rPr>
                <w:rFonts w:cs="Arial"/>
                <w:color w:val="000000"/>
                <w:sz w:val="18"/>
                <w:szCs w:val="18"/>
                <w:lang w:eastAsia="en-AU"/>
              </w:rPr>
            </w:pPr>
            <w:r w:rsidRPr="00E03421">
              <w:rPr>
                <w:rFonts w:cs="Arial"/>
                <w:color w:val="000000"/>
                <w:sz w:val="18"/>
                <w:szCs w:val="18"/>
                <w:lang w:eastAsia="en-AU"/>
              </w:rPr>
              <w:t>Surgical Procedures, Interventional Radiology and Emergency (SPIRE) Centre</w:t>
            </w:r>
          </w:p>
        </w:tc>
        <w:tc>
          <w:tcPr>
            <w:tcW w:w="1033" w:type="dxa"/>
            <w:tcBorders>
              <w:top w:val="nil"/>
              <w:left w:val="nil"/>
              <w:bottom w:val="nil"/>
              <w:right w:val="nil"/>
            </w:tcBorders>
            <w:shd w:val="clear" w:color="auto" w:fill="auto"/>
            <w:noWrap/>
            <w:hideMark/>
          </w:tcPr>
          <w:p w:rsidR="00977B84" w:rsidRPr="00E03421" w:rsidRDefault="00977B84" w:rsidP="00A12E2B">
            <w:pPr>
              <w:spacing w:before="0" w:after="0"/>
              <w:jc w:val="right"/>
              <w:rPr>
                <w:rFonts w:cs="Arial"/>
                <w:color w:val="000000"/>
                <w:sz w:val="18"/>
                <w:szCs w:val="18"/>
                <w:lang w:eastAsia="en-AU"/>
              </w:rPr>
            </w:pPr>
            <w:r w:rsidRPr="00E03421">
              <w:rPr>
                <w:rFonts w:cs="Arial"/>
                <w:color w:val="000000"/>
                <w:sz w:val="18"/>
                <w:szCs w:val="18"/>
                <w:lang w:eastAsia="en-AU"/>
              </w:rPr>
              <w:t>13</w:t>
            </w:r>
            <w:r w:rsidR="00904EBD" w:rsidRPr="00E03421">
              <w:rPr>
                <w:rFonts w:cs="Arial"/>
                <w:color w:val="000000"/>
                <w:sz w:val="18"/>
                <w:szCs w:val="18"/>
                <w:lang w:eastAsia="en-AU"/>
              </w:rPr>
              <w:t>,</w:t>
            </w:r>
            <w:r w:rsidRPr="00E03421">
              <w:rPr>
                <w:rFonts w:cs="Arial"/>
                <w:color w:val="000000"/>
                <w:sz w:val="18"/>
                <w:szCs w:val="18"/>
                <w:lang w:eastAsia="en-AU"/>
              </w:rPr>
              <w:t>000</w:t>
            </w:r>
          </w:p>
        </w:tc>
        <w:tc>
          <w:tcPr>
            <w:tcW w:w="1033" w:type="dxa"/>
            <w:tcBorders>
              <w:top w:val="nil"/>
              <w:left w:val="nil"/>
              <w:bottom w:val="nil"/>
              <w:right w:val="nil"/>
            </w:tcBorders>
            <w:shd w:val="clear" w:color="auto" w:fill="auto"/>
            <w:noWrap/>
            <w:hideMark/>
          </w:tcPr>
          <w:p w:rsidR="00977B84" w:rsidRPr="00E03421" w:rsidRDefault="001A6BC2" w:rsidP="00B43A2B">
            <w:pPr>
              <w:spacing w:before="0" w:after="0"/>
              <w:jc w:val="right"/>
              <w:rPr>
                <w:rFonts w:cs="Arial"/>
                <w:color w:val="000000"/>
                <w:sz w:val="18"/>
                <w:szCs w:val="18"/>
                <w:lang w:eastAsia="en-AU"/>
              </w:rPr>
            </w:pPr>
            <w:r>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1A6BC2" w:rsidP="00B43A2B">
            <w:pPr>
              <w:spacing w:before="0" w:after="0"/>
              <w:jc w:val="right"/>
              <w:rPr>
                <w:rFonts w:ascii="Times New Roman" w:hAnsi="Times New Roman"/>
                <w:sz w:val="20"/>
                <w:lang w:eastAsia="en-AU"/>
              </w:rPr>
            </w:pPr>
            <w:r>
              <w:rPr>
                <w:rFonts w:ascii="Times New Roman" w:hAnsi="Times New Roman"/>
                <w:sz w:val="20"/>
                <w:lang w:eastAsia="en-AU"/>
              </w:rPr>
              <w:t>-</w:t>
            </w:r>
          </w:p>
        </w:tc>
        <w:tc>
          <w:tcPr>
            <w:tcW w:w="1033" w:type="dxa"/>
            <w:tcBorders>
              <w:top w:val="nil"/>
              <w:left w:val="nil"/>
              <w:bottom w:val="nil"/>
              <w:right w:val="nil"/>
            </w:tcBorders>
            <w:shd w:val="clear" w:color="auto" w:fill="auto"/>
            <w:noWrap/>
            <w:hideMark/>
          </w:tcPr>
          <w:p w:rsidR="00977B84" w:rsidRPr="00E03421" w:rsidRDefault="001A6BC2" w:rsidP="00B43A2B">
            <w:pPr>
              <w:spacing w:before="0" w:after="0"/>
              <w:jc w:val="right"/>
              <w:rPr>
                <w:rFonts w:ascii="Times New Roman" w:hAnsi="Times New Roman"/>
                <w:sz w:val="20"/>
                <w:lang w:eastAsia="en-AU"/>
              </w:rPr>
            </w:pPr>
            <w:r>
              <w:rPr>
                <w:rFonts w:ascii="Times New Roman" w:hAnsi="Times New Roman"/>
                <w:sz w:val="20"/>
                <w:lang w:eastAsia="en-AU"/>
              </w:rPr>
              <w:t>-</w:t>
            </w:r>
          </w:p>
        </w:tc>
        <w:tc>
          <w:tcPr>
            <w:tcW w:w="1165" w:type="dxa"/>
            <w:tcBorders>
              <w:top w:val="nil"/>
              <w:left w:val="nil"/>
              <w:bottom w:val="nil"/>
              <w:right w:val="nil"/>
            </w:tcBorders>
            <w:shd w:val="clear" w:color="auto" w:fill="auto"/>
            <w:noWrap/>
            <w:hideMark/>
          </w:tcPr>
          <w:p w:rsidR="00977B84" w:rsidRPr="00E03421" w:rsidRDefault="00977B84" w:rsidP="00A12E2B">
            <w:pPr>
              <w:spacing w:before="0" w:after="0"/>
              <w:jc w:val="right"/>
              <w:rPr>
                <w:rFonts w:cs="Arial"/>
                <w:color w:val="000000"/>
                <w:sz w:val="18"/>
                <w:szCs w:val="18"/>
                <w:lang w:eastAsia="en-AU"/>
              </w:rPr>
            </w:pPr>
            <w:r w:rsidRPr="00E03421">
              <w:rPr>
                <w:rFonts w:cs="Arial"/>
                <w:color w:val="000000"/>
                <w:sz w:val="18"/>
                <w:szCs w:val="18"/>
                <w:lang w:eastAsia="en-AU"/>
              </w:rPr>
              <w:t>13</w:t>
            </w:r>
            <w:r w:rsidR="00904EBD" w:rsidRPr="00E03421">
              <w:rPr>
                <w:rFonts w:cs="Arial"/>
                <w:color w:val="000000"/>
                <w:sz w:val="18"/>
                <w:szCs w:val="18"/>
                <w:lang w:eastAsia="en-AU"/>
              </w:rPr>
              <w:t>,</w:t>
            </w:r>
            <w:r w:rsidRPr="00E03421">
              <w:rPr>
                <w:rFonts w:cs="Arial"/>
                <w:color w:val="000000"/>
                <w:sz w:val="18"/>
                <w:szCs w:val="18"/>
                <w:lang w:eastAsia="en-AU"/>
              </w:rPr>
              <w:t>000</w:t>
            </w:r>
          </w:p>
        </w:tc>
        <w:tc>
          <w:tcPr>
            <w:tcW w:w="1280" w:type="dxa"/>
            <w:tcBorders>
              <w:top w:val="nil"/>
              <w:left w:val="nil"/>
              <w:bottom w:val="nil"/>
              <w:right w:val="nil"/>
            </w:tcBorders>
            <w:shd w:val="clear" w:color="auto" w:fill="auto"/>
            <w:noWrap/>
            <w:hideMark/>
          </w:tcPr>
          <w:p w:rsidR="00977B84" w:rsidRPr="00E03421" w:rsidRDefault="004E3068" w:rsidP="00B43A2B">
            <w:pPr>
              <w:spacing w:before="0" w:after="0"/>
              <w:jc w:val="right"/>
              <w:rPr>
                <w:rFonts w:cs="Arial"/>
                <w:color w:val="000000"/>
                <w:sz w:val="18"/>
                <w:szCs w:val="18"/>
                <w:lang w:eastAsia="en-AU"/>
              </w:rPr>
            </w:pPr>
            <w:r w:rsidRPr="00E03421">
              <w:rPr>
                <w:rFonts w:cs="Arial"/>
                <w:color w:val="000000"/>
                <w:sz w:val="18"/>
                <w:szCs w:val="18"/>
                <w:lang w:eastAsia="en-AU"/>
              </w:rPr>
              <w:t>n/a</w:t>
            </w:r>
          </w:p>
        </w:tc>
      </w:tr>
      <w:tr w:rsidR="00977B84" w:rsidRPr="00E03421" w:rsidTr="00952B87">
        <w:trPr>
          <w:trHeight w:val="480"/>
        </w:trPr>
        <w:tc>
          <w:tcPr>
            <w:tcW w:w="3402" w:type="dxa"/>
            <w:tcBorders>
              <w:top w:val="nil"/>
              <w:left w:val="nil"/>
              <w:bottom w:val="nil"/>
              <w:right w:val="nil"/>
            </w:tcBorders>
            <w:shd w:val="clear" w:color="auto" w:fill="auto"/>
            <w:hideMark/>
          </w:tcPr>
          <w:p w:rsidR="00977B84" w:rsidRPr="00E03421" w:rsidRDefault="00977B84" w:rsidP="00977B84">
            <w:pPr>
              <w:spacing w:before="0" w:after="0"/>
              <w:rPr>
                <w:rFonts w:cs="Arial"/>
                <w:sz w:val="18"/>
                <w:szCs w:val="18"/>
                <w:lang w:eastAsia="en-AU"/>
              </w:rPr>
            </w:pPr>
            <w:r w:rsidRPr="00E03421">
              <w:rPr>
                <w:rFonts w:cs="Arial"/>
                <w:sz w:val="18"/>
                <w:szCs w:val="18"/>
                <w:lang w:eastAsia="en-AU"/>
              </w:rPr>
              <w:t>Expanding Centenary Hospital - more services for women and children</w:t>
            </w:r>
          </w:p>
        </w:tc>
        <w:tc>
          <w:tcPr>
            <w:tcW w:w="1033" w:type="dxa"/>
            <w:tcBorders>
              <w:top w:val="nil"/>
              <w:left w:val="nil"/>
              <w:bottom w:val="nil"/>
              <w:right w:val="nil"/>
            </w:tcBorders>
            <w:shd w:val="clear" w:color="auto" w:fill="auto"/>
            <w:noWrap/>
            <w:hideMark/>
          </w:tcPr>
          <w:p w:rsidR="00977B84" w:rsidRPr="00E03421" w:rsidRDefault="00A12E2B" w:rsidP="00B43A2B">
            <w:pPr>
              <w:spacing w:before="0" w:after="0"/>
              <w:jc w:val="right"/>
              <w:rPr>
                <w:rFonts w:cs="Arial"/>
                <w:sz w:val="18"/>
                <w:szCs w:val="18"/>
                <w:lang w:eastAsia="en-AU"/>
              </w:rPr>
            </w:pPr>
            <w:r w:rsidRPr="00E03421">
              <w:rPr>
                <w:rFonts w:cs="Arial"/>
                <w:sz w:val="18"/>
                <w:szCs w:val="18"/>
                <w:lang w:eastAsia="en-AU"/>
              </w:rPr>
              <w:t>2</w:t>
            </w:r>
            <w:r w:rsidR="00904EBD" w:rsidRPr="00E03421">
              <w:rPr>
                <w:rFonts w:cs="Arial"/>
                <w:sz w:val="18"/>
                <w:szCs w:val="18"/>
                <w:lang w:eastAsia="en-AU"/>
              </w:rPr>
              <w:t>,</w:t>
            </w:r>
            <w:r w:rsidR="00977B84" w:rsidRPr="00E03421">
              <w:rPr>
                <w:rFonts w:cs="Arial"/>
                <w:sz w:val="18"/>
                <w:szCs w:val="18"/>
                <w:lang w:eastAsia="en-AU"/>
              </w:rPr>
              <w:t>500</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sz w:val="18"/>
                <w:szCs w:val="18"/>
                <w:lang w:eastAsia="en-AU"/>
              </w:rPr>
            </w:pPr>
            <w:r w:rsidRPr="00E03421">
              <w:rPr>
                <w:rFonts w:cs="Arial"/>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sz w:val="18"/>
                <w:szCs w:val="18"/>
                <w:lang w:eastAsia="en-AU"/>
              </w:rPr>
            </w:pPr>
            <w:r w:rsidRPr="00E03421">
              <w:rPr>
                <w:rFonts w:cs="Arial"/>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sz w:val="18"/>
                <w:szCs w:val="18"/>
                <w:lang w:eastAsia="en-AU"/>
              </w:rPr>
            </w:pPr>
            <w:r w:rsidRPr="00E03421">
              <w:rPr>
                <w:rFonts w:cs="Arial"/>
                <w:sz w:val="18"/>
                <w:szCs w:val="18"/>
                <w:lang w:eastAsia="en-AU"/>
              </w:rPr>
              <w:t>-</w:t>
            </w:r>
          </w:p>
        </w:tc>
        <w:tc>
          <w:tcPr>
            <w:tcW w:w="1165" w:type="dxa"/>
            <w:tcBorders>
              <w:top w:val="nil"/>
              <w:left w:val="nil"/>
              <w:bottom w:val="nil"/>
              <w:right w:val="nil"/>
            </w:tcBorders>
            <w:shd w:val="clear" w:color="auto" w:fill="auto"/>
            <w:noWrap/>
            <w:hideMark/>
          </w:tcPr>
          <w:p w:rsidR="00977B84" w:rsidRPr="00E03421" w:rsidRDefault="00A12E2B" w:rsidP="00B43A2B">
            <w:pPr>
              <w:spacing w:before="0" w:after="0"/>
              <w:jc w:val="right"/>
              <w:rPr>
                <w:rFonts w:cs="Arial"/>
                <w:sz w:val="18"/>
                <w:szCs w:val="18"/>
                <w:lang w:eastAsia="en-AU"/>
              </w:rPr>
            </w:pPr>
            <w:r w:rsidRPr="00E03421">
              <w:rPr>
                <w:rFonts w:cs="Arial"/>
                <w:sz w:val="18"/>
                <w:szCs w:val="18"/>
                <w:lang w:eastAsia="en-AU"/>
              </w:rPr>
              <w:t>2</w:t>
            </w:r>
            <w:r w:rsidR="00904EBD" w:rsidRPr="00E03421">
              <w:rPr>
                <w:rFonts w:cs="Arial"/>
                <w:sz w:val="18"/>
                <w:szCs w:val="18"/>
                <w:lang w:eastAsia="en-AU"/>
              </w:rPr>
              <w:t>,</w:t>
            </w:r>
            <w:r w:rsidR="00977B84" w:rsidRPr="00E03421">
              <w:rPr>
                <w:rFonts w:cs="Arial"/>
                <w:sz w:val="18"/>
                <w:szCs w:val="18"/>
                <w:lang w:eastAsia="en-AU"/>
              </w:rPr>
              <w:t>500</w:t>
            </w:r>
          </w:p>
        </w:tc>
        <w:tc>
          <w:tcPr>
            <w:tcW w:w="1280" w:type="dxa"/>
            <w:tcBorders>
              <w:top w:val="nil"/>
              <w:left w:val="nil"/>
              <w:bottom w:val="nil"/>
              <w:right w:val="nil"/>
            </w:tcBorders>
            <w:shd w:val="clear" w:color="auto" w:fill="auto"/>
            <w:noWrap/>
            <w:hideMark/>
          </w:tcPr>
          <w:p w:rsidR="00977B84" w:rsidRPr="00E03421" w:rsidRDefault="004E3068" w:rsidP="00B43A2B">
            <w:pPr>
              <w:spacing w:before="0" w:after="0"/>
              <w:jc w:val="right"/>
              <w:rPr>
                <w:rFonts w:cs="Arial"/>
                <w:sz w:val="18"/>
                <w:szCs w:val="18"/>
                <w:lang w:eastAsia="en-AU"/>
              </w:rPr>
            </w:pPr>
            <w:r w:rsidRPr="00E03421">
              <w:rPr>
                <w:rFonts w:cs="Arial"/>
                <w:sz w:val="18"/>
                <w:szCs w:val="18"/>
                <w:lang w:eastAsia="en-AU"/>
              </w:rPr>
              <w:t>n/a</w:t>
            </w:r>
          </w:p>
        </w:tc>
      </w:tr>
      <w:tr w:rsidR="00977B84" w:rsidRPr="00E03421" w:rsidTr="00952B87">
        <w:trPr>
          <w:trHeight w:val="240"/>
        </w:trPr>
        <w:tc>
          <w:tcPr>
            <w:tcW w:w="3402" w:type="dxa"/>
            <w:tcBorders>
              <w:top w:val="nil"/>
              <w:left w:val="nil"/>
              <w:bottom w:val="nil"/>
              <w:right w:val="nil"/>
            </w:tcBorders>
            <w:shd w:val="clear" w:color="auto" w:fill="auto"/>
            <w:hideMark/>
          </w:tcPr>
          <w:p w:rsidR="00977B84" w:rsidRPr="00E03421" w:rsidRDefault="00977B84" w:rsidP="00977B84">
            <w:pPr>
              <w:spacing w:before="0" w:after="0"/>
              <w:rPr>
                <w:rFonts w:cs="Arial"/>
                <w:b/>
                <w:bCs/>
                <w:color w:val="000000"/>
                <w:sz w:val="18"/>
                <w:szCs w:val="18"/>
                <w:lang w:eastAsia="en-AU"/>
              </w:rPr>
            </w:pPr>
            <w:r w:rsidRPr="00E03421">
              <w:rPr>
                <w:rFonts w:cs="Arial"/>
                <w:b/>
                <w:bCs/>
                <w:color w:val="000000"/>
                <w:sz w:val="18"/>
                <w:szCs w:val="18"/>
                <w:lang w:eastAsia="en-AU"/>
              </w:rPr>
              <w:t>Total</w:t>
            </w:r>
          </w:p>
        </w:tc>
        <w:tc>
          <w:tcPr>
            <w:tcW w:w="1033" w:type="dxa"/>
            <w:tcBorders>
              <w:top w:val="nil"/>
              <w:left w:val="nil"/>
              <w:bottom w:val="nil"/>
              <w:right w:val="nil"/>
            </w:tcBorders>
            <w:shd w:val="clear" w:color="auto" w:fill="auto"/>
            <w:noWrap/>
            <w:hideMark/>
          </w:tcPr>
          <w:p w:rsidR="00977B84" w:rsidRPr="00E03421" w:rsidRDefault="00A12E2B" w:rsidP="00B43A2B">
            <w:pPr>
              <w:spacing w:before="0" w:after="0"/>
              <w:jc w:val="right"/>
              <w:rPr>
                <w:rFonts w:cs="Arial"/>
                <w:b/>
                <w:bCs/>
                <w:color w:val="000000"/>
                <w:sz w:val="18"/>
                <w:szCs w:val="18"/>
                <w:lang w:eastAsia="en-AU"/>
              </w:rPr>
            </w:pPr>
            <w:r w:rsidRPr="00E03421">
              <w:rPr>
                <w:rFonts w:cs="Arial"/>
                <w:b/>
                <w:bCs/>
                <w:color w:val="000000"/>
                <w:sz w:val="18"/>
                <w:szCs w:val="18"/>
                <w:lang w:eastAsia="en-AU"/>
              </w:rPr>
              <w:t>15</w:t>
            </w:r>
            <w:r w:rsidR="00904EBD" w:rsidRPr="00E03421">
              <w:rPr>
                <w:rFonts w:cs="Arial"/>
                <w:b/>
                <w:bCs/>
                <w:color w:val="000000"/>
                <w:sz w:val="18"/>
                <w:szCs w:val="18"/>
                <w:lang w:eastAsia="en-AU"/>
              </w:rPr>
              <w:t>,</w:t>
            </w:r>
            <w:r w:rsidR="00977B84" w:rsidRPr="00E03421">
              <w:rPr>
                <w:rFonts w:cs="Arial"/>
                <w:b/>
                <w:bCs/>
                <w:color w:val="000000"/>
                <w:sz w:val="18"/>
                <w:szCs w:val="18"/>
                <w:lang w:eastAsia="en-AU"/>
              </w:rPr>
              <w:t>623</w:t>
            </w:r>
          </w:p>
        </w:tc>
        <w:tc>
          <w:tcPr>
            <w:tcW w:w="1033" w:type="dxa"/>
            <w:tcBorders>
              <w:top w:val="nil"/>
              <w:left w:val="nil"/>
              <w:bottom w:val="nil"/>
              <w:right w:val="nil"/>
            </w:tcBorders>
            <w:shd w:val="clear" w:color="auto" w:fill="auto"/>
            <w:noWrap/>
            <w:hideMark/>
          </w:tcPr>
          <w:p w:rsidR="00977B84" w:rsidRPr="00E03421" w:rsidRDefault="00A12E2B" w:rsidP="00B43A2B">
            <w:pPr>
              <w:spacing w:before="0" w:after="0"/>
              <w:jc w:val="right"/>
              <w:rPr>
                <w:rFonts w:cs="Arial"/>
                <w:b/>
                <w:bCs/>
                <w:color w:val="000000"/>
                <w:sz w:val="18"/>
                <w:szCs w:val="18"/>
                <w:lang w:eastAsia="en-AU"/>
              </w:rPr>
            </w:pPr>
            <w:r w:rsidRPr="00E03421">
              <w:rPr>
                <w:rFonts w:cs="Arial"/>
                <w:b/>
                <w:bCs/>
                <w:color w:val="000000"/>
                <w:sz w:val="18"/>
                <w:szCs w:val="18"/>
                <w:lang w:eastAsia="en-AU"/>
              </w:rPr>
              <w:t>6</w:t>
            </w:r>
            <w:r w:rsidR="00904EBD" w:rsidRPr="00E03421">
              <w:rPr>
                <w:rFonts w:cs="Arial"/>
                <w:b/>
                <w:bCs/>
                <w:color w:val="000000"/>
                <w:sz w:val="18"/>
                <w:szCs w:val="18"/>
                <w:lang w:eastAsia="en-AU"/>
              </w:rPr>
              <w:t>,</w:t>
            </w:r>
            <w:r w:rsidR="00977B84" w:rsidRPr="00E03421">
              <w:rPr>
                <w:rFonts w:cs="Arial"/>
                <w:b/>
                <w:bCs/>
                <w:color w:val="000000"/>
                <w:sz w:val="18"/>
                <w:szCs w:val="18"/>
                <w:lang w:eastAsia="en-AU"/>
              </w:rPr>
              <w:t>233</w:t>
            </w:r>
          </w:p>
        </w:tc>
        <w:tc>
          <w:tcPr>
            <w:tcW w:w="1033" w:type="dxa"/>
            <w:tcBorders>
              <w:top w:val="nil"/>
              <w:left w:val="nil"/>
              <w:bottom w:val="nil"/>
              <w:right w:val="nil"/>
            </w:tcBorders>
            <w:shd w:val="clear" w:color="auto" w:fill="auto"/>
            <w:noWrap/>
            <w:hideMark/>
          </w:tcPr>
          <w:p w:rsidR="00977B84" w:rsidRPr="00E03421" w:rsidRDefault="00A12E2B" w:rsidP="00B43A2B">
            <w:pPr>
              <w:spacing w:before="0" w:after="0"/>
              <w:jc w:val="right"/>
              <w:rPr>
                <w:rFonts w:cs="Arial"/>
                <w:b/>
                <w:bCs/>
                <w:color w:val="000000"/>
                <w:sz w:val="18"/>
                <w:szCs w:val="18"/>
                <w:lang w:eastAsia="en-AU"/>
              </w:rPr>
            </w:pPr>
            <w:r w:rsidRPr="00E03421">
              <w:rPr>
                <w:rFonts w:cs="Arial"/>
                <w:b/>
                <w:bCs/>
                <w:color w:val="000000"/>
                <w:sz w:val="18"/>
                <w:szCs w:val="18"/>
                <w:lang w:eastAsia="en-AU"/>
              </w:rPr>
              <w:t>5</w:t>
            </w:r>
            <w:r w:rsidR="00904EBD" w:rsidRPr="00E03421">
              <w:rPr>
                <w:rFonts w:cs="Arial"/>
                <w:b/>
                <w:bCs/>
                <w:color w:val="000000"/>
                <w:sz w:val="18"/>
                <w:szCs w:val="18"/>
                <w:lang w:eastAsia="en-AU"/>
              </w:rPr>
              <w:t>,</w:t>
            </w:r>
            <w:r w:rsidR="00977B84" w:rsidRPr="00E03421">
              <w:rPr>
                <w:rFonts w:cs="Arial"/>
                <w:b/>
                <w:bCs/>
                <w:color w:val="000000"/>
                <w:sz w:val="18"/>
                <w:szCs w:val="18"/>
                <w:lang w:eastAsia="en-AU"/>
              </w:rPr>
              <w:t>560</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b/>
                <w:bCs/>
                <w:color w:val="000000"/>
                <w:sz w:val="18"/>
                <w:szCs w:val="18"/>
                <w:lang w:eastAsia="en-AU"/>
              </w:rPr>
            </w:pPr>
            <w:r w:rsidRPr="00E03421">
              <w:rPr>
                <w:rFonts w:cs="Arial"/>
                <w:b/>
                <w:bCs/>
                <w:color w:val="000000"/>
                <w:sz w:val="18"/>
                <w:szCs w:val="18"/>
                <w:lang w:eastAsia="en-AU"/>
              </w:rPr>
              <w:t>320</w:t>
            </w:r>
          </w:p>
        </w:tc>
        <w:tc>
          <w:tcPr>
            <w:tcW w:w="1165" w:type="dxa"/>
            <w:tcBorders>
              <w:top w:val="nil"/>
              <w:left w:val="nil"/>
              <w:bottom w:val="nil"/>
              <w:right w:val="nil"/>
            </w:tcBorders>
            <w:shd w:val="clear" w:color="auto" w:fill="auto"/>
            <w:noWrap/>
            <w:hideMark/>
          </w:tcPr>
          <w:p w:rsidR="00977B84" w:rsidRPr="00E03421" w:rsidRDefault="00A12E2B" w:rsidP="00B43A2B">
            <w:pPr>
              <w:spacing w:before="0" w:after="0"/>
              <w:jc w:val="right"/>
              <w:rPr>
                <w:rFonts w:cs="Arial"/>
                <w:b/>
                <w:bCs/>
                <w:color w:val="000000"/>
                <w:sz w:val="18"/>
                <w:szCs w:val="18"/>
                <w:lang w:eastAsia="en-AU"/>
              </w:rPr>
            </w:pPr>
            <w:r w:rsidRPr="00E03421">
              <w:rPr>
                <w:rFonts w:cs="Arial"/>
                <w:b/>
                <w:bCs/>
                <w:color w:val="000000"/>
                <w:sz w:val="18"/>
                <w:szCs w:val="18"/>
                <w:lang w:eastAsia="en-AU"/>
              </w:rPr>
              <w:t>27</w:t>
            </w:r>
            <w:r w:rsidR="00904EBD" w:rsidRPr="00E03421">
              <w:rPr>
                <w:rFonts w:cs="Arial"/>
                <w:b/>
                <w:bCs/>
                <w:color w:val="000000"/>
                <w:sz w:val="18"/>
                <w:szCs w:val="18"/>
                <w:lang w:eastAsia="en-AU"/>
              </w:rPr>
              <w:t>,</w:t>
            </w:r>
            <w:r w:rsidR="00977B84" w:rsidRPr="00E03421">
              <w:rPr>
                <w:rFonts w:cs="Arial"/>
                <w:b/>
                <w:bCs/>
                <w:color w:val="000000"/>
                <w:sz w:val="18"/>
                <w:szCs w:val="18"/>
                <w:lang w:eastAsia="en-AU"/>
              </w:rPr>
              <w:t>736</w:t>
            </w:r>
          </w:p>
        </w:tc>
        <w:tc>
          <w:tcPr>
            <w:tcW w:w="1280"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b/>
                <w:bCs/>
                <w:color w:val="000000"/>
                <w:sz w:val="18"/>
                <w:szCs w:val="18"/>
                <w:lang w:eastAsia="en-AU"/>
              </w:rPr>
            </w:pPr>
          </w:p>
        </w:tc>
      </w:tr>
      <w:tr w:rsidR="00977B84" w:rsidRPr="00E03421" w:rsidTr="00952B87">
        <w:trPr>
          <w:trHeight w:val="240"/>
        </w:trPr>
        <w:tc>
          <w:tcPr>
            <w:tcW w:w="3402" w:type="dxa"/>
            <w:tcBorders>
              <w:top w:val="nil"/>
              <w:left w:val="nil"/>
              <w:bottom w:val="nil"/>
              <w:right w:val="nil"/>
            </w:tcBorders>
            <w:shd w:val="clear" w:color="auto" w:fill="auto"/>
            <w:hideMark/>
          </w:tcPr>
          <w:p w:rsidR="00977B84" w:rsidRPr="00E03421" w:rsidRDefault="00977B84" w:rsidP="00977B84">
            <w:pPr>
              <w:spacing w:before="0" w:after="0"/>
              <w:jc w:val="right"/>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165"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280"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r>
      <w:tr w:rsidR="00977B84" w:rsidRPr="00E03421" w:rsidTr="00952B87">
        <w:trPr>
          <w:trHeight w:val="240"/>
        </w:trPr>
        <w:tc>
          <w:tcPr>
            <w:tcW w:w="3402" w:type="dxa"/>
            <w:tcBorders>
              <w:top w:val="nil"/>
              <w:left w:val="nil"/>
              <w:bottom w:val="nil"/>
              <w:right w:val="nil"/>
            </w:tcBorders>
            <w:shd w:val="clear" w:color="auto" w:fill="auto"/>
            <w:hideMark/>
          </w:tcPr>
          <w:p w:rsidR="00977B84" w:rsidRPr="00E03421" w:rsidRDefault="00977B84" w:rsidP="00977B84">
            <w:pPr>
              <w:spacing w:before="0" w:after="0"/>
              <w:rPr>
                <w:rFonts w:cs="Arial"/>
                <w:color w:val="000000"/>
                <w:sz w:val="18"/>
                <w:szCs w:val="18"/>
                <w:u w:val="single"/>
                <w:lang w:eastAsia="en-AU"/>
              </w:rPr>
            </w:pPr>
            <w:r w:rsidRPr="00E03421">
              <w:rPr>
                <w:rFonts w:cs="Arial"/>
                <w:color w:val="000000"/>
                <w:sz w:val="18"/>
                <w:szCs w:val="18"/>
                <w:u w:val="single"/>
                <w:lang w:eastAsia="en-AU"/>
              </w:rPr>
              <w:t>Capital Grants</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color w:val="000000"/>
                <w:sz w:val="18"/>
                <w:szCs w:val="18"/>
                <w:u w:val="single"/>
                <w:lang w:eastAsia="en-AU"/>
              </w:rPr>
            </w:pP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165"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280"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r>
      <w:tr w:rsidR="00977B84" w:rsidRPr="00E03421" w:rsidTr="00952B87">
        <w:trPr>
          <w:trHeight w:val="240"/>
        </w:trPr>
        <w:tc>
          <w:tcPr>
            <w:tcW w:w="3402" w:type="dxa"/>
            <w:tcBorders>
              <w:top w:val="nil"/>
              <w:left w:val="nil"/>
              <w:bottom w:val="nil"/>
              <w:right w:val="nil"/>
            </w:tcBorders>
            <w:shd w:val="clear" w:color="auto" w:fill="auto"/>
            <w:hideMark/>
          </w:tcPr>
          <w:p w:rsidR="00977B84" w:rsidRPr="00E03421" w:rsidRDefault="00977B84" w:rsidP="00977B84">
            <w:pPr>
              <w:spacing w:before="0" w:after="0"/>
              <w:rPr>
                <w:rFonts w:cs="Arial"/>
                <w:color w:val="000000"/>
                <w:sz w:val="18"/>
                <w:szCs w:val="18"/>
                <w:lang w:eastAsia="en-AU"/>
              </w:rPr>
            </w:pPr>
            <w:r w:rsidRPr="00E03421">
              <w:rPr>
                <w:rFonts w:cs="Arial"/>
                <w:color w:val="000000"/>
                <w:sz w:val="18"/>
                <w:szCs w:val="18"/>
                <w:lang w:eastAsia="en-AU"/>
              </w:rPr>
              <w:t>Critical assets upgrades</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color w:val="000000"/>
                <w:sz w:val="18"/>
                <w:szCs w:val="18"/>
                <w:lang w:eastAsia="en-AU"/>
              </w:rPr>
            </w:pPr>
            <w:r w:rsidRPr="00E03421">
              <w:rPr>
                <w:rFonts w:cs="Arial"/>
                <w:color w:val="000000"/>
                <w:sz w:val="18"/>
                <w:szCs w:val="18"/>
                <w:lang w:eastAsia="en-AU"/>
              </w:rPr>
              <w:t>590</w:t>
            </w:r>
          </w:p>
        </w:tc>
        <w:tc>
          <w:tcPr>
            <w:tcW w:w="1033" w:type="dxa"/>
            <w:tcBorders>
              <w:top w:val="nil"/>
              <w:left w:val="nil"/>
              <w:bottom w:val="nil"/>
              <w:right w:val="nil"/>
            </w:tcBorders>
            <w:shd w:val="clear" w:color="auto" w:fill="auto"/>
            <w:noWrap/>
            <w:hideMark/>
          </w:tcPr>
          <w:p w:rsidR="00977B84" w:rsidRPr="00E03421" w:rsidRDefault="00A12E2B" w:rsidP="00B43A2B">
            <w:pPr>
              <w:spacing w:before="0" w:after="0"/>
              <w:jc w:val="right"/>
              <w:rPr>
                <w:rFonts w:cs="Arial"/>
                <w:color w:val="000000"/>
                <w:sz w:val="18"/>
                <w:szCs w:val="18"/>
                <w:lang w:eastAsia="en-AU"/>
              </w:rPr>
            </w:pPr>
            <w:r w:rsidRPr="00E03421">
              <w:rPr>
                <w:rFonts w:cs="Arial"/>
                <w:color w:val="000000"/>
                <w:sz w:val="18"/>
                <w:szCs w:val="18"/>
                <w:lang w:eastAsia="en-AU"/>
              </w:rPr>
              <w:t>2</w:t>
            </w:r>
            <w:r w:rsidR="00904EBD" w:rsidRPr="00E03421">
              <w:rPr>
                <w:rFonts w:cs="Arial"/>
                <w:color w:val="000000"/>
                <w:sz w:val="18"/>
                <w:szCs w:val="18"/>
                <w:lang w:eastAsia="en-AU"/>
              </w:rPr>
              <w:t>,</w:t>
            </w:r>
            <w:r w:rsidR="00977B84" w:rsidRPr="00E03421">
              <w:rPr>
                <w:rFonts w:cs="Arial"/>
                <w:color w:val="000000"/>
                <w:sz w:val="18"/>
                <w:szCs w:val="18"/>
                <w:lang w:eastAsia="en-AU"/>
              </w:rPr>
              <w:t>370</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165" w:type="dxa"/>
            <w:tcBorders>
              <w:top w:val="nil"/>
              <w:left w:val="nil"/>
              <w:bottom w:val="nil"/>
              <w:right w:val="nil"/>
            </w:tcBorders>
            <w:shd w:val="clear" w:color="auto" w:fill="auto"/>
            <w:noWrap/>
            <w:hideMark/>
          </w:tcPr>
          <w:p w:rsidR="00977B84" w:rsidRPr="00E03421" w:rsidRDefault="00A12E2B" w:rsidP="00B43A2B">
            <w:pPr>
              <w:spacing w:before="0" w:after="0"/>
              <w:jc w:val="right"/>
              <w:rPr>
                <w:rFonts w:cs="Arial"/>
                <w:color w:val="000000"/>
                <w:sz w:val="18"/>
                <w:szCs w:val="18"/>
                <w:lang w:eastAsia="en-AU"/>
              </w:rPr>
            </w:pPr>
            <w:r w:rsidRPr="00E03421">
              <w:rPr>
                <w:rFonts w:cs="Arial"/>
                <w:color w:val="000000"/>
                <w:sz w:val="18"/>
                <w:szCs w:val="18"/>
                <w:lang w:eastAsia="en-AU"/>
              </w:rPr>
              <w:t>2</w:t>
            </w:r>
            <w:r w:rsidR="00904EBD" w:rsidRPr="00E03421">
              <w:rPr>
                <w:rFonts w:cs="Arial"/>
                <w:color w:val="000000"/>
                <w:sz w:val="18"/>
                <w:szCs w:val="18"/>
                <w:lang w:eastAsia="en-AU"/>
              </w:rPr>
              <w:t>,</w:t>
            </w:r>
            <w:r w:rsidR="00977B84" w:rsidRPr="00E03421">
              <w:rPr>
                <w:rFonts w:cs="Arial"/>
                <w:color w:val="000000"/>
                <w:sz w:val="18"/>
                <w:szCs w:val="18"/>
                <w:lang w:eastAsia="en-AU"/>
              </w:rPr>
              <w:t>960</w:t>
            </w:r>
          </w:p>
        </w:tc>
        <w:tc>
          <w:tcPr>
            <w:tcW w:w="1280" w:type="dxa"/>
            <w:tcBorders>
              <w:top w:val="nil"/>
              <w:left w:val="nil"/>
              <w:bottom w:val="nil"/>
              <w:right w:val="nil"/>
            </w:tcBorders>
            <w:shd w:val="clear" w:color="auto" w:fill="auto"/>
            <w:noWrap/>
            <w:hideMark/>
          </w:tcPr>
          <w:p w:rsidR="00977B84" w:rsidRPr="00E03421" w:rsidRDefault="00660ABC" w:rsidP="00B43A2B">
            <w:pPr>
              <w:spacing w:before="0" w:after="0"/>
              <w:jc w:val="right"/>
              <w:rPr>
                <w:rFonts w:cs="Arial"/>
                <w:color w:val="000000"/>
                <w:sz w:val="18"/>
                <w:szCs w:val="18"/>
                <w:lang w:eastAsia="en-AU"/>
              </w:rPr>
            </w:pPr>
            <w:r w:rsidRPr="00E03421">
              <w:rPr>
                <w:rFonts w:cs="Arial"/>
                <w:color w:val="000000"/>
                <w:sz w:val="18"/>
                <w:szCs w:val="18"/>
                <w:lang w:eastAsia="en-AU"/>
              </w:rPr>
              <w:t>Jun-20</w:t>
            </w:r>
          </w:p>
        </w:tc>
      </w:tr>
      <w:tr w:rsidR="00977B84" w:rsidRPr="00E03421" w:rsidTr="00952B87">
        <w:trPr>
          <w:trHeight w:val="480"/>
        </w:trPr>
        <w:tc>
          <w:tcPr>
            <w:tcW w:w="3402" w:type="dxa"/>
            <w:tcBorders>
              <w:top w:val="nil"/>
              <w:left w:val="nil"/>
              <w:bottom w:val="nil"/>
              <w:right w:val="nil"/>
            </w:tcBorders>
            <w:shd w:val="clear" w:color="auto" w:fill="auto"/>
            <w:hideMark/>
          </w:tcPr>
          <w:p w:rsidR="00977B84" w:rsidRPr="00E03421" w:rsidRDefault="00BC45E1" w:rsidP="00BC45E1">
            <w:pPr>
              <w:spacing w:before="0" w:after="0"/>
              <w:rPr>
                <w:rFonts w:cs="Arial"/>
                <w:color w:val="000000"/>
                <w:sz w:val="18"/>
                <w:szCs w:val="18"/>
                <w:lang w:eastAsia="en-AU"/>
              </w:rPr>
            </w:pPr>
            <w:r>
              <w:rPr>
                <w:rFonts w:cs="Arial"/>
                <w:color w:val="000000"/>
                <w:sz w:val="18"/>
                <w:szCs w:val="18"/>
                <w:lang w:eastAsia="en-AU"/>
              </w:rPr>
              <w:t xml:space="preserve">New facility for </w:t>
            </w:r>
            <w:proofErr w:type="spellStart"/>
            <w:r w:rsidR="00977B84" w:rsidRPr="00E03421">
              <w:rPr>
                <w:rFonts w:cs="Arial"/>
                <w:color w:val="000000"/>
                <w:sz w:val="18"/>
                <w:szCs w:val="18"/>
                <w:lang w:eastAsia="en-AU"/>
              </w:rPr>
              <w:t>Winnunga</w:t>
            </w:r>
            <w:proofErr w:type="spellEnd"/>
            <w:r w:rsidR="00977B84" w:rsidRPr="00E03421">
              <w:rPr>
                <w:rFonts w:cs="Arial"/>
                <w:color w:val="000000"/>
                <w:sz w:val="18"/>
                <w:szCs w:val="18"/>
                <w:lang w:eastAsia="en-AU"/>
              </w:rPr>
              <w:t xml:space="preserve"> </w:t>
            </w:r>
            <w:proofErr w:type="spellStart"/>
            <w:r w:rsidR="00977B84" w:rsidRPr="00E03421">
              <w:rPr>
                <w:rFonts w:cs="Arial"/>
                <w:color w:val="000000"/>
                <w:sz w:val="18"/>
                <w:szCs w:val="18"/>
                <w:lang w:eastAsia="en-AU"/>
              </w:rPr>
              <w:t>Nimmityjah</w:t>
            </w:r>
            <w:proofErr w:type="spellEnd"/>
            <w:r w:rsidR="00977B84" w:rsidRPr="00E03421">
              <w:rPr>
                <w:rFonts w:cs="Arial"/>
                <w:color w:val="000000"/>
                <w:sz w:val="18"/>
                <w:szCs w:val="18"/>
                <w:lang w:eastAsia="en-AU"/>
              </w:rPr>
              <w:t xml:space="preserve"> Aboriginal Health </w:t>
            </w:r>
            <w:r>
              <w:rPr>
                <w:rFonts w:cs="Arial"/>
                <w:color w:val="000000"/>
                <w:sz w:val="18"/>
                <w:szCs w:val="18"/>
                <w:lang w:eastAsia="en-AU"/>
              </w:rPr>
              <w:t>Service</w:t>
            </w:r>
          </w:p>
        </w:tc>
        <w:tc>
          <w:tcPr>
            <w:tcW w:w="1033" w:type="dxa"/>
            <w:tcBorders>
              <w:top w:val="nil"/>
              <w:left w:val="nil"/>
              <w:bottom w:val="nil"/>
              <w:right w:val="nil"/>
            </w:tcBorders>
            <w:shd w:val="clear" w:color="auto" w:fill="auto"/>
            <w:noWrap/>
            <w:hideMark/>
          </w:tcPr>
          <w:p w:rsidR="00977B84" w:rsidRPr="00E03421" w:rsidRDefault="00A12E2B" w:rsidP="00B43A2B">
            <w:pPr>
              <w:spacing w:before="0" w:after="0"/>
              <w:jc w:val="right"/>
              <w:rPr>
                <w:rFonts w:cs="Arial"/>
                <w:color w:val="000000"/>
                <w:sz w:val="18"/>
                <w:szCs w:val="18"/>
                <w:lang w:eastAsia="en-AU"/>
              </w:rPr>
            </w:pPr>
            <w:r w:rsidRPr="00E03421">
              <w:rPr>
                <w:rFonts w:cs="Arial"/>
                <w:color w:val="000000"/>
                <w:sz w:val="18"/>
                <w:szCs w:val="18"/>
                <w:lang w:eastAsia="en-AU"/>
              </w:rPr>
              <w:t>1</w:t>
            </w:r>
            <w:r w:rsidR="00904EBD" w:rsidRPr="00E03421">
              <w:rPr>
                <w:rFonts w:cs="Arial"/>
                <w:color w:val="000000"/>
                <w:sz w:val="18"/>
                <w:szCs w:val="18"/>
                <w:lang w:eastAsia="en-AU"/>
              </w:rPr>
              <w:t>,</w:t>
            </w:r>
            <w:r w:rsidR="00977B84" w:rsidRPr="00E03421">
              <w:rPr>
                <w:rFonts w:cs="Arial"/>
                <w:color w:val="000000"/>
                <w:sz w:val="18"/>
                <w:szCs w:val="18"/>
                <w:lang w:eastAsia="en-AU"/>
              </w:rPr>
              <w:t>165</w:t>
            </w:r>
          </w:p>
        </w:tc>
        <w:tc>
          <w:tcPr>
            <w:tcW w:w="1033" w:type="dxa"/>
            <w:tcBorders>
              <w:top w:val="nil"/>
              <w:left w:val="nil"/>
              <w:bottom w:val="nil"/>
              <w:right w:val="nil"/>
            </w:tcBorders>
            <w:shd w:val="clear" w:color="auto" w:fill="auto"/>
            <w:noWrap/>
            <w:hideMark/>
          </w:tcPr>
          <w:p w:rsidR="00977B84" w:rsidRPr="00E03421" w:rsidRDefault="00A12E2B" w:rsidP="00B43A2B">
            <w:pPr>
              <w:spacing w:before="0" w:after="0"/>
              <w:jc w:val="right"/>
              <w:rPr>
                <w:rFonts w:cs="Arial"/>
                <w:color w:val="000000"/>
                <w:sz w:val="18"/>
                <w:szCs w:val="18"/>
                <w:lang w:eastAsia="en-AU"/>
              </w:rPr>
            </w:pPr>
            <w:r w:rsidRPr="00E03421">
              <w:rPr>
                <w:rFonts w:cs="Arial"/>
                <w:color w:val="000000"/>
                <w:sz w:val="18"/>
                <w:szCs w:val="18"/>
                <w:lang w:eastAsia="en-AU"/>
              </w:rPr>
              <w:t>2</w:t>
            </w:r>
            <w:r w:rsidR="00904EBD" w:rsidRPr="00E03421">
              <w:rPr>
                <w:rFonts w:cs="Arial"/>
                <w:color w:val="000000"/>
                <w:sz w:val="18"/>
                <w:szCs w:val="18"/>
                <w:lang w:eastAsia="en-AU"/>
              </w:rPr>
              <w:t>,</w:t>
            </w:r>
            <w:r w:rsidR="00977B84" w:rsidRPr="00E03421">
              <w:rPr>
                <w:rFonts w:cs="Arial"/>
                <w:color w:val="000000"/>
                <w:sz w:val="18"/>
                <w:szCs w:val="18"/>
                <w:lang w:eastAsia="en-AU"/>
              </w:rPr>
              <w:t>435</w:t>
            </w:r>
          </w:p>
        </w:tc>
        <w:tc>
          <w:tcPr>
            <w:tcW w:w="1033" w:type="dxa"/>
            <w:tcBorders>
              <w:top w:val="nil"/>
              <w:left w:val="nil"/>
              <w:bottom w:val="nil"/>
              <w:right w:val="nil"/>
            </w:tcBorders>
            <w:shd w:val="clear" w:color="auto" w:fill="auto"/>
            <w:noWrap/>
            <w:hideMark/>
          </w:tcPr>
          <w:p w:rsidR="00977B84" w:rsidRPr="00E03421" w:rsidRDefault="00A12E2B" w:rsidP="00B43A2B">
            <w:pPr>
              <w:spacing w:before="0" w:after="0"/>
              <w:jc w:val="right"/>
              <w:rPr>
                <w:rFonts w:cs="Arial"/>
                <w:color w:val="000000"/>
                <w:sz w:val="18"/>
                <w:szCs w:val="18"/>
                <w:lang w:eastAsia="en-AU"/>
              </w:rPr>
            </w:pPr>
            <w:r w:rsidRPr="00E03421">
              <w:rPr>
                <w:rFonts w:cs="Arial"/>
                <w:color w:val="000000"/>
                <w:sz w:val="18"/>
                <w:szCs w:val="18"/>
                <w:lang w:eastAsia="en-AU"/>
              </w:rPr>
              <w:t>7</w:t>
            </w:r>
            <w:r w:rsidR="00904EBD" w:rsidRPr="00E03421">
              <w:rPr>
                <w:rFonts w:cs="Arial"/>
                <w:color w:val="000000"/>
                <w:sz w:val="18"/>
                <w:szCs w:val="18"/>
                <w:lang w:eastAsia="en-AU"/>
              </w:rPr>
              <w:t>,</w:t>
            </w:r>
            <w:r w:rsidR="00977B84" w:rsidRPr="00E03421">
              <w:rPr>
                <w:rFonts w:cs="Arial"/>
                <w:color w:val="000000"/>
                <w:sz w:val="18"/>
                <w:szCs w:val="18"/>
                <w:lang w:eastAsia="en-AU"/>
              </w:rPr>
              <w:t>700</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165" w:type="dxa"/>
            <w:tcBorders>
              <w:top w:val="nil"/>
              <w:left w:val="nil"/>
              <w:bottom w:val="nil"/>
              <w:right w:val="nil"/>
            </w:tcBorders>
            <w:shd w:val="clear" w:color="auto" w:fill="auto"/>
            <w:noWrap/>
            <w:hideMark/>
          </w:tcPr>
          <w:p w:rsidR="00977B84" w:rsidRPr="00E03421" w:rsidRDefault="00A12E2B" w:rsidP="00B43A2B">
            <w:pPr>
              <w:spacing w:before="0" w:after="0"/>
              <w:jc w:val="right"/>
              <w:rPr>
                <w:rFonts w:cs="Arial"/>
                <w:color w:val="000000"/>
                <w:sz w:val="18"/>
                <w:szCs w:val="18"/>
                <w:lang w:eastAsia="en-AU"/>
              </w:rPr>
            </w:pPr>
            <w:r w:rsidRPr="00E03421">
              <w:rPr>
                <w:rFonts w:cs="Arial"/>
                <w:color w:val="000000"/>
                <w:sz w:val="18"/>
                <w:szCs w:val="18"/>
                <w:lang w:eastAsia="en-AU"/>
              </w:rPr>
              <w:t>11</w:t>
            </w:r>
            <w:r w:rsidR="00904EBD" w:rsidRPr="00E03421">
              <w:rPr>
                <w:rFonts w:cs="Arial"/>
                <w:color w:val="000000"/>
                <w:sz w:val="18"/>
                <w:szCs w:val="18"/>
                <w:lang w:eastAsia="en-AU"/>
              </w:rPr>
              <w:t>,</w:t>
            </w:r>
            <w:r w:rsidR="00977B84" w:rsidRPr="00E03421">
              <w:rPr>
                <w:rFonts w:cs="Arial"/>
                <w:color w:val="000000"/>
                <w:sz w:val="18"/>
                <w:szCs w:val="18"/>
                <w:lang w:eastAsia="en-AU"/>
              </w:rPr>
              <w:t>300</w:t>
            </w:r>
          </w:p>
        </w:tc>
        <w:tc>
          <w:tcPr>
            <w:tcW w:w="1280" w:type="dxa"/>
            <w:tcBorders>
              <w:top w:val="nil"/>
              <w:left w:val="nil"/>
              <w:bottom w:val="nil"/>
              <w:right w:val="nil"/>
            </w:tcBorders>
            <w:shd w:val="clear" w:color="auto" w:fill="auto"/>
            <w:noWrap/>
            <w:hideMark/>
          </w:tcPr>
          <w:p w:rsidR="00977B84" w:rsidRPr="00E03421" w:rsidRDefault="004E3068" w:rsidP="00B43A2B">
            <w:pPr>
              <w:spacing w:before="0" w:after="0"/>
              <w:jc w:val="right"/>
              <w:rPr>
                <w:rFonts w:cs="Arial"/>
                <w:color w:val="000000"/>
                <w:sz w:val="18"/>
                <w:szCs w:val="18"/>
                <w:lang w:eastAsia="en-AU"/>
              </w:rPr>
            </w:pPr>
            <w:r w:rsidRPr="00E03421">
              <w:rPr>
                <w:rFonts w:cs="Arial"/>
                <w:color w:val="000000"/>
                <w:sz w:val="18"/>
                <w:szCs w:val="18"/>
                <w:lang w:eastAsia="en-AU"/>
              </w:rPr>
              <w:t>n/a</w:t>
            </w:r>
          </w:p>
        </w:tc>
      </w:tr>
      <w:tr w:rsidR="00977B84" w:rsidRPr="00E03421" w:rsidTr="00952B87">
        <w:trPr>
          <w:trHeight w:val="255"/>
        </w:trPr>
        <w:tc>
          <w:tcPr>
            <w:tcW w:w="3402" w:type="dxa"/>
            <w:tcBorders>
              <w:top w:val="nil"/>
              <w:left w:val="nil"/>
              <w:bottom w:val="nil"/>
              <w:right w:val="nil"/>
            </w:tcBorders>
            <w:shd w:val="clear" w:color="auto" w:fill="auto"/>
            <w:hideMark/>
          </w:tcPr>
          <w:p w:rsidR="00977B84" w:rsidRPr="00E03421" w:rsidRDefault="00977B84" w:rsidP="00977B84">
            <w:pPr>
              <w:spacing w:before="0" w:after="0"/>
              <w:rPr>
                <w:rFonts w:cs="Arial"/>
                <w:b/>
                <w:bCs/>
                <w:color w:val="000000"/>
                <w:sz w:val="18"/>
                <w:szCs w:val="18"/>
                <w:lang w:eastAsia="en-AU"/>
              </w:rPr>
            </w:pPr>
            <w:r w:rsidRPr="00E03421">
              <w:rPr>
                <w:rFonts w:cs="Arial"/>
                <w:b/>
                <w:bCs/>
                <w:color w:val="000000"/>
                <w:sz w:val="18"/>
                <w:szCs w:val="18"/>
                <w:lang w:eastAsia="en-AU"/>
              </w:rPr>
              <w:t>Total</w:t>
            </w:r>
          </w:p>
        </w:tc>
        <w:tc>
          <w:tcPr>
            <w:tcW w:w="1033" w:type="dxa"/>
            <w:tcBorders>
              <w:top w:val="nil"/>
              <w:left w:val="nil"/>
              <w:bottom w:val="nil"/>
              <w:right w:val="nil"/>
            </w:tcBorders>
            <w:shd w:val="clear" w:color="auto" w:fill="auto"/>
            <w:noWrap/>
            <w:hideMark/>
          </w:tcPr>
          <w:p w:rsidR="00977B84" w:rsidRPr="00E03421" w:rsidRDefault="00A12E2B" w:rsidP="00B43A2B">
            <w:pPr>
              <w:spacing w:before="0" w:after="0"/>
              <w:jc w:val="right"/>
              <w:rPr>
                <w:rFonts w:cs="Arial"/>
                <w:b/>
                <w:bCs/>
                <w:color w:val="000000"/>
                <w:sz w:val="18"/>
                <w:szCs w:val="18"/>
                <w:lang w:eastAsia="en-AU"/>
              </w:rPr>
            </w:pPr>
            <w:r w:rsidRPr="00E03421">
              <w:rPr>
                <w:rFonts w:cs="Arial"/>
                <w:b/>
                <w:bCs/>
                <w:color w:val="000000"/>
                <w:sz w:val="18"/>
                <w:szCs w:val="18"/>
                <w:lang w:eastAsia="en-AU"/>
              </w:rPr>
              <w:t>1</w:t>
            </w:r>
            <w:r w:rsidR="00904EBD" w:rsidRPr="00E03421">
              <w:rPr>
                <w:rFonts w:cs="Arial"/>
                <w:b/>
                <w:bCs/>
                <w:color w:val="000000"/>
                <w:sz w:val="18"/>
                <w:szCs w:val="18"/>
                <w:lang w:eastAsia="en-AU"/>
              </w:rPr>
              <w:t>,</w:t>
            </w:r>
            <w:r w:rsidR="00977B84" w:rsidRPr="00E03421">
              <w:rPr>
                <w:rFonts w:cs="Arial"/>
                <w:b/>
                <w:bCs/>
                <w:color w:val="000000"/>
                <w:sz w:val="18"/>
                <w:szCs w:val="18"/>
                <w:lang w:eastAsia="en-AU"/>
              </w:rPr>
              <w:t>755</w:t>
            </w:r>
          </w:p>
        </w:tc>
        <w:tc>
          <w:tcPr>
            <w:tcW w:w="1033" w:type="dxa"/>
            <w:tcBorders>
              <w:top w:val="nil"/>
              <w:left w:val="nil"/>
              <w:bottom w:val="nil"/>
              <w:right w:val="nil"/>
            </w:tcBorders>
            <w:shd w:val="clear" w:color="auto" w:fill="auto"/>
            <w:noWrap/>
            <w:hideMark/>
          </w:tcPr>
          <w:p w:rsidR="00977B84" w:rsidRPr="00E03421" w:rsidRDefault="00A12E2B" w:rsidP="00B43A2B">
            <w:pPr>
              <w:spacing w:before="0" w:after="0"/>
              <w:jc w:val="right"/>
              <w:rPr>
                <w:rFonts w:cs="Arial"/>
                <w:b/>
                <w:bCs/>
                <w:color w:val="000000"/>
                <w:sz w:val="18"/>
                <w:szCs w:val="18"/>
                <w:lang w:eastAsia="en-AU"/>
              </w:rPr>
            </w:pPr>
            <w:r w:rsidRPr="00E03421">
              <w:rPr>
                <w:rFonts w:cs="Arial"/>
                <w:b/>
                <w:bCs/>
                <w:color w:val="000000"/>
                <w:sz w:val="18"/>
                <w:szCs w:val="18"/>
                <w:lang w:eastAsia="en-AU"/>
              </w:rPr>
              <w:t>4</w:t>
            </w:r>
            <w:r w:rsidR="00904EBD" w:rsidRPr="00E03421">
              <w:rPr>
                <w:rFonts w:cs="Arial"/>
                <w:b/>
                <w:bCs/>
                <w:color w:val="000000"/>
                <w:sz w:val="18"/>
                <w:szCs w:val="18"/>
                <w:lang w:eastAsia="en-AU"/>
              </w:rPr>
              <w:t>,</w:t>
            </w:r>
            <w:r w:rsidR="00977B84" w:rsidRPr="00E03421">
              <w:rPr>
                <w:rFonts w:cs="Arial"/>
                <w:b/>
                <w:bCs/>
                <w:color w:val="000000"/>
                <w:sz w:val="18"/>
                <w:szCs w:val="18"/>
                <w:lang w:eastAsia="en-AU"/>
              </w:rPr>
              <w:t>805</w:t>
            </w:r>
          </w:p>
        </w:tc>
        <w:tc>
          <w:tcPr>
            <w:tcW w:w="1033" w:type="dxa"/>
            <w:tcBorders>
              <w:top w:val="nil"/>
              <w:left w:val="nil"/>
              <w:bottom w:val="nil"/>
              <w:right w:val="nil"/>
            </w:tcBorders>
            <w:shd w:val="clear" w:color="auto" w:fill="auto"/>
            <w:noWrap/>
            <w:hideMark/>
          </w:tcPr>
          <w:p w:rsidR="00977B84" w:rsidRPr="00E03421" w:rsidRDefault="00A12E2B" w:rsidP="00B43A2B">
            <w:pPr>
              <w:spacing w:before="0" w:after="0"/>
              <w:jc w:val="right"/>
              <w:rPr>
                <w:rFonts w:cs="Arial"/>
                <w:b/>
                <w:bCs/>
                <w:color w:val="000000"/>
                <w:sz w:val="18"/>
                <w:szCs w:val="18"/>
                <w:lang w:eastAsia="en-AU"/>
              </w:rPr>
            </w:pPr>
            <w:r w:rsidRPr="00E03421">
              <w:rPr>
                <w:rFonts w:cs="Arial"/>
                <w:b/>
                <w:bCs/>
                <w:color w:val="000000"/>
                <w:sz w:val="18"/>
                <w:szCs w:val="18"/>
                <w:lang w:eastAsia="en-AU"/>
              </w:rPr>
              <w:t>7</w:t>
            </w:r>
            <w:r w:rsidR="00904EBD" w:rsidRPr="00E03421">
              <w:rPr>
                <w:rFonts w:cs="Arial"/>
                <w:b/>
                <w:bCs/>
                <w:color w:val="000000"/>
                <w:sz w:val="18"/>
                <w:szCs w:val="18"/>
                <w:lang w:eastAsia="en-AU"/>
              </w:rPr>
              <w:t>,</w:t>
            </w:r>
            <w:r w:rsidR="00977B84" w:rsidRPr="00E03421">
              <w:rPr>
                <w:rFonts w:cs="Arial"/>
                <w:b/>
                <w:bCs/>
                <w:color w:val="000000"/>
                <w:sz w:val="18"/>
                <w:szCs w:val="18"/>
                <w:lang w:eastAsia="en-AU"/>
              </w:rPr>
              <w:t>700</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b/>
                <w:bCs/>
                <w:color w:val="000000"/>
                <w:sz w:val="18"/>
                <w:szCs w:val="18"/>
                <w:lang w:eastAsia="en-AU"/>
              </w:rPr>
            </w:pPr>
            <w:r w:rsidRPr="00E03421">
              <w:rPr>
                <w:rFonts w:cs="Arial"/>
                <w:b/>
                <w:bCs/>
                <w:color w:val="000000"/>
                <w:sz w:val="18"/>
                <w:szCs w:val="18"/>
                <w:lang w:eastAsia="en-AU"/>
              </w:rPr>
              <w:t>-</w:t>
            </w:r>
          </w:p>
        </w:tc>
        <w:tc>
          <w:tcPr>
            <w:tcW w:w="1165" w:type="dxa"/>
            <w:tcBorders>
              <w:top w:val="nil"/>
              <w:left w:val="nil"/>
              <w:bottom w:val="nil"/>
              <w:right w:val="nil"/>
            </w:tcBorders>
            <w:shd w:val="clear" w:color="auto" w:fill="auto"/>
            <w:noWrap/>
            <w:hideMark/>
          </w:tcPr>
          <w:p w:rsidR="00977B84" w:rsidRPr="00E03421" w:rsidRDefault="00A12E2B" w:rsidP="00B43A2B">
            <w:pPr>
              <w:spacing w:before="0" w:after="0"/>
              <w:jc w:val="right"/>
              <w:rPr>
                <w:rFonts w:cs="Arial"/>
                <w:b/>
                <w:bCs/>
                <w:color w:val="000000"/>
                <w:sz w:val="18"/>
                <w:szCs w:val="18"/>
                <w:lang w:eastAsia="en-AU"/>
              </w:rPr>
            </w:pPr>
            <w:r w:rsidRPr="00E03421">
              <w:rPr>
                <w:rFonts w:cs="Arial"/>
                <w:b/>
                <w:bCs/>
                <w:color w:val="000000"/>
                <w:sz w:val="18"/>
                <w:szCs w:val="18"/>
                <w:lang w:eastAsia="en-AU"/>
              </w:rPr>
              <w:t>14</w:t>
            </w:r>
            <w:r w:rsidR="00904EBD" w:rsidRPr="00E03421">
              <w:rPr>
                <w:rFonts w:cs="Arial"/>
                <w:b/>
                <w:bCs/>
                <w:color w:val="000000"/>
                <w:sz w:val="18"/>
                <w:szCs w:val="18"/>
                <w:lang w:eastAsia="en-AU"/>
              </w:rPr>
              <w:t>,</w:t>
            </w:r>
            <w:r w:rsidR="00977B84" w:rsidRPr="00E03421">
              <w:rPr>
                <w:rFonts w:cs="Arial"/>
                <w:b/>
                <w:bCs/>
                <w:color w:val="000000"/>
                <w:sz w:val="18"/>
                <w:szCs w:val="18"/>
                <w:lang w:eastAsia="en-AU"/>
              </w:rPr>
              <w:t>260</w:t>
            </w:r>
          </w:p>
        </w:tc>
        <w:tc>
          <w:tcPr>
            <w:tcW w:w="1280"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b/>
                <w:bCs/>
                <w:color w:val="000000"/>
                <w:sz w:val="18"/>
                <w:szCs w:val="18"/>
                <w:lang w:eastAsia="en-AU"/>
              </w:rPr>
            </w:pPr>
          </w:p>
        </w:tc>
      </w:tr>
      <w:tr w:rsidR="00977B84" w:rsidRPr="00E03421" w:rsidTr="00952B87">
        <w:trPr>
          <w:trHeight w:val="255"/>
        </w:trPr>
        <w:tc>
          <w:tcPr>
            <w:tcW w:w="3402" w:type="dxa"/>
            <w:tcBorders>
              <w:top w:val="nil"/>
              <w:left w:val="nil"/>
              <w:bottom w:val="nil"/>
              <w:right w:val="nil"/>
            </w:tcBorders>
            <w:shd w:val="clear" w:color="auto" w:fill="auto"/>
            <w:hideMark/>
          </w:tcPr>
          <w:p w:rsidR="00977B84" w:rsidRPr="00E03421" w:rsidRDefault="00977B84" w:rsidP="00977B84">
            <w:pPr>
              <w:spacing w:before="0" w:after="0"/>
              <w:jc w:val="right"/>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165"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280"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r>
      <w:tr w:rsidR="00977B84" w:rsidRPr="00E03421" w:rsidTr="00952B87">
        <w:trPr>
          <w:trHeight w:val="240"/>
        </w:trPr>
        <w:tc>
          <w:tcPr>
            <w:tcW w:w="3402" w:type="dxa"/>
            <w:tcBorders>
              <w:top w:val="nil"/>
              <w:left w:val="nil"/>
              <w:bottom w:val="nil"/>
              <w:right w:val="nil"/>
            </w:tcBorders>
            <w:shd w:val="clear" w:color="auto" w:fill="auto"/>
            <w:hideMark/>
          </w:tcPr>
          <w:p w:rsidR="00977B84" w:rsidRPr="00E03421" w:rsidRDefault="00977B84" w:rsidP="00977B84">
            <w:pPr>
              <w:spacing w:before="0" w:after="0"/>
              <w:rPr>
                <w:rFonts w:cs="Arial"/>
                <w:color w:val="000000"/>
                <w:sz w:val="18"/>
                <w:szCs w:val="18"/>
                <w:u w:val="single"/>
                <w:lang w:eastAsia="en-AU"/>
              </w:rPr>
            </w:pPr>
            <w:r w:rsidRPr="00E03421">
              <w:rPr>
                <w:rFonts w:cs="Arial"/>
                <w:color w:val="000000"/>
                <w:sz w:val="18"/>
                <w:szCs w:val="18"/>
                <w:u w:val="single"/>
                <w:lang w:eastAsia="en-AU"/>
              </w:rPr>
              <w:t>ICT</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color w:val="000000"/>
                <w:sz w:val="18"/>
                <w:szCs w:val="18"/>
                <w:u w:val="single"/>
                <w:lang w:eastAsia="en-AU"/>
              </w:rPr>
            </w:pP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165"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280"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r>
      <w:tr w:rsidR="00977B84" w:rsidRPr="00E03421" w:rsidTr="00952B87">
        <w:trPr>
          <w:trHeight w:val="480"/>
        </w:trPr>
        <w:tc>
          <w:tcPr>
            <w:tcW w:w="3402" w:type="dxa"/>
            <w:tcBorders>
              <w:top w:val="nil"/>
              <w:left w:val="nil"/>
              <w:bottom w:val="nil"/>
              <w:right w:val="nil"/>
            </w:tcBorders>
            <w:shd w:val="clear" w:color="auto" w:fill="auto"/>
            <w:hideMark/>
          </w:tcPr>
          <w:p w:rsidR="00977B84" w:rsidRPr="00E03421" w:rsidRDefault="005D7538" w:rsidP="00977B84">
            <w:pPr>
              <w:spacing w:before="0" w:after="0"/>
              <w:rPr>
                <w:rFonts w:cs="Arial"/>
                <w:color w:val="000000"/>
                <w:sz w:val="18"/>
                <w:szCs w:val="18"/>
                <w:lang w:eastAsia="en-AU"/>
              </w:rPr>
            </w:pPr>
            <w:r>
              <w:rPr>
                <w:rFonts w:cs="Arial"/>
                <w:color w:val="000000"/>
                <w:sz w:val="18"/>
                <w:szCs w:val="18"/>
                <w:lang w:eastAsia="en-AU"/>
              </w:rPr>
              <w:t>ACT Pathology Laboratory i</w:t>
            </w:r>
            <w:r w:rsidR="00977B84" w:rsidRPr="00E03421">
              <w:rPr>
                <w:rFonts w:cs="Arial"/>
                <w:color w:val="000000"/>
                <w:sz w:val="18"/>
                <w:szCs w:val="18"/>
                <w:lang w:eastAsia="en-AU"/>
              </w:rPr>
              <w:t>nformation system replacement</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A12E2B" w:rsidP="00B43A2B">
            <w:pPr>
              <w:spacing w:before="0" w:after="0"/>
              <w:jc w:val="right"/>
              <w:rPr>
                <w:rFonts w:cs="Arial"/>
                <w:color w:val="000000"/>
                <w:sz w:val="18"/>
                <w:szCs w:val="18"/>
                <w:lang w:eastAsia="en-AU"/>
              </w:rPr>
            </w:pPr>
            <w:r w:rsidRPr="00E03421">
              <w:rPr>
                <w:rFonts w:cs="Arial"/>
                <w:color w:val="000000"/>
                <w:sz w:val="18"/>
                <w:szCs w:val="18"/>
                <w:lang w:eastAsia="en-AU"/>
              </w:rPr>
              <w:t>5</w:t>
            </w:r>
            <w:r w:rsidR="00904EBD" w:rsidRPr="00E03421">
              <w:rPr>
                <w:rFonts w:cs="Arial"/>
                <w:color w:val="000000"/>
                <w:sz w:val="18"/>
                <w:szCs w:val="18"/>
                <w:lang w:eastAsia="en-AU"/>
              </w:rPr>
              <w:t>,</w:t>
            </w:r>
            <w:r w:rsidR="00977B84" w:rsidRPr="00E03421">
              <w:rPr>
                <w:rFonts w:cs="Arial"/>
                <w:color w:val="000000"/>
                <w:sz w:val="18"/>
                <w:szCs w:val="18"/>
                <w:lang w:eastAsia="en-AU"/>
              </w:rPr>
              <w:t>829</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color w:val="000000"/>
                <w:sz w:val="18"/>
                <w:szCs w:val="18"/>
                <w:lang w:eastAsia="en-AU"/>
              </w:rPr>
            </w:pPr>
            <w:r w:rsidRPr="00E03421">
              <w:rPr>
                <w:rFonts w:cs="Arial"/>
                <w:color w:val="000000"/>
                <w:sz w:val="18"/>
                <w:szCs w:val="18"/>
                <w:lang w:eastAsia="en-AU"/>
              </w:rPr>
              <w:t>887</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165" w:type="dxa"/>
            <w:tcBorders>
              <w:top w:val="nil"/>
              <w:left w:val="nil"/>
              <w:bottom w:val="nil"/>
              <w:right w:val="nil"/>
            </w:tcBorders>
            <w:shd w:val="clear" w:color="auto" w:fill="auto"/>
            <w:noWrap/>
            <w:hideMark/>
          </w:tcPr>
          <w:p w:rsidR="00977B84" w:rsidRPr="00E03421" w:rsidRDefault="00A12E2B" w:rsidP="00B43A2B">
            <w:pPr>
              <w:spacing w:before="0" w:after="0"/>
              <w:jc w:val="right"/>
              <w:rPr>
                <w:rFonts w:cs="Arial"/>
                <w:color w:val="000000"/>
                <w:sz w:val="18"/>
                <w:szCs w:val="18"/>
                <w:lang w:eastAsia="en-AU"/>
              </w:rPr>
            </w:pPr>
            <w:r w:rsidRPr="00E03421">
              <w:rPr>
                <w:rFonts w:cs="Arial"/>
                <w:color w:val="000000"/>
                <w:sz w:val="18"/>
                <w:szCs w:val="18"/>
                <w:lang w:eastAsia="en-AU"/>
              </w:rPr>
              <w:t>6</w:t>
            </w:r>
            <w:r w:rsidR="00904EBD" w:rsidRPr="00E03421">
              <w:rPr>
                <w:rFonts w:cs="Arial"/>
                <w:color w:val="000000"/>
                <w:sz w:val="18"/>
                <w:szCs w:val="18"/>
                <w:lang w:eastAsia="en-AU"/>
              </w:rPr>
              <w:t>,</w:t>
            </w:r>
            <w:r w:rsidR="00977B84" w:rsidRPr="00E03421">
              <w:rPr>
                <w:rFonts w:cs="Arial"/>
                <w:color w:val="000000"/>
                <w:sz w:val="18"/>
                <w:szCs w:val="18"/>
                <w:lang w:eastAsia="en-AU"/>
              </w:rPr>
              <w:t>716</w:t>
            </w:r>
          </w:p>
        </w:tc>
        <w:tc>
          <w:tcPr>
            <w:tcW w:w="1280" w:type="dxa"/>
            <w:tcBorders>
              <w:top w:val="nil"/>
              <w:left w:val="nil"/>
              <w:bottom w:val="nil"/>
              <w:right w:val="nil"/>
            </w:tcBorders>
            <w:shd w:val="clear" w:color="auto" w:fill="auto"/>
            <w:noWrap/>
            <w:hideMark/>
          </w:tcPr>
          <w:p w:rsidR="00977B84" w:rsidRPr="00E03421" w:rsidRDefault="004E3068" w:rsidP="00E03421">
            <w:pPr>
              <w:spacing w:before="0" w:after="0"/>
              <w:jc w:val="right"/>
              <w:rPr>
                <w:rFonts w:cs="Arial"/>
                <w:color w:val="000000"/>
                <w:sz w:val="18"/>
                <w:szCs w:val="18"/>
                <w:lang w:eastAsia="en-AU"/>
              </w:rPr>
            </w:pPr>
            <w:r w:rsidRPr="00E03421">
              <w:rPr>
                <w:rFonts w:cs="Arial"/>
                <w:color w:val="000000"/>
                <w:sz w:val="18"/>
                <w:szCs w:val="18"/>
                <w:lang w:eastAsia="en-AU"/>
              </w:rPr>
              <w:t>Jun-</w:t>
            </w:r>
            <w:r w:rsidR="00E03421" w:rsidRPr="00E03421">
              <w:rPr>
                <w:rFonts w:cs="Arial"/>
                <w:color w:val="000000"/>
                <w:sz w:val="18"/>
                <w:szCs w:val="18"/>
                <w:lang w:eastAsia="en-AU"/>
              </w:rPr>
              <w:t>21</w:t>
            </w:r>
          </w:p>
        </w:tc>
      </w:tr>
      <w:tr w:rsidR="00977B84" w:rsidRPr="00E03421" w:rsidTr="00952B87">
        <w:trPr>
          <w:trHeight w:val="255"/>
        </w:trPr>
        <w:tc>
          <w:tcPr>
            <w:tcW w:w="3402" w:type="dxa"/>
            <w:tcBorders>
              <w:top w:val="nil"/>
              <w:left w:val="nil"/>
              <w:bottom w:val="nil"/>
              <w:right w:val="nil"/>
            </w:tcBorders>
            <w:shd w:val="clear" w:color="auto" w:fill="auto"/>
            <w:hideMark/>
          </w:tcPr>
          <w:p w:rsidR="00977B84" w:rsidRPr="00E03421" w:rsidRDefault="00977B84" w:rsidP="00977B84">
            <w:pPr>
              <w:spacing w:before="0" w:after="0"/>
              <w:rPr>
                <w:rFonts w:cs="Arial"/>
                <w:color w:val="000000"/>
                <w:sz w:val="18"/>
                <w:szCs w:val="18"/>
                <w:lang w:eastAsia="en-AU"/>
              </w:rPr>
            </w:pPr>
            <w:r w:rsidRPr="00E03421">
              <w:rPr>
                <w:rFonts w:cs="Arial"/>
                <w:color w:val="000000"/>
                <w:sz w:val="18"/>
                <w:szCs w:val="18"/>
                <w:lang w:eastAsia="en-AU"/>
              </w:rPr>
              <w:t>ACT Health ICT upgrades</w:t>
            </w:r>
          </w:p>
        </w:tc>
        <w:tc>
          <w:tcPr>
            <w:tcW w:w="1033" w:type="dxa"/>
            <w:tcBorders>
              <w:top w:val="nil"/>
              <w:left w:val="nil"/>
              <w:bottom w:val="nil"/>
              <w:right w:val="nil"/>
            </w:tcBorders>
            <w:shd w:val="clear" w:color="auto" w:fill="auto"/>
            <w:noWrap/>
            <w:hideMark/>
          </w:tcPr>
          <w:p w:rsidR="00977B84" w:rsidRPr="00E03421" w:rsidRDefault="00977B84" w:rsidP="00A12E2B">
            <w:pPr>
              <w:spacing w:before="0" w:after="0"/>
              <w:jc w:val="right"/>
              <w:rPr>
                <w:rFonts w:cs="Arial"/>
                <w:color w:val="000000"/>
                <w:sz w:val="18"/>
                <w:szCs w:val="18"/>
                <w:lang w:eastAsia="en-AU"/>
              </w:rPr>
            </w:pPr>
            <w:r w:rsidRPr="00E03421">
              <w:rPr>
                <w:rFonts w:cs="Arial"/>
                <w:color w:val="000000"/>
                <w:sz w:val="18"/>
                <w:szCs w:val="18"/>
                <w:lang w:eastAsia="en-AU"/>
              </w:rPr>
              <w:t>10</w:t>
            </w:r>
            <w:r w:rsidR="00904EBD" w:rsidRPr="00E03421">
              <w:rPr>
                <w:rFonts w:cs="Arial"/>
                <w:color w:val="000000"/>
                <w:sz w:val="18"/>
                <w:szCs w:val="18"/>
                <w:lang w:eastAsia="en-AU"/>
              </w:rPr>
              <w:t>,</w:t>
            </w:r>
            <w:r w:rsidRPr="00E03421">
              <w:rPr>
                <w:rFonts w:cs="Arial"/>
                <w:color w:val="000000"/>
                <w:sz w:val="18"/>
                <w:szCs w:val="18"/>
                <w:lang w:eastAsia="en-AU"/>
              </w:rPr>
              <w:t>582</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color w:val="000000"/>
                <w:sz w:val="18"/>
                <w:szCs w:val="18"/>
                <w:lang w:eastAsia="en-AU"/>
              </w:rPr>
            </w:pPr>
            <w:r w:rsidRPr="00E03421">
              <w:rPr>
                <w:rFonts w:cs="Arial"/>
                <w:color w:val="000000"/>
                <w:sz w:val="18"/>
                <w:szCs w:val="18"/>
                <w:lang w:eastAsia="en-AU"/>
              </w:rPr>
              <w:t>2</w:t>
            </w:r>
            <w:r w:rsidR="00904EBD" w:rsidRPr="00E03421">
              <w:rPr>
                <w:rFonts w:cs="Arial"/>
                <w:color w:val="000000"/>
                <w:sz w:val="18"/>
                <w:szCs w:val="18"/>
                <w:lang w:eastAsia="en-AU"/>
              </w:rPr>
              <w:t>,</w:t>
            </w:r>
            <w:r w:rsidRPr="00E03421">
              <w:rPr>
                <w:rFonts w:cs="Arial"/>
                <w:color w:val="000000"/>
                <w:sz w:val="18"/>
                <w:szCs w:val="18"/>
                <w:lang w:eastAsia="en-AU"/>
              </w:rPr>
              <w:t>891</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165" w:type="dxa"/>
            <w:tcBorders>
              <w:top w:val="nil"/>
              <w:left w:val="nil"/>
              <w:bottom w:val="nil"/>
              <w:right w:val="nil"/>
            </w:tcBorders>
            <w:shd w:val="clear" w:color="auto" w:fill="auto"/>
            <w:noWrap/>
            <w:hideMark/>
          </w:tcPr>
          <w:p w:rsidR="00977B84" w:rsidRPr="00E03421" w:rsidRDefault="00A12E2B" w:rsidP="00B43A2B">
            <w:pPr>
              <w:spacing w:before="0" w:after="0"/>
              <w:jc w:val="right"/>
              <w:rPr>
                <w:rFonts w:cs="Arial"/>
                <w:color w:val="000000"/>
                <w:sz w:val="18"/>
                <w:szCs w:val="18"/>
                <w:lang w:eastAsia="en-AU"/>
              </w:rPr>
            </w:pPr>
            <w:r w:rsidRPr="00E03421">
              <w:rPr>
                <w:rFonts w:cs="Arial"/>
                <w:color w:val="000000"/>
                <w:sz w:val="18"/>
                <w:szCs w:val="18"/>
                <w:lang w:eastAsia="en-AU"/>
              </w:rPr>
              <w:t>13</w:t>
            </w:r>
            <w:r w:rsidR="00904EBD" w:rsidRPr="00E03421">
              <w:rPr>
                <w:rFonts w:cs="Arial"/>
                <w:color w:val="000000"/>
                <w:sz w:val="18"/>
                <w:szCs w:val="18"/>
                <w:lang w:eastAsia="en-AU"/>
              </w:rPr>
              <w:t>,</w:t>
            </w:r>
            <w:r w:rsidR="00227F26">
              <w:rPr>
                <w:rFonts w:cs="Arial"/>
                <w:color w:val="000000"/>
                <w:sz w:val="18"/>
                <w:szCs w:val="18"/>
                <w:lang w:eastAsia="en-AU"/>
              </w:rPr>
              <w:t>473</w:t>
            </w:r>
          </w:p>
        </w:tc>
        <w:tc>
          <w:tcPr>
            <w:tcW w:w="1280" w:type="dxa"/>
            <w:tcBorders>
              <w:top w:val="nil"/>
              <w:left w:val="nil"/>
              <w:bottom w:val="nil"/>
              <w:right w:val="nil"/>
            </w:tcBorders>
            <w:shd w:val="clear" w:color="auto" w:fill="auto"/>
            <w:noWrap/>
            <w:hideMark/>
          </w:tcPr>
          <w:p w:rsidR="00977B84" w:rsidRPr="00E03421" w:rsidRDefault="00E03421" w:rsidP="00B43A2B">
            <w:pPr>
              <w:spacing w:before="0" w:after="0"/>
              <w:jc w:val="right"/>
              <w:rPr>
                <w:rFonts w:cs="Arial"/>
                <w:color w:val="000000"/>
                <w:sz w:val="18"/>
                <w:szCs w:val="18"/>
                <w:lang w:eastAsia="en-AU"/>
              </w:rPr>
            </w:pPr>
            <w:r w:rsidRPr="00E03421">
              <w:rPr>
                <w:rFonts w:cs="Arial"/>
                <w:color w:val="000000"/>
                <w:sz w:val="18"/>
                <w:szCs w:val="18"/>
                <w:lang w:eastAsia="en-AU"/>
              </w:rPr>
              <w:t>Jun-20</w:t>
            </w:r>
          </w:p>
        </w:tc>
      </w:tr>
      <w:tr w:rsidR="00977B84" w:rsidRPr="00E03421" w:rsidTr="00952B87">
        <w:trPr>
          <w:trHeight w:val="274"/>
        </w:trPr>
        <w:tc>
          <w:tcPr>
            <w:tcW w:w="3402" w:type="dxa"/>
            <w:tcBorders>
              <w:top w:val="nil"/>
              <w:left w:val="nil"/>
              <w:bottom w:val="nil"/>
              <w:right w:val="nil"/>
            </w:tcBorders>
            <w:shd w:val="clear" w:color="auto" w:fill="auto"/>
            <w:hideMark/>
          </w:tcPr>
          <w:p w:rsidR="00977B84" w:rsidRPr="00E03421" w:rsidRDefault="00977B84" w:rsidP="00977B84">
            <w:pPr>
              <w:spacing w:before="0" w:after="0"/>
              <w:rPr>
                <w:rFonts w:cs="Arial"/>
                <w:b/>
                <w:bCs/>
                <w:color w:val="000000"/>
                <w:sz w:val="18"/>
                <w:szCs w:val="18"/>
                <w:lang w:eastAsia="en-AU"/>
              </w:rPr>
            </w:pPr>
            <w:r w:rsidRPr="00E03421">
              <w:rPr>
                <w:rFonts w:cs="Arial"/>
                <w:b/>
                <w:bCs/>
                <w:color w:val="000000"/>
                <w:sz w:val="18"/>
                <w:szCs w:val="18"/>
                <w:lang w:eastAsia="en-AU"/>
              </w:rPr>
              <w:t>Total</w:t>
            </w:r>
          </w:p>
        </w:tc>
        <w:tc>
          <w:tcPr>
            <w:tcW w:w="1033" w:type="dxa"/>
            <w:tcBorders>
              <w:top w:val="nil"/>
              <w:left w:val="nil"/>
              <w:bottom w:val="nil"/>
              <w:right w:val="nil"/>
            </w:tcBorders>
            <w:shd w:val="clear" w:color="auto" w:fill="auto"/>
            <w:noWrap/>
            <w:hideMark/>
          </w:tcPr>
          <w:p w:rsidR="00977B84" w:rsidRPr="00E03421" w:rsidRDefault="00A12E2B" w:rsidP="00B43A2B">
            <w:pPr>
              <w:spacing w:before="0" w:after="0"/>
              <w:jc w:val="right"/>
              <w:rPr>
                <w:rFonts w:cs="Arial"/>
                <w:b/>
                <w:bCs/>
                <w:color w:val="000000"/>
                <w:sz w:val="18"/>
                <w:szCs w:val="18"/>
                <w:lang w:eastAsia="en-AU"/>
              </w:rPr>
            </w:pPr>
            <w:r w:rsidRPr="00E03421">
              <w:rPr>
                <w:rFonts w:cs="Arial"/>
                <w:b/>
                <w:bCs/>
                <w:color w:val="000000"/>
                <w:sz w:val="18"/>
                <w:szCs w:val="18"/>
                <w:lang w:eastAsia="en-AU"/>
              </w:rPr>
              <w:t>10</w:t>
            </w:r>
            <w:r w:rsidR="00904EBD" w:rsidRPr="00E03421">
              <w:rPr>
                <w:rFonts w:cs="Arial"/>
                <w:b/>
                <w:bCs/>
                <w:color w:val="000000"/>
                <w:sz w:val="18"/>
                <w:szCs w:val="18"/>
                <w:lang w:eastAsia="en-AU"/>
              </w:rPr>
              <w:t>,</w:t>
            </w:r>
            <w:r w:rsidR="00977B84" w:rsidRPr="00E03421">
              <w:rPr>
                <w:rFonts w:cs="Arial"/>
                <w:b/>
                <w:bCs/>
                <w:color w:val="000000"/>
                <w:sz w:val="18"/>
                <w:szCs w:val="18"/>
                <w:lang w:eastAsia="en-AU"/>
              </w:rPr>
              <w:t>582</w:t>
            </w:r>
          </w:p>
        </w:tc>
        <w:tc>
          <w:tcPr>
            <w:tcW w:w="1033" w:type="dxa"/>
            <w:tcBorders>
              <w:top w:val="nil"/>
              <w:left w:val="nil"/>
              <w:bottom w:val="nil"/>
              <w:right w:val="nil"/>
            </w:tcBorders>
            <w:shd w:val="clear" w:color="auto" w:fill="auto"/>
            <w:noWrap/>
            <w:hideMark/>
          </w:tcPr>
          <w:p w:rsidR="00977B84" w:rsidRPr="00E03421" w:rsidRDefault="00A12E2B" w:rsidP="00B43A2B">
            <w:pPr>
              <w:spacing w:before="0" w:after="0"/>
              <w:jc w:val="right"/>
              <w:rPr>
                <w:rFonts w:cs="Arial"/>
                <w:b/>
                <w:bCs/>
                <w:color w:val="000000"/>
                <w:sz w:val="18"/>
                <w:szCs w:val="18"/>
                <w:lang w:eastAsia="en-AU"/>
              </w:rPr>
            </w:pPr>
            <w:r w:rsidRPr="00E03421">
              <w:rPr>
                <w:rFonts w:cs="Arial"/>
                <w:b/>
                <w:bCs/>
                <w:color w:val="000000"/>
                <w:sz w:val="18"/>
                <w:szCs w:val="18"/>
                <w:lang w:eastAsia="en-AU"/>
              </w:rPr>
              <w:t>8</w:t>
            </w:r>
            <w:r w:rsidR="00904EBD" w:rsidRPr="00E03421">
              <w:rPr>
                <w:rFonts w:cs="Arial"/>
                <w:b/>
                <w:bCs/>
                <w:color w:val="000000"/>
                <w:sz w:val="18"/>
                <w:szCs w:val="18"/>
                <w:lang w:eastAsia="en-AU"/>
              </w:rPr>
              <w:t>,</w:t>
            </w:r>
            <w:r w:rsidR="00977B84" w:rsidRPr="00E03421">
              <w:rPr>
                <w:rFonts w:cs="Arial"/>
                <w:b/>
                <w:bCs/>
                <w:color w:val="000000"/>
                <w:sz w:val="18"/>
                <w:szCs w:val="18"/>
                <w:lang w:eastAsia="en-AU"/>
              </w:rPr>
              <w:t>720</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b/>
                <w:bCs/>
                <w:color w:val="000000"/>
                <w:sz w:val="18"/>
                <w:szCs w:val="18"/>
                <w:lang w:eastAsia="en-AU"/>
              </w:rPr>
            </w:pPr>
            <w:r w:rsidRPr="00E03421">
              <w:rPr>
                <w:rFonts w:cs="Arial"/>
                <w:b/>
                <w:bCs/>
                <w:color w:val="000000"/>
                <w:sz w:val="18"/>
                <w:szCs w:val="18"/>
                <w:lang w:eastAsia="en-AU"/>
              </w:rPr>
              <w:t>887</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b/>
                <w:bCs/>
                <w:color w:val="000000"/>
                <w:sz w:val="18"/>
                <w:szCs w:val="18"/>
                <w:lang w:eastAsia="en-AU"/>
              </w:rPr>
            </w:pPr>
            <w:r w:rsidRPr="00E03421">
              <w:rPr>
                <w:rFonts w:cs="Arial"/>
                <w:b/>
                <w:bCs/>
                <w:color w:val="000000"/>
                <w:sz w:val="18"/>
                <w:szCs w:val="18"/>
                <w:lang w:eastAsia="en-AU"/>
              </w:rPr>
              <w:t>-</w:t>
            </w:r>
          </w:p>
        </w:tc>
        <w:tc>
          <w:tcPr>
            <w:tcW w:w="1165" w:type="dxa"/>
            <w:tcBorders>
              <w:top w:val="nil"/>
              <w:left w:val="nil"/>
              <w:bottom w:val="nil"/>
              <w:right w:val="nil"/>
            </w:tcBorders>
            <w:shd w:val="clear" w:color="auto" w:fill="auto"/>
            <w:noWrap/>
            <w:hideMark/>
          </w:tcPr>
          <w:p w:rsidR="00977B84" w:rsidRPr="00E03421" w:rsidRDefault="00A12E2B" w:rsidP="00B43A2B">
            <w:pPr>
              <w:spacing w:before="0" w:after="0"/>
              <w:jc w:val="right"/>
              <w:rPr>
                <w:rFonts w:cs="Arial"/>
                <w:b/>
                <w:bCs/>
                <w:color w:val="000000"/>
                <w:sz w:val="18"/>
                <w:szCs w:val="18"/>
                <w:lang w:eastAsia="en-AU"/>
              </w:rPr>
            </w:pPr>
            <w:r w:rsidRPr="00E03421">
              <w:rPr>
                <w:rFonts w:cs="Arial"/>
                <w:b/>
                <w:bCs/>
                <w:color w:val="000000"/>
                <w:sz w:val="18"/>
                <w:szCs w:val="18"/>
                <w:lang w:eastAsia="en-AU"/>
              </w:rPr>
              <w:t>20</w:t>
            </w:r>
            <w:r w:rsidR="00904EBD" w:rsidRPr="00E03421">
              <w:rPr>
                <w:rFonts w:cs="Arial"/>
                <w:b/>
                <w:bCs/>
                <w:color w:val="000000"/>
                <w:sz w:val="18"/>
                <w:szCs w:val="18"/>
                <w:lang w:eastAsia="en-AU"/>
              </w:rPr>
              <w:t>,</w:t>
            </w:r>
            <w:r w:rsidR="00227F26">
              <w:rPr>
                <w:rFonts w:cs="Arial"/>
                <w:b/>
                <w:bCs/>
                <w:color w:val="000000"/>
                <w:sz w:val="18"/>
                <w:szCs w:val="18"/>
                <w:lang w:eastAsia="en-AU"/>
              </w:rPr>
              <w:t>189</w:t>
            </w:r>
          </w:p>
        </w:tc>
        <w:tc>
          <w:tcPr>
            <w:tcW w:w="1280"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b/>
                <w:bCs/>
                <w:color w:val="000000"/>
                <w:sz w:val="18"/>
                <w:szCs w:val="18"/>
                <w:lang w:eastAsia="en-AU"/>
              </w:rPr>
            </w:pPr>
          </w:p>
        </w:tc>
      </w:tr>
      <w:tr w:rsidR="00977B84" w:rsidRPr="00E03421" w:rsidTr="00952B87">
        <w:trPr>
          <w:trHeight w:val="240"/>
        </w:trPr>
        <w:tc>
          <w:tcPr>
            <w:tcW w:w="3402" w:type="dxa"/>
            <w:tcBorders>
              <w:top w:val="nil"/>
              <w:left w:val="nil"/>
              <w:bottom w:val="nil"/>
              <w:right w:val="nil"/>
            </w:tcBorders>
            <w:shd w:val="clear" w:color="auto" w:fill="auto"/>
            <w:hideMark/>
          </w:tcPr>
          <w:p w:rsidR="00977B84" w:rsidRPr="00E03421" w:rsidRDefault="00977B84" w:rsidP="00977B84">
            <w:pPr>
              <w:spacing w:before="0" w:after="0"/>
              <w:jc w:val="right"/>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165"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280"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r>
      <w:tr w:rsidR="00977B84" w:rsidRPr="00E03421" w:rsidTr="00952B87">
        <w:trPr>
          <w:trHeight w:val="240"/>
        </w:trPr>
        <w:tc>
          <w:tcPr>
            <w:tcW w:w="3402" w:type="dxa"/>
            <w:tcBorders>
              <w:top w:val="nil"/>
              <w:left w:val="nil"/>
              <w:bottom w:val="nil"/>
              <w:right w:val="nil"/>
            </w:tcBorders>
            <w:shd w:val="clear" w:color="auto" w:fill="auto"/>
            <w:hideMark/>
          </w:tcPr>
          <w:p w:rsidR="00977B84" w:rsidRPr="00E03421" w:rsidRDefault="00977B84" w:rsidP="00977B84">
            <w:pPr>
              <w:spacing w:before="0" w:after="0"/>
              <w:rPr>
                <w:rFonts w:cs="Arial"/>
                <w:color w:val="000000"/>
                <w:sz w:val="18"/>
                <w:szCs w:val="18"/>
                <w:u w:val="single"/>
                <w:lang w:eastAsia="en-AU"/>
              </w:rPr>
            </w:pPr>
            <w:r w:rsidRPr="00E03421">
              <w:rPr>
                <w:rFonts w:cs="Arial"/>
                <w:color w:val="000000"/>
                <w:sz w:val="18"/>
                <w:szCs w:val="18"/>
                <w:u w:val="single"/>
                <w:lang w:eastAsia="en-AU"/>
              </w:rPr>
              <w:t>Property, Plant and Equipment</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color w:val="000000"/>
                <w:sz w:val="18"/>
                <w:szCs w:val="18"/>
                <w:u w:val="single"/>
                <w:lang w:eastAsia="en-AU"/>
              </w:rPr>
            </w:pP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165"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280"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r>
      <w:tr w:rsidR="00977B84" w:rsidRPr="00E03421" w:rsidTr="00952B87">
        <w:trPr>
          <w:trHeight w:val="255"/>
        </w:trPr>
        <w:tc>
          <w:tcPr>
            <w:tcW w:w="3402" w:type="dxa"/>
            <w:tcBorders>
              <w:top w:val="nil"/>
              <w:left w:val="nil"/>
              <w:bottom w:val="nil"/>
              <w:right w:val="nil"/>
            </w:tcBorders>
            <w:shd w:val="clear" w:color="auto" w:fill="auto"/>
            <w:hideMark/>
          </w:tcPr>
          <w:p w:rsidR="00977B84" w:rsidRPr="00E03421" w:rsidRDefault="00977B84" w:rsidP="00977B84">
            <w:pPr>
              <w:spacing w:before="0" w:after="0"/>
              <w:rPr>
                <w:rFonts w:cs="Arial"/>
                <w:color w:val="000000"/>
                <w:sz w:val="18"/>
                <w:szCs w:val="18"/>
                <w:lang w:eastAsia="en-AU"/>
              </w:rPr>
            </w:pPr>
            <w:r w:rsidRPr="00E03421">
              <w:rPr>
                <w:rFonts w:cs="Arial"/>
                <w:color w:val="000000"/>
                <w:sz w:val="18"/>
                <w:szCs w:val="18"/>
                <w:lang w:eastAsia="en-AU"/>
              </w:rPr>
              <w:t>ACT Health critical assets upgrades</w:t>
            </w:r>
          </w:p>
        </w:tc>
        <w:tc>
          <w:tcPr>
            <w:tcW w:w="1033" w:type="dxa"/>
            <w:tcBorders>
              <w:top w:val="nil"/>
              <w:left w:val="nil"/>
              <w:bottom w:val="nil"/>
              <w:right w:val="nil"/>
            </w:tcBorders>
            <w:shd w:val="clear" w:color="auto" w:fill="auto"/>
            <w:noWrap/>
            <w:hideMark/>
          </w:tcPr>
          <w:p w:rsidR="00977B84" w:rsidRPr="00E03421" w:rsidRDefault="00A12E2B" w:rsidP="00B43A2B">
            <w:pPr>
              <w:spacing w:before="0" w:after="0"/>
              <w:jc w:val="right"/>
              <w:rPr>
                <w:rFonts w:cs="Arial"/>
                <w:color w:val="000000"/>
                <w:sz w:val="18"/>
                <w:szCs w:val="18"/>
                <w:lang w:eastAsia="en-AU"/>
              </w:rPr>
            </w:pPr>
            <w:r w:rsidRPr="00E03421">
              <w:rPr>
                <w:rFonts w:cs="Arial"/>
                <w:color w:val="000000"/>
                <w:sz w:val="18"/>
                <w:szCs w:val="18"/>
                <w:lang w:eastAsia="en-AU"/>
              </w:rPr>
              <w:t>12</w:t>
            </w:r>
            <w:r w:rsidR="00904EBD" w:rsidRPr="00E03421">
              <w:rPr>
                <w:rFonts w:cs="Arial"/>
                <w:color w:val="000000"/>
                <w:sz w:val="18"/>
                <w:szCs w:val="18"/>
                <w:lang w:eastAsia="en-AU"/>
              </w:rPr>
              <w:t>,</w:t>
            </w:r>
            <w:r w:rsidR="00977B84" w:rsidRPr="00E03421">
              <w:rPr>
                <w:rFonts w:cs="Arial"/>
                <w:color w:val="000000"/>
                <w:sz w:val="18"/>
                <w:szCs w:val="18"/>
                <w:lang w:eastAsia="en-AU"/>
              </w:rPr>
              <w:t>100</w:t>
            </w:r>
          </w:p>
        </w:tc>
        <w:tc>
          <w:tcPr>
            <w:tcW w:w="1033" w:type="dxa"/>
            <w:tcBorders>
              <w:top w:val="nil"/>
              <w:left w:val="nil"/>
              <w:bottom w:val="nil"/>
              <w:right w:val="nil"/>
            </w:tcBorders>
            <w:shd w:val="clear" w:color="auto" w:fill="auto"/>
            <w:noWrap/>
            <w:hideMark/>
          </w:tcPr>
          <w:p w:rsidR="00977B84" w:rsidRPr="00E03421" w:rsidRDefault="00A12E2B" w:rsidP="00B43A2B">
            <w:pPr>
              <w:spacing w:before="0" w:after="0"/>
              <w:jc w:val="right"/>
              <w:rPr>
                <w:rFonts w:cs="Arial"/>
                <w:color w:val="000000"/>
                <w:sz w:val="18"/>
                <w:szCs w:val="18"/>
                <w:lang w:eastAsia="en-AU"/>
              </w:rPr>
            </w:pPr>
            <w:r w:rsidRPr="00E03421">
              <w:rPr>
                <w:rFonts w:cs="Arial"/>
                <w:color w:val="000000"/>
                <w:sz w:val="18"/>
                <w:szCs w:val="18"/>
                <w:lang w:eastAsia="en-AU"/>
              </w:rPr>
              <w:t>12</w:t>
            </w:r>
            <w:r w:rsidR="00904EBD" w:rsidRPr="00E03421">
              <w:rPr>
                <w:rFonts w:cs="Arial"/>
                <w:color w:val="000000"/>
                <w:sz w:val="18"/>
                <w:szCs w:val="18"/>
                <w:lang w:eastAsia="en-AU"/>
              </w:rPr>
              <w:t>,</w:t>
            </w:r>
            <w:r w:rsidR="00977B84" w:rsidRPr="00E03421">
              <w:rPr>
                <w:rFonts w:cs="Arial"/>
                <w:color w:val="000000"/>
                <w:sz w:val="18"/>
                <w:szCs w:val="18"/>
                <w:lang w:eastAsia="en-AU"/>
              </w:rPr>
              <w:t>780</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165" w:type="dxa"/>
            <w:tcBorders>
              <w:top w:val="nil"/>
              <w:left w:val="nil"/>
              <w:bottom w:val="nil"/>
              <w:right w:val="nil"/>
            </w:tcBorders>
            <w:shd w:val="clear" w:color="auto" w:fill="auto"/>
            <w:noWrap/>
            <w:hideMark/>
          </w:tcPr>
          <w:p w:rsidR="00977B84" w:rsidRPr="00E03421" w:rsidRDefault="00977B84" w:rsidP="00A12E2B">
            <w:pPr>
              <w:spacing w:before="0" w:after="0"/>
              <w:jc w:val="right"/>
              <w:rPr>
                <w:rFonts w:cs="Arial"/>
                <w:color w:val="000000"/>
                <w:sz w:val="18"/>
                <w:szCs w:val="18"/>
                <w:lang w:eastAsia="en-AU"/>
              </w:rPr>
            </w:pPr>
            <w:r w:rsidRPr="00E03421">
              <w:rPr>
                <w:rFonts w:cs="Arial"/>
                <w:color w:val="000000"/>
                <w:sz w:val="18"/>
                <w:szCs w:val="18"/>
                <w:lang w:eastAsia="en-AU"/>
              </w:rPr>
              <w:t>24</w:t>
            </w:r>
            <w:r w:rsidR="00904EBD" w:rsidRPr="00E03421">
              <w:rPr>
                <w:rFonts w:cs="Arial"/>
                <w:color w:val="000000"/>
                <w:sz w:val="18"/>
                <w:szCs w:val="18"/>
                <w:lang w:eastAsia="en-AU"/>
              </w:rPr>
              <w:t>,</w:t>
            </w:r>
            <w:r w:rsidRPr="00E03421">
              <w:rPr>
                <w:rFonts w:cs="Arial"/>
                <w:color w:val="000000"/>
                <w:sz w:val="18"/>
                <w:szCs w:val="18"/>
                <w:lang w:eastAsia="en-AU"/>
              </w:rPr>
              <w:t>880</w:t>
            </w:r>
          </w:p>
        </w:tc>
        <w:tc>
          <w:tcPr>
            <w:tcW w:w="1280" w:type="dxa"/>
            <w:tcBorders>
              <w:top w:val="nil"/>
              <w:left w:val="nil"/>
              <w:bottom w:val="nil"/>
              <w:right w:val="nil"/>
            </w:tcBorders>
            <w:shd w:val="clear" w:color="auto" w:fill="auto"/>
            <w:noWrap/>
            <w:hideMark/>
          </w:tcPr>
          <w:p w:rsidR="00977B84" w:rsidRPr="00E03421" w:rsidRDefault="00660ABC" w:rsidP="00660ABC">
            <w:pPr>
              <w:spacing w:before="0" w:after="0"/>
              <w:jc w:val="right"/>
              <w:rPr>
                <w:rFonts w:cs="Arial"/>
                <w:color w:val="000000"/>
                <w:sz w:val="18"/>
                <w:szCs w:val="18"/>
                <w:lang w:eastAsia="en-AU"/>
              </w:rPr>
            </w:pPr>
            <w:r w:rsidRPr="00E03421">
              <w:rPr>
                <w:rFonts w:cs="Arial"/>
                <w:color w:val="000000"/>
                <w:sz w:val="18"/>
                <w:szCs w:val="18"/>
                <w:lang w:eastAsia="en-AU"/>
              </w:rPr>
              <w:t>Jun-20</w:t>
            </w:r>
          </w:p>
        </w:tc>
      </w:tr>
      <w:tr w:rsidR="00977B84" w:rsidRPr="00E03421" w:rsidTr="00952B87">
        <w:trPr>
          <w:trHeight w:val="255"/>
        </w:trPr>
        <w:tc>
          <w:tcPr>
            <w:tcW w:w="3402" w:type="dxa"/>
            <w:tcBorders>
              <w:top w:val="nil"/>
              <w:left w:val="nil"/>
              <w:bottom w:val="nil"/>
              <w:right w:val="nil"/>
            </w:tcBorders>
            <w:shd w:val="clear" w:color="auto" w:fill="auto"/>
            <w:hideMark/>
          </w:tcPr>
          <w:p w:rsidR="00977B84" w:rsidRPr="00E03421" w:rsidRDefault="00977B84" w:rsidP="00977B84">
            <w:pPr>
              <w:spacing w:before="0" w:after="0"/>
              <w:rPr>
                <w:rFonts w:cs="Arial"/>
                <w:color w:val="000000"/>
                <w:sz w:val="18"/>
                <w:szCs w:val="18"/>
                <w:lang w:eastAsia="en-AU"/>
              </w:rPr>
            </w:pPr>
            <w:r w:rsidRPr="00E03421">
              <w:rPr>
                <w:rFonts w:cs="Arial"/>
                <w:color w:val="000000"/>
                <w:sz w:val="18"/>
                <w:szCs w:val="18"/>
                <w:lang w:eastAsia="en-AU"/>
              </w:rPr>
              <w:t>New medical imaging equipment</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sz w:val="18"/>
                <w:szCs w:val="18"/>
                <w:lang w:eastAsia="en-AU"/>
              </w:rPr>
            </w:pPr>
            <w:r w:rsidRPr="00E03421">
              <w:rPr>
                <w:rFonts w:cs="Arial"/>
                <w:sz w:val="18"/>
                <w:szCs w:val="18"/>
                <w:lang w:eastAsia="en-AU"/>
              </w:rPr>
              <w:t>500</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165"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color w:val="000000"/>
                <w:sz w:val="18"/>
                <w:szCs w:val="18"/>
                <w:lang w:eastAsia="en-AU"/>
              </w:rPr>
            </w:pPr>
            <w:r w:rsidRPr="00E03421">
              <w:rPr>
                <w:rFonts w:cs="Arial"/>
                <w:color w:val="000000"/>
                <w:sz w:val="18"/>
                <w:szCs w:val="18"/>
                <w:lang w:eastAsia="en-AU"/>
              </w:rPr>
              <w:t>500</w:t>
            </w:r>
          </w:p>
        </w:tc>
        <w:tc>
          <w:tcPr>
            <w:tcW w:w="1280" w:type="dxa"/>
            <w:tcBorders>
              <w:top w:val="nil"/>
              <w:left w:val="nil"/>
              <w:bottom w:val="nil"/>
              <w:right w:val="nil"/>
            </w:tcBorders>
            <w:shd w:val="clear" w:color="auto" w:fill="auto"/>
            <w:noWrap/>
            <w:hideMark/>
          </w:tcPr>
          <w:p w:rsidR="00977B84" w:rsidRPr="00E03421" w:rsidRDefault="00660ABC" w:rsidP="00B43A2B">
            <w:pPr>
              <w:spacing w:before="0" w:after="0"/>
              <w:jc w:val="right"/>
              <w:rPr>
                <w:rFonts w:cs="Arial"/>
                <w:color w:val="000000"/>
                <w:sz w:val="18"/>
                <w:szCs w:val="18"/>
                <w:lang w:eastAsia="en-AU"/>
              </w:rPr>
            </w:pPr>
            <w:r w:rsidRPr="00E03421">
              <w:rPr>
                <w:rFonts w:cs="Arial"/>
                <w:color w:val="000000"/>
                <w:sz w:val="18"/>
                <w:szCs w:val="18"/>
                <w:lang w:eastAsia="en-AU"/>
              </w:rPr>
              <w:t>Jun-19</w:t>
            </w:r>
          </w:p>
        </w:tc>
      </w:tr>
      <w:tr w:rsidR="00977B84" w:rsidRPr="00E03421" w:rsidTr="00952B87">
        <w:trPr>
          <w:trHeight w:val="240"/>
        </w:trPr>
        <w:tc>
          <w:tcPr>
            <w:tcW w:w="3402" w:type="dxa"/>
            <w:tcBorders>
              <w:top w:val="nil"/>
              <w:left w:val="nil"/>
              <w:bottom w:val="nil"/>
              <w:right w:val="nil"/>
            </w:tcBorders>
            <w:shd w:val="clear" w:color="auto" w:fill="auto"/>
            <w:hideMark/>
          </w:tcPr>
          <w:p w:rsidR="00977B84" w:rsidRPr="00E03421" w:rsidRDefault="00977B84" w:rsidP="00977B84">
            <w:pPr>
              <w:spacing w:before="0" w:after="0"/>
              <w:rPr>
                <w:rFonts w:cs="Arial"/>
                <w:b/>
                <w:bCs/>
                <w:color w:val="000000"/>
                <w:sz w:val="18"/>
                <w:szCs w:val="18"/>
                <w:lang w:eastAsia="en-AU"/>
              </w:rPr>
            </w:pPr>
            <w:r w:rsidRPr="00E03421">
              <w:rPr>
                <w:rFonts w:cs="Arial"/>
                <w:b/>
                <w:bCs/>
                <w:color w:val="000000"/>
                <w:sz w:val="18"/>
                <w:szCs w:val="18"/>
                <w:lang w:eastAsia="en-AU"/>
              </w:rPr>
              <w:t>Total</w:t>
            </w:r>
          </w:p>
        </w:tc>
        <w:tc>
          <w:tcPr>
            <w:tcW w:w="1033" w:type="dxa"/>
            <w:tcBorders>
              <w:top w:val="nil"/>
              <w:left w:val="nil"/>
              <w:bottom w:val="nil"/>
              <w:right w:val="nil"/>
            </w:tcBorders>
            <w:shd w:val="clear" w:color="auto" w:fill="auto"/>
            <w:noWrap/>
            <w:hideMark/>
          </w:tcPr>
          <w:p w:rsidR="00977B84" w:rsidRPr="00E03421" w:rsidRDefault="00A12E2B" w:rsidP="00B43A2B">
            <w:pPr>
              <w:spacing w:before="0" w:after="0"/>
              <w:jc w:val="right"/>
              <w:rPr>
                <w:rFonts w:cs="Arial"/>
                <w:b/>
                <w:bCs/>
                <w:color w:val="000000"/>
                <w:sz w:val="18"/>
                <w:szCs w:val="18"/>
                <w:lang w:eastAsia="en-AU"/>
              </w:rPr>
            </w:pPr>
            <w:r w:rsidRPr="00E03421">
              <w:rPr>
                <w:rFonts w:cs="Arial"/>
                <w:b/>
                <w:bCs/>
                <w:color w:val="000000"/>
                <w:sz w:val="18"/>
                <w:szCs w:val="18"/>
                <w:lang w:eastAsia="en-AU"/>
              </w:rPr>
              <w:t>12</w:t>
            </w:r>
            <w:r w:rsidR="00904EBD" w:rsidRPr="00E03421">
              <w:rPr>
                <w:rFonts w:cs="Arial"/>
                <w:b/>
                <w:bCs/>
                <w:color w:val="000000"/>
                <w:sz w:val="18"/>
                <w:szCs w:val="18"/>
                <w:lang w:eastAsia="en-AU"/>
              </w:rPr>
              <w:t>,</w:t>
            </w:r>
            <w:r w:rsidR="00977B84" w:rsidRPr="00E03421">
              <w:rPr>
                <w:rFonts w:cs="Arial"/>
                <w:b/>
                <w:bCs/>
                <w:color w:val="000000"/>
                <w:sz w:val="18"/>
                <w:szCs w:val="18"/>
                <w:lang w:eastAsia="en-AU"/>
              </w:rPr>
              <w:t>600</w:t>
            </w:r>
          </w:p>
        </w:tc>
        <w:tc>
          <w:tcPr>
            <w:tcW w:w="1033" w:type="dxa"/>
            <w:tcBorders>
              <w:top w:val="nil"/>
              <w:left w:val="nil"/>
              <w:bottom w:val="nil"/>
              <w:right w:val="nil"/>
            </w:tcBorders>
            <w:shd w:val="clear" w:color="auto" w:fill="auto"/>
            <w:noWrap/>
            <w:hideMark/>
          </w:tcPr>
          <w:p w:rsidR="00977B84" w:rsidRPr="00E03421" w:rsidRDefault="00A12E2B" w:rsidP="00B43A2B">
            <w:pPr>
              <w:spacing w:before="0" w:after="0"/>
              <w:jc w:val="right"/>
              <w:rPr>
                <w:rFonts w:cs="Arial"/>
                <w:b/>
                <w:bCs/>
                <w:color w:val="000000"/>
                <w:sz w:val="18"/>
                <w:szCs w:val="18"/>
                <w:lang w:eastAsia="en-AU"/>
              </w:rPr>
            </w:pPr>
            <w:r w:rsidRPr="00E03421">
              <w:rPr>
                <w:rFonts w:cs="Arial"/>
                <w:b/>
                <w:bCs/>
                <w:color w:val="000000"/>
                <w:sz w:val="18"/>
                <w:szCs w:val="18"/>
                <w:lang w:eastAsia="en-AU"/>
              </w:rPr>
              <w:t>12</w:t>
            </w:r>
            <w:r w:rsidR="00904EBD" w:rsidRPr="00E03421">
              <w:rPr>
                <w:rFonts w:cs="Arial"/>
                <w:b/>
                <w:bCs/>
                <w:color w:val="000000"/>
                <w:sz w:val="18"/>
                <w:szCs w:val="18"/>
                <w:lang w:eastAsia="en-AU"/>
              </w:rPr>
              <w:t>,</w:t>
            </w:r>
            <w:r w:rsidR="00977B84" w:rsidRPr="00E03421">
              <w:rPr>
                <w:rFonts w:cs="Arial"/>
                <w:b/>
                <w:bCs/>
                <w:color w:val="000000"/>
                <w:sz w:val="18"/>
                <w:szCs w:val="18"/>
                <w:lang w:eastAsia="en-AU"/>
              </w:rPr>
              <w:t>780</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b/>
                <w:bCs/>
                <w:color w:val="000000"/>
                <w:sz w:val="18"/>
                <w:szCs w:val="18"/>
                <w:lang w:eastAsia="en-AU"/>
              </w:rPr>
            </w:pPr>
            <w:r w:rsidRPr="00E03421">
              <w:rPr>
                <w:rFonts w:cs="Arial"/>
                <w:b/>
                <w:bCs/>
                <w:color w:val="000000"/>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b/>
                <w:bCs/>
                <w:color w:val="000000"/>
                <w:sz w:val="18"/>
                <w:szCs w:val="18"/>
                <w:lang w:eastAsia="en-AU"/>
              </w:rPr>
            </w:pPr>
            <w:r w:rsidRPr="00E03421">
              <w:rPr>
                <w:rFonts w:cs="Arial"/>
                <w:b/>
                <w:bCs/>
                <w:color w:val="000000"/>
                <w:sz w:val="18"/>
                <w:szCs w:val="18"/>
                <w:lang w:eastAsia="en-AU"/>
              </w:rPr>
              <w:t>-</w:t>
            </w:r>
          </w:p>
        </w:tc>
        <w:tc>
          <w:tcPr>
            <w:tcW w:w="1165" w:type="dxa"/>
            <w:tcBorders>
              <w:top w:val="nil"/>
              <w:left w:val="nil"/>
              <w:bottom w:val="nil"/>
              <w:right w:val="nil"/>
            </w:tcBorders>
            <w:shd w:val="clear" w:color="auto" w:fill="auto"/>
            <w:noWrap/>
            <w:hideMark/>
          </w:tcPr>
          <w:p w:rsidR="00977B84" w:rsidRPr="00E03421" w:rsidRDefault="00A12E2B" w:rsidP="00B43A2B">
            <w:pPr>
              <w:spacing w:before="0" w:after="0"/>
              <w:jc w:val="right"/>
              <w:rPr>
                <w:rFonts w:cs="Arial"/>
                <w:b/>
                <w:bCs/>
                <w:color w:val="000000"/>
                <w:sz w:val="18"/>
                <w:szCs w:val="18"/>
                <w:lang w:eastAsia="en-AU"/>
              </w:rPr>
            </w:pPr>
            <w:r w:rsidRPr="00E03421">
              <w:rPr>
                <w:rFonts w:cs="Arial"/>
                <w:b/>
                <w:bCs/>
                <w:color w:val="000000"/>
                <w:sz w:val="18"/>
                <w:szCs w:val="18"/>
                <w:lang w:eastAsia="en-AU"/>
              </w:rPr>
              <w:t>25</w:t>
            </w:r>
            <w:r w:rsidR="00904EBD" w:rsidRPr="00E03421">
              <w:rPr>
                <w:rFonts w:cs="Arial"/>
                <w:b/>
                <w:bCs/>
                <w:color w:val="000000"/>
                <w:sz w:val="18"/>
                <w:szCs w:val="18"/>
                <w:lang w:eastAsia="en-AU"/>
              </w:rPr>
              <w:t>,</w:t>
            </w:r>
            <w:r w:rsidR="00977B84" w:rsidRPr="00E03421">
              <w:rPr>
                <w:rFonts w:cs="Arial"/>
                <w:b/>
                <w:bCs/>
                <w:color w:val="000000"/>
                <w:sz w:val="18"/>
                <w:szCs w:val="18"/>
                <w:lang w:eastAsia="en-AU"/>
              </w:rPr>
              <w:t>380</w:t>
            </w:r>
          </w:p>
        </w:tc>
        <w:tc>
          <w:tcPr>
            <w:tcW w:w="1280"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b/>
                <w:bCs/>
                <w:color w:val="000000"/>
                <w:sz w:val="18"/>
                <w:szCs w:val="18"/>
                <w:lang w:eastAsia="en-AU"/>
              </w:rPr>
            </w:pPr>
          </w:p>
        </w:tc>
      </w:tr>
      <w:tr w:rsidR="00977B84" w:rsidRPr="00E03421" w:rsidTr="00952B87">
        <w:trPr>
          <w:trHeight w:val="240"/>
        </w:trPr>
        <w:tc>
          <w:tcPr>
            <w:tcW w:w="3402" w:type="dxa"/>
            <w:tcBorders>
              <w:top w:val="nil"/>
              <w:left w:val="nil"/>
              <w:bottom w:val="nil"/>
              <w:right w:val="nil"/>
            </w:tcBorders>
            <w:shd w:val="clear" w:color="auto" w:fill="auto"/>
            <w:hideMark/>
          </w:tcPr>
          <w:p w:rsidR="00977B84" w:rsidRPr="00E03421" w:rsidRDefault="00977B84" w:rsidP="00977B84">
            <w:pPr>
              <w:spacing w:before="0" w:after="0"/>
              <w:jc w:val="right"/>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165"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280"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r>
      <w:tr w:rsidR="00977B84" w:rsidRPr="00E03421" w:rsidTr="00952B87">
        <w:trPr>
          <w:trHeight w:val="240"/>
        </w:trPr>
        <w:tc>
          <w:tcPr>
            <w:tcW w:w="3402" w:type="dxa"/>
            <w:tcBorders>
              <w:top w:val="nil"/>
              <w:left w:val="nil"/>
              <w:bottom w:val="nil"/>
              <w:right w:val="nil"/>
            </w:tcBorders>
            <w:shd w:val="clear" w:color="auto" w:fill="auto"/>
            <w:hideMark/>
          </w:tcPr>
          <w:p w:rsidR="00977B84" w:rsidRPr="00E03421" w:rsidRDefault="00977B84" w:rsidP="00977B84">
            <w:pPr>
              <w:spacing w:before="0" w:after="0"/>
              <w:rPr>
                <w:rFonts w:cs="Arial"/>
                <w:color w:val="000000"/>
                <w:sz w:val="18"/>
                <w:szCs w:val="18"/>
                <w:u w:val="single"/>
                <w:lang w:eastAsia="en-AU"/>
              </w:rPr>
            </w:pPr>
            <w:r w:rsidRPr="00E03421">
              <w:rPr>
                <w:rFonts w:cs="Arial"/>
                <w:color w:val="000000"/>
                <w:sz w:val="18"/>
                <w:szCs w:val="18"/>
                <w:u w:val="single"/>
                <w:lang w:eastAsia="en-AU"/>
              </w:rPr>
              <w:t>Better Infrastructure Fund</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color w:val="000000"/>
                <w:sz w:val="18"/>
                <w:szCs w:val="18"/>
                <w:u w:val="single"/>
                <w:lang w:eastAsia="en-AU"/>
              </w:rPr>
            </w:pP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165"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280"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r>
      <w:tr w:rsidR="00977B84" w:rsidRPr="00E03421" w:rsidTr="00952B87">
        <w:trPr>
          <w:trHeight w:val="240"/>
        </w:trPr>
        <w:tc>
          <w:tcPr>
            <w:tcW w:w="3402" w:type="dxa"/>
            <w:tcBorders>
              <w:top w:val="nil"/>
              <w:left w:val="nil"/>
              <w:bottom w:val="nil"/>
              <w:right w:val="nil"/>
            </w:tcBorders>
            <w:shd w:val="clear" w:color="auto" w:fill="auto"/>
            <w:hideMark/>
          </w:tcPr>
          <w:p w:rsidR="00977B84" w:rsidRPr="00E03421" w:rsidRDefault="00524FA1" w:rsidP="00977B84">
            <w:pPr>
              <w:spacing w:before="0" w:after="0"/>
              <w:rPr>
                <w:rFonts w:cs="Arial"/>
                <w:color w:val="000000"/>
                <w:sz w:val="18"/>
                <w:szCs w:val="18"/>
                <w:lang w:eastAsia="en-AU"/>
              </w:rPr>
            </w:pPr>
            <w:r w:rsidRPr="00E03421">
              <w:rPr>
                <w:rFonts w:cs="Arial"/>
                <w:color w:val="000000"/>
                <w:sz w:val="18"/>
                <w:szCs w:val="18"/>
                <w:lang w:eastAsia="en-AU"/>
              </w:rPr>
              <w:t>Improving health facilities</w:t>
            </w:r>
            <w:r w:rsidR="00810A64" w:rsidRPr="00E03421">
              <w:rPr>
                <w:rFonts w:cs="Arial"/>
                <w:color w:val="000000"/>
                <w:sz w:val="18"/>
                <w:szCs w:val="18"/>
                <w:lang w:eastAsia="en-AU"/>
              </w:rPr>
              <w:t xml:space="preserve"> - Departmental</w:t>
            </w:r>
          </w:p>
        </w:tc>
        <w:tc>
          <w:tcPr>
            <w:tcW w:w="0" w:type="auto"/>
            <w:tcBorders>
              <w:top w:val="nil"/>
              <w:left w:val="nil"/>
              <w:bottom w:val="nil"/>
              <w:right w:val="nil"/>
            </w:tcBorders>
            <w:shd w:val="clear" w:color="auto" w:fill="auto"/>
            <w:noWrap/>
            <w:hideMark/>
          </w:tcPr>
          <w:p w:rsidR="00977B84" w:rsidRPr="00E03421" w:rsidRDefault="00BC4B21" w:rsidP="00904EBD">
            <w:pPr>
              <w:spacing w:before="0" w:after="0"/>
              <w:jc w:val="right"/>
              <w:rPr>
                <w:rFonts w:cs="Arial"/>
                <w:sz w:val="18"/>
                <w:szCs w:val="18"/>
                <w:lang w:eastAsia="en-AU"/>
              </w:rPr>
            </w:pPr>
            <w:r w:rsidRPr="00E03421">
              <w:rPr>
                <w:rFonts w:cs="Arial"/>
                <w:sz w:val="18"/>
                <w:szCs w:val="18"/>
                <w:lang w:eastAsia="en-AU"/>
              </w:rPr>
              <w:t xml:space="preserve">          3</w:t>
            </w:r>
            <w:r w:rsidR="00904EBD" w:rsidRPr="00E03421">
              <w:rPr>
                <w:rFonts w:cs="Arial"/>
                <w:sz w:val="18"/>
                <w:szCs w:val="18"/>
                <w:lang w:eastAsia="en-AU"/>
              </w:rPr>
              <w:t>,</w:t>
            </w:r>
            <w:r w:rsidR="00977B84" w:rsidRPr="00E03421">
              <w:rPr>
                <w:rFonts w:cs="Arial"/>
                <w:sz w:val="18"/>
                <w:szCs w:val="18"/>
                <w:lang w:eastAsia="en-AU"/>
              </w:rPr>
              <w:t xml:space="preserve">988 </w:t>
            </w:r>
          </w:p>
        </w:tc>
        <w:tc>
          <w:tcPr>
            <w:tcW w:w="0" w:type="auto"/>
            <w:tcBorders>
              <w:top w:val="nil"/>
              <w:left w:val="nil"/>
              <w:bottom w:val="nil"/>
              <w:right w:val="nil"/>
            </w:tcBorders>
            <w:shd w:val="clear" w:color="auto" w:fill="auto"/>
            <w:noWrap/>
            <w:hideMark/>
          </w:tcPr>
          <w:p w:rsidR="00977B84" w:rsidRPr="00E03421" w:rsidRDefault="00BC4B21" w:rsidP="00B43A2B">
            <w:pPr>
              <w:spacing w:before="0" w:after="0"/>
              <w:jc w:val="right"/>
              <w:rPr>
                <w:rFonts w:cs="Arial"/>
                <w:sz w:val="18"/>
                <w:szCs w:val="18"/>
                <w:lang w:eastAsia="en-AU"/>
              </w:rPr>
            </w:pPr>
            <w:r w:rsidRPr="00E03421">
              <w:rPr>
                <w:rFonts w:cs="Arial"/>
                <w:sz w:val="18"/>
                <w:szCs w:val="18"/>
                <w:lang w:eastAsia="en-AU"/>
              </w:rPr>
              <w:t xml:space="preserve">          </w:t>
            </w:r>
            <w:r w:rsidR="00904EBD" w:rsidRPr="00E03421">
              <w:rPr>
                <w:rFonts w:cs="Arial"/>
                <w:sz w:val="18"/>
                <w:szCs w:val="18"/>
                <w:lang w:eastAsia="en-AU"/>
              </w:rPr>
              <w:t>4,</w:t>
            </w:r>
            <w:r w:rsidR="00977B84" w:rsidRPr="00E03421">
              <w:rPr>
                <w:rFonts w:cs="Arial"/>
                <w:sz w:val="18"/>
                <w:szCs w:val="18"/>
                <w:lang w:eastAsia="en-AU"/>
              </w:rPr>
              <w:t xml:space="preserve">461 </w:t>
            </w:r>
          </w:p>
        </w:tc>
        <w:tc>
          <w:tcPr>
            <w:tcW w:w="0" w:type="auto"/>
            <w:tcBorders>
              <w:top w:val="nil"/>
              <w:left w:val="nil"/>
              <w:bottom w:val="nil"/>
              <w:right w:val="nil"/>
            </w:tcBorders>
            <w:shd w:val="clear" w:color="auto" w:fill="auto"/>
            <w:noWrap/>
            <w:hideMark/>
          </w:tcPr>
          <w:p w:rsidR="00977B84" w:rsidRPr="00E03421" w:rsidRDefault="00BC4B21" w:rsidP="00B43A2B">
            <w:pPr>
              <w:spacing w:before="0" w:after="0"/>
              <w:jc w:val="right"/>
              <w:rPr>
                <w:rFonts w:cs="Arial"/>
                <w:sz w:val="18"/>
                <w:szCs w:val="18"/>
                <w:lang w:eastAsia="en-AU"/>
              </w:rPr>
            </w:pPr>
            <w:r w:rsidRPr="00E03421">
              <w:rPr>
                <w:rFonts w:cs="Arial"/>
                <w:sz w:val="18"/>
                <w:szCs w:val="18"/>
                <w:lang w:eastAsia="en-AU"/>
              </w:rPr>
              <w:t xml:space="preserve">          </w:t>
            </w:r>
            <w:r w:rsidR="00904EBD" w:rsidRPr="00E03421">
              <w:rPr>
                <w:rFonts w:cs="Arial"/>
                <w:sz w:val="18"/>
                <w:szCs w:val="18"/>
                <w:lang w:eastAsia="en-AU"/>
              </w:rPr>
              <w:t>4,</w:t>
            </w:r>
            <w:r w:rsidR="00977B84" w:rsidRPr="00E03421">
              <w:rPr>
                <w:rFonts w:cs="Arial"/>
                <w:sz w:val="18"/>
                <w:szCs w:val="18"/>
                <w:lang w:eastAsia="en-AU"/>
              </w:rPr>
              <w:t xml:space="preserve">570 </w:t>
            </w:r>
          </w:p>
        </w:tc>
        <w:tc>
          <w:tcPr>
            <w:tcW w:w="0" w:type="auto"/>
            <w:tcBorders>
              <w:top w:val="nil"/>
              <w:left w:val="nil"/>
              <w:bottom w:val="nil"/>
              <w:right w:val="nil"/>
            </w:tcBorders>
            <w:shd w:val="clear" w:color="auto" w:fill="auto"/>
            <w:noWrap/>
            <w:hideMark/>
          </w:tcPr>
          <w:p w:rsidR="00977B84" w:rsidRPr="00E03421" w:rsidRDefault="00BC4B21" w:rsidP="00B43A2B">
            <w:pPr>
              <w:spacing w:before="0" w:after="0"/>
              <w:jc w:val="right"/>
              <w:rPr>
                <w:rFonts w:cs="Arial"/>
                <w:sz w:val="18"/>
                <w:szCs w:val="18"/>
                <w:lang w:eastAsia="en-AU"/>
              </w:rPr>
            </w:pPr>
            <w:r w:rsidRPr="00E03421">
              <w:rPr>
                <w:rFonts w:cs="Arial"/>
                <w:sz w:val="18"/>
                <w:szCs w:val="18"/>
                <w:lang w:eastAsia="en-AU"/>
              </w:rPr>
              <w:t xml:space="preserve">          </w:t>
            </w:r>
            <w:r w:rsidR="00904EBD" w:rsidRPr="00E03421">
              <w:rPr>
                <w:rFonts w:cs="Arial"/>
                <w:sz w:val="18"/>
                <w:szCs w:val="18"/>
                <w:lang w:eastAsia="en-AU"/>
              </w:rPr>
              <w:t>4,</w:t>
            </w:r>
            <w:r w:rsidR="00977B84" w:rsidRPr="00E03421">
              <w:rPr>
                <w:rFonts w:cs="Arial"/>
                <w:sz w:val="18"/>
                <w:szCs w:val="18"/>
                <w:lang w:eastAsia="en-AU"/>
              </w:rPr>
              <w:t xml:space="preserve">661 </w:t>
            </w:r>
          </w:p>
        </w:tc>
        <w:tc>
          <w:tcPr>
            <w:tcW w:w="0" w:type="auto"/>
            <w:tcBorders>
              <w:top w:val="nil"/>
              <w:left w:val="nil"/>
              <w:bottom w:val="nil"/>
              <w:right w:val="nil"/>
            </w:tcBorders>
            <w:shd w:val="clear" w:color="auto" w:fill="auto"/>
            <w:noWrap/>
            <w:hideMark/>
          </w:tcPr>
          <w:p w:rsidR="00977B84" w:rsidRPr="00E03421" w:rsidRDefault="00BC4B21" w:rsidP="00B43A2B">
            <w:pPr>
              <w:spacing w:before="0" w:after="0"/>
              <w:jc w:val="right"/>
              <w:rPr>
                <w:rFonts w:cs="Arial"/>
                <w:sz w:val="18"/>
                <w:szCs w:val="18"/>
                <w:lang w:eastAsia="en-AU"/>
              </w:rPr>
            </w:pPr>
            <w:r w:rsidRPr="00E03421">
              <w:rPr>
                <w:rFonts w:cs="Arial"/>
                <w:sz w:val="18"/>
                <w:szCs w:val="18"/>
                <w:lang w:eastAsia="en-AU"/>
              </w:rPr>
              <w:t xml:space="preserve">           </w:t>
            </w:r>
            <w:r w:rsidR="00904EBD" w:rsidRPr="00E03421">
              <w:rPr>
                <w:rFonts w:cs="Arial"/>
                <w:sz w:val="18"/>
                <w:szCs w:val="18"/>
                <w:lang w:eastAsia="en-AU"/>
              </w:rPr>
              <w:t>17,</w:t>
            </w:r>
            <w:r w:rsidR="00977B84" w:rsidRPr="00E03421">
              <w:rPr>
                <w:rFonts w:cs="Arial"/>
                <w:sz w:val="18"/>
                <w:szCs w:val="18"/>
                <w:lang w:eastAsia="en-AU"/>
              </w:rPr>
              <w:t xml:space="preserve">680 </w:t>
            </w:r>
          </w:p>
        </w:tc>
        <w:tc>
          <w:tcPr>
            <w:tcW w:w="1280"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sz w:val="18"/>
                <w:szCs w:val="18"/>
                <w:lang w:eastAsia="en-AU"/>
              </w:rPr>
            </w:pPr>
          </w:p>
        </w:tc>
      </w:tr>
      <w:tr w:rsidR="00977B84" w:rsidRPr="00E03421" w:rsidTr="00952B87">
        <w:trPr>
          <w:trHeight w:val="240"/>
        </w:trPr>
        <w:tc>
          <w:tcPr>
            <w:tcW w:w="3402" w:type="dxa"/>
            <w:tcBorders>
              <w:top w:val="nil"/>
              <w:left w:val="nil"/>
              <w:bottom w:val="nil"/>
              <w:right w:val="nil"/>
            </w:tcBorders>
            <w:shd w:val="clear" w:color="auto" w:fill="auto"/>
            <w:hideMark/>
          </w:tcPr>
          <w:p w:rsidR="00977B84" w:rsidRPr="00E03421" w:rsidRDefault="00524FA1" w:rsidP="00977B84">
            <w:pPr>
              <w:spacing w:before="0" w:after="0"/>
              <w:rPr>
                <w:rFonts w:cs="Arial"/>
                <w:color w:val="000000"/>
                <w:sz w:val="18"/>
                <w:szCs w:val="18"/>
                <w:lang w:eastAsia="en-AU"/>
              </w:rPr>
            </w:pPr>
            <w:r w:rsidRPr="00E03421">
              <w:rPr>
                <w:rFonts w:cs="Arial"/>
                <w:color w:val="000000"/>
                <w:sz w:val="18"/>
                <w:szCs w:val="18"/>
                <w:lang w:eastAsia="en-AU"/>
              </w:rPr>
              <w:t xml:space="preserve">Improving health facilities </w:t>
            </w:r>
            <w:r w:rsidR="00977B84" w:rsidRPr="00E03421">
              <w:rPr>
                <w:rFonts w:cs="Arial"/>
                <w:color w:val="000000"/>
                <w:sz w:val="18"/>
                <w:szCs w:val="18"/>
                <w:lang w:eastAsia="en-AU"/>
              </w:rPr>
              <w:t>- Territorial</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color w:val="000000"/>
                <w:sz w:val="18"/>
                <w:szCs w:val="18"/>
                <w:lang w:eastAsia="en-AU"/>
              </w:rPr>
            </w:pPr>
            <w:r w:rsidRPr="00E03421">
              <w:rPr>
                <w:rFonts w:cs="Arial"/>
                <w:color w:val="000000"/>
                <w:sz w:val="18"/>
                <w:szCs w:val="18"/>
                <w:lang w:eastAsia="en-AU"/>
              </w:rPr>
              <w:t xml:space="preserve">             865 </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color w:val="000000"/>
                <w:sz w:val="18"/>
                <w:szCs w:val="18"/>
                <w:lang w:eastAsia="en-AU"/>
              </w:rPr>
            </w:pPr>
            <w:r w:rsidRPr="00E03421">
              <w:rPr>
                <w:rFonts w:cs="Arial"/>
                <w:color w:val="000000"/>
                <w:sz w:val="18"/>
                <w:szCs w:val="18"/>
                <w:lang w:eastAsia="en-AU"/>
              </w:rPr>
              <w:t xml:space="preserve">             887 </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color w:val="000000"/>
                <w:sz w:val="18"/>
                <w:szCs w:val="18"/>
                <w:lang w:eastAsia="en-AU"/>
              </w:rPr>
            </w:pPr>
            <w:r w:rsidRPr="00E03421">
              <w:rPr>
                <w:rFonts w:cs="Arial"/>
                <w:color w:val="000000"/>
                <w:sz w:val="18"/>
                <w:szCs w:val="18"/>
                <w:lang w:eastAsia="en-AU"/>
              </w:rPr>
              <w:t xml:space="preserve">             909 </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color w:val="000000"/>
                <w:sz w:val="18"/>
                <w:szCs w:val="18"/>
                <w:lang w:eastAsia="en-AU"/>
              </w:rPr>
            </w:pPr>
            <w:r w:rsidRPr="00E03421">
              <w:rPr>
                <w:rFonts w:cs="Arial"/>
                <w:color w:val="000000"/>
                <w:sz w:val="18"/>
                <w:szCs w:val="18"/>
                <w:lang w:eastAsia="en-AU"/>
              </w:rPr>
              <w:t xml:space="preserve">             932 </w:t>
            </w:r>
          </w:p>
        </w:tc>
        <w:tc>
          <w:tcPr>
            <w:tcW w:w="1165" w:type="dxa"/>
            <w:tcBorders>
              <w:top w:val="nil"/>
              <w:left w:val="nil"/>
              <w:bottom w:val="nil"/>
              <w:right w:val="nil"/>
            </w:tcBorders>
            <w:shd w:val="clear" w:color="auto" w:fill="auto"/>
            <w:noWrap/>
            <w:hideMark/>
          </w:tcPr>
          <w:p w:rsidR="00977B84" w:rsidRPr="00E03421" w:rsidRDefault="00BC4B21" w:rsidP="00B43A2B">
            <w:pPr>
              <w:spacing w:before="0" w:after="0"/>
              <w:jc w:val="right"/>
              <w:rPr>
                <w:rFonts w:cs="Arial"/>
                <w:color w:val="000000"/>
                <w:sz w:val="18"/>
                <w:szCs w:val="18"/>
                <w:lang w:eastAsia="en-AU"/>
              </w:rPr>
            </w:pPr>
            <w:r w:rsidRPr="00E03421">
              <w:rPr>
                <w:rFonts w:cs="Arial"/>
                <w:color w:val="000000"/>
                <w:sz w:val="18"/>
                <w:szCs w:val="18"/>
                <w:lang w:eastAsia="en-AU"/>
              </w:rPr>
              <w:t xml:space="preserve">             3 </w:t>
            </w:r>
            <w:r w:rsidR="00977B84" w:rsidRPr="00E03421">
              <w:rPr>
                <w:rFonts w:cs="Arial"/>
                <w:color w:val="000000"/>
                <w:sz w:val="18"/>
                <w:szCs w:val="18"/>
                <w:lang w:eastAsia="en-AU"/>
              </w:rPr>
              <w:t xml:space="preserve">593 </w:t>
            </w:r>
          </w:p>
        </w:tc>
        <w:tc>
          <w:tcPr>
            <w:tcW w:w="1280"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color w:val="000000"/>
                <w:sz w:val="18"/>
                <w:szCs w:val="18"/>
                <w:lang w:eastAsia="en-AU"/>
              </w:rPr>
            </w:pPr>
          </w:p>
        </w:tc>
      </w:tr>
      <w:tr w:rsidR="00977B84" w:rsidRPr="00E03421" w:rsidTr="00904EBD">
        <w:trPr>
          <w:trHeight w:val="207"/>
        </w:trPr>
        <w:tc>
          <w:tcPr>
            <w:tcW w:w="3402" w:type="dxa"/>
            <w:tcBorders>
              <w:top w:val="nil"/>
              <w:left w:val="nil"/>
              <w:bottom w:val="nil"/>
              <w:right w:val="nil"/>
            </w:tcBorders>
            <w:shd w:val="clear" w:color="auto" w:fill="auto"/>
            <w:hideMark/>
          </w:tcPr>
          <w:p w:rsidR="00977B84" w:rsidRPr="00E03421" w:rsidRDefault="00977B84" w:rsidP="00977B84">
            <w:pPr>
              <w:spacing w:before="0" w:after="0"/>
              <w:rPr>
                <w:rFonts w:cs="Arial"/>
                <w:b/>
                <w:bCs/>
                <w:color w:val="000000"/>
                <w:sz w:val="18"/>
                <w:szCs w:val="18"/>
                <w:lang w:eastAsia="en-AU"/>
              </w:rPr>
            </w:pPr>
            <w:r w:rsidRPr="00E03421">
              <w:rPr>
                <w:rFonts w:cs="Arial"/>
                <w:b/>
                <w:bCs/>
                <w:color w:val="000000"/>
                <w:sz w:val="18"/>
                <w:szCs w:val="18"/>
                <w:lang w:eastAsia="en-AU"/>
              </w:rPr>
              <w:t>Total</w:t>
            </w:r>
          </w:p>
        </w:tc>
        <w:tc>
          <w:tcPr>
            <w:tcW w:w="1033" w:type="dxa"/>
            <w:tcBorders>
              <w:top w:val="nil"/>
              <w:left w:val="nil"/>
              <w:bottom w:val="nil"/>
              <w:right w:val="nil"/>
            </w:tcBorders>
            <w:shd w:val="clear" w:color="auto" w:fill="auto"/>
            <w:noWrap/>
            <w:hideMark/>
          </w:tcPr>
          <w:p w:rsidR="00977B84" w:rsidRPr="00E03421" w:rsidRDefault="00BC4B21" w:rsidP="00904EBD">
            <w:pPr>
              <w:spacing w:before="0" w:after="0"/>
              <w:jc w:val="right"/>
              <w:rPr>
                <w:rFonts w:cs="Arial"/>
                <w:b/>
                <w:bCs/>
                <w:color w:val="000000"/>
                <w:sz w:val="18"/>
                <w:szCs w:val="18"/>
                <w:lang w:eastAsia="en-AU"/>
              </w:rPr>
            </w:pPr>
            <w:r w:rsidRPr="00E03421">
              <w:rPr>
                <w:rFonts w:cs="Arial"/>
                <w:b/>
                <w:bCs/>
                <w:color w:val="000000"/>
                <w:sz w:val="18"/>
                <w:szCs w:val="18"/>
                <w:lang w:eastAsia="en-AU"/>
              </w:rPr>
              <w:t xml:space="preserve">         4</w:t>
            </w:r>
            <w:r w:rsidR="00904EBD" w:rsidRPr="00E03421">
              <w:rPr>
                <w:rFonts w:cs="Arial"/>
                <w:b/>
                <w:bCs/>
                <w:color w:val="000000"/>
                <w:sz w:val="18"/>
                <w:szCs w:val="18"/>
                <w:lang w:eastAsia="en-AU"/>
              </w:rPr>
              <w:t>,</w:t>
            </w:r>
            <w:r w:rsidR="00977B84" w:rsidRPr="00E03421">
              <w:rPr>
                <w:rFonts w:cs="Arial"/>
                <w:b/>
                <w:bCs/>
                <w:color w:val="000000"/>
                <w:sz w:val="18"/>
                <w:szCs w:val="18"/>
                <w:lang w:eastAsia="en-AU"/>
              </w:rPr>
              <w:t xml:space="preserve">853 </w:t>
            </w:r>
          </w:p>
        </w:tc>
        <w:tc>
          <w:tcPr>
            <w:tcW w:w="1033" w:type="dxa"/>
            <w:tcBorders>
              <w:top w:val="nil"/>
              <w:left w:val="nil"/>
              <w:bottom w:val="nil"/>
              <w:right w:val="nil"/>
            </w:tcBorders>
            <w:shd w:val="clear" w:color="auto" w:fill="auto"/>
            <w:noWrap/>
            <w:hideMark/>
          </w:tcPr>
          <w:p w:rsidR="00977B84" w:rsidRPr="00E03421" w:rsidRDefault="00BC4B21" w:rsidP="00B43A2B">
            <w:pPr>
              <w:spacing w:before="0" w:after="0"/>
              <w:jc w:val="right"/>
              <w:rPr>
                <w:rFonts w:cs="Arial"/>
                <w:b/>
                <w:bCs/>
                <w:color w:val="000000"/>
                <w:sz w:val="18"/>
                <w:szCs w:val="18"/>
                <w:lang w:eastAsia="en-AU"/>
              </w:rPr>
            </w:pPr>
            <w:r w:rsidRPr="00E03421">
              <w:rPr>
                <w:rFonts w:cs="Arial"/>
                <w:b/>
                <w:bCs/>
                <w:color w:val="000000"/>
                <w:sz w:val="18"/>
                <w:szCs w:val="18"/>
                <w:lang w:eastAsia="en-AU"/>
              </w:rPr>
              <w:t xml:space="preserve">         </w:t>
            </w:r>
            <w:r w:rsidR="00904EBD" w:rsidRPr="00E03421">
              <w:rPr>
                <w:rFonts w:cs="Arial"/>
                <w:b/>
                <w:bCs/>
                <w:color w:val="000000"/>
                <w:sz w:val="18"/>
                <w:szCs w:val="18"/>
                <w:lang w:eastAsia="en-AU"/>
              </w:rPr>
              <w:t>5,</w:t>
            </w:r>
            <w:r w:rsidR="00977B84" w:rsidRPr="00E03421">
              <w:rPr>
                <w:rFonts w:cs="Arial"/>
                <w:b/>
                <w:bCs/>
                <w:color w:val="000000"/>
                <w:sz w:val="18"/>
                <w:szCs w:val="18"/>
                <w:lang w:eastAsia="en-AU"/>
              </w:rPr>
              <w:t xml:space="preserve">348 </w:t>
            </w:r>
          </w:p>
        </w:tc>
        <w:tc>
          <w:tcPr>
            <w:tcW w:w="1033" w:type="dxa"/>
            <w:tcBorders>
              <w:top w:val="nil"/>
              <w:left w:val="nil"/>
              <w:bottom w:val="nil"/>
              <w:right w:val="nil"/>
            </w:tcBorders>
            <w:shd w:val="clear" w:color="auto" w:fill="auto"/>
            <w:noWrap/>
            <w:hideMark/>
          </w:tcPr>
          <w:p w:rsidR="00977B84" w:rsidRPr="00E03421" w:rsidRDefault="00BC4B21" w:rsidP="00904EBD">
            <w:pPr>
              <w:spacing w:before="0" w:after="0"/>
              <w:jc w:val="right"/>
              <w:rPr>
                <w:rFonts w:cs="Arial"/>
                <w:b/>
                <w:bCs/>
                <w:color w:val="000000"/>
                <w:sz w:val="18"/>
                <w:szCs w:val="18"/>
                <w:lang w:eastAsia="en-AU"/>
              </w:rPr>
            </w:pPr>
            <w:r w:rsidRPr="00E03421">
              <w:rPr>
                <w:rFonts w:cs="Arial"/>
                <w:b/>
                <w:bCs/>
                <w:color w:val="000000"/>
                <w:sz w:val="18"/>
                <w:szCs w:val="18"/>
                <w:lang w:eastAsia="en-AU"/>
              </w:rPr>
              <w:t xml:space="preserve">         5</w:t>
            </w:r>
            <w:r w:rsidR="00904EBD" w:rsidRPr="00E03421">
              <w:rPr>
                <w:rFonts w:cs="Arial"/>
                <w:b/>
                <w:bCs/>
                <w:color w:val="000000"/>
                <w:sz w:val="18"/>
                <w:szCs w:val="18"/>
                <w:lang w:eastAsia="en-AU"/>
              </w:rPr>
              <w:t>,</w:t>
            </w:r>
            <w:r w:rsidR="00977B84" w:rsidRPr="00E03421">
              <w:rPr>
                <w:rFonts w:cs="Arial"/>
                <w:b/>
                <w:bCs/>
                <w:color w:val="000000"/>
                <w:sz w:val="18"/>
                <w:szCs w:val="18"/>
                <w:lang w:eastAsia="en-AU"/>
              </w:rPr>
              <w:t xml:space="preserve">479 </w:t>
            </w:r>
          </w:p>
        </w:tc>
        <w:tc>
          <w:tcPr>
            <w:tcW w:w="1033" w:type="dxa"/>
            <w:tcBorders>
              <w:top w:val="nil"/>
              <w:left w:val="nil"/>
              <w:bottom w:val="nil"/>
              <w:right w:val="nil"/>
            </w:tcBorders>
            <w:shd w:val="clear" w:color="auto" w:fill="auto"/>
            <w:noWrap/>
            <w:hideMark/>
          </w:tcPr>
          <w:p w:rsidR="00977B84" w:rsidRPr="00E03421" w:rsidRDefault="00BC4B21" w:rsidP="00B43A2B">
            <w:pPr>
              <w:spacing w:before="0" w:after="0"/>
              <w:jc w:val="right"/>
              <w:rPr>
                <w:rFonts w:cs="Arial"/>
                <w:b/>
                <w:bCs/>
                <w:color w:val="000000"/>
                <w:sz w:val="18"/>
                <w:szCs w:val="18"/>
                <w:lang w:eastAsia="en-AU"/>
              </w:rPr>
            </w:pPr>
            <w:r w:rsidRPr="00E03421">
              <w:rPr>
                <w:rFonts w:cs="Arial"/>
                <w:b/>
                <w:bCs/>
                <w:color w:val="000000"/>
                <w:sz w:val="18"/>
                <w:szCs w:val="18"/>
                <w:lang w:eastAsia="en-AU"/>
              </w:rPr>
              <w:t xml:space="preserve">         </w:t>
            </w:r>
            <w:r w:rsidR="00904EBD" w:rsidRPr="00E03421">
              <w:rPr>
                <w:rFonts w:cs="Arial"/>
                <w:b/>
                <w:bCs/>
                <w:color w:val="000000"/>
                <w:sz w:val="18"/>
                <w:szCs w:val="18"/>
                <w:lang w:eastAsia="en-AU"/>
              </w:rPr>
              <w:t>5,</w:t>
            </w:r>
            <w:r w:rsidR="00977B84" w:rsidRPr="00E03421">
              <w:rPr>
                <w:rFonts w:cs="Arial"/>
                <w:b/>
                <w:bCs/>
                <w:color w:val="000000"/>
                <w:sz w:val="18"/>
                <w:szCs w:val="18"/>
                <w:lang w:eastAsia="en-AU"/>
              </w:rPr>
              <w:t xml:space="preserve">593 </w:t>
            </w:r>
          </w:p>
        </w:tc>
        <w:tc>
          <w:tcPr>
            <w:tcW w:w="1165" w:type="dxa"/>
            <w:tcBorders>
              <w:top w:val="nil"/>
              <w:left w:val="nil"/>
              <w:bottom w:val="nil"/>
              <w:right w:val="nil"/>
            </w:tcBorders>
            <w:shd w:val="clear" w:color="auto" w:fill="auto"/>
            <w:noWrap/>
            <w:hideMark/>
          </w:tcPr>
          <w:p w:rsidR="00977B84" w:rsidRPr="00E03421" w:rsidRDefault="00BC4B21" w:rsidP="00B43A2B">
            <w:pPr>
              <w:spacing w:before="0" w:after="0"/>
              <w:jc w:val="right"/>
              <w:rPr>
                <w:rFonts w:cs="Arial"/>
                <w:b/>
                <w:bCs/>
                <w:color w:val="000000"/>
                <w:sz w:val="18"/>
                <w:szCs w:val="18"/>
                <w:lang w:eastAsia="en-AU"/>
              </w:rPr>
            </w:pPr>
            <w:r w:rsidRPr="00E03421">
              <w:rPr>
                <w:rFonts w:cs="Arial"/>
                <w:b/>
                <w:bCs/>
                <w:color w:val="000000"/>
                <w:sz w:val="18"/>
                <w:szCs w:val="18"/>
                <w:lang w:eastAsia="en-AU"/>
              </w:rPr>
              <w:t xml:space="preserve">          </w:t>
            </w:r>
            <w:r w:rsidR="00904EBD" w:rsidRPr="00E03421">
              <w:rPr>
                <w:rFonts w:cs="Arial"/>
                <w:b/>
                <w:bCs/>
                <w:color w:val="000000"/>
                <w:sz w:val="18"/>
                <w:szCs w:val="18"/>
                <w:lang w:eastAsia="en-AU"/>
              </w:rPr>
              <w:t>21,</w:t>
            </w:r>
            <w:r w:rsidR="00977B84" w:rsidRPr="00E03421">
              <w:rPr>
                <w:rFonts w:cs="Arial"/>
                <w:b/>
                <w:bCs/>
                <w:color w:val="000000"/>
                <w:sz w:val="18"/>
                <w:szCs w:val="18"/>
                <w:lang w:eastAsia="en-AU"/>
              </w:rPr>
              <w:t xml:space="preserve">273 </w:t>
            </w:r>
          </w:p>
        </w:tc>
        <w:tc>
          <w:tcPr>
            <w:tcW w:w="1280"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b/>
                <w:bCs/>
                <w:color w:val="000000"/>
                <w:sz w:val="18"/>
                <w:szCs w:val="18"/>
                <w:lang w:eastAsia="en-AU"/>
              </w:rPr>
            </w:pPr>
          </w:p>
        </w:tc>
      </w:tr>
      <w:tr w:rsidR="00977B84" w:rsidRPr="00E03421" w:rsidTr="00952B87">
        <w:trPr>
          <w:trHeight w:val="240"/>
        </w:trPr>
        <w:tc>
          <w:tcPr>
            <w:tcW w:w="3402" w:type="dxa"/>
            <w:tcBorders>
              <w:top w:val="nil"/>
              <w:left w:val="nil"/>
              <w:bottom w:val="nil"/>
              <w:right w:val="nil"/>
            </w:tcBorders>
            <w:shd w:val="clear" w:color="auto" w:fill="auto"/>
            <w:hideMark/>
          </w:tcPr>
          <w:p w:rsidR="00977B84" w:rsidRPr="00E03421" w:rsidRDefault="00977B84" w:rsidP="00977B84">
            <w:pPr>
              <w:spacing w:before="0" w:after="0"/>
              <w:jc w:val="right"/>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165"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280"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r>
      <w:tr w:rsidR="00977B84" w:rsidRPr="00E03421" w:rsidTr="00952B87">
        <w:trPr>
          <w:trHeight w:val="240"/>
        </w:trPr>
        <w:tc>
          <w:tcPr>
            <w:tcW w:w="3402" w:type="dxa"/>
            <w:tcBorders>
              <w:top w:val="nil"/>
              <w:left w:val="nil"/>
              <w:bottom w:val="nil"/>
              <w:right w:val="nil"/>
            </w:tcBorders>
            <w:shd w:val="clear" w:color="auto" w:fill="auto"/>
            <w:hideMark/>
          </w:tcPr>
          <w:p w:rsidR="00977B84" w:rsidRPr="00E03421" w:rsidRDefault="00977B84" w:rsidP="00977B84">
            <w:pPr>
              <w:spacing w:before="0" w:after="0"/>
              <w:rPr>
                <w:rFonts w:cs="Arial"/>
                <w:b/>
                <w:bCs/>
                <w:color w:val="000000"/>
                <w:sz w:val="18"/>
                <w:szCs w:val="18"/>
                <w:lang w:eastAsia="en-AU"/>
              </w:rPr>
            </w:pPr>
            <w:r w:rsidRPr="00E03421">
              <w:rPr>
                <w:rFonts w:cs="Arial"/>
                <w:b/>
                <w:bCs/>
                <w:color w:val="000000"/>
                <w:sz w:val="18"/>
                <w:szCs w:val="18"/>
                <w:lang w:eastAsia="en-AU"/>
              </w:rPr>
              <w:t>Work In Progress</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b/>
                <w:bCs/>
                <w:color w:val="000000"/>
                <w:sz w:val="18"/>
                <w:szCs w:val="18"/>
                <w:lang w:eastAsia="en-AU"/>
              </w:rPr>
            </w:pP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165"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c>
          <w:tcPr>
            <w:tcW w:w="1280"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ascii="Times New Roman" w:hAnsi="Times New Roman"/>
                <w:sz w:val="20"/>
                <w:lang w:eastAsia="en-AU"/>
              </w:rPr>
            </w:pPr>
          </w:p>
        </w:tc>
      </w:tr>
      <w:tr w:rsidR="00977B84" w:rsidRPr="00E03421" w:rsidTr="00952B87">
        <w:trPr>
          <w:trHeight w:hRule="exact" w:val="238"/>
        </w:trPr>
        <w:tc>
          <w:tcPr>
            <w:tcW w:w="3402" w:type="dxa"/>
            <w:tcBorders>
              <w:top w:val="nil"/>
              <w:left w:val="nil"/>
              <w:bottom w:val="nil"/>
              <w:right w:val="nil"/>
            </w:tcBorders>
            <w:shd w:val="clear" w:color="auto" w:fill="auto"/>
            <w:hideMark/>
          </w:tcPr>
          <w:p w:rsidR="00977B84" w:rsidRPr="00E03421" w:rsidRDefault="00760588" w:rsidP="00977B84">
            <w:pPr>
              <w:spacing w:before="0" w:after="0"/>
              <w:rPr>
                <w:rFonts w:cs="Arial"/>
                <w:color w:val="000000"/>
                <w:sz w:val="18"/>
                <w:szCs w:val="18"/>
                <w:lang w:eastAsia="en-AU"/>
              </w:rPr>
            </w:pPr>
            <w:r w:rsidRPr="00E03421">
              <w:rPr>
                <w:rFonts w:cs="Arial"/>
                <w:color w:val="000000"/>
                <w:sz w:val="18"/>
                <w:szCs w:val="18"/>
                <w:lang w:eastAsia="en-AU"/>
              </w:rPr>
              <w:t>Ngunnawal Bush Healing Farm</w:t>
            </w:r>
          </w:p>
        </w:tc>
        <w:tc>
          <w:tcPr>
            <w:tcW w:w="1033" w:type="dxa"/>
            <w:tcBorders>
              <w:top w:val="nil"/>
              <w:left w:val="nil"/>
              <w:bottom w:val="nil"/>
              <w:right w:val="nil"/>
            </w:tcBorders>
            <w:shd w:val="clear" w:color="auto" w:fill="auto"/>
            <w:noWrap/>
            <w:hideMark/>
          </w:tcPr>
          <w:p w:rsidR="00977B84" w:rsidRPr="00E03421" w:rsidRDefault="00BC4B21" w:rsidP="00B43A2B">
            <w:pPr>
              <w:spacing w:before="0" w:after="0"/>
              <w:jc w:val="right"/>
              <w:rPr>
                <w:rFonts w:cs="Arial"/>
                <w:color w:val="000000"/>
                <w:sz w:val="18"/>
                <w:szCs w:val="18"/>
                <w:lang w:eastAsia="en-AU"/>
              </w:rPr>
            </w:pPr>
            <w:r w:rsidRPr="00E03421">
              <w:rPr>
                <w:rFonts w:cs="Arial"/>
                <w:color w:val="000000"/>
                <w:sz w:val="18"/>
                <w:szCs w:val="18"/>
                <w:lang w:eastAsia="en-AU"/>
              </w:rPr>
              <w:t>1</w:t>
            </w:r>
            <w:r w:rsidR="00904EBD" w:rsidRPr="00E03421">
              <w:rPr>
                <w:rFonts w:cs="Arial"/>
                <w:color w:val="000000"/>
                <w:sz w:val="18"/>
                <w:szCs w:val="18"/>
                <w:lang w:eastAsia="en-AU"/>
              </w:rPr>
              <w:t>,</w:t>
            </w:r>
            <w:r w:rsidR="00977B84" w:rsidRPr="00E03421">
              <w:rPr>
                <w:rFonts w:cs="Arial"/>
                <w:color w:val="000000"/>
                <w:sz w:val="18"/>
                <w:szCs w:val="18"/>
                <w:lang w:eastAsia="en-AU"/>
              </w:rPr>
              <w:t>675</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977B84" w:rsidP="00B43A2B">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165" w:type="dxa"/>
            <w:tcBorders>
              <w:top w:val="nil"/>
              <w:left w:val="nil"/>
              <w:bottom w:val="nil"/>
              <w:right w:val="nil"/>
            </w:tcBorders>
            <w:shd w:val="clear" w:color="auto" w:fill="auto"/>
            <w:noWrap/>
            <w:hideMark/>
          </w:tcPr>
          <w:p w:rsidR="00977B84" w:rsidRPr="00E03421" w:rsidRDefault="00BC4B21" w:rsidP="00B43A2B">
            <w:pPr>
              <w:spacing w:before="0" w:after="0"/>
              <w:jc w:val="right"/>
              <w:rPr>
                <w:rFonts w:cs="Arial"/>
                <w:color w:val="000000"/>
                <w:sz w:val="18"/>
                <w:szCs w:val="18"/>
                <w:lang w:eastAsia="en-AU"/>
              </w:rPr>
            </w:pPr>
            <w:r w:rsidRPr="00E03421">
              <w:rPr>
                <w:rFonts w:cs="Arial"/>
                <w:color w:val="000000"/>
                <w:sz w:val="18"/>
                <w:szCs w:val="18"/>
                <w:lang w:eastAsia="en-AU"/>
              </w:rPr>
              <w:t>1</w:t>
            </w:r>
            <w:r w:rsidR="00904EBD" w:rsidRPr="00E03421">
              <w:rPr>
                <w:rFonts w:cs="Arial"/>
                <w:color w:val="000000"/>
                <w:sz w:val="18"/>
                <w:szCs w:val="18"/>
                <w:lang w:eastAsia="en-AU"/>
              </w:rPr>
              <w:t>,</w:t>
            </w:r>
            <w:r w:rsidR="00977B84" w:rsidRPr="00E03421">
              <w:rPr>
                <w:rFonts w:cs="Arial"/>
                <w:color w:val="000000"/>
                <w:sz w:val="18"/>
                <w:szCs w:val="18"/>
                <w:lang w:eastAsia="en-AU"/>
              </w:rPr>
              <w:t>675</w:t>
            </w:r>
          </w:p>
        </w:tc>
        <w:tc>
          <w:tcPr>
            <w:tcW w:w="1280" w:type="dxa"/>
            <w:tcBorders>
              <w:top w:val="nil"/>
              <w:left w:val="nil"/>
              <w:bottom w:val="nil"/>
              <w:right w:val="nil"/>
            </w:tcBorders>
            <w:shd w:val="clear" w:color="auto" w:fill="auto"/>
            <w:noWrap/>
            <w:hideMark/>
          </w:tcPr>
          <w:p w:rsidR="00977B84" w:rsidRPr="00E03421" w:rsidRDefault="00660ABC" w:rsidP="00B43A2B">
            <w:pPr>
              <w:spacing w:before="0" w:after="0"/>
              <w:jc w:val="right"/>
              <w:rPr>
                <w:rFonts w:cs="Arial"/>
                <w:color w:val="000000"/>
                <w:sz w:val="18"/>
                <w:szCs w:val="18"/>
                <w:lang w:eastAsia="en-AU"/>
              </w:rPr>
            </w:pPr>
            <w:r w:rsidRPr="00E03421">
              <w:rPr>
                <w:rFonts w:cs="Arial"/>
                <w:color w:val="000000"/>
                <w:sz w:val="18"/>
                <w:szCs w:val="18"/>
                <w:lang w:eastAsia="en-AU"/>
              </w:rPr>
              <w:t>Dec-16</w:t>
            </w:r>
          </w:p>
        </w:tc>
      </w:tr>
      <w:tr w:rsidR="00977B84" w:rsidRPr="00E03421" w:rsidTr="00952B87">
        <w:trPr>
          <w:trHeight w:val="480"/>
        </w:trPr>
        <w:tc>
          <w:tcPr>
            <w:tcW w:w="3402" w:type="dxa"/>
            <w:tcBorders>
              <w:top w:val="nil"/>
              <w:left w:val="nil"/>
              <w:bottom w:val="nil"/>
              <w:right w:val="nil"/>
            </w:tcBorders>
            <w:shd w:val="clear" w:color="auto" w:fill="auto"/>
            <w:hideMark/>
          </w:tcPr>
          <w:p w:rsidR="00977B84" w:rsidRPr="00E03421" w:rsidRDefault="00977B84" w:rsidP="00977B84">
            <w:pPr>
              <w:spacing w:before="0" w:after="0"/>
              <w:rPr>
                <w:rFonts w:cs="Arial"/>
                <w:color w:val="000000"/>
                <w:sz w:val="18"/>
                <w:szCs w:val="18"/>
                <w:lang w:eastAsia="en-AU"/>
              </w:rPr>
            </w:pPr>
            <w:r w:rsidRPr="00E03421">
              <w:rPr>
                <w:rFonts w:cs="Arial"/>
                <w:color w:val="000000"/>
                <w:sz w:val="18"/>
                <w:szCs w:val="18"/>
                <w:lang w:eastAsia="en-AU"/>
              </w:rPr>
              <w:t>Improved infrastructure for acute aged care and cancer inpatients</w:t>
            </w:r>
          </w:p>
        </w:tc>
        <w:tc>
          <w:tcPr>
            <w:tcW w:w="1033" w:type="dxa"/>
            <w:tcBorders>
              <w:top w:val="nil"/>
              <w:left w:val="nil"/>
              <w:bottom w:val="nil"/>
              <w:right w:val="nil"/>
            </w:tcBorders>
            <w:shd w:val="clear" w:color="auto" w:fill="auto"/>
            <w:noWrap/>
            <w:hideMark/>
          </w:tcPr>
          <w:p w:rsidR="00977B84" w:rsidRPr="00E03421" w:rsidRDefault="00BC4B21" w:rsidP="00810A64">
            <w:pPr>
              <w:spacing w:before="0" w:after="0"/>
              <w:jc w:val="right"/>
              <w:rPr>
                <w:rFonts w:cs="Arial"/>
                <w:color w:val="000000"/>
                <w:sz w:val="18"/>
                <w:szCs w:val="18"/>
                <w:lang w:eastAsia="en-AU"/>
              </w:rPr>
            </w:pPr>
            <w:r w:rsidRPr="00E03421">
              <w:rPr>
                <w:rFonts w:cs="Arial"/>
                <w:color w:val="000000"/>
                <w:sz w:val="18"/>
                <w:szCs w:val="18"/>
                <w:lang w:eastAsia="en-AU"/>
              </w:rPr>
              <w:t>7</w:t>
            </w:r>
            <w:r w:rsidR="00904EBD" w:rsidRPr="00E03421">
              <w:rPr>
                <w:rFonts w:cs="Arial"/>
                <w:color w:val="000000"/>
                <w:sz w:val="18"/>
                <w:szCs w:val="18"/>
                <w:lang w:eastAsia="en-AU"/>
              </w:rPr>
              <w:t>,</w:t>
            </w:r>
            <w:r w:rsidR="00952B87" w:rsidRPr="00E03421">
              <w:rPr>
                <w:rFonts w:cs="Arial"/>
                <w:color w:val="000000"/>
                <w:sz w:val="18"/>
                <w:szCs w:val="18"/>
                <w:lang w:eastAsia="en-AU"/>
              </w:rPr>
              <w:t>093</w:t>
            </w:r>
          </w:p>
        </w:tc>
        <w:tc>
          <w:tcPr>
            <w:tcW w:w="1033" w:type="dxa"/>
            <w:tcBorders>
              <w:top w:val="nil"/>
              <w:left w:val="nil"/>
              <w:bottom w:val="nil"/>
              <w:right w:val="nil"/>
            </w:tcBorders>
            <w:shd w:val="clear" w:color="auto" w:fill="auto"/>
            <w:noWrap/>
            <w:hideMark/>
          </w:tcPr>
          <w:p w:rsidR="00977B84" w:rsidRPr="00E03421" w:rsidRDefault="00BC4B21" w:rsidP="00810A64">
            <w:pPr>
              <w:spacing w:before="0" w:after="0"/>
              <w:jc w:val="right"/>
              <w:rPr>
                <w:rFonts w:cs="Arial"/>
                <w:color w:val="000000"/>
                <w:sz w:val="18"/>
                <w:szCs w:val="18"/>
                <w:lang w:eastAsia="en-AU"/>
              </w:rPr>
            </w:pPr>
            <w:r w:rsidRPr="00E03421">
              <w:rPr>
                <w:rFonts w:cs="Arial"/>
                <w:color w:val="000000"/>
                <w:sz w:val="18"/>
                <w:szCs w:val="18"/>
                <w:lang w:eastAsia="en-AU"/>
              </w:rPr>
              <w:t>9</w:t>
            </w:r>
            <w:r w:rsidR="00904EBD" w:rsidRPr="00E03421">
              <w:rPr>
                <w:rFonts w:cs="Arial"/>
                <w:color w:val="000000"/>
                <w:sz w:val="18"/>
                <w:szCs w:val="18"/>
                <w:lang w:eastAsia="en-AU"/>
              </w:rPr>
              <w:t>,</w:t>
            </w:r>
            <w:r w:rsidR="00977B84" w:rsidRPr="00E03421">
              <w:rPr>
                <w:rFonts w:cs="Arial"/>
                <w:color w:val="000000"/>
                <w:sz w:val="18"/>
                <w:szCs w:val="18"/>
                <w:lang w:eastAsia="en-AU"/>
              </w:rPr>
              <w:t>636</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165" w:type="dxa"/>
            <w:tcBorders>
              <w:top w:val="nil"/>
              <w:left w:val="nil"/>
              <w:bottom w:val="nil"/>
              <w:right w:val="nil"/>
            </w:tcBorders>
            <w:shd w:val="clear" w:color="auto" w:fill="auto"/>
            <w:noWrap/>
            <w:hideMark/>
          </w:tcPr>
          <w:p w:rsidR="00977B84" w:rsidRPr="00E03421" w:rsidRDefault="00BC4B21" w:rsidP="00952B87">
            <w:pPr>
              <w:spacing w:before="0" w:after="0"/>
              <w:jc w:val="right"/>
              <w:rPr>
                <w:rFonts w:cs="Arial"/>
                <w:color w:val="000000"/>
                <w:sz w:val="18"/>
                <w:szCs w:val="18"/>
                <w:lang w:eastAsia="en-AU"/>
              </w:rPr>
            </w:pPr>
            <w:r w:rsidRPr="00E03421">
              <w:rPr>
                <w:rFonts w:cs="Arial"/>
                <w:color w:val="000000"/>
                <w:sz w:val="18"/>
                <w:szCs w:val="18"/>
                <w:lang w:eastAsia="en-AU"/>
              </w:rPr>
              <w:t>16</w:t>
            </w:r>
            <w:r w:rsidR="00904EBD" w:rsidRPr="00E03421">
              <w:rPr>
                <w:rFonts w:cs="Arial"/>
                <w:color w:val="000000"/>
                <w:sz w:val="18"/>
                <w:szCs w:val="18"/>
                <w:lang w:eastAsia="en-AU"/>
              </w:rPr>
              <w:t>,</w:t>
            </w:r>
            <w:r w:rsidR="00952B87" w:rsidRPr="00E03421">
              <w:rPr>
                <w:rFonts w:cs="Arial"/>
                <w:color w:val="000000"/>
                <w:sz w:val="18"/>
                <w:szCs w:val="18"/>
                <w:lang w:eastAsia="en-AU"/>
              </w:rPr>
              <w:t>729</w:t>
            </w:r>
          </w:p>
        </w:tc>
        <w:tc>
          <w:tcPr>
            <w:tcW w:w="1280" w:type="dxa"/>
            <w:tcBorders>
              <w:top w:val="nil"/>
              <w:left w:val="nil"/>
              <w:bottom w:val="nil"/>
              <w:right w:val="nil"/>
            </w:tcBorders>
            <w:shd w:val="clear" w:color="auto" w:fill="auto"/>
            <w:noWrap/>
            <w:hideMark/>
          </w:tcPr>
          <w:p w:rsidR="00977B84" w:rsidRPr="00E03421" w:rsidRDefault="00660ABC" w:rsidP="00810A64">
            <w:pPr>
              <w:spacing w:before="0" w:after="0"/>
              <w:jc w:val="right"/>
              <w:rPr>
                <w:rFonts w:cs="Arial"/>
                <w:color w:val="000000"/>
                <w:sz w:val="18"/>
                <w:szCs w:val="18"/>
                <w:lang w:eastAsia="en-AU"/>
              </w:rPr>
            </w:pPr>
            <w:r w:rsidRPr="00E03421">
              <w:rPr>
                <w:rFonts w:cs="Arial"/>
                <w:color w:val="000000"/>
                <w:sz w:val="18"/>
                <w:szCs w:val="18"/>
                <w:lang w:eastAsia="en-AU"/>
              </w:rPr>
              <w:t>Jan</w:t>
            </w:r>
            <w:r w:rsidR="001F3272" w:rsidRPr="00E03421">
              <w:rPr>
                <w:rFonts w:cs="Arial"/>
                <w:color w:val="000000"/>
                <w:sz w:val="18"/>
                <w:szCs w:val="18"/>
                <w:lang w:eastAsia="en-AU"/>
              </w:rPr>
              <w:t>-20</w:t>
            </w:r>
          </w:p>
        </w:tc>
      </w:tr>
      <w:tr w:rsidR="00977B84" w:rsidRPr="00E03421" w:rsidTr="00952B87">
        <w:trPr>
          <w:trHeight w:val="255"/>
        </w:trPr>
        <w:tc>
          <w:tcPr>
            <w:tcW w:w="3402" w:type="dxa"/>
            <w:tcBorders>
              <w:top w:val="nil"/>
              <w:left w:val="nil"/>
              <w:bottom w:val="nil"/>
              <w:right w:val="nil"/>
            </w:tcBorders>
            <w:shd w:val="clear" w:color="auto" w:fill="auto"/>
            <w:hideMark/>
          </w:tcPr>
          <w:p w:rsidR="00977B84" w:rsidRPr="00E03421" w:rsidRDefault="00977B84" w:rsidP="00977B84">
            <w:pPr>
              <w:spacing w:before="0" w:after="0"/>
              <w:rPr>
                <w:rFonts w:cs="Arial"/>
                <w:color w:val="000000"/>
                <w:sz w:val="18"/>
                <w:szCs w:val="18"/>
                <w:lang w:eastAsia="en-AU"/>
              </w:rPr>
            </w:pPr>
            <w:r w:rsidRPr="00E03421">
              <w:rPr>
                <w:rFonts w:cs="Arial"/>
                <w:color w:val="000000"/>
                <w:sz w:val="18"/>
                <w:szCs w:val="18"/>
                <w:lang w:eastAsia="en-AU"/>
              </w:rPr>
              <w:t>More mobile dental clinics</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385</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165"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385</w:t>
            </w:r>
          </w:p>
        </w:tc>
        <w:tc>
          <w:tcPr>
            <w:tcW w:w="1280" w:type="dxa"/>
            <w:tcBorders>
              <w:top w:val="nil"/>
              <w:left w:val="nil"/>
              <w:bottom w:val="nil"/>
              <w:right w:val="nil"/>
            </w:tcBorders>
            <w:shd w:val="clear" w:color="auto" w:fill="auto"/>
            <w:noWrap/>
            <w:hideMark/>
          </w:tcPr>
          <w:p w:rsidR="00977B84" w:rsidRPr="00E03421" w:rsidRDefault="004E3068" w:rsidP="00810A64">
            <w:pPr>
              <w:spacing w:before="0" w:after="0"/>
              <w:jc w:val="right"/>
              <w:rPr>
                <w:rFonts w:cs="Arial"/>
                <w:color w:val="000000"/>
                <w:sz w:val="18"/>
                <w:szCs w:val="18"/>
                <w:lang w:eastAsia="en-AU"/>
              </w:rPr>
            </w:pPr>
            <w:r w:rsidRPr="00E03421">
              <w:rPr>
                <w:rFonts w:cs="Arial"/>
                <w:color w:val="000000"/>
                <w:sz w:val="18"/>
                <w:szCs w:val="18"/>
                <w:lang w:eastAsia="en-AU"/>
              </w:rPr>
              <w:t>Dec-18</w:t>
            </w:r>
          </w:p>
        </w:tc>
      </w:tr>
      <w:tr w:rsidR="00977B84" w:rsidRPr="00E03421" w:rsidTr="00952B87">
        <w:trPr>
          <w:trHeight w:val="255"/>
        </w:trPr>
        <w:tc>
          <w:tcPr>
            <w:tcW w:w="3402" w:type="dxa"/>
            <w:tcBorders>
              <w:top w:val="nil"/>
              <w:left w:val="nil"/>
              <w:bottom w:val="nil"/>
              <w:right w:val="nil"/>
            </w:tcBorders>
            <w:shd w:val="clear" w:color="auto" w:fill="auto"/>
            <w:hideMark/>
          </w:tcPr>
          <w:p w:rsidR="00977B84" w:rsidRPr="00E03421" w:rsidRDefault="00977B84" w:rsidP="00977B84">
            <w:pPr>
              <w:spacing w:before="0" w:after="0"/>
              <w:rPr>
                <w:rFonts w:cs="Arial"/>
                <w:color w:val="000000"/>
                <w:sz w:val="18"/>
                <w:szCs w:val="18"/>
                <w:lang w:eastAsia="en-AU"/>
              </w:rPr>
            </w:pPr>
            <w:r w:rsidRPr="00E03421">
              <w:rPr>
                <w:rFonts w:cs="Arial"/>
                <w:color w:val="000000"/>
                <w:sz w:val="18"/>
                <w:szCs w:val="18"/>
                <w:lang w:eastAsia="en-AU"/>
              </w:rPr>
              <w:t>More nurse</w:t>
            </w:r>
            <w:r w:rsidR="005D7538">
              <w:rPr>
                <w:rFonts w:cs="Arial"/>
                <w:color w:val="000000"/>
                <w:sz w:val="18"/>
                <w:szCs w:val="18"/>
                <w:lang w:eastAsia="en-AU"/>
              </w:rPr>
              <w:t xml:space="preserve"> </w:t>
            </w:r>
            <w:r w:rsidRPr="00E03421">
              <w:rPr>
                <w:rFonts w:cs="Arial"/>
                <w:color w:val="000000"/>
                <w:sz w:val="18"/>
                <w:szCs w:val="18"/>
                <w:lang w:eastAsia="en-AU"/>
              </w:rPr>
              <w:t>-</w:t>
            </w:r>
            <w:r w:rsidR="005D7538">
              <w:rPr>
                <w:rFonts w:cs="Arial"/>
                <w:color w:val="000000"/>
                <w:sz w:val="18"/>
                <w:szCs w:val="18"/>
                <w:lang w:eastAsia="en-AU"/>
              </w:rPr>
              <w:t xml:space="preserve"> </w:t>
            </w:r>
            <w:r w:rsidRPr="00E03421">
              <w:rPr>
                <w:rFonts w:cs="Arial"/>
                <w:color w:val="000000"/>
                <w:sz w:val="18"/>
                <w:szCs w:val="18"/>
                <w:lang w:eastAsia="en-AU"/>
              </w:rPr>
              <w:t>led Walk in Centres</w:t>
            </w:r>
          </w:p>
        </w:tc>
        <w:tc>
          <w:tcPr>
            <w:tcW w:w="1033" w:type="dxa"/>
            <w:tcBorders>
              <w:top w:val="nil"/>
              <w:left w:val="nil"/>
              <w:bottom w:val="nil"/>
              <w:right w:val="nil"/>
            </w:tcBorders>
            <w:shd w:val="clear" w:color="auto" w:fill="auto"/>
            <w:noWrap/>
            <w:hideMark/>
          </w:tcPr>
          <w:p w:rsidR="00977B84" w:rsidRPr="00E03421" w:rsidRDefault="00BC4B21" w:rsidP="00810A64">
            <w:pPr>
              <w:spacing w:before="0" w:after="0"/>
              <w:jc w:val="right"/>
              <w:rPr>
                <w:rFonts w:cs="Arial"/>
                <w:sz w:val="18"/>
                <w:szCs w:val="18"/>
                <w:lang w:eastAsia="en-AU"/>
              </w:rPr>
            </w:pPr>
            <w:r w:rsidRPr="00E03421">
              <w:rPr>
                <w:rFonts w:cs="Arial"/>
                <w:sz w:val="18"/>
                <w:szCs w:val="18"/>
                <w:lang w:eastAsia="en-AU"/>
              </w:rPr>
              <w:t>1</w:t>
            </w:r>
            <w:r w:rsidR="00904EBD" w:rsidRPr="00E03421">
              <w:rPr>
                <w:rFonts w:cs="Arial"/>
                <w:sz w:val="18"/>
                <w:szCs w:val="18"/>
                <w:lang w:eastAsia="en-AU"/>
              </w:rPr>
              <w:t>,</w:t>
            </w:r>
            <w:r w:rsidR="00977B84" w:rsidRPr="00E03421">
              <w:rPr>
                <w:rFonts w:cs="Arial"/>
                <w:sz w:val="18"/>
                <w:szCs w:val="18"/>
                <w:lang w:eastAsia="en-AU"/>
              </w:rPr>
              <w:t>563</w:t>
            </w:r>
          </w:p>
        </w:tc>
        <w:tc>
          <w:tcPr>
            <w:tcW w:w="1033" w:type="dxa"/>
            <w:tcBorders>
              <w:top w:val="nil"/>
              <w:left w:val="nil"/>
              <w:bottom w:val="nil"/>
              <w:right w:val="nil"/>
            </w:tcBorders>
            <w:shd w:val="clear" w:color="auto" w:fill="auto"/>
            <w:noWrap/>
            <w:hideMark/>
          </w:tcPr>
          <w:p w:rsidR="00977B84" w:rsidRPr="00E03421" w:rsidRDefault="00BC4B21" w:rsidP="00810A64">
            <w:pPr>
              <w:spacing w:before="0" w:after="0"/>
              <w:jc w:val="right"/>
              <w:rPr>
                <w:rFonts w:cs="Arial"/>
                <w:color w:val="000000"/>
                <w:sz w:val="18"/>
                <w:szCs w:val="18"/>
                <w:lang w:eastAsia="en-AU"/>
              </w:rPr>
            </w:pPr>
            <w:r w:rsidRPr="00E03421">
              <w:rPr>
                <w:rFonts w:cs="Arial"/>
                <w:color w:val="000000"/>
                <w:sz w:val="18"/>
                <w:szCs w:val="18"/>
                <w:lang w:eastAsia="en-AU"/>
              </w:rPr>
              <w:t>1</w:t>
            </w:r>
            <w:r w:rsidR="00904EBD" w:rsidRPr="00E03421">
              <w:rPr>
                <w:rFonts w:cs="Arial"/>
                <w:color w:val="000000"/>
                <w:sz w:val="18"/>
                <w:szCs w:val="18"/>
                <w:lang w:eastAsia="en-AU"/>
              </w:rPr>
              <w:t>,</w:t>
            </w:r>
            <w:r w:rsidR="00977B84" w:rsidRPr="00E03421">
              <w:rPr>
                <w:rFonts w:cs="Arial"/>
                <w:color w:val="000000"/>
                <w:sz w:val="18"/>
                <w:szCs w:val="18"/>
                <w:lang w:eastAsia="en-AU"/>
              </w:rPr>
              <w:t>238</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165" w:type="dxa"/>
            <w:tcBorders>
              <w:top w:val="nil"/>
              <w:left w:val="nil"/>
              <w:bottom w:val="nil"/>
              <w:right w:val="nil"/>
            </w:tcBorders>
            <w:shd w:val="clear" w:color="auto" w:fill="auto"/>
            <w:noWrap/>
            <w:hideMark/>
          </w:tcPr>
          <w:p w:rsidR="00977B84" w:rsidRPr="00E03421" w:rsidRDefault="00BC4B21" w:rsidP="00810A64">
            <w:pPr>
              <w:spacing w:before="0" w:after="0"/>
              <w:jc w:val="right"/>
              <w:rPr>
                <w:rFonts w:cs="Arial"/>
                <w:color w:val="000000"/>
                <w:sz w:val="18"/>
                <w:szCs w:val="18"/>
                <w:lang w:eastAsia="en-AU"/>
              </w:rPr>
            </w:pPr>
            <w:r w:rsidRPr="00E03421">
              <w:rPr>
                <w:rFonts w:cs="Arial"/>
                <w:color w:val="000000"/>
                <w:sz w:val="18"/>
                <w:szCs w:val="18"/>
                <w:lang w:eastAsia="en-AU"/>
              </w:rPr>
              <w:t>2</w:t>
            </w:r>
            <w:r w:rsidR="00904EBD" w:rsidRPr="00E03421">
              <w:rPr>
                <w:rFonts w:cs="Arial"/>
                <w:color w:val="000000"/>
                <w:sz w:val="18"/>
                <w:szCs w:val="18"/>
                <w:lang w:eastAsia="en-AU"/>
              </w:rPr>
              <w:t>,</w:t>
            </w:r>
            <w:r w:rsidR="00977B84" w:rsidRPr="00E03421">
              <w:rPr>
                <w:rFonts w:cs="Arial"/>
                <w:color w:val="000000"/>
                <w:sz w:val="18"/>
                <w:szCs w:val="18"/>
                <w:lang w:eastAsia="en-AU"/>
              </w:rPr>
              <w:t>801</w:t>
            </w:r>
          </w:p>
        </w:tc>
        <w:tc>
          <w:tcPr>
            <w:tcW w:w="1280" w:type="dxa"/>
            <w:tcBorders>
              <w:top w:val="nil"/>
              <w:left w:val="nil"/>
              <w:bottom w:val="nil"/>
              <w:right w:val="nil"/>
            </w:tcBorders>
            <w:shd w:val="clear" w:color="auto" w:fill="auto"/>
            <w:noWrap/>
            <w:hideMark/>
          </w:tcPr>
          <w:p w:rsidR="00977B84" w:rsidRPr="00E03421" w:rsidRDefault="004E3068" w:rsidP="00810A64">
            <w:pPr>
              <w:spacing w:before="0" w:after="0"/>
              <w:jc w:val="right"/>
              <w:rPr>
                <w:rFonts w:cs="Arial"/>
                <w:color w:val="000000"/>
                <w:sz w:val="18"/>
                <w:szCs w:val="18"/>
                <w:lang w:eastAsia="en-AU"/>
              </w:rPr>
            </w:pPr>
            <w:r w:rsidRPr="00E03421">
              <w:rPr>
                <w:rFonts w:cs="Arial"/>
                <w:color w:val="000000"/>
                <w:sz w:val="18"/>
                <w:szCs w:val="18"/>
                <w:lang w:eastAsia="en-AU"/>
              </w:rPr>
              <w:t>Aug-18</w:t>
            </w:r>
          </w:p>
        </w:tc>
      </w:tr>
    </w:tbl>
    <w:p w:rsidR="00A23096" w:rsidRPr="00E03421" w:rsidRDefault="00141A32" w:rsidP="006D1E44">
      <w:pPr>
        <w:pStyle w:val="Caption"/>
        <w:pageBreakBefore/>
        <w:pBdr>
          <w:top w:val="nil"/>
          <w:left w:val="nil"/>
          <w:bottom w:val="nil"/>
          <w:right w:val="nil"/>
          <w:between w:val="nil"/>
          <w:bar w:val="nil"/>
        </w:pBdr>
        <w:rPr>
          <w:bdr w:val="nil"/>
        </w:rPr>
      </w:pPr>
      <w:r>
        <w:rPr>
          <w:bdr w:val="nil"/>
        </w:rPr>
        <w:lastRenderedPageBreak/>
        <w:t>Table 31</w:t>
      </w:r>
      <w:r w:rsidR="00A23096" w:rsidRPr="00E03421">
        <w:rPr>
          <w:bdr w:val="nil"/>
        </w:rPr>
        <w:t>: 2018-19 Health Directorate Infrastructure Program (continued)</w:t>
      </w:r>
    </w:p>
    <w:tbl>
      <w:tblPr>
        <w:tblW w:w="9979" w:type="dxa"/>
        <w:tblLook w:val="04A0" w:firstRow="1" w:lastRow="0" w:firstColumn="1" w:lastColumn="0" w:noHBand="0" w:noVBand="1"/>
      </w:tblPr>
      <w:tblGrid>
        <w:gridCol w:w="3402"/>
        <w:gridCol w:w="1033"/>
        <w:gridCol w:w="1033"/>
        <w:gridCol w:w="1033"/>
        <w:gridCol w:w="1033"/>
        <w:gridCol w:w="1165"/>
        <w:gridCol w:w="1280"/>
      </w:tblGrid>
      <w:tr w:rsidR="00A23096" w:rsidRPr="00E03421" w:rsidTr="000B31F8">
        <w:trPr>
          <w:trHeight w:val="750"/>
        </w:trPr>
        <w:tc>
          <w:tcPr>
            <w:tcW w:w="3402" w:type="dxa"/>
            <w:tcBorders>
              <w:top w:val="single" w:sz="4" w:space="0" w:color="auto"/>
              <w:left w:val="nil"/>
              <w:bottom w:val="single" w:sz="4" w:space="0" w:color="auto"/>
              <w:right w:val="nil"/>
            </w:tcBorders>
            <w:shd w:val="clear" w:color="000000" w:fill="FFFFFF"/>
            <w:hideMark/>
          </w:tcPr>
          <w:p w:rsidR="00A23096" w:rsidRPr="00E03421" w:rsidRDefault="00A23096" w:rsidP="000B31F8">
            <w:pPr>
              <w:spacing w:before="0" w:after="0"/>
              <w:rPr>
                <w:rFonts w:cs="Arial"/>
                <w:b/>
                <w:bCs/>
                <w:sz w:val="18"/>
                <w:szCs w:val="18"/>
                <w:lang w:eastAsia="en-AU"/>
              </w:rPr>
            </w:pPr>
            <w:r w:rsidRPr="00E03421">
              <w:rPr>
                <w:rFonts w:cs="Arial"/>
                <w:b/>
                <w:bCs/>
                <w:color w:val="000000"/>
                <w:sz w:val="18"/>
                <w:szCs w:val="18"/>
                <w:lang w:eastAsia="en-AU"/>
              </w:rPr>
              <w:t>Project</w:t>
            </w:r>
          </w:p>
        </w:tc>
        <w:tc>
          <w:tcPr>
            <w:tcW w:w="1033" w:type="dxa"/>
            <w:tcBorders>
              <w:top w:val="single" w:sz="4" w:space="0" w:color="auto"/>
              <w:left w:val="nil"/>
              <w:bottom w:val="single" w:sz="4" w:space="0" w:color="auto"/>
              <w:right w:val="nil"/>
            </w:tcBorders>
            <w:shd w:val="clear" w:color="auto" w:fill="auto"/>
            <w:hideMark/>
          </w:tcPr>
          <w:p w:rsidR="00A23096" w:rsidRPr="00E03421" w:rsidRDefault="00A23096" w:rsidP="000B31F8">
            <w:pPr>
              <w:spacing w:before="0" w:after="0"/>
              <w:jc w:val="right"/>
              <w:rPr>
                <w:rFonts w:cs="Arial"/>
                <w:b/>
                <w:bCs/>
                <w:sz w:val="18"/>
                <w:szCs w:val="18"/>
                <w:lang w:eastAsia="en-AU"/>
              </w:rPr>
            </w:pPr>
            <w:r w:rsidRPr="00E03421">
              <w:rPr>
                <w:rFonts w:cs="Arial"/>
                <w:b/>
                <w:bCs/>
                <w:color w:val="000000"/>
                <w:sz w:val="18"/>
                <w:szCs w:val="18"/>
                <w:lang w:eastAsia="en-AU"/>
              </w:rPr>
              <w:t>2018-19</w:t>
            </w:r>
            <w:r w:rsidRPr="00E03421">
              <w:rPr>
                <w:rFonts w:cs="Arial"/>
                <w:b/>
                <w:bCs/>
                <w:color w:val="000000"/>
                <w:sz w:val="18"/>
                <w:szCs w:val="18"/>
                <w:lang w:eastAsia="en-AU"/>
              </w:rPr>
              <w:br/>
              <w:t>$'0</w:t>
            </w:r>
            <w:r w:rsidRPr="00E03421">
              <w:rPr>
                <w:rFonts w:cs="Arial"/>
                <w:b/>
                <w:bCs/>
                <w:sz w:val="18"/>
                <w:szCs w:val="18"/>
                <w:lang w:eastAsia="en-AU"/>
              </w:rPr>
              <w:t>00</w:t>
            </w:r>
          </w:p>
        </w:tc>
        <w:tc>
          <w:tcPr>
            <w:tcW w:w="1033" w:type="dxa"/>
            <w:tcBorders>
              <w:top w:val="single" w:sz="4" w:space="0" w:color="auto"/>
              <w:left w:val="nil"/>
              <w:bottom w:val="single" w:sz="4" w:space="0" w:color="auto"/>
              <w:right w:val="nil"/>
            </w:tcBorders>
            <w:shd w:val="clear" w:color="auto" w:fill="auto"/>
            <w:hideMark/>
          </w:tcPr>
          <w:p w:rsidR="00A23096" w:rsidRPr="00E03421" w:rsidRDefault="00A23096" w:rsidP="000B31F8">
            <w:pPr>
              <w:spacing w:before="0" w:after="0"/>
              <w:jc w:val="right"/>
              <w:rPr>
                <w:rFonts w:cs="Arial"/>
                <w:b/>
                <w:bCs/>
                <w:sz w:val="18"/>
                <w:szCs w:val="18"/>
                <w:lang w:eastAsia="en-AU"/>
              </w:rPr>
            </w:pPr>
            <w:r w:rsidRPr="00E03421">
              <w:rPr>
                <w:rFonts w:cs="Arial"/>
                <w:b/>
                <w:bCs/>
                <w:color w:val="000000"/>
                <w:sz w:val="18"/>
                <w:szCs w:val="18"/>
                <w:lang w:eastAsia="en-AU"/>
              </w:rPr>
              <w:t>2019-20</w:t>
            </w:r>
            <w:r w:rsidRPr="00E03421">
              <w:rPr>
                <w:rFonts w:cs="Arial"/>
                <w:b/>
                <w:bCs/>
                <w:color w:val="000000"/>
                <w:sz w:val="18"/>
                <w:szCs w:val="18"/>
                <w:lang w:eastAsia="en-AU"/>
              </w:rPr>
              <w:br/>
              <w:t>$'0</w:t>
            </w:r>
            <w:r w:rsidRPr="00E03421">
              <w:rPr>
                <w:rFonts w:cs="Arial"/>
                <w:b/>
                <w:bCs/>
                <w:sz w:val="18"/>
                <w:szCs w:val="18"/>
                <w:lang w:eastAsia="en-AU"/>
              </w:rPr>
              <w:t>00</w:t>
            </w:r>
          </w:p>
        </w:tc>
        <w:tc>
          <w:tcPr>
            <w:tcW w:w="1033" w:type="dxa"/>
            <w:tcBorders>
              <w:top w:val="single" w:sz="4" w:space="0" w:color="auto"/>
              <w:left w:val="nil"/>
              <w:bottom w:val="single" w:sz="4" w:space="0" w:color="auto"/>
              <w:right w:val="nil"/>
            </w:tcBorders>
            <w:shd w:val="clear" w:color="auto" w:fill="auto"/>
            <w:hideMark/>
          </w:tcPr>
          <w:p w:rsidR="00A23096" w:rsidRPr="00E03421" w:rsidRDefault="00A23096" w:rsidP="000B31F8">
            <w:pPr>
              <w:spacing w:before="0" w:after="0"/>
              <w:jc w:val="right"/>
              <w:rPr>
                <w:rFonts w:cs="Arial"/>
                <w:b/>
                <w:bCs/>
                <w:sz w:val="18"/>
                <w:szCs w:val="18"/>
                <w:lang w:eastAsia="en-AU"/>
              </w:rPr>
            </w:pPr>
            <w:r w:rsidRPr="00E03421">
              <w:rPr>
                <w:rFonts w:cs="Arial"/>
                <w:b/>
                <w:bCs/>
                <w:color w:val="000000"/>
                <w:sz w:val="18"/>
                <w:szCs w:val="18"/>
                <w:lang w:eastAsia="en-AU"/>
              </w:rPr>
              <w:t>2020-21</w:t>
            </w:r>
            <w:r w:rsidRPr="00E03421">
              <w:rPr>
                <w:rFonts w:cs="Arial"/>
                <w:b/>
                <w:bCs/>
                <w:color w:val="000000"/>
                <w:sz w:val="18"/>
                <w:szCs w:val="18"/>
                <w:lang w:eastAsia="en-AU"/>
              </w:rPr>
              <w:br/>
              <w:t>$'0</w:t>
            </w:r>
            <w:r w:rsidRPr="00E03421">
              <w:rPr>
                <w:rFonts w:cs="Arial"/>
                <w:b/>
                <w:bCs/>
                <w:sz w:val="18"/>
                <w:szCs w:val="18"/>
                <w:lang w:eastAsia="en-AU"/>
              </w:rPr>
              <w:t>00</w:t>
            </w:r>
          </w:p>
        </w:tc>
        <w:tc>
          <w:tcPr>
            <w:tcW w:w="1033" w:type="dxa"/>
            <w:tcBorders>
              <w:top w:val="single" w:sz="4" w:space="0" w:color="auto"/>
              <w:left w:val="nil"/>
              <w:bottom w:val="single" w:sz="4" w:space="0" w:color="auto"/>
              <w:right w:val="nil"/>
            </w:tcBorders>
            <w:shd w:val="clear" w:color="auto" w:fill="auto"/>
            <w:hideMark/>
          </w:tcPr>
          <w:p w:rsidR="00A23096" w:rsidRPr="00E03421" w:rsidRDefault="00A23096" w:rsidP="000B31F8">
            <w:pPr>
              <w:spacing w:before="0" w:after="0"/>
              <w:jc w:val="right"/>
              <w:rPr>
                <w:rFonts w:cs="Arial"/>
                <w:b/>
                <w:bCs/>
                <w:sz w:val="18"/>
                <w:szCs w:val="18"/>
                <w:lang w:eastAsia="en-AU"/>
              </w:rPr>
            </w:pPr>
            <w:r w:rsidRPr="00E03421">
              <w:rPr>
                <w:rFonts w:cs="Arial"/>
                <w:b/>
                <w:bCs/>
                <w:color w:val="000000"/>
                <w:sz w:val="18"/>
                <w:szCs w:val="18"/>
                <w:lang w:eastAsia="en-AU"/>
              </w:rPr>
              <w:t>2021-22</w:t>
            </w:r>
            <w:r w:rsidRPr="00E03421">
              <w:rPr>
                <w:rFonts w:cs="Arial"/>
                <w:b/>
                <w:bCs/>
                <w:color w:val="000000"/>
                <w:sz w:val="18"/>
                <w:szCs w:val="18"/>
                <w:lang w:eastAsia="en-AU"/>
              </w:rPr>
              <w:br/>
              <w:t>$'0</w:t>
            </w:r>
            <w:r w:rsidRPr="00E03421">
              <w:rPr>
                <w:rFonts w:cs="Arial"/>
                <w:b/>
                <w:bCs/>
                <w:sz w:val="18"/>
                <w:szCs w:val="18"/>
                <w:lang w:eastAsia="en-AU"/>
              </w:rPr>
              <w:t>00</w:t>
            </w:r>
          </w:p>
        </w:tc>
        <w:tc>
          <w:tcPr>
            <w:tcW w:w="1165" w:type="dxa"/>
            <w:tcBorders>
              <w:top w:val="single" w:sz="4" w:space="0" w:color="auto"/>
              <w:left w:val="nil"/>
              <w:bottom w:val="single" w:sz="4" w:space="0" w:color="auto"/>
              <w:right w:val="nil"/>
            </w:tcBorders>
            <w:shd w:val="clear" w:color="000000" w:fill="FFFFFF"/>
            <w:hideMark/>
          </w:tcPr>
          <w:p w:rsidR="00A23096" w:rsidRPr="00E03421" w:rsidRDefault="00A23096" w:rsidP="000B31F8">
            <w:pPr>
              <w:spacing w:before="0" w:after="240"/>
              <w:jc w:val="right"/>
              <w:rPr>
                <w:rFonts w:cs="Arial"/>
                <w:b/>
                <w:bCs/>
                <w:sz w:val="18"/>
                <w:szCs w:val="18"/>
                <w:lang w:eastAsia="en-AU"/>
              </w:rPr>
            </w:pPr>
            <w:r w:rsidRPr="00E03421">
              <w:rPr>
                <w:rFonts w:cs="Arial"/>
                <w:b/>
                <w:bCs/>
                <w:color w:val="000000"/>
                <w:sz w:val="18"/>
                <w:szCs w:val="18"/>
                <w:lang w:eastAsia="en-AU"/>
              </w:rPr>
              <w:t>Four Year</w:t>
            </w:r>
            <w:r w:rsidRPr="00E03421">
              <w:rPr>
                <w:rFonts w:cs="Arial"/>
                <w:b/>
                <w:bCs/>
                <w:color w:val="000000"/>
                <w:sz w:val="18"/>
                <w:szCs w:val="18"/>
                <w:lang w:eastAsia="en-AU"/>
              </w:rPr>
              <w:br/>
              <w:t>Investment</w:t>
            </w:r>
            <w:r w:rsidRPr="00E03421">
              <w:rPr>
                <w:rFonts w:cs="Arial"/>
                <w:b/>
                <w:bCs/>
                <w:color w:val="000000"/>
                <w:sz w:val="18"/>
                <w:szCs w:val="18"/>
                <w:lang w:eastAsia="en-AU"/>
              </w:rPr>
              <w:br/>
              <w:t>$</w:t>
            </w:r>
            <w:r w:rsidRPr="00E03421">
              <w:rPr>
                <w:rFonts w:cs="Arial"/>
                <w:b/>
                <w:bCs/>
                <w:sz w:val="18"/>
                <w:szCs w:val="18"/>
                <w:lang w:eastAsia="en-AU"/>
              </w:rPr>
              <w:t>'000</w:t>
            </w:r>
          </w:p>
        </w:tc>
        <w:tc>
          <w:tcPr>
            <w:tcW w:w="1280" w:type="dxa"/>
            <w:tcBorders>
              <w:top w:val="single" w:sz="4" w:space="0" w:color="auto"/>
              <w:left w:val="nil"/>
              <w:bottom w:val="single" w:sz="4" w:space="0" w:color="auto"/>
              <w:right w:val="nil"/>
            </w:tcBorders>
            <w:shd w:val="clear" w:color="000000" w:fill="FFFFFF"/>
            <w:hideMark/>
          </w:tcPr>
          <w:p w:rsidR="00A23096" w:rsidRPr="00E03421" w:rsidRDefault="00A23096" w:rsidP="000B31F8">
            <w:pPr>
              <w:spacing w:before="0" w:after="0"/>
              <w:jc w:val="right"/>
              <w:rPr>
                <w:rFonts w:cs="Arial"/>
                <w:b/>
                <w:bCs/>
                <w:sz w:val="18"/>
                <w:szCs w:val="18"/>
                <w:lang w:eastAsia="en-AU"/>
              </w:rPr>
            </w:pPr>
            <w:r w:rsidRPr="00E03421">
              <w:rPr>
                <w:rFonts w:cs="Arial"/>
                <w:b/>
                <w:bCs/>
                <w:color w:val="000000"/>
                <w:sz w:val="18"/>
                <w:szCs w:val="18"/>
                <w:lang w:eastAsia="en-AU"/>
              </w:rPr>
              <w:t>Physical</w:t>
            </w:r>
            <w:r w:rsidRPr="00E03421">
              <w:rPr>
                <w:rFonts w:cs="Arial"/>
                <w:b/>
                <w:bCs/>
                <w:color w:val="000000"/>
                <w:sz w:val="18"/>
                <w:szCs w:val="18"/>
                <w:lang w:eastAsia="en-AU"/>
              </w:rPr>
              <w:br/>
              <w:t>Completion</w:t>
            </w:r>
            <w:r w:rsidRPr="00E03421">
              <w:rPr>
                <w:rFonts w:cs="Arial"/>
                <w:b/>
                <w:bCs/>
                <w:color w:val="000000"/>
                <w:sz w:val="18"/>
                <w:szCs w:val="18"/>
                <w:lang w:eastAsia="en-AU"/>
              </w:rPr>
              <w:br/>
            </w:r>
            <w:r w:rsidRPr="00E03421">
              <w:rPr>
                <w:rFonts w:cs="Arial"/>
                <w:b/>
                <w:bCs/>
                <w:sz w:val="18"/>
                <w:szCs w:val="18"/>
                <w:lang w:eastAsia="en-AU"/>
              </w:rPr>
              <w:t>Date</w:t>
            </w:r>
          </w:p>
        </w:tc>
      </w:tr>
      <w:tr w:rsidR="00A23096" w:rsidRPr="00E03421" w:rsidTr="000B31F8">
        <w:trPr>
          <w:trHeight w:val="240"/>
        </w:trPr>
        <w:tc>
          <w:tcPr>
            <w:tcW w:w="3402" w:type="dxa"/>
            <w:tcBorders>
              <w:top w:val="nil"/>
              <w:left w:val="nil"/>
              <w:bottom w:val="nil"/>
              <w:right w:val="nil"/>
            </w:tcBorders>
            <w:shd w:val="clear" w:color="auto" w:fill="auto"/>
            <w:hideMark/>
          </w:tcPr>
          <w:p w:rsidR="00A23096" w:rsidRPr="00E03421" w:rsidRDefault="00A23096" w:rsidP="000B31F8">
            <w:pPr>
              <w:spacing w:before="0" w:after="0"/>
              <w:rPr>
                <w:rFonts w:cs="Arial"/>
                <w:color w:val="000000"/>
                <w:sz w:val="18"/>
                <w:szCs w:val="18"/>
                <w:lang w:eastAsia="en-AU"/>
              </w:rPr>
            </w:pPr>
          </w:p>
        </w:tc>
        <w:tc>
          <w:tcPr>
            <w:tcW w:w="1033" w:type="dxa"/>
            <w:tcBorders>
              <w:top w:val="nil"/>
              <w:left w:val="nil"/>
              <w:bottom w:val="nil"/>
              <w:right w:val="nil"/>
            </w:tcBorders>
            <w:shd w:val="clear" w:color="auto" w:fill="auto"/>
            <w:noWrap/>
            <w:hideMark/>
          </w:tcPr>
          <w:p w:rsidR="00A23096" w:rsidRPr="00E03421" w:rsidRDefault="00A23096" w:rsidP="000B31F8">
            <w:pPr>
              <w:spacing w:before="0" w:after="0"/>
              <w:rPr>
                <w:rFonts w:cs="Arial"/>
                <w:color w:val="000000"/>
                <w:sz w:val="18"/>
                <w:szCs w:val="18"/>
                <w:lang w:eastAsia="en-AU"/>
              </w:rPr>
            </w:pPr>
            <w:r w:rsidRPr="00E03421">
              <w:rPr>
                <w:rFonts w:cs="Arial"/>
                <w:color w:val="000000"/>
                <w:sz w:val="18"/>
                <w:szCs w:val="18"/>
                <w:lang w:eastAsia="en-AU"/>
              </w:rPr>
              <w:t> </w:t>
            </w:r>
          </w:p>
        </w:tc>
        <w:tc>
          <w:tcPr>
            <w:tcW w:w="1033" w:type="dxa"/>
            <w:tcBorders>
              <w:top w:val="nil"/>
              <w:left w:val="nil"/>
              <w:bottom w:val="nil"/>
              <w:right w:val="nil"/>
            </w:tcBorders>
            <w:shd w:val="clear" w:color="auto" w:fill="auto"/>
            <w:noWrap/>
            <w:hideMark/>
          </w:tcPr>
          <w:p w:rsidR="00A23096" w:rsidRPr="00E03421" w:rsidRDefault="00A23096" w:rsidP="000B31F8">
            <w:pPr>
              <w:spacing w:before="0" w:after="0"/>
              <w:rPr>
                <w:rFonts w:cs="Arial"/>
                <w:color w:val="000000"/>
                <w:sz w:val="18"/>
                <w:szCs w:val="18"/>
                <w:lang w:eastAsia="en-AU"/>
              </w:rPr>
            </w:pPr>
            <w:r w:rsidRPr="00E03421">
              <w:rPr>
                <w:rFonts w:cs="Arial"/>
                <w:color w:val="000000"/>
                <w:sz w:val="18"/>
                <w:szCs w:val="18"/>
                <w:lang w:eastAsia="en-AU"/>
              </w:rPr>
              <w:t> </w:t>
            </w:r>
          </w:p>
        </w:tc>
        <w:tc>
          <w:tcPr>
            <w:tcW w:w="1033" w:type="dxa"/>
            <w:tcBorders>
              <w:top w:val="nil"/>
              <w:left w:val="nil"/>
              <w:bottom w:val="nil"/>
              <w:right w:val="nil"/>
            </w:tcBorders>
            <w:shd w:val="clear" w:color="auto" w:fill="auto"/>
            <w:noWrap/>
            <w:hideMark/>
          </w:tcPr>
          <w:p w:rsidR="00A23096" w:rsidRPr="00E03421" w:rsidRDefault="00A23096" w:rsidP="000B31F8">
            <w:pPr>
              <w:spacing w:before="0" w:after="0"/>
              <w:rPr>
                <w:rFonts w:cs="Arial"/>
                <w:color w:val="000000"/>
                <w:sz w:val="18"/>
                <w:szCs w:val="18"/>
                <w:lang w:eastAsia="en-AU"/>
              </w:rPr>
            </w:pPr>
            <w:r w:rsidRPr="00E03421">
              <w:rPr>
                <w:rFonts w:cs="Arial"/>
                <w:color w:val="000000"/>
                <w:sz w:val="18"/>
                <w:szCs w:val="18"/>
                <w:lang w:eastAsia="en-AU"/>
              </w:rPr>
              <w:t> </w:t>
            </w:r>
          </w:p>
        </w:tc>
        <w:tc>
          <w:tcPr>
            <w:tcW w:w="1033" w:type="dxa"/>
            <w:tcBorders>
              <w:top w:val="nil"/>
              <w:left w:val="nil"/>
              <w:bottom w:val="nil"/>
              <w:right w:val="nil"/>
            </w:tcBorders>
            <w:shd w:val="clear" w:color="auto" w:fill="auto"/>
            <w:noWrap/>
            <w:hideMark/>
          </w:tcPr>
          <w:p w:rsidR="00A23096" w:rsidRPr="00E03421" w:rsidRDefault="00A23096" w:rsidP="000B31F8">
            <w:pPr>
              <w:spacing w:before="0" w:after="0"/>
              <w:rPr>
                <w:rFonts w:cs="Arial"/>
                <w:color w:val="000000"/>
                <w:sz w:val="18"/>
                <w:szCs w:val="18"/>
                <w:lang w:eastAsia="en-AU"/>
              </w:rPr>
            </w:pPr>
            <w:r w:rsidRPr="00E03421">
              <w:rPr>
                <w:rFonts w:cs="Arial"/>
                <w:color w:val="000000"/>
                <w:sz w:val="18"/>
                <w:szCs w:val="18"/>
                <w:lang w:eastAsia="en-AU"/>
              </w:rPr>
              <w:t> </w:t>
            </w:r>
          </w:p>
        </w:tc>
        <w:tc>
          <w:tcPr>
            <w:tcW w:w="1165" w:type="dxa"/>
            <w:tcBorders>
              <w:top w:val="nil"/>
              <w:left w:val="nil"/>
              <w:bottom w:val="nil"/>
              <w:right w:val="nil"/>
            </w:tcBorders>
            <w:shd w:val="clear" w:color="auto" w:fill="auto"/>
            <w:noWrap/>
            <w:hideMark/>
          </w:tcPr>
          <w:p w:rsidR="00A23096" w:rsidRPr="00E03421" w:rsidRDefault="00A23096" w:rsidP="000B31F8">
            <w:pPr>
              <w:spacing w:before="0" w:after="0"/>
              <w:rPr>
                <w:rFonts w:cs="Arial"/>
                <w:color w:val="000000"/>
                <w:sz w:val="18"/>
                <w:szCs w:val="18"/>
                <w:lang w:eastAsia="en-AU"/>
              </w:rPr>
            </w:pPr>
            <w:r w:rsidRPr="00E03421">
              <w:rPr>
                <w:rFonts w:cs="Arial"/>
                <w:color w:val="000000"/>
                <w:sz w:val="18"/>
                <w:szCs w:val="18"/>
                <w:lang w:eastAsia="en-AU"/>
              </w:rPr>
              <w:t> </w:t>
            </w:r>
          </w:p>
        </w:tc>
        <w:tc>
          <w:tcPr>
            <w:tcW w:w="1280" w:type="dxa"/>
            <w:tcBorders>
              <w:top w:val="nil"/>
              <w:left w:val="nil"/>
              <w:bottom w:val="nil"/>
              <w:right w:val="nil"/>
            </w:tcBorders>
            <w:shd w:val="clear" w:color="auto" w:fill="auto"/>
            <w:noWrap/>
            <w:hideMark/>
          </w:tcPr>
          <w:p w:rsidR="00A23096" w:rsidRPr="00E03421" w:rsidRDefault="00A23096" w:rsidP="000B31F8">
            <w:pPr>
              <w:spacing w:before="0" w:after="0"/>
              <w:jc w:val="right"/>
              <w:rPr>
                <w:rFonts w:cs="Arial"/>
                <w:color w:val="000000"/>
                <w:sz w:val="18"/>
                <w:szCs w:val="18"/>
                <w:lang w:eastAsia="en-AU"/>
              </w:rPr>
            </w:pPr>
            <w:r w:rsidRPr="00E03421">
              <w:rPr>
                <w:rFonts w:cs="Arial"/>
                <w:color w:val="000000"/>
                <w:sz w:val="18"/>
                <w:szCs w:val="18"/>
                <w:lang w:eastAsia="en-AU"/>
              </w:rPr>
              <w:t> </w:t>
            </w:r>
          </w:p>
        </w:tc>
      </w:tr>
      <w:tr w:rsidR="00977B84" w:rsidRPr="00E03421" w:rsidTr="00952B87">
        <w:trPr>
          <w:trHeight w:val="480"/>
        </w:trPr>
        <w:tc>
          <w:tcPr>
            <w:tcW w:w="3402" w:type="dxa"/>
            <w:tcBorders>
              <w:top w:val="nil"/>
              <w:left w:val="nil"/>
              <w:bottom w:val="nil"/>
              <w:right w:val="nil"/>
            </w:tcBorders>
            <w:shd w:val="clear" w:color="auto" w:fill="auto"/>
            <w:hideMark/>
          </w:tcPr>
          <w:p w:rsidR="00977B84" w:rsidRPr="00E03421" w:rsidRDefault="00977B84" w:rsidP="00977B84">
            <w:pPr>
              <w:spacing w:before="0" w:after="0"/>
              <w:rPr>
                <w:rFonts w:cs="Arial"/>
                <w:color w:val="000000"/>
                <w:sz w:val="18"/>
                <w:szCs w:val="18"/>
                <w:lang w:eastAsia="en-AU"/>
              </w:rPr>
            </w:pPr>
            <w:r w:rsidRPr="00E03421">
              <w:rPr>
                <w:rFonts w:cs="Arial"/>
                <w:color w:val="000000"/>
                <w:sz w:val="18"/>
                <w:szCs w:val="18"/>
                <w:lang w:eastAsia="en-AU"/>
              </w:rPr>
              <w:t xml:space="preserve">Protecting </w:t>
            </w:r>
            <w:proofErr w:type="spellStart"/>
            <w:r w:rsidRPr="00E03421">
              <w:rPr>
                <w:rFonts w:cs="Arial"/>
                <w:color w:val="000000"/>
                <w:sz w:val="18"/>
                <w:szCs w:val="18"/>
                <w:lang w:eastAsia="en-AU"/>
              </w:rPr>
              <w:t>Canberrans</w:t>
            </w:r>
            <w:proofErr w:type="spellEnd"/>
            <w:r w:rsidRPr="00E03421">
              <w:rPr>
                <w:rFonts w:cs="Arial"/>
                <w:color w:val="000000"/>
                <w:sz w:val="18"/>
                <w:szCs w:val="18"/>
                <w:lang w:eastAsia="en-AU"/>
              </w:rPr>
              <w:t xml:space="preserve"> from infectious diseases</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398</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165"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398</w:t>
            </w:r>
          </w:p>
        </w:tc>
        <w:tc>
          <w:tcPr>
            <w:tcW w:w="1280" w:type="dxa"/>
            <w:tcBorders>
              <w:top w:val="nil"/>
              <w:left w:val="nil"/>
              <w:bottom w:val="nil"/>
              <w:right w:val="nil"/>
            </w:tcBorders>
            <w:shd w:val="clear" w:color="auto" w:fill="auto"/>
            <w:noWrap/>
            <w:hideMark/>
          </w:tcPr>
          <w:p w:rsidR="00977B84" w:rsidRPr="00E03421" w:rsidRDefault="000B31F8" w:rsidP="00C000CE">
            <w:pPr>
              <w:spacing w:before="0" w:after="0"/>
              <w:jc w:val="right"/>
              <w:rPr>
                <w:rFonts w:cs="Arial"/>
                <w:color w:val="000000"/>
                <w:sz w:val="18"/>
                <w:szCs w:val="18"/>
                <w:lang w:eastAsia="en-AU"/>
              </w:rPr>
            </w:pPr>
            <w:r w:rsidRPr="00E03421">
              <w:rPr>
                <w:rFonts w:cs="Arial"/>
                <w:color w:val="000000"/>
                <w:sz w:val="18"/>
                <w:szCs w:val="18"/>
                <w:lang w:eastAsia="en-AU"/>
              </w:rPr>
              <w:t>Jun-</w:t>
            </w:r>
            <w:r w:rsidR="00E03421" w:rsidRPr="00E03421">
              <w:rPr>
                <w:rFonts w:cs="Arial"/>
                <w:color w:val="000000"/>
                <w:sz w:val="18"/>
                <w:szCs w:val="18"/>
                <w:lang w:eastAsia="en-AU"/>
              </w:rPr>
              <w:t>21</w:t>
            </w:r>
          </w:p>
        </w:tc>
      </w:tr>
      <w:tr w:rsidR="00977B84" w:rsidRPr="00E03421" w:rsidTr="00952B87">
        <w:trPr>
          <w:trHeight w:val="255"/>
        </w:trPr>
        <w:tc>
          <w:tcPr>
            <w:tcW w:w="3402" w:type="dxa"/>
            <w:tcBorders>
              <w:top w:val="nil"/>
              <w:left w:val="nil"/>
              <w:bottom w:val="nil"/>
              <w:right w:val="nil"/>
            </w:tcBorders>
            <w:shd w:val="clear" w:color="auto" w:fill="auto"/>
            <w:hideMark/>
          </w:tcPr>
          <w:p w:rsidR="00977B84" w:rsidRPr="00E03421" w:rsidRDefault="00977B84" w:rsidP="00977B84">
            <w:pPr>
              <w:spacing w:before="0" w:after="0"/>
              <w:rPr>
                <w:rFonts w:cs="Arial"/>
                <w:color w:val="000000"/>
                <w:sz w:val="18"/>
                <w:szCs w:val="18"/>
                <w:lang w:eastAsia="en-AU"/>
              </w:rPr>
            </w:pPr>
            <w:r w:rsidRPr="00E03421">
              <w:rPr>
                <w:rFonts w:cs="Arial"/>
                <w:color w:val="000000"/>
                <w:sz w:val="18"/>
                <w:szCs w:val="18"/>
                <w:lang w:eastAsia="en-AU"/>
              </w:rPr>
              <w:t>Training our future health workforce</w:t>
            </w:r>
          </w:p>
        </w:tc>
        <w:tc>
          <w:tcPr>
            <w:tcW w:w="1033" w:type="dxa"/>
            <w:tcBorders>
              <w:top w:val="nil"/>
              <w:left w:val="nil"/>
              <w:bottom w:val="nil"/>
              <w:right w:val="nil"/>
            </w:tcBorders>
            <w:shd w:val="clear" w:color="auto" w:fill="auto"/>
            <w:noWrap/>
            <w:hideMark/>
          </w:tcPr>
          <w:p w:rsidR="00977B84" w:rsidRPr="00E03421" w:rsidRDefault="00BC4B21" w:rsidP="00810A64">
            <w:pPr>
              <w:spacing w:before="0" w:after="0"/>
              <w:jc w:val="right"/>
              <w:rPr>
                <w:rFonts w:cs="Arial"/>
                <w:color w:val="000000"/>
                <w:sz w:val="18"/>
                <w:szCs w:val="18"/>
                <w:lang w:eastAsia="en-AU"/>
              </w:rPr>
            </w:pPr>
            <w:r w:rsidRPr="00E03421">
              <w:rPr>
                <w:rFonts w:cs="Arial"/>
                <w:color w:val="000000"/>
                <w:sz w:val="18"/>
                <w:szCs w:val="18"/>
                <w:lang w:eastAsia="en-AU"/>
              </w:rPr>
              <w:t>1</w:t>
            </w:r>
            <w:r w:rsidR="00904EBD" w:rsidRPr="00E03421">
              <w:rPr>
                <w:rFonts w:cs="Arial"/>
                <w:color w:val="000000"/>
                <w:sz w:val="18"/>
                <w:szCs w:val="18"/>
                <w:lang w:eastAsia="en-AU"/>
              </w:rPr>
              <w:t>,</w:t>
            </w:r>
            <w:r w:rsidR="00977B84" w:rsidRPr="00E03421">
              <w:rPr>
                <w:rFonts w:cs="Arial"/>
                <w:color w:val="000000"/>
                <w:sz w:val="18"/>
                <w:szCs w:val="18"/>
                <w:lang w:eastAsia="en-AU"/>
              </w:rPr>
              <w:t>200</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300</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165" w:type="dxa"/>
            <w:tcBorders>
              <w:top w:val="nil"/>
              <w:left w:val="nil"/>
              <w:bottom w:val="nil"/>
              <w:right w:val="nil"/>
            </w:tcBorders>
            <w:shd w:val="clear" w:color="auto" w:fill="auto"/>
            <w:noWrap/>
            <w:hideMark/>
          </w:tcPr>
          <w:p w:rsidR="00977B84" w:rsidRPr="00E03421" w:rsidRDefault="00BC4B21" w:rsidP="00810A64">
            <w:pPr>
              <w:spacing w:before="0" w:after="0"/>
              <w:jc w:val="right"/>
              <w:rPr>
                <w:rFonts w:cs="Arial"/>
                <w:color w:val="000000"/>
                <w:sz w:val="18"/>
                <w:szCs w:val="18"/>
                <w:lang w:eastAsia="en-AU"/>
              </w:rPr>
            </w:pPr>
            <w:r w:rsidRPr="00E03421">
              <w:rPr>
                <w:rFonts w:cs="Arial"/>
                <w:color w:val="000000"/>
                <w:sz w:val="18"/>
                <w:szCs w:val="18"/>
                <w:lang w:eastAsia="en-AU"/>
              </w:rPr>
              <w:t>1</w:t>
            </w:r>
            <w:r w:rsidR="00904EBD" w:rsidRPr="00E03421">
              <w:rPr>
                <w:rFonts w:cs="Arial"/>
                <w:color w:val="000000"/>
                <w:sz w:val="18"/>
                <w:szCs w:val="18"/>
                <w:lang w:eastAsia="en-AU"/>
              </w:rPr>
              <w:t>,</w:t>
            </w:r>
            <w:r w:rsidR="00977B84" w:rsidRPr="00E03421">
              <w:rPr>
                <w:rFonts w:cs="Arial"/>
                <w:color w:val="000000"/>
                <w:sz w:val="18"/>
                <w:szCs w:val="18"/>
                <w:lang w:eastAsia="en-AU"/>
              </w:rPr>
              <w:t>500</w:t>
            </w:r>
          </w:p>
        </w:tc>
        <w:tc>
          <w:tcPr>
            <w:tcW w:w="1280" w:type="dxa"/>
            <w:tcBorders>
              <w:top w:val="nil"/>
              <w:left w:val="nil"/>
              <w:bottom w:val="nil"/>
              <w:right w:val="nil"/>
            </w:tcBorders>
            <w:shd w:val="clear" w:color="auto" w:fill="auto"/>
            <w:noWrap/>
            <w:hideMark/>
          </w:tcPr>
          <w:p w:rsidR="00977B84" w:rsidRPr="00E03421" w:rsidRDefault="00E03421" w:rsidP="00810A64">
            <w:pPr>
              <w:spacing w:before="0" w:after="0"/>
              <w:jc w:val="right"/>
              <w:rPr>
                <w:rFonts w:cs="Arial"/>
                <w:color w:val="000000"/>
                <w:sz w:val="18"/>
                <w:szCs w:val="18"/>
                <w:lang w:eastAsia="en-AU"/>
              </w:rPr>
            </w:pPr>
            <w:r w:rsidRPr="00E03421">
              <w:rPr>
                <w:rFonts w:cs="Arial"/>
                <w:color w:val="000000"/>
                <w:sz w:val="18"/>
                <w:szCs w:val="18"/>
                <w:lang w:eastAsia="en-AU"/>
              </w:rPr>
              <w:t>Jun-20</w:t>
            </w:r>
          </w:p>
        </w:tc>
      </w:tr>
      <w:tr w:rsidR="00977B84" w:rsidRPr="00E03421" w:rsidTr="00952B87">
        <w:trPr>
          <w:trHeight w:val="480"/>
        </w:trPr>
        <w:tc>
          <w:tcPr>
            <w:tcW w:w="3402" w:type="dxa"/>
            <w:tcBorders>
              <w:top w:val="nil"/>
              <w:left w:val="nil"/>
              <w:bottom w:val="nil"/>
              <w:right w:val="nil"/>
            </w:tcBorders>
            <w:shd w:val="clear" w:color="auto" w:fill="auto"/>
            <w:hideMark/>
          </w:tcPr>
          <w:p w:rsidR="00977B84" w:rsidRPr="00E03421" w:rsidRDefault="001E63F5" w:rsidP="00977B84">
            <w:pPr>
              <w:spacing w:before="0" w:after="0"/>
              <w:rPr>
                <w:rFonts w:cs="Arial"/>
                <w:color w:val="000000"/>
                <w:sz w:val="18"/>
                <w:szCs w:val="18"/>
                <w:lang w:eastAsia="en-AU"/>
              </w:rPr>
            </w:pPr>
            <w:r w:rsidRPr="00E03421">
              <w:rPr>
                <w:rFonts w:cs="Arial"/>
                <w:color w:val="000000"/>
                <w:sz w:val="18"/>
                <w:szCs w:val="18"/>
                <w:lang w:eastAsia="en-AU"/>
              </w:rPr>
              <w:t>Improve</w:t>
            </w:r>
            <w:r w:rsidR="00977B84" w:rsidRPr="00E03421">
              <w:rPr>
                <w:rFonts w:cs="Arial"/>
                <w:color w:val="000000"/>
                <w:sz w:val="18"/>
                <w:szCs w:val="18"/>
                <w:lang w:eastAsia="en-AU"/>
              </w:rPr>
              <w:t xml:space="preserve"> the Drugs and Poisons Information System (DAPIS)</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300</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165"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300</w:t>
            </w:r>
          </w:p>
        </w:tc>
        <w:tc>
          <w:tcPr>
            <w:tcW w:w="1280" w:type="dxa"/>
            <w:tcBorders>
              <w:top w:val="nil"/>
              <w:left w:val="nil"/>
              <w:bottom w:val="nil"/>
              <w:right w:val="nil"/>
            </w:tcBorders>
            <w:shd w:val="clear" w:color="auto" w:fill="auto"/>
            <w:noWrap/>
            <w:hideMark/>
          </w:tcPr>
          <w:p w:rsidR="00977B84" w:rsidRPr="00E03421" w:rsidRDefault="000B31F8" w:rsidP="00810A64">
            <w:pPr>
              <w:spacing w:before="0" w:after="0"/>
              <w:jc w:val="right"/>
              <w:rPr>
                <w:rFonts w:cs="Arial"/>
                <w:color w:val="000000"/>
                <w:sz w:val="18"/>
                <w:szCs w:val="18"/>
                <w:lang w:eastAsia="en-AU"/>
              </w:rPr>
            </w:pPr>
            <w:r w:rsidRPr="00E03421">
              <w:rPr>
                <w:rFonts w:cs="Arial"/>
                <w:color w:val="000000"/>
                <w:sz w:val="18"/>
                <w:szCs w:val="18"/>
                <w:lang w:eastAsia="en-AU"/>
              </w:rPr>
              <w:t>Jun-19</w:t>
            </w:r>
          </w:p>
        </w:tc>
      </w:tr>
      <w:tr w:rsidR="00977B84" w:rsidRPr="00E03421" w:rsidTr="00952B87">
        <w:trPr>
          <w:trHeight w:val="480"/>
        </w:trPr>
        <w:tc>
          <w:tcPr>
            <w:tcW w:w="3402" w:type="dxa"/>
            <w:tcBorders>
              <w:top w:val="nil"/>
              <w:left w:val="nil"/>
              <w:bottom w:val="nil"/>
              <w:right w:val="nil"/>
            </w:tcBorders>
            <w:shd w:val="clear" w:color="auto" w:fill="auto"/>
            <w:hideMark/>
          </w:tcPr>
          <w:p w:rsidR="00977B84" w:rsidRPr="00E03421" w:rsidRDefault="00977B84" w:rsidP="00977B84">
            <w:pPr>
              <w:spacing w:before="0" w:after="0"/>
              <w:rPr>
                <w:rFonts w:cs="Arial"/>
                <w:color w:val="000000"/>
                <w:sz w:val="18"/>
                <w:szCs w:val="18"/>
                <w:lang w:eastAsia="en-AU"/>
              </w:rPr>
            </w:pPr>
            <w:r w:rsidRPr="00E03421">
              <w:rPr>
                <w:rFonts w:cs="Arial"/>
                <w:color w:val="000000"/>
                <w:sz w:val="18"/>
                <w:szCs w:val="18"/>
                <w:lang w:eastAsia="en-AU"/>
              </w:rPr>
              <w:t>Upgrading and maintaining ACT Health assets</w:t>
            </w:r>
          </w:p>
        </w:tc>
        <w:tc>
          <w:tcPr>
            <w:tcW w:w="1033" w:type="dxa"/>
            <w:tcBorders>
              <w:top w:val="nil"/>
              <w:left w:val="nil"/>
              <w:bottom w:val="nil"/>
              <w:right w:val="nil"/>
            </w:tcBorders>
            <w:shd w:val="clear" w:color="auto" w:fill="auto"/>
            <w:noWrap/>
            <w:hideMark/>
          </w:tcPr>
          <w:p w:rsidR="00977B84" w:rsidRPr="00E03421" w:rsidRDefault="00BC4B21" w:rsidP="00810A64">
            <w:pPr>
              <w:spacing w:before="0" w:after="0"/>
              <w:jc w:val="right"/>
              <w:rPr>
                <w:rFonts w:cs="Arial"/>
                <w:color w:val="000000"/>
                <w:sz w:val="18"/>
                <w:szCs w:val="18"/>
                <w:lang w:eastAsia="en-AU"/>
              </w:rPr>
            </w:pPr>
            <w:r w:rsidRPr="00E03421">
              <w:rPr>
                <w:rFonts w:cs="Arial"/>
                <w:color w:val="000000"/>
                <w:sz w:val="18"/>
                <w:szCs w:val="18"/>
                <w:lang w:eastAsia="en-AU"/>
              </w:rPr>
              <w:t>28</w:t>
            </w:r>
            <w:r w:rsidR="00904EBD" w:rsidRPr="00E03421">
              <w:rPr>
                <w:rFonts w:cs="Arial"/>
                <w:color w:val="000000"/>
                <w:sz w:val="18"/>
                <w:szCs w:val="18"/>
                <w:lang w:eastAsia="en-AU"/>
              </w:rPr>
              <w:t>,</w:t>
            </w:r>
            <w:r w:rsidR="00977B84" w:rsidRPr="00E03421">
              <w:rPr>
                <w:rFonts w:cs="Arial"/>
                <w:color w:val="000000"/>
                <w:sz w:val="18"/>
                <w:szCs w:val="18"/>
                <w:lang w:eastAsia="en-AU"/>
              </w:rPr>
              <w:t>946</w:t>
            </w:r>
          </w:p>
        </w:tc>
        <w:tc>
          <w:tcPr>
            <w:tcW w:w="1033" w:type="dxa"/>
            <w:tcBorders>
              <w:top w:val="nil"/>
              <w:left w:val="nil"/>
              <w:bottom w:val="nil"/>
              <w:right w:val="nil"/>
            </w:tcBorders>
            <w:shd w:val="clear" w:color="auto" w:fill="auto"/>
            <w:noWrap/>
            <w:hideMark/>
          </w:tcPr>
          <w:p w:rsidR="00977B84" w:rsidRPr="00E03421" w:rsidRDefault="00977B84" w:rsidP="00BC4B21">
            <w:pPr>
              <w:spacing w:before="0" w:after="0"/>
              <w:jc w:val="right"/>
              <w:rPr>
                <w:rFonts w:cs="Arial"/>
                <w:color w:val="000000"/>
                <w:sz w:val="18"/>
                <w:szCs w:val="18"/>
                <w:lang w:eastAsia="en-AU"/>
              </w:rPr>
            </w:pPr>
            <w:r w:rsidRPr="00E03421">
              <w:rPr>
                <w:rFonts w:cs="Arial"/>
                <w:color w:val="000000"/>
                <w:sz w:val="18"/>
                <w:szCs w:val="18"/>
                <w:lang w:eastAsia="en-AU"/>
              </w:rPr>
              <w:t>35</w:t>
            </w:r>
            <w:r w:rsidR="00904EBD" w:rsidRPr="00E03421">
              <w:rPr>
                <w:rFonts w:cs="Arial"/>
                <w:color w:val="000000"/>
                <w:sz w:val="18"/>
                <w:szCs w:val="18"/>
                <w:lang w:eastAsia="en-AU"/>
              </w:rPr>
              <w:t>,</w:t>
            </w:r>
            <w:r w:rsidRPr="00E03421">
              <w:rPr>
                <w:rFonts w:cs="Arial"/>
                <w:color w:val="000000"/>
                <w:sz w:val="18"/>
                <w:szCs w:val="18"/>
                <w:lang w:eastAsia="en-AU"/>
              </w:rPr>
              <w:t>321</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165" w:type="dxa"/>
            <w:tcBorders>
              <w:top w:val="nil"/>
              <w:left w:val="nil"/>
              <w:bottom w:val="nil"/>
              <w:right w:val="nil"/>
            </w:tcBorders>
            <w:shd w:val="clear" w:color="auto" w:fill="auto"/>
            <w:noWrap/>
            <w:hideMark/>
          </w:tcPr>
          <w:p w:rsidR="00977B84" w:rsidRPr="00E03421" w:rsidRDefault="00977B84" w:rsidP="00BC4B21">
            <w:pPr>
              <w:spacing w:before="0" w:after="0"/>
              <w:jc w:val="right"/>
              <w:rPr>
                <w:rFonts w:cs="Arial"/>
                <w:color w:val="000000"/>
                <w:sz w:val="18"/>
                <w:szCs w:val="18"/>
                <w:lang w:eastAsia="en-AU"/>
              </w:rPr>
            </w:pPr>
            <w:r w:rsidRPr="00E03421">
              <w:rPr>
                <w:rFonts w:cs="Arial"/>
                <w:color w:val="000000"/>
                <w:sz w:val="18"/>
                <w:szCs w:val="18"/>
                <w:lang w:eastAsia="en-AU"/>
              </w:rPr>
              <w:t>64</w:t>
            </w:r>
            <w:r w:rsidR="00904EBD" w:rsidRPr="00E03421">
              <w:rPr>
                <w:rFonts w:cs="Arial"/>
                <w:color w:val="000000"/>
                <w:sz w:val="18"/>
                <w:szCs w:val="18"/>
                <w:lang w:eastAsia="en-AU"/>
              </w:rPr>
              <w:t>,</w:t>
            </w:r>
            <w:r w:rsidRPr="00E03421">
              <w:rPr>
                <w:rFonts w:cs="Arial"/>
                <w:color w:val="000000"/>
                <w:sz w:val="18"/>
                <w:szCs w:val="18"/>
                <w:lang w:eastAsia="en-AU"/>
              </w:rPr>
              <w:t>267</w:t>
            </w:r>
          </w:p>
        </w:tc>
        <w:tc>
          <w:tcPr>
            <w:tcW w:w="1280" w:type="dxa"/>
            <w:tcBorders>
              <w:top w:val="nil"/>
              <w:left w:val="nil"/>
              <w:bottom w:val="nil"/>
              <w:right w:val="nil"/>
            </w:tcBorders>
            <w:shd w:val="clear" w:color="auto" w:fill="auto"/>
            <w:noWrap/>
            <w:hideMark/>
          </w:tcPr>
          <w:p w:rsidR="00977B84" w:rsidRPr="00E03421" w:rsidRDefault="000B31F8" w:rsidP="00810A64">
            <w:pPr>
              <w:spacing w:before="0" w:after="0"/>
              <w:jc w:val="right"/>
              <w:rPr>
                <w:rFonts w:cs="Arial"/>
                <w:color w:val="000000"/>
                <w:sz w:val="18"/>
                <w:szCs w:val="18"/>
                <w:lang w:eastAsia="en-AU"/>
              </w:rPr>
            </w:pPr>
            <w:r w:rsidRPr="00E03421">
              <w:rPr>
                <w:rFonts w:cs="Arial"/>
                <w:color w:val="000000"/>
                <w:sz w:val="18"/>
                <w:szCs w:val="18"/>
                <w:lang w:eastAsia="en-AU"/>
              </w:rPr>
              <w:t>Nov</w:t>
            </w:r>
            <w:r w:rsidR="00977B84" w:rsidRPr="00E03421">
              <w:rPr>
                <w:rFonts w:cs="Arial"/>
                <w:color w:val="000000"/>
                <w:sz w:val="18"/>
                <w:szCs w:val="18"/>
                <w:lang w:eastAsia="en-AU"/>
              </w:rPr>
              <w:t>-19</w:t>
            </w:r>
          </w:p>
        </w:tc>
      </w:tr>
      <w:tr w:rsidR="00977B84" w:rsidRPr="00E03421" w:rsidTr="00952B87">
        <w:trPr>
          <w:trHeight w:val="480"/>
        </w:trPr>
        <w:tc>
          <w:tcPr>
            <w:tcW w:w="3402" w:type="dxa"/>
            <w:tcBorders>
              <w:top w:val="nil"/>
              <w:left w:val="nil"/>
              <w:bottom w:val="nil"/>
              <w:right w:val="nil"/>
            </w:tcBorders>
            <w:shd w:val="clear" w:color="auto" w:fill="auto"/>
            <w:hideMark/>
          </w:tcPr>
          <w:p w:rsidR="00977B84" w:rsidRPr="00E03421" w:rsidRDefault="00977B84" w:rsidP="00977B84">
            <w:pPr>
              <w:spacing w:before="0" w:after="0"/>
              <w:rPr>
                <w:rFonts w:cs="Arial"/>
                <w:color w:val="000000"/>
                <w:sz w:val="18"/>
                <w:szCs w:val="18"/>
                <w:lang w:eastAsia="en-AU"/>
              </w:rPr>
            </w:pPr>
            <w:r w:rsidRPr="00E03421">
              <w:rPr>
                <w:rFonts w:cs="Arial"/>
                <w:color w:val="000000"/>
                <w:sz w:val="18"/>
                <w:szCs w:val="18"/>
                <w:lang w:eastAsia="en-AU"/>
              </w:rPr>
              <w:t>Clinical Services and Inpatient Unit Design and Infrastructure Expansion</w:t>
            </w:r>
          </w:p>
        </w:tc>
        <w:tc>
          <w:tcPr>
            <w:tcW w:w="1033" w:type="dxa"/>
            <w:tcBorders>
              <w:top w:val="nil"/>
              <w:left w:val="nil"/>
              <w:bottom w:val="nil"/>
              <w:right w:val="nil"/>
            </w:tcBorders>
            <w:shd w:val="clear" w:color="auto" w:fill="auto"/>
            <w:noWrap/>
            <w:hideMark/>
          </w:tcPr>
          <w:p w:rsidR="00977B84" w:rsidRPr="00E03421" w:rsidRDefault="00BC4B21" w:rsidP="00810A64">
            <w:pPr>
              <w:spacing w:before="0" w:after="0"/>
              <w:jc w:val="right"/>
              <w:rPr>
                <w:rFonts w:cs="Arial"/>
                <w:color w:val="000000"/>
                <w:sz w:val="18"/>
                <w:szCs w:val="18"/>
                <w:lang w:eastAsia="en-AU"/>
              </w:rPr>
            </w:pPr>
            <w:r w:rsidRPr="00E03421">
              <w:rPr>
                <w:rFonts w:cs="Arial"/>
                <w:color w:val="000000"/>
                <w:sz w:val="18"/>
                <w:szCs w:val="18"/>
                <w:lang w:eastAsia="en-AU"/>
              </w:rPr>
              <w:t>2</w:t>
            </w:r>
            <w:r w:rsidR="00904EBD" w:rsidRPr="00E03421">
              <w:rPr>
                <w:rFonts w:cs="Arial"/>
                <w:color w:val="000000"/>
                <w:sz w:val="18"/>
                <w:szCs w:val="18"/>
                <w:lang w:eastAsia="en-AU"/>
              </w:rPr>
              <w:t>,</w:t>
            </w:r>
            <w:r w:rsidR="00977B84" w:rsidRPr="00E03421">
              <w:rPr>
                <w:rFonts w:cs="Arial"/>
                <w:color w:val="000000"/>
                <w:sz w:val="18"/>
                <w:szCs w:val="18"/>
                <w:lang w:eastAsia="en-AU"/>
              </w:rPr>
              <w:t>408</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923</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165" w:type="dxa"/>
            <w:tcBorders>
              <w:top w:val="nil"/>
              <w:left w:val="nil"/>
              <w:bottom w:val="nil"/>
              <w:right w:val="nil"/>
            </w:tcBorders>
            <w:shd w:val="clear" w:color="auto" w:fill="auto"/>
            <w:noWrap/>
            <w:hideMark/>
          </w:tcPr>
          <w:p w:rsidR="00977B84" w:rsidRPr="00E03421" w:rsidRDefault="00BC4B21" w:rsidP="00810A64">
            <w:pPr>
              <w:spacing w:before="0" w:after="0"/>
              <w:jc w:val="right"/>
              <w:rPr>
                <w:rFonts w:cs="Arial"/>
                <w:color w:val="000000"/>
                <w:sz w:val="18"/>
                <w:szCs w:val="18"/>
                <w:lang w:eastAsia="en-AU"/>
              </w:rPr>
            </w:pPr>
            <w:r w:rsidRPr="00E03421">
              <w:rPr>
                <w:rFonts w:cs="Arial"/>
                <w:color w:val="000000"/>
                <w:sz w:val="18"/>
                <w:szCs w:val="18"/>
                <w:lang w:eastAsia="en-AU"/>
              </w:rPr>
              <w:t>3</w:t>
            </w:r>
            <w:r w:rsidR="00904EBD" w:rsidRPr="00E03421">
              <w:rPr>
                <w:rFonts w:cs="Arial"/>
                <w:color w:val="000000"/>
                <w:sz w:val="18"/>
                <w:szCs w:val="18"/>
                <w:lang w:eastAsia="en-AU"/>
              </w:rPr>
              <w:t>,</w:t>
            </w:r>
            <w:r w:rsidR="00977B84" w:rsidRPr="00E03421">
              <w:rPr>
                <w:rFonts w:cs="Arial"/>
                <w:color w:val="000000"/>
                <w:sz w:val="18"/>
                <w:szCs w:val="18"/>
                <w:lang w:eastAsia="en-AU"/>
              </w:rPr>
              <w:t>331</w:t>
            </w:r>
          </w:p>
        </w:tc>
        <w:tc>
          <w:tcPr>
            <w:tcW w:w="1280" w:type="dxa"/>
            <w:tcBorders>
              <w:top w:val="nil"/>
              <w:left w:val="nil"/>
              <w:bottom w:val="nil"/>
              <w:right w:val="nil"/>
            </w:tcBorders>
            <w:shd w:val="clear" w:color="auto" w:fill="auto"/>
            <w:noWrap/>
            <w:hideMark/>
          </w:tcPr>
          <w:p w:rsidR="00977B84" w:rsidRPr="00E03421" w:rsidRDefault="00F62693" w:rsidP="00810A64">
            <w:pPr>
              <w:spacing w:before="0" w:after="0"/>
              <w:jc w:val="right"/>
              <w:rPr>
                <w:rFonts w:cs="Arial"/>
                <w:color w:val="000000"/>
                <w:sz w:val="18"/>
                <w:szCs w:val="18"/>
                <w:lang w:eastAsia="en-AU"/>
              </w:rPr>
            </w:pPr>
            <w:r>
              <w:rPr>
                <w:rFonts w:cs="Arial"/>
                <w:color w:val="000000"/>
                <w:sz w:val="18"/>
                <w:szCs w:val="18"/>
                <w:lang w:eastAsia="en-AU"/>
              </w:rPr>
              <w:t>Jun</w:t>
            </w:r>
            <w:r w:rsidR="000B31F8" w:rsidRPr="00E03421">
              <w:rPr>
                <w:rFonts w:cs="Arial"/>
                <w:color w:val="000000"/>
                <w:sz w:val="18"/>
                <w:szCs w:val="18"/>
                <w:lang w:eastAsia="en-AU"/>
              </w:rPr>
              <w:t>-18</w:t>
            </w:r>
          </w:p>
        </w:tc>
      </w:tr>
      <w:tr w:rsidR="00977B84" w:rsidRPr="00E03421" w:rsidTr="00952B87">
        <w:trPr>
          <w:trHeight w:val="480"/>
        </w:trPr>
        <w:tc>
          <w:tcPr>
            <w:tcW w:w="3402" w:type="dxa"/>
            <w:tcBorders>
              <w:top w:val="nil"/>
              <w:left w:val="nil"/>
              <w:bottom w:val="nil"/>
              <w:right w:val="nil"/>
            </w:tcBorders>
            <w:shd w:val="clear" w:color="auto" w:fill="auto"/>
            <w:hideMark/>
          </w:tcPr>
          <w:p w:rsidR="00977B84" w:rsidRPr="00E03421" w:rsidRDefault="00977B84" w:rsidP="005D7538">
            <w:pPr>
              <w:spacing w:before="0" w:after="0"/>
              <w:rPr>
                <w:rFonts w:cs="Arial"/>
                <w:color w:val="000000"/>
                <w:sz w:val="18"/>
                <w:szCs w:val="18"/>
                <w:lang w:eastAsia="en-AU"/>
              </w:rPr>
            </w:pPr>
            <w:r w:rsidRPr="00E03421">
              <w:rPr>
                <w:rFonts w:cs="Arial"/>
                <w:color w:val="000000"/>
                <w:sz w:val="18"/>
                <w:szCs w:val="18"/>
                <w:lang w:eastAsia="en-AU"/>
              </w:rPr>
              <w:t xml:space="preserve">Continuity of Health Services Plan </w:t>
            </w:r>
            <w:r w:rsidR="005D7538">
              <w:rPr>
                <w:rFonts w:cs="Arial"/>
                <w:color w:val="000000"/>
                <w:sz w:val="18"/>
                <w:szCs w:val="18"/>
                <w:lang w:eastAsia="en-AU"/>
              </w:rPr>
              <w:t>-</w:t>
            </w:r>
            <w:r w:rsidRPr="00E03421">
              <w:rPr>
                <w:rFonts w:cs="Arial"/>
                <w:color w:val="000000"/>
                <w:sz w:val="18"/>
                <w:szCs w:val="18"/>
                <w:lang w:eastAsia="en-AU"/>
              </w:rPr>
              <w:t xml:space="preserve"> Essential Infrastructure</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815</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165"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815</w:t>
            </w:r>
          </w:p>
        </w:tc>
        <w:tc>
          <w:tcPr>
            <w:tcW w:w="1280" w:type="dxa"/>
            <w:tcBorders>
              <w:top w:val="nil"/>
              <w:left w:val="nil"/>
              <w:bottom w:val="nil"/>
              <w:right w:val="nil"/>
            </w:tcBorders>
            <w:shd w:val="clear" w:color="auto" w:fill="auto"/>
            <w:noWrap/>
            <w:hideMark/>
          </w:tcPr>
          <w:p w:rsidR="00977B84" w:rsidRPr="00E03421" w:rsidRDefault="00660ABC" w:rsidP="00810A64">
            <w:pPr>
              <w:spacing w:before="0" w:after="0"/>
              <w:jc w:val="right"/>
              <w:rPr>
                <w:rFonts w:cs="Arial"/>
                <w:color w:val="000000"/>
                <w:sz w:val="18"/>
                <w:szCs w:val="18"/>
                <w:lang w:eastAsia="en-AU"/>
              </w:rPr>
            </w:pPr>
            <w:r w:rsidRPr="00E03421">
              <w:rPr>
                <w:rFonts w:cs="Arial"/>
                <w:color w:val="000000"/>
                <w:sz w:val="18"/>
                <w:szCs w:val="18"/>
                <w:lang w:eastAsia="en-AU"/>
              </w:rPr>
              <w:t>Mar-19</w:t>
            </w:r>
          </w:p>
        </w:tc>
      </w:tr>
      <w:tr w:rsidR="00977B84" w:rsidRPr="00E03421" w:rsidTr="00952B87">
        <w:trPr>
          <w:trHeight w:val="255"/>
        </w:trPr>
        <w:tc>
          <w:tcPr>
            <w:tcW w:w="3402" w:type="dxa"/>
            <w:tcBorders>
              <w:top w:val="nil"/>
              <w:left w:val="nil"/>
              <w:bottom w:val="nil"/>
              <w:right w:val="nil"/>
            </w:tcBorders>
            <w:shd w:val="clear" w:color="auto" w:fill="auto"/>
            <w:hideMark/>
          </w:tcPr>
          <w:p w:rsidR="00977B84" w:rsidRPr="00E03421" w:rsidRDefault="00977B84" w:rsidP="00977B84">
            <w:pPr>
              <w:spacing w:before="0" w:after="0"/>
              <w:rPr>
                <w:rFonts w:cs="Arial"/>
                <w:color w:val="000000"/>
                <w:sz w:val="18"/>
                <w:szCs w:val="18"/>
                <w:lang w:eastAsia="en-AU"/>
              </w:rPr>
            </w:pPr>
            <w:r w:rsidRPr="00E03421">
              <w:rPr>
                <w:rFonts w:cs="Arial"/>
                <w:color w:val="000000"/>
                <w:sz w:val="18"/>
                <w:szCs w:val="18"/>
                <w:lang w:eastAsia="en-AU"/>
              </w:rPr>
              <w:t>Secure Mental Health Unit</w:t>
            </w:r>
          </w:p>
        </w:tc>
        <w:tc>
          <w:tcPr>
            <w:tcW w:w="1033" w:type="dxa"/>
            <w:tcBorders>
              <w:top w:val="nil"/>
              <w:left w:val="nil"/>
              <w:bottom w:val="nil"/>
              <w:right w:val="nil"/>
            </w:tcBorders>
            <w:shd w:val="clear" w:color="auto" w:fill="auto"/>
            <w:noWrap/>
            <w:hideMark/>
          </w:tcPr>
          <w:p w:rsidR="00977B84" w:rsidRPr="00E03421" w:rsidRDefault="00BC4B21" w:rsidP="00810A64">
            <w:pPr>
              <w:spacing w:before="0" w:after="0"/>
              <w:jc w:val="right"/>
              <w:rPr>
                <w:rFonts w:cs="Arial"/>
                <w:color w:val="000000"/>
                <w:sz w:val="18"/>
                <w:szCs w:val="18"/>
                <w:lang w:eastAsia="en-AU"/>
              </w:rPr>
            </w:pPr>
            <w:r w:rsidRPr="00E03421">
              <w:rPr>
                <w:rFonts w:cs="Arial"/>
                <w:color w:val="000000"/>
                <w:sz w:val="18"/>
                <w:szCs w:val="18"/>
                <w:lang w:eastAsia="en-AU"/>
              </w:rPr>
              <w:t>1</w:t>
            </w:r>
            <w:r w:rsidR="00904EBD" w:rsidRPr="00E03421">
              <w:rPr>
                <w:rFonts w:cs="Arial"/>
                <w:color w:val="000000"/>
                <w:sz w:val="18"/>
                <w:szCs w:val="18"/>
                <w:lang w:eastAsia="en-AU"/>
              </w:rPr>
              <w:t>,</w:t>
            </w:r>
            <w:r w:rsidR="00977B84" w:rsidRPr="00E03421">
              <w:rPr>
                <w:rFonts w:cs="Arial"/>
                <w:color w:val="000000"/>
                <w:sz w:val="18"/>
                <w:szCs w:val="18"/>
                <w:lang w:eastAsia="en-AU"/>
              </w:rPr>
              <w:t>287</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165" w:type="dxa"/>
            <w:tcBorders>
              <w:top w:val="nil"/>
              <w:left w:val="nil"/>
              <w:bottom w:val="nil"/>
              <w:right w:val="nil"/>
            </w:tcBorders>
            <w:shd w:val="clear" w:color="auto" w:fill="auto"/>
            <w:noWrap/>
            <w:hideMark/>
          </w:tcPr>
          <w:p w:rsidR="00977B84" w:rsidRPr="00E03421" w:rsidRDefault="00977B84" w:rsidP="00BC4B21">
            <w:pPr>
              <w:spacing w:before="0" w:after="0"/>
              <w:jc w:val="right"/>
              <w:rPr>
                <w:rFonts w:cs="Arial"/>
                <w:color w:val="000000"/>
                <w:sz w:val="18"/>
                <w:szCs w:val="18"/>
                <w:lang w:eastAsia="en-AU"/>
              </w:rPr>
            </w:pPr>
            <w:r w:rsidRPr="00E03421">
              <w:rPr>
                <w:rFonts w:cs="Arial"/>
                <w:color w:val="000000"/>
                <w:sz w:val="18"/>
                <w:szCs w:val="18"/>
                <w:lang w:eastAsia="en-AU"/>
              </w:rPr>
              <w:t>1</w:t>
            </w:r>
            <w:r w:rsidR="00904EBD" w:rsidRPr="00E03421">
              <w:rPr>
                <w:rFonts w:cs="Arial"/>
                <w:color w:val="000000"/>
                <w:sz w:val="18"/>
                <w:szCs w:val="18"/>
                <w:lang w:eastAsia="en-AU"/>
              </w:rPr>
              <w:t>,</w:t>
            </w:r>
            <w:r w:rsidRPr="00E03421">
              <w:rPr>
                <w:rFonts w:cs="Arial"/>
                <w:color w:val="000000"/>
                <w:sz w:val="18"/>
                <w:szCs w:val="18"/>
                <w:lang w:eastAsia="en-AU"/>
              </w:rPr>
              <w:t>287</w:t>
            </w:r>
          </w:p>
        </w:tc>
        <w:tc>
          <w:tcPr>
            <w:tcW w:w="1280" w:type="dxa"/>
            <w:tcBorders>
              <w:top w:val="nil"/>
              <w:left w:val="nil"/>
              <w:bottom w:val="nil"/>
              <w:right w:val="nil"/>
            </w:tcBorders>
            <w:shd w:val="clear" w:color="auto" w:fill="auto"/>
            <w:noWrap/>
            <w:hideMark/>
          </w:tcPr>
          <w:p w:rsidR="00977B84" w:rsidRPr="00E03421" w:rsidRDefault="00660ABC" w:rsidP="00810A64">
            <w:pPr>
              <w:spacing w:before="0" w:after="0"/>
              <w:jc w:val="right"/>
              <w:rPr>
                <w:rFonts w:cs="Arial"/>
                <w:color w:val="000000"/>
                <w:sz w:val="18"/>
                <w:szCs w:val="18"/>
                <w:lang w:eastAsia="en-AU"/>
              </w:rPr>
            </w:pPr>
            <w:r w:rsidRPr="00E03421">
              <w:rPr>
                <w:rFonts w:cs="Arial"/>
                <w:color w:val="000000"/>
                <w:sz w:val="18"/>
                <w:szCs w:val="18"/>
                <w:lang w:eastAsia="en-AU"/>
              </w:rPr>
              <w:t>Nov</w:t>
            </w:r>
            <w:r w:rsidR="00977B84" w:rsidRPr="00E03421">
              <w:rPr>
                <w:rFonts w:cs="Arial"/>
                <w:color w:val="000000"/>
                <w:sz w:val="18"/>
                <w:szCs w:val="18"/>
                <w:lang w:eastAsia="en-AU"/>
              </w:rPr>
              <w:t>-16</w:t>
            </w:r>
          </w:p>
        </w:tc>
      </w:tr>
      <w:tr w:rsidR="00977B84" w:rsidRPr="00E03421" w:rsidTr="00952B87">
        <w:trPr>
          <w:trHeight w:val="480"/>
        </w:trPr>
        <w:tc>
          <w:tcPr>
            <w:tcW w:w="3402" w:type="dxa"/>
            <w:tcBorders>
              <w:top w:val="nil"/>
              <w:left w:val="nil"/>
              <w:bottom w:val="nil"/>
              <w:right w:val="nil"/>
            </w:tcBorders>
            <w:shd w:val="clear" w:color="auto" w:fill="auto"/>
            <w:hideMark/>
          </w:tcPr>
          <w:p w:rsidR="00977B84" w:rsidRPr="00E03421" w:rsidRDefault="00977B84" w:rsidP="005D7538">
            <w:pPr>
              <w:spacing w:before="0" w:after="0"/>
              <w:rPr>
                <w:rFonts w:cs="Arial"/>
                <w:color w:val="000000"/>
                <w:sz w:val="18"/>
                <w:szCs w:val="18"/>
                <w:lang w:eastAsia="en-AU"/>
              </w:rPr>
            </w:pPr>
            <w:r w:rsidRPr="00E03421">
              <w:rPr>
                <w:rFonts w:cs="Arial"/>
                <w:color w:val="000000"/>
                <w:sz w:val="18"/>
                <w:szCs w:val="18"/>
                <w:lang w:eastAsia="en-AU"/>
              </w:rPr>
              <w:t xml:space="preserve">Sterilising Services </w:t>
            </w:r>
            <w:r w:rsidR="005D7538">
              <w:rPr>
                <w:rFonts w:cs="Arial"/>
                <w:color w:val="000000"/>
                <w:sz w:val="18"/>
                <w:szCs w:val="18"/>
                <w:lang w:eastAsia="en-AU"/>
              </w:rPr>
              <w:t>-</w:t>
            </w:r>
            <w:r w:rsidRPr="00E03421">
              <w:rPr>
                <w:rFonts w:cs="Arial"/>
                <w:color w:val="000000"/>
                <w:sz w:val="18"/>
                <w:szCs w:val="18"/>
                <w:lang w:eastAsia="en-AU"/>
              </w:rPr>
              <w:t xml:space="preserve"> Relocation and upgrade</w:t>
            </w:r>
          </w:p>
        </w:tc>
        <w:tc>
          <w:tcPr>
            <w:tcW w:w="1033" w:type="dxa"/>
            <w:tcBorders>
              <w:top w:val="nil"/>
              <w:left w:val="nil"/>
              <w:bottom w:val="nil"/>
              <w:right w:val="nil"/>
            </w:tcBorders>
            <w:shd w:val="clear" w:color="auto" w:fill="auto"/>
            <w:noWrap/>
            <w:hideMark/>
          </w:tcPr>
          <w:p w:rsidR="00977B84" w:rsidRPr="00E03421" w:rsidRDefault="00977B84" w:rsidP="00BC4B21">
            <w:pPr>
              <w:spacing w:before="0" w:after="0"/>
              <w:jc w:val="right"/>
              <w:rPr>
                <w:rFonts w:cs="Arial"/>
                <w:color w:val="000000"/>
                <w:sz w:val="18"/>
                <w:szCs w:val="18"/>
                <w:lang w:eastAsia="en-AU"/>
              </w:rPr>
            </w:pPr>
            <w:r w:rsidRPr="00E03421">
              <w:rPr>
                <w:rFonts w:cs="Arial"/>
                <w:color w:val="000000"/>
                <w:sz w:val="18"/>
                <w:szCs w:val="18"/>
                <w:lang w:eastAsia="en-AU"/>
              </w:rPr>
              <w:t>5</w:t>
            </w:r>
            <w:r w:rsidR="00904EBD" w:rsidRPr="00E03421">
              <w:rPr>
                <w:rFonts w:cs="Arial"/>
                <w:color w:val="000000"/>
                <w:sz w:val="18"/>
                <w:szCs w:val="18"/>
                <w:lang w:eastAsia="en-AU"/>
              </w:rPr>
              <w:t>,</w:t>
            </w:r>
            <w:r w:rsidRPr="00E03421">
              <w:rPr>
                <w:rFonts w:cs="Arial"/>
                <w:color w:val="000000"/>
                <w:sz w:val="18"/>
                <w:szCs w:val="18"/>
                <w:lang w:eastAsia="en-AU"/>
              </w:rPr>
              <w:t>582</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165" w:type="dxa"/>
            <w:tcBorders>
              <w:top w:val="nil"/>
              <w:left w:val="nil"/>
              <w:bottom w:val="nil"/>
              <w:right w:val="nil"/>
            </w:tcBorders>
            <w:shd w:val="clear" w:color="auto" w:fill="auto"/>
            <w:noWrap/>
            <w:hideMark/>
          </w:tcPr>
          <w:p w:rsidR="00977B84" w:rsidRPr="00E03421" w:rsidRDefault="00977B84" w:rsidP="00BC4B21">
            <w:pPr>
              <w:spacing w:before="0" w:after="0"/>
              <w:jc w:val="right"/>
              <w:rPr>
                <w:rFonts w:cs="Arial"/>
                <w:color w:val="000000"/>
                <w:sz w:val="18"/>
                <w:szCs w:val="18"/>
                <w:lang w:eastAsia="en-AU"/>
              </w:rPr>
            </w:pPr>
            <w:r w:rsidRPr="00E03421">
              <w:rPr>
                <w:rFonts w:cs="Arial"/>
                <w:color w:val="000000"/>
                <w:sz w:val="18"/>
                <w:szCs w:val="18"/>
                <w:lang w:eastAsia="en-AU"/>
              </w:rPr>
              <w:t>5</w:t>
            </w:r>
            <w:r w:rsidR="00904EBD" w:rsidRPr="00E03421">
              <w:rPr>
                <w:rFonts w:cs="Arial"/>
                <w:color w:val="000000"/>
                <w:sz w:val="18"/>
                <w:szCs w:val="18"/>
                <w:lang w:eastAsia="en-AU"/>
              </w:rPr>
              <w:t>,</w:t>
            </w:r>
            <w:r w:rsidRPr="00E03421">
              <w:rPr>
                <w:rFonts w:cs="Arial"/>
                <w:color w:val="000000"/>
                <w:sz w:val="18"/>
                <w:szCs w:val="18"/>
                <w:lang w:eastAsia="en-AU"/>
              </w:rPr>
              <w:t>582</w:t>
            </w:r>
          </w:p>
        </w:tc>
        <w:tc>
          <w:tcPr>
            <w:tcW w:w="1280"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Jun-19</w:t>
            </w:r>
          </w:p>
        </w:tc>
      </w:tr>
      <w:tr w:rsidR="00977B84" w:rsidRPr="00E03421" w:rsidTr="00952B87">
        <w:trPr>
          <w:trHeight w:val="238"/>
        </w:trPr>
        <w:tc>
          <w:tcPr>
            <w:tcW w:w="3402" w:type="dxa"/>
            <w:tcBorders>
              <w:top w:val="nil"/>
              <w:left w:val="nil"/>
              <w:bottom w:val="nil"/>
              <w:right w:val="nil"/>
            </w:tcBorders>
            <w:shd w:val="clear" w:color="auto" w:fill="auto"/>
            <w:hideMark/>
          </w:tcPr>
          <w:p w:rsidR="00977B84" w:rsidRPr="00E03421" w:rsidRDefault="00977B84" w:rsidP="001E63F5">
            <w:pPr>
              <w:spacing w:before="0" w:after="0"/>
              <w:rPr>
                <w:rFonts w:cs="Arial"/>
                <w:color w:val="000000"/>
                <w:sz w:val="18"/>
                <w:szCs w:val="18"/>
                <w:lang w:eastAsia="en-AU"/>
              </w:rPr>
            </w:pPr>
            <w:r w:rsidRPr="00E03421">
              <w:rPr>
                <w:rFonts w:cs="Arial"/>
                <w:color w:val="000000"/>
                <w:sz w:val="18"/>
                <w:szCs w:val="18"/>
                <w:lang w:eastAsia="en-AU"/>
              </w:rPr>
              <w:t xml:space="preserve">University of Canberra </w:t>
            </w:r>
            <w:r w:rsidR="001E63F5" w:rsidRPr="00E03421">
              <w:rPr>
                <w:rFonts w:cs="Arial"/>
                <w:color w:val="000000"/>
                <w:sz w:val="18"/>
                <w:szCs w:val="18"/>
                <w:lang w:eastAsia="en-AU"/>
              </w:rPr>
              <w:t>H</w:t>
            </w:r>
            <w:r w:rsidRPr="00E03421">
              <w:rPr>
                <w:rFonts w:cs="Arial"/>
                <w:color w:val="000000"/>
                <w:sz w:val="18"/>
                <w:szCs w:val="18"/>
                <w:lang w:eastAsia="en-AU"/>
              </w:rPr>
              <w:t>ospital</w:t>
            </w:r>
          </w:p>
        </w:tc>
        <w:tc>
          <w:tcPr>
            <w:tcW w:w="1033" w:type="dxa"/>
            <w:tcBorders>
              <w:top w:val="nil"/>
              <w:left w:val="nil"/>
              <w:bottom w:val="nil"/>
              <w:right w:val="nil"/>
            </w:tcBorders>
            <w:shd w:val="clear" w:color="auto" w:fill="auto"/>
            <w:noWrap/>
            <w:hideMark/>
          </w:tcPr>
          <w:p w:rsidR="00977B84" w:rsidRPr="00E03421" w:rsidRDefault="00BC4B21" w:rsidP="00810A64">
            <w:pPr>
              <w:spacing w:before="0" w:after="0"/>
              <w:jc w:val="right"/>
              <w:rPr>
                <w:rFonts w:cs="Arial"/>
                <w:color w:val="000000"/>
                <w:sz w:val="18"/>
                <w:szCs w:val="18"/>
                <w:lang w:eastAsia="en-AU"/>
              </w:rPr>
            </w:pPr>
            <w:r w:rsidRPr="00E03421">
              <w:rPr>
                <w:rFonts w:cs="Arial"/>
                <w:color w:val="000000"/>
                <w:sz w:val="18"/>
                <w:szCs w:val="18"/>
                <w:lang w:eastAsia="en-AU"/>
              </w:rPr>
              <w:t>14</w:t>
            </w:r>
            <w:r w:rsidR="00904EBD" w:rsidRPr="00E03421">
              <w:rPr>
                <w:rFonts w:cs="Arial"/>
                <w:color w:val="000000"/>
                <w:sz w:val="18"/>
                <w:szCs w:val="18"/>
                <w:lang w:eastAsia="en-AU"/>
              </w:rPr>
              <w:t>,</w:t>
            </w:r>
            <w:r w:rsidR="00977B84" w:rsidRPr="00E03421">
              <w:rPr>
                <w:rFonts w:cs="Arial"/>
                <w:color w:val="000000"/>
                <w:sz w:val="18"/>
                <w:szCs w:val="18"/>
                <w:lang w:eastAsia="en-AU"/>
              </w:rPr>
              <w:t>984</w:t>
            </w:r>
          </w:p>
        </w:tc>
        <w:tc>
          <w:tcPr>
            <w:tcW w:w="1033" w:type="dxa"/>
            <w:tcBorders>
              <w:top w:val="nil"/>
              <w:left w:val="nil"/>
              <w:bottom w:val="nil"/>
              <w:right w:val="nil"/>
            </w:tcBorders>
            <w:shd w:val="clear" w:color="auto" w:fill="auto"/>
            <w:noWrap/>
            <w:hideMark/>
          </w:tcPr>
          <w:p w:rsidR="00977B84" w:rsidRPr="00E03421" w:rsidRDefault="00BC4B21" w:rsidP="00810A64">
            <w:pPr>
              <w:spacing w:before="0" w:after="0"/>
              <w:jc w:val="right"/>
              <w:rPr>
                <w:rFonts w:cs="Arial"/>
                <w:color w:val="000000"/>
                <w:sz w:val="18"/>
                <w:szCs w:val="18"/>
                <w:lang w:eastAsia="en-AU"/>
              </w:rPr>
            </w:pPr>
            <w:r w:rsidRPr="00E03421">
              <w:rPr>
                <w:rFonts w:cs="Arial"/>
                <w:color w:val="000000"/>
                <w:sz w:val="18"/>
                <w:szCs w:val="18"/>
                <w:lang w:eastAsia="en-AU"/>
              </w:rPr>
              <w:t>20</w:t>
            </w:r>
            <w:r w:rsidR="00904EBD" w:rsidRPr="00E03421">
              <w:rPr>
                <w:rFonts w:cs="Arial"/>
                <w:color w:val="000000"/>
                <w:sz w:val="18"/>
                <w:szCs w:val="18"/>
                <w:lang w:eastAsia="en-AU"/>
              </w:rPr>
              <w:t>,</w:t>
            </w:r>
            <w:r w:rsidR="00977B84" w:rsidRPr="00E03421">
              <w:rPr>
                <w:rFonts w:cs="Arial"/>
                <w:color w:val="000000"/>
                <w:sz w:val="18"/>
                <w:szCs w:val="18"/>
                <w:lang w:eastAsia="en-AU"/>
              </w:rPr>
              <w:t>268</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165" w:type="dxa"/>
            <w:tcBorders>
              <w:top w:val="nil"/>
              <w:left w:val="nil"/>
              <w:bottom w:val="nil"/>
              <w:right w:val="nil"/>
            </w:tcBorders>
            <w:shd w:val="clear" w:color="auto" w:fill="auto"/>
            <w:noWrap/>
            <w:hideMark/>
          </w:tcPr>
          <w:p w:rsidR="00977B84" w:rsidRPr="00E03421" w:rsidRDefault="00977B84" w:rsidP="00BC4B21">
            <w:pPr>
              <w:spacing w:before="0" w:after="0"/>
              <w:jc w:val="right"/>
              <w:rPr>
                <w:rFonts w:cs="Arial"/>
                <w:color w:val="000000"/>
                <w:sz w:val="18"/>
                <w:szCs w:val="18"/>
                <w:lang w:eastAsia="en-AU"/>
              </w:rPr>
            </w:pPr>
            <w:r w:rsidRPr="00E03421">
              <w:rPr>
                <w:rFonts w:cs="Arial"/>
                <w:color w:val="000000"/>
                <w:sz w:val="18"/>
                <w:szCs w:val="18"/>
                <w:lang w:eastAsia="en-AU"/>
              </w:rPr>
              <w:t>35</w:t>
            </w:r>
            <w:r w:rsidR="00904EBD" w:rsidRPr="00E03421">
              <w:rPr>
                <w:rFonts w:cs="Arial"/>
                <w:color w:val="000000"/>
                <w:sz w:val="18"/>
                <w:szCs w:val="18"/>
                <w:lang w:eastAsia="en-AU"/>
              </w:rPr>
              <w:t>,</w:t>
            </w:r>
            <w:r w:rsidRPr="00E03421">
              <w:rPr>
                <w:rFonts w:cs="Arial"/>
                <w:color w:val="000000"/>
                <w:sz w:val="18"/>
                <w:szCs w:val="18"/>
                <w:lang w:eastAsia="en-AU"/>
              </w:rPr>
              <w:t>252</w:t>
            </w:r>
          </w:p>
        </w:tc>
        <w:tc>
          <w:tcPr>
            <w:tcW w:w="1280" w:type="dxa"/>
            <w:tcBorders>
              <w:top w:val="nil"/>
              <w:left w:val="nil"/>
              <w:bottom w:val="nil"/>
              <w:right w:val="nil"/>
            </w:tcBorders>
            <w:shd w:val="clear" w:color="auto" w:fill="auto"/>
            <w:noWrap/>
            <w:hideMark/>
          </w:tcPr>
          <w:p w:rsidR="00977B84" w:rsidRPr="00E03421" w:rsidRDefault="00F62693" w:rsidP="00810A64">
            <w:pPr>
              <w:spacing w:before="0" w:after="0"/>
              <w:jc w:val="right"/>
              <w:rPr>
                <w:rFonts w:cs="Arial"/>
                <w:color w:val="000000"/>
                <w:sz w:val="18"/>
                <w:szCs w:val="18"/>
                <w:lang w:eastAsia="en-AU"/>
              </w:rPr>
            </w:pPr>
            <w:r>
              <w:rPr>
                <w:rFonts w:cs="Arial"/>
                <w:color w:val="000000"/>
                <w:sz w:val="18"/>
                <w:szCs w:val="18"/>
                <w:lang w:eastAsia="en-AU"/>
              </w:rPr>
              <w:t>Feb</w:t>
            </w:r>
            <w:r w:rsidR="000B31F8" w:rsidRPr="00E03421">
              <w:rPr>
                <w:rFonts w:cs="Arial"/>
                <w:color w:val="000000"/>
                <w:sz w:val="18"/>
                <w:szCs w:val="18"/>
                <w:lang w:eastAsia="en-AU"/>
              </w:rPr>
              <w:t>-18</w:t>
            </w:r>
          </w:p>
        </w:tc>
      </w:tr>
      <w:tr w:rsidR="00977B84" w:rsidRPr="00E03421" w:rsidTr="00952B87">
        <w:trPr>
          <w:trHeight w:val="714"/>
        </w:trPr>
        <w:tc>
          <w:tcPr>
            <w:tcW w:w="3402" w:type="dxa"/>
            <w:tcBorders>
              <w:top w:val="nil"/>
              <w:left w:val="nil"/>
              <w:bottom w:val="nil"/>
              <w:right w:val="nil"/>
            </w:tcBorders>
            <w:shd w:val="clear" w:color="auto" w:fill="auto"/>
            <w:hideMark/>
          </w:tcPr>
          <w:p w:rsidR="00977B84" w:rsidRPr="00E03421" w:rsidRDefault="00977B84" w:rsidP="00977B84">
            <w:pPr>
              <w:spacing w:before="0" w:after="0"/>
              <w:rPr>
                <w:rFonts w:cs="Arial"/>
                <w:color w:val="000000"/>
                <w:sz w:val="18"/>
                <w:szCs w:val="18"/>
                <w:lang w:eastAsia="en-AU"/>
              </w:rPr>
            </w:pPr>
            <w:r w:rsidRPr="00E03421">
              <w:rPr>
                <w:rFonts w:cs="Arial"/>
                <w:color w:val="000000"/>
                <w:sz w:val="18"/>
                <w:szCs w:val="18"/>
                <w:lang w:eastAsia="en-AU"/>
              </w:rPr>
              <w:t>Replacement of polyethylene aluminium composite panels - Centenary Hospital for Women and Children</w:t>
            </w:r>
          </w:p>
        </w:tc>
        <w:tc>
          <w:tcPr>
            <w:tcW w:w="1033" w:type="dxa"/>
            <w:tcBorders>
              <w:top w:val="nil"/>
              <w:left w:val="nil"/>
              <w:bottom w:val="nil"/>
              <w:right w:val="nil"/>
            </w:tcBorders>
            <w:shd w:val="clear" w:color="auto" w:fill="auto"/>
            <w:noWrap/>
            <w:hideMark/>
          </w:tcPr>
          <w:p w:rsidR="00977B84" w:rsidRPr="00E03421" w:rsidRDefault="00BC4B21" w:rsidP="00810A64">
            <w:pPr>
              <w:spacing w:before="0" w:after="0"/>
              <w:jc w:val="right"/>
              <w:rPr>
                <w:rFonts w:cs="Arial"/>
                <w:color w:val="000000"/>
                <w:sz w:val="18"/>
                <w:szCs w:val="18"/>
                <w:lang w:eastAsia="en-AU"/>
              </w:rPr>
            </w:pPr>
            <w:r w:rsidRPr="00E03421">
              <w:rPr>
                <w:rFonts w:cs="Arial"/>
                <w:color w:val="000000"/>
                <w:sz w:val="18"/>
                <w:szCs w:val="18"/>
                <w:lang w:eastAsia="en-AU"/>
              </w:rPr>
              <w:t>1</w:t>
            </w:r>
            <w:r w:rsidR="00904EBD" w:rsidRPr="00E03421">
              <w:rPr>
                <w:rFonts w:cs="Arial"/>
                <w:color w:val="000000"/>
                <w:sz w:val="18"/>
                <w:szCs w:val="18"/>
                <w:lang w:eastAsia="en-AU"/>
              </w:rPr>
              <w:t>,</w:t>
            </w:r>
            <w:r w:rsidR="00977B84" w:rsidRPr="00E03421">
              <w:rPr>
                <w:rFonts w:cs="Arial"/>
                <w:color w:val="000000"/>
                <w:sz w:val="18"/>
                <w:szCs w:val="18"/>
                <w:lang w:eastAsia="en-AU"/>
              </w:rPr>
              <w:t>321</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165" w:type="dxa"/>
            <w:tcBorders>
              <w:top w:val="nil"/>
              <w:left w:val="nil"/>
              <w:bottom w:val="nil"/>
              <w:right w:val="nil"/>
            </w:tcBorders>
            <w:shd w:val="clear" w:color="auto" w:fill="auto"/>
            <w:noWrap/>
            <w:hideMark/>
          </w:tcPr>
          <w:p w:rsidR="00977B84" w:rsidRPr="00E03421" w:rsidRDefault="00977B84" w:rsidP="00BC4B21">
            <w:pPr>
              <w:spacing w:before="0" w:after="0"/>
              <w:jc w:val="right"/>
              <w:rPr>
                <w:rFonts w:cs="Arial"/>
                <w:color w:val="000000"/>
                <w:sz w:val="18"/>
                <w:szCs w:val="18"/>
                <w:lang w:eastAsia="en-AU"/>
              </w:rPr>
            </w:pPr>
            <w:r w:rsidRPr="00E03421">
              <w:rPr>
                <w:rFonts w:cs="Arial"/>
                <w:color w:val="000000"/>
                <w:sz w:val="18"/>
                <w:szCs w:val="18"/>
                <w:lang w:eastAsia="en-AU"/>
              </w:rPr>
              <w:t>1</w:t>
            </w:r>
            <w:r w:rsidR="00904EBD" w:rsidRPr="00E03421">
              <w:rPr>
                <w:rFonts w:cs="Arial"/>
                <w:color w:val="000000"/>
                <w:sz w:val="18"/>
                <w:szCs w:val="18"/>
                <w:lang w:eastAsia="en-AU"/>
              </w:rPr>
              <w:t>,</w:t>
            </w:r>
            <w:r w:rsidRPr="00E03421">
              <w:rPr>
                <w:rFonts w:cs="Arial"/>
                <w:color w:val="000000"/>
                <w:sz w:val="18"/>
                <w:szCs w:val="18"/>
                <w:lang w:eastAsia="en-AU"/>
              </w:rPr>
              <w:t>321</w:t>
            </w:r>
          </w:p>
        </w:tc>
        <w:tc>
          <w:tcPr>
            <w:tcW w:w="1280" w:type="dxa"/>
            <w:tcBorders>
              <w:top w:val="nil"/>
              <w:left w:val="nil"/>
              <w:bottom w:val="nil"/>
              <w:right w:val="nil"/>
            </w:tcBorders>
            <w:shd w:val="clear" w:color="auto" w:fill="auto"/>
            <w:noWrap/>
            <w:hideMark/>
          </w:tcPr>
          <w:p w:rsidR="00977B84" w:rsidRPr="00E03421" w:rsidRDefault="000B31F8" w:rsidP="00810A64">
            <w:pPr>
              <w:spacing w:before="0" w:after="0"/>
              <w:jc w:val="right"/>
              <w:rPr>
                <w:rFonts w:cs="Arial"/>
                <w:color w:val="000000"/>
                <w:sz w:val="18"/>
                <w:szCs w:val="18"/>
                <w:lang w:eastAsia="en-AU"/>
              </w:rPr>
            </w:pPr>
            <w:r w:rsidRPr="00E03421">
              <w:rPr>
                <w:rFonts w:cs="Arial"/>
                <w:color w:val="000000"/>
                <w:sz w:val="18"/>
                <w:szCs w:val="18"/>
                <w:lang w:eastAsia="en-AU"/>
              </w:rPr>
              <w:t>Jul-18</w:t>
            </w:r>
          </w:p>
        </w:tc>
      </w:tr>
      <w:tr w:rsidR="00977B84" w:rsidRPr="00E03421" w:rsidTr="00952B87">
        <w:trPr>
          <w:trHeight w:val="255"/>
        </w:trPr>
        <w:tc>
          <w:tcPr>
            <w:tcW w:w="3402" w:type="dxa"/>
            <w:tcBorders>
              <w:top w:val="nil"/>
              <w:left w:val="nil"/>
              <w:bottom w:val="nil"/>
              <w:right w:val="nil"/>
            </w:tcBorders>
            <w:shd w:val="clear" w:color="auto" w:fill="auto"/>
            <w:hideMark/>
          </w:tcPr>
          <w:p w:rsidR="00977B84" w:rsidRPr="00E03421" w:rsidRDefault="00977B84" w:rsidP="001E63F5">
            <w:pPr>
              <w:spacing w:before="0" w:after="0"/>
              <w:rPr>
                <w:rFonts w:cs="Arial"/>
                <w:color w:val="000000"/>
                <w:sz w:val="18"/>
                <w:szCs w:val="18"/>
                <w:lang w:eastAsia="en-AU"/>
              </w:rPr>
            </w:pPr>
            <w:r w:rsidRPr="00E03421">
              <w:rPr>
                <w:rFonts w:cs="Arial"/>
                <w:color w:val="000000"/>
                <w:sz w:val="18"/>
                <w:szCs w:val="18"/>
                <w:lang w:eastAsia="en-AU"/>
              </w:rPr>
              <w:t xml:space="preserve">Bowes </w:t>
            </w:r>
            <w:r w:rsidR="001E63F5" w:rsidRPr="00E03421">
              <w:rPr>
                <w:rFonts w:cs="Arial"/>
                <w:color w:val="000000"/>
                <w:sz w:val="18"/>
                <w:szCs w:val="18"/>
                <w:lang w:eastAsia="en-AU"/>
              </w:rPr>
              <w:t>S</w:t>
            </w:r>
            <w:r w:rsidRPr="00E03421">
              <w:rPr>
                <w:rFonts w:cs="Arial"/>
                <w:color w:val="000000"/>
                <w:sz w:val="18"/>
                <w:szCs w:val="18"/>
                <w:lang w:eastAsia="en-AU"/>
              </w:rPr>
              <w:t>treet fit-out</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126</w:t>
            </w:r>
          </w:p>
        </w:tc>
        <w:tc>
          <w:tcPr>
            <w:tcW w:w="1033" w:type="dxa"/>
            <w:tcBorders>
              <w:top w:val="nil"/>
              <w:left w:val="nil"/>
              <w:bottom w:val="nil"/>
              <w:right w:val="nil"/>
            </w:tcBorders>
            <w:shd w:val="clear" w:color="auto" w:fill="auto"/>
            <w:noWrap/>
            <w:hideMark/>
          </w:tcPr>
          <w:p w:rsidR="00977B84" w:rsidRPr="00E03421" w:rsidRDefault="001A6BC2" w:rsidP="00810A64">
            <w:pPr>
              <w:spacing w:before="0" w:after="0"/>
              <w:jc w:val="right"/>
              <w:rPr>
                <w:rFonts w:cs="Arial"/>
                <w:color w:val="000000"/>
                <w:sz w:val="18"/>
                <w:szCs w:val="18"/>
                <w:lang w:eastAsia="en-AU"/>
              </w:rPr>
            </w:pPr>
            <w:r>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1A6BC2" w:rsidP="00810A64">
            <w:pPr>
              <w:spacing w:before="0" w:after="0"/>
              <w:jc w:val="right"/>
              <w:rPr>
                <w:rFonts w:ascii="Times New Roman" w:hAnsi="Times New Roman"/>
                <w:sz w:val="20"/>
                <w:lang w:eastAsia="en-AU"/>
              </w:rPr>
            </w:pPr>
            <w:r>
              <w:rPr>
                <w:rFonts w:ascii="Times New Roman" w:hAnsi="Times New Roman"/>
                <w:sz w:val="20"/>
                <w:lang w:eastAsia="en-AU"/>
              </w:rPr>
              <w:t>-</w:t>
            </w:r>
          </w:p>
        </w:tc>
        <w:tc>
          <w:tcPr>
            <w:tcW w:w="1033" w:type="dxa"/>
            <w:tcBorders>
              <w:top w:val="nil"/>
              <w:left w:val="nil"/>
              <w:bottom w:val="nil"/>
              <w:right w:val="nil"/>
            </w:tcBorders>
            <w:shd w:val="clear" w:color="auto" w:fill="auto"/>
            <w:noWrap/>
            <w:hideMark/>
          </w:tcPr>
          <w:p w:rsidR="00977B84" w:rsidRPr="00E03421" w:rsidRDefault="001A6BC2" w:rsidP="00810A64">
            <w:pPr>
              <w:spacing w:before="0" w:after="0"/>
              <w:jc w:val="right"/>
              <w:rPr>
                <w:rFonts w:ascii="Times New Roman" w:hAnsi="Times New Roman"/>
                <w:sz w:val="20"/>
                <w:lang w:eastAsia="en-AU"/>
              </w:rPr>
            </w:pPr>
            <w:r>
              <w:rPr>
                <w:rFonts w:ascii="Times New Roman" w:hAnsi="Times New Roman"/>
                <w:sz w:val="20"/>
                <w:lang w:eastAsia="en-AU"/>
              </w:rPr>
              <w:t>-</w:t>
            </w:r>
          </w:p>
        </w:tc>
        <w:tc>
          <w:tcPr>
            <w:tcW w:w="1165"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126</w:t>
            </w:r>
          </w:p>
        </w:tc>
        <w:tc>
          <w:tcPr>
            <w:tcW w:w="1280" w:type="dxa"/>
            <w:tcBorders>
              <w:top w:val="nil"/>
              <w:left w:val="nil"/>
              <w:bottom w:val="nil"/>
              <w:right w:val="nil"/>
            </w:tcBorders>
            <w:shd w:val="clear" w:color="auto" w:fill="auto"/>
            <w:noWrap/>
            <w:hideMark/>
          </w:tcPr>
          <w:p w:rsidR="00977B84" w:rsidRPr="00E03421" w:rsidRDefault="000B31F8" w:rsidP="00810A64">
            <w:pPr>
              <w:spacing w:before="0" w:after="0"/>
              <w:jc w:val="right"/>
              <w:rPr>
                <w:rFonts w:cs="Arial"/>
                <w:color w:val="000000"/>
                <w:sz w:val="18"/>
                <w:szCs w:val="18"/>
                <w:lang w:eastAsia="en-AU"/>
              </w:rPr>
            </w:pPr>
            <w:r w:rsidRPr="00E03421">
              <w:rPr>
                <w:rFonts w:cs="Arial"/>
                <w:color w:val="000000"/>
                <w:sz w:val="18"/>
                <w:szCs w:val="18"/>
                <w:lang w:eastAsia="en-AU"/>
              </w:rPr>
              <w:t>Apr-17</w:t>
            </w:r>
          </w:p>
        </w:tc>
      </w:tr>
      <w:tr w:rsidR="00977B84" w:rsidRPr="00E03421" w:rsidTr="00952B87">
        <w:trPr>
          <w:trHeight w:val="238"/>
        </w:trPr>
        <w:tc>
          <w:tcPr>
            <w:tcW w:w="3402" w:type="dxa"/>
            <w:tcBorders>
              <w:top w:val="nil"/>
              <w:left w:val="nil"/>
              <w:bottom w:val="nil"/>
              <w:right w:val="nil"/>
            </w:tcBorders>
            <w:shd w:val="clear" w:color="auto" w:fill="auto"/>
            <w:hideMark/>
          </w:tcPr>
          <w:p w:rsidR="00977B84" w:rsidRPr="00E03421" w:rsidRDefault="00977B84" w:rsidP="00977B84">
            <w:pPr>
              <w:spacing w:before="0" w:after="0"/>
              <w:rPr>
                <w:rFonts w:cs="Arial"/>
                <w:color w:val="000000"/>
                <w:sz w:val="18"/>
                <w:szCs w:val="18"/>
                <w:lang w:eastAsia="en-AU"/>
              </w:rPr>
            </w:pPr>
            <w:r w:rsidRPr="00E03421">
              <w:rPr>
                <w:rFonts w:cs="Arial"/>
                <w:color w:val="000000"/>
                <w:sz w:val="18"/>
                <w:szCs w:val="18"/>
                <w:lang w:eastAsia="en-AU"/>
              </w:rPr>
              <w:t>University of Canberra Hospital - Car Park</w:t>
            </w:r>
          </w:p>
        </w:tc>
        <w:tc>
          <w:tcPr>
            <w:tcW w:w="1033" w:type="dxa"/>
            <w:tcBorders>
              <w:top w:val="nil"/>
              <w:left w:val="nil"/>
              <w:bottom w:val="nil"/>
              <w:right w:val="nil"/>
            </w:tcBorders>
            <w:shd w:val="clear" w:color="auto" w:fill="auto"/>
            <w:noWrap/>
            <w:hideMark/>
          </w:tcPr>
          <w:p w:rsidR="00977B84" w:rsidRPr="00E03421" w:rsidRDefault="00BC4B21" w:rsidP="00810A64">
            <w:pPr>
              <w:spacing w:before="0" w:after="0"/>
              <w:jc w:val="right"/>
              <w:rPr>
                <w:rFonts w:cs="Arial"/>
                <w:color w:val="000000"/>
                <w:sz w:val="18"/>
                <w:szCs w:val="18"/>
                <w:lang w:eastAsia="en-AU"/>
              </w:rPr>
            </w:pPr>
            <w:r w:rsidRPr="00E03421">
              <w:rPr>
                <w:rFonts w:cs="Arial"/>
                <w:color w:val="000000"/>
                <w:sz w:val="18"/>
                <w:szCs w:val="18"/>
                <w:lang w:eastAsia="en-AU"/>
              </w:rPr>
              <w:t>8</w:t>
            </w:r>
            <w:r w:rsidR="00904EBD" w:rsidRPr="00E03421">
              <w:rPr>
                <w:rFonts w:cs="Arial"/>
                <w:color w:val="000000"/>
                <w:sz w:val="18"/>
                <w:szCs w:val="18"/>
                <w:lang w:eastAsia="en-AU"/>
              </w:rPr>
              <w:t>,</w:t>
            </w:r>
            <w:r w:rsidR="00977B84" w:rsidRPr="00E03421">
              <w:rPr>
                <w:rFonts w:cs="Arial"/>
                <w:color w:val="000000"/>
                <w:sz w:val="18"/>
                <w:szCs w:val="18"/>
                <w:lang w:eastAsia="en-AU"/>
              </w:rPr>
              <w:t>180</w:t>
            </w:r>
          </w:p>
        </w:tc>
        <w:tc>
          <w:tcPr>
            <w:tcW w:w="1033" w:type="dxa"/>
            <w:tcBorders>
              <w:top w:val="nil"/>
              <w:left w:val="nil"/>
              <w:bottom w:val="nil"/>
              <w:right w:val="nil"/>
            </w:tcBorders>
            <w:shd w:val="clear" w:color="auto" w:fill="auto"/>
            <w:noWrap/>
            <w:hideMark/>
          </w:tcPr>
          <w:p w:rsidR="00977B84" w:rsidRPr="00E03421" w:rsidRDefault="001A6BC2" w:rsidP="00810A64">
            <w:pPr>
              <w:spacing w:before="0" w:after="0"/>
              <w:jc w:val="right"/>
              <w:rPr>
                <w:rFonts w:cs="Arial"/>
                <w:color w:val="000000"/>
                <w:sz w:val="18"/>
                <w:szCs w:val="18"/>
                <w:lang w:eastAsia="en-AU"/>
              </w:rPr>
            </w:pPr>
            <w:r>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1A6BC2" w:rsidP="00810A64">
            <w:pPr>
              <w:spacing w:before="0" w:after="0"/>
              <w:jc w:val="right"/>
              <w:rPr>
                <w:rFonts w:ascii="Times New Roman" w:hAnsi="Times New Roman"/>
                <w:sz w:val="20"/>
                <w:lang w:eastAsia="en-AU"/>
              </w:rPr>
            </w:pPr>
            <w:r>
              <w:rPr>
                <w:rFonts w:ascii="Times New Roman" w:hAnsi="Times New Roman"/>
                <w:sz w:val="20"/>
                <w:lang w:eastAsia="en-AU"/>
              </w:rPr>
              <w:t>-</w:t>
            </w:r>
          </w:p>
        </w:tc>
        <w:tc>
          <w:tcPr>
            <w:tcW w:w="1033" w:type="dxa"/>
            <w:tcBorders>
              <w:top w:val="nil"/>
              <w:left w:val="nil"/>
              <w:bottom w:val="nil"/>
              <w:right w:val="nil"/>
            </w:tcBorders>
            <w:shd w:val="clear" w:color="auto" w:fill="auto"/>
            <w:noWrap/>
            <w:hideMark/>
          </w:tcPr>
          <w:p w:rsidR="00977B84" w:rsidRPr="00E03421" w:rsidRDefault="001A6BC2" w:rsidP="00810A64">
            <w:pPr>
              <w:spacing w:before="0" w:after="0"/>
              <w:jc w:val="right"/>
              <w:rPr>
                <w:rFonts w:ascii="Times New Roman" w:hAnsi="Times New Roman"/>
                <w:sz w:val="20"/>
                <w:lang w:eastAsia="en-AU"/>
              </w:rPr>
            </w:pPr>
            <w:r>
              <w:rPr>
                <w:rFonts w:ascii="Times New Roman" w:hAnsi="Times New Roman"/>
                <w:sz w:val="20"/>
                <w:lang w:eastAsia="en-AU"/>
              </w:rPr>
              <w:t>-</w:t>
            </w:r>
          </w:p>
        </w:tc>
        <w:tc>
          <w:tcPr>
            <w:tcW w:w="1165" w:type="dxa"/>
            <w:tcBorders>
              <w:top w:val="nil"/>
              <w:left w:val="nil"/>
              <w:bottom w:val="nil"/>
              <w:right w:val="nil"/>
            </w:tcBorders>
            <w:shd w:val="clear" w:color="auto" w:fill="auto"/>
            <w:noWrap/>
            <w:hideMark/>
          </w:tcPr>
          <w:p w:rsidR="00977B84" w:rsidRPr="00E03421" w:rsidRDefault="00BC4B21" w:rsidP="00810A64">
            <w:pPr>
              <w:spacing w:before="0" w:after="0"/>
              <w:jc w:val="right"/>
              <w:rPr>
                <w:rFonts w:cs="Arial"/>
                <w:color w:val="000000"/>
                <w:sz w:val="18"/>
                <w:szCs w:val="18"/>
                <w:lang w:eastAsia="en-AU"/>
              </w:rPr>
            </w:pPr>
            <w:r w:rsidRPr="00E03421">
              <w:rPr>
                <w:rFonts w:cs="Arial"/>
                <w:color w:val="000000"/>
                <w:sz w:val="18"/>
                <w:szCs w:val="18"/>
                <w:lang w:eastAsia="en-AU"/>
              </w:rPr>
              <w:t>8</w:t>
            </w:r>
            <w:r w:rsidR="00904EBD" w:rsidRPr="00E03421">
              <w:rPr>
                <w:rFonts w:cs="Arial"/>
                <w:color w:val="000000"/>
                <w:sz w:val="18"/>
                <w:szCs w:val="18"/>
                <w:lang w:eastAsia="en-AU"/>
              </w:rPr>
              <w:t>,</w:t>
            </w:r>
            <w:r w:rsidR="00977B84" w:rsidRPr="00E03421">
              <w:rPr>
                <w:rFonts w:cs="Arial"/>
                <w:color w:val="000000"/>
                <w:sz w:val="18"/>
                <w:szCs w:val="18"/>
                <w:lang w:eastAsia="en-AU"/>
              </w:rPr>
              <w:t>180</w:t>
            </w:r>
          </w:p>
        </w:tc>
        <w:tc>
          <w:tcPr>
            <w:tcW w:w="1280" w:type="dxa"/>
            <w:tcBorders>
              <w:top w:val="nil"/>
              <w:left w:val="nil"/>
              <w:bottom w:val="nil"/>
              <w:right w:val="nil"/>
            </w:tcBorders>
            <w:shd w:val="clear" w:color="auto" w:fill="auto"/>
            <w:noWrap/>
            <w:hideMark/>
          </w:tcPr>
          <w:p w:rsidR="00977B84" w:rsidRPr="00E03421" w:rsidRDefault="000B31F8" w:rsidP="00810A64">
            <w:pPr>
              <w:spacing w:before="0" w:after="0"/>
              <w:jc w:val="right"/>
              <w:rPr>
                <w:rFonts w:cs="Arial"/>
                <w:color w:val="000000"/>
                <w:sz w:val="18"/>
                <w:szCs w:val="18"/>
                <w:lang w:eastAsia="en-AU"/>
              </w:rPr>
            </w:pPr>
            <w:r w:rsidRPr="00E03421">
              <w:rPr>
                <w:rFonts w:cs="Arial"/>
                <w:color w:val="000000"/>
                <w:sz w:val="18"/>
                <w:szCs w:val="18"/>
                <w:lang w:eastAsia="en-AU"/>
              </w:rPr>
              <w:t>Jul-18</w:t>
            </w:r>
          </w:p>
        </w:tc>
      </w:tr>
      <w:tr w:rsidR="00977B84" w:rsidRPr="00E03421" w:rsidTr="00952B87">
        <w:trPr>
          <w:trHeight w:val="480"/>
        </w:trPr>
        <w:tc>
          <w:tcPr>
            <w:tcW w:w="3402" w:type="dxa"/>
            <w:tcBorders>
              <w:top w:val="nil"/>
              <w:left w:val="nil"/>
              <w:bottom w:val="nil"/>
              <w:right w:val="nil"/>
            </w:tcBorders>
            <w:shd w:val="clear" w:color="auto" w:fill="auto"/>
            <w:hideMark/>
          </w:tcPr>
          <w:p w:rsidR="00977B84" w:rsidRPr="00E03421" w:rsidRDefault="00A244C9" w:rsidP="00977B84">
            <w:pPr>
              <w:spacing w:before="0" w:after="0"/>
              <w:rPr>
                <w:rFonts w:cs="Arial"/>
                <w:color w:val="000000"/>
                <w:sz w:val="18"/>
                <w:szCs w:val="18"/>
                <w:lang w:eastAsia="en-AU"/>
              </w:rPr>
            </w:pPr>
            <w:r>
              <w:rPr>
                <w:rFonts w:eastAsia="Calibri" w:cs="Calibri"/>
                <w:color w:val="000000"/>
                <w:sz w:val="18"/>
              </w:rPr>
              <w:t>The Canberra Hospital - Essential infrastructure and engineering works</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874</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874</w:t>
            </w:r>
          </w:p>
        </w:tc>
        <w:tc>
          <w:tcPr>
            <w:tcW w:w="1033" w:type="dxa"/>
            <w:tcBorders>
              <w:top w:val="nil"/>
              <w:left w:val="nil"/>
              <w:bottom w:val="nil"/>
              <w:right w:val="nil"/>
            </w:tcBorders>
            <w:shd w:val="clear" w:color="auto" w:fill="auto"/>
            <w:noWrap/>
            <w:hideMark/>
          </w:tcPr>
          <w:p w:rsidR="00977B84" w:rsidRPr="00E03421" w:rsidRDefault="001A6BC2" w:rsidP="00810A64">
            <w:pPr>
              <w:spacing w:before="0" w:after="0"/>
              <w:jc w:val="right"/>
              <w:rPr>
                <w:rFonts w:cs="Arial"/>
                <w:color w:val="000000"/>
                <w:sz w:val="18"/>
                <w:szCs w:val="18"/>
                <w:lang w:eastAsia="en-AU"/>
              </w:rPr>
            </w:pPr>
            <w:r>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1A6BC2" w:rsidP="00810A64">
            <w:pPr>
              <w:spacing w:before="0" w:after="0"/>
              <w:jc w:val="right"/>
              <w:rPr>
                <w:rFonts w:ascii="Times New Roman" w:hAnsi="Times New Roman"/>
                <w:sz w:val="20"/>
                <w:lang w:eastAsia="en-AU"/>
              </w:rPr>
            </w:pPr>
            <w:r>
              <w:rPr>
                <w:rFonts w:ascii="Times New Roman" w:hAnsi="Times New Roman"/>
                <w:sz w:val="20"/>
                <w:lang w:eastAsia="en-AU"/>
              </w:rPr>
              <w:t>-</w:t>
            </w:r>
          </w:p>
        </w:tc>
        <w:tc>
          <w:tcPr>
            <w:tcW w:w="1165" w:type="dxa"/>
            <w:tcBorders>
              <w:top w:val="nil"/>
              <w:left w:val="nil"/>
              <w:bottom w:val="nil"/>
              <w:right w:val="nil"/>
            </w:tcBorders>
            <w:shd w:val="clear" w:color="auto" w:fill="auto"/>
            <w:noWrap/>
            <w:hideMark/>
          </w:tcPr>
          <w:p w:rsidR="00977B84" w:rsidRPr="00E03421" w:rsidRDefault="00977B84" w:rsidP="00BC4B21">
            <w:pPr>
              <w:spacing w:before="0" w:after="0"/>
              <w:jc w:val="right"/>
              <w:rPr>
                <w:rFonts w:cs="Arial"/>
                <w:color w:val="000000"/>
                <w:sz w:val="18"/>
                <w:szCs w:val="18"/>
                <w:lang w:eastAsia="en-AU"/>
              </w:rPr>
            </w:pPr>
            <w:r w:rsidRPr="00E03421">
              <w:rPr>
                <w:rFonts w:cs="Arial"/>
                <w:color w:val="000000"/>
                <w:sz w:val="18"/>
                <w:szCs w:val="18"/>
                <w:lang w:eastAsia="en-AU"/>
              </w:rPr>
              <w:t>1</w:t>
            </w:r>
            <w:r w:rsidR="00904EBD" w:rsidRPr="00E03421">
              <w:rPr>
                <w:rFonts w:cs="Arial"/>
                <w:color w:val="000000"/>
                <w:sz w:val="18"/>
                <w:szCs w:val="18"/>
                <w:lang w:eastAsia="en-AU"/>
              </w:rPr>
              <w:t>,</w:t>
            </w:r>
            <w:r w:rsidRPr="00E03421">
              <w:rPr>
                <w:rFonts w:cs="Arial"/>
                <w:color w:val="000000"/>
                <w:sz w:val="18"/>
                <w:szCs w:val="18"/>
                <w:lang w:eastAsia="en-AU"/>
              </w:rPr>
              <w:t>748</w:t>
            </w:r>
          </w:p>
        </w:tc>
        <w:tc>
          <w:tcPr>
            <w:tcW w:w="1280" w:type="dxa"/>
            <w:tcBorders>
              <w:top w:val="nil"/>
              <w:left w:val="nil"/>
              <w:bottom w:val="nil"/>
              <w:right w:val="nil"/>
            </w:tcBorders>
            <w:shd w:val="clear" w:color="auto" w:fill="auto"/>
            <w:noWrap/>
            <w:hideMark/>
          </w:tcPr>
          <w:p w:rsidR="00977B84" w:rsidRPr="00E03421" w:rsidRDefault="000B31F8" w:rsidP="00810A64">
            <w:pPr>
              <w:spacing w:before="0" w:after="0"/>
              <w:jc w:val="right"/>
              <w:rPr>
                <w:rFonts w:cs="Arial"/>
                <w:color w:val="000000"/>
                <w:sz w:val="18"/>
                <w:szCs w:val="18"/>
                <w:lang w:eastAsia="en-AU"/>
              </w:rPr>
            </w:pPr>
            <w:r w:rsidRPr="00E03421">
              <w:rPr>
                <w:rFonts w:cs="Arial"/>
                <w:color w:val="000000"/>
                <w:sz w:val="18"/>
                <w:szCs w:val="18"/>
                <w:lang w:eastAsia="en-AU"/>
              </w:rPr>
              <w:t>Jun-19</w:t>
            </w:r>
          </w:p>
        </w:tc>
      </w:tr>
      <w:tr w:rsidR="00977B84" w:rsidRPr="00E03421" w:rsidTr="00952B87">
        <w:trPr>
          <w:trHeight w:val="255"/>
        </w:trPr>
        <w:tc>
          <w:tcPr>
            <w:tcW w:w="3402" w:type="dxa"/>
            <w:tcBorders>
              <w:top w:val="nil"/>
              <w:left w:val="nil"/>
              <w:bottom w:val="nil"/>
              <w:right w:val="nil"/>
            </w:tcBorders>
            <w:shd w:val="clear" w:color="auto" w:fill="auto"/>
            <w:hideMark/>
          </w:tcPr>
          <w:p w:rsidR="00977B84" w:rsidRPr="00E03421" w:rsidRDefault="005D7538" w:rsidP="00977B84">
            <w:pPr>
              <w:spacing w:before="0" w:after="0"/>
              <w:rPr>
                <w:rFonts w:cs="Arial"/>
                <w:color w:val="000000"/>
                <w:sz w:val="18"/>
                <w:szCs w:val="18"/>
                <w:lang w:eastAsia="en-AU"/>
              </w:rPr>
            </w:pPr>
            <w:r>
              <w:rPr>
                <w:rFonts w:cs="Arial"/>
                <w:color w:val="000000"/>
                <w:sz w:val="18"/>
                <w:szCs w:val="18"/>
                <w:lang w:eastAsia="en-AU"/>
              </w:rPr>
              <w:t>Health Infrastructure - Project management c</w:t>
            </w:r>
            <w:r w:rsidR="00977B84" w:rsidRPr="00E03421">
              <w:rPr>
                <w:rFonts w:cs="Arial"/>
                <w:color w:val="000000"/>
                <w:sz w:val="18"/>
                <w:szCs w:val="18"/>
                <w:lang w:eastAsia="en-AU"/>
              </w:rPr>
              <w:t>ontinuation</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490</w:t>
            </w:r>
          </w:p>
        </w:tc>
        <w:tc>
          <w:tcPr>
            <w:tcW w:w="1033" w:type="dxa"/>
            <w:tcBorders>
              <w:top w:val="nil"/>
              <w:left w:val="nil"/>
              <w:bottom w:val="nil"/>
              <w:right w:val="nil"/>
            </w:tcBorders>
            <w:shd w:val="clear" w:color="auto" w:fill="auto"/>
            <w:noWrap/>
            <w:hideMark/>
          </w:tcPr>
          <w:p w:rsidR="00977B84" w:rsidRPr="00E03421" w:rsidRDefault="001A6BC2" w:rsidP="00810A64">
            <w:pPr>
              <w:spacing w:before="0" w:after="0"/>
              <w:jc w:val="right"/>
              <w:rPr>
                <w:rFonts w:cs="Arial"/>
                <w:color w:val="000000"/>
                <w:sz w:val="18"/>
                <w:szCs w:val="18"/>
                <w:lang w:eastAsia="en-AU"/>
              </w:rPr>
            </w:pPr>
            <w:r>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1A6BC2" w:rsidP="00810A64">
            <w:pPr>
              <w:spacing w:before="0" w:after="0"/>
              <w:jc w:val="right"/>
              <w:rPr>
                <w:rFonts w:ascii="Times New Roman" w:hAnsi="Times New Roman"/>
                <w:sz w:val="20"/>
                <w:lang w:eastAsia="en-AU"/>
              </w:rPr>
            </w:pPr>
            <w:r>
              <w:rPr>
                <w:rFonts w:ascii="Times New Roman" w:hAnsi="Times New Roman"/>
                <w:sz w:val="20"/>
                <w:lang w:eastAsia="en-AU"/>
              </w:rPr>
              <w:t>-</w:t>
            </w:r>
          </w:p>
        </w:tc>
        <w:tc>
          <w:tcPr>
            <w:tcW w:w="1165"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490</w:t>
            </w:r>
          </w:p>
        </w:tc>
        <w:tc>
          <w:tcPr>
            <w:tcW w:w="1280" w:type="dxa"/>
            <w:tcBorders>
              <w:top w:val="nil"/>
              <w:left w:val="nil"/>
              <w:bottom w:val="nil"/>
              <w:right w:val="nil"/>
            </w:tcBorders>
            <w:shd w:val="clear" w:color="auto" w:fill="auto"/>
            <w:noWrap/>
            <w:hideMark/>
          </w:tcPr>
          <w:p w:rsidR="00977B84" w:rsidRPr="00E03421" w:rsidRDefault="004E3068" w:rsidP="00E03421">
            <w:pPr>
              <w:spacing w:before="0" w:after="0"/>
              <w:jc w:val="right"/>
              <w:rPr>
                <w:rFonts w:cs="Arial"/>
                <w:color w:val="000000"/>
                <w:sz w:val="18"/>
                <w:szCs w:val="18"/>
                <w:lang w:eastAsia="en-AU"/>
              </w:rPr>
            </w:pPr>
            <w:r w:rsidRPr="00E03421">
              <w:rPr>
                <w:rFonts w:cs="Arial"/>
                <w:color w:val="000000"/>
                <w:sz w:val="18"/>
                <w:szCs w:val="18"/>
                <w:lang w:eastAsia="en-AU"/>
              </w:rPr>
              <w:t>Jun-1</w:t>
            </w:r>
            <w:r w:rsidR="00E03421" w:rsidRPr="00E03421">
              <w:rPr>
                <w:rFonts w:cs="Arial"/>
                <w:color w:val="000000"/>
                <w:sz w:val="18"/>
                <w:szCs w:val="18"/>
                <w:lang w:eastAsia="en-AU"/>
              </w:rPr>
              <w:t>8</w:t>
            </w:r>
          </w:p>
        </w:tc>
      </w:tr>
      <w:tr w:rsidR="00977B84" w:rsidRPr="00E03421" w:rsidTr="00952B87">
        <w:trPr>
          <w:trHeight w:val="238"/>
        </w:trPr>
        <w:tc>
          <w:tcPr>
            <w:tcW w:w="3402" w:type="dxa"/>
            <w:tcBorders>
              <w:top w:val="nil"/>
              <w:left w:val="nil"/>
              <w:bottom w:val="nil"/>
              <w:right w:val="nil"/>
            </w:tcBorders>
            <w:shd w:val="clear" w:color="auto" w:fill="auto"/>
            <w:hideMark/>
          </w:tcPr>
          <w:p w:rsidR="00977B84" w:rsidRPr="00E03421" w:rsidRDefault="00977B84" w:rsidP="00977B84">
            <w:pPr>
              <w:spacing w:before="0" w:after="0"/>
              <w:rPr>
                <w:rFonts w:cs="Arial"/>
                <w:color w:val="000000"/>
                <w:sz w:val="18"/>
                <w:szCs w:val="18"/>
                <w:lang w:eastAsia="en-AU"/>
              </w:rPr>
            </w:pPr>
            <w:r w:rsidRPr="00E03421">
              <w:rPr>
                <w:rFonts w:cs="Arial"/>
                <w:color w:val="000000"/>
                <w:sz w:val="18"/>
                <w:szCs w:val="18"/>
                <w:lang w:eastAsia="en-AU"/>
              </w:rPr>
              <w:t>Clinical Services Redevelopment - Phase 3</w:t>
            </w:r>
          </w:p>
        </w:tc>
        <w:tc>
          <w:tcPr>
            <w:tcW w:w="1033" w:type="dxa"/>
            <w:tcBorders>
              <w:top w:val="nil"/>
              <w:left w:val="nil"/>
              <w:bottom w:val="nil"/>
              <w:right w:val="nil"/>
            </w:tcBorders>
            <w:shd w:val="clear" w:color="auto" w:fill="auto"/>
            <w:noWrap/>
            <w:hideMark/>
          </w:tcPr>
          <w:p w:rsidR="00977B84" w:rsidRPr="00E03421" w:rsidRDefault="00BC4B21" w:rsidP="00810A64">
            <w:pPr>
              <w:spacing w:before="0" w:after="0"/>
              <w:jc w:val="right"/>
              <w:rPr>
                <w:rFonts w:cs="Arial"/>
                <w:color w:val="000000"/>
                <w:sz w:val="18"/>
                <w:szCs w:val="18"/>
                <w:lang w:eastAsia="en-AU"/>
              </w:rPr>
            </w:pPr>
            <w:r w:rsidRPr="00E03421">
              <w:rPr>
                <w:rFonts w:cs="Arial"/>
                <w:color w:val="000000"/>
                <w:sz w:val="18"/>
                <w:szCs w:val="18"/>
                <w:lang w:eastAsia="en-AU"/>
              </w:rPr>
              <w:t>1</w:t>
            </w:r>
            <w:r w:rsidR="00904EBD" w:rsidRPr="00E03421">
              <w:rPr>
                <w:rFonts w:cs="Arial"/>
                <w:color w:val="000000"/>
                <w:sz w:val="18"/>
                <w:szCs w:val="18"/>
                <w:lang w:eastAsia="en-AU"/>
              </w:rPr>
              <w:t>,</w:t>
            </w:r>
            <w:r w:rsidR="00977B84" w:rsidRPr="00E03421">
              <w:rPr>
                <w:rFonts w:cs="Arial"/>
                <w:color w:val="000000"/>
                <w:sz w:val="18"/>
                <w:szCs w:val="18"/>
                <w:lang w:eastAsia="en-AU"/>
              </w:rPr>
              <w:t>011</w:t>
            </w:r>
          </w:p>
        </w:tc>
        <w:tc>
          <w:tcPr>
            <w:tcW w:w="1033" w:type="dxa"/>
            <w:tcBorders>
              <w:top w:val="nil"/>
              <w:left w:val="nil"/>
              <w:bottom w:val="nil"/>
              <w:right w:val="nil"/>
            </w:tcBorders>
            <w:shd w:val="clear" w:color="auto" w:fill="auto"/>
            <w:noWrap/>
            <w:hideMark/>
          </w:tcPr>
          <w:p w:rsidR="00977B84" w:rsidRPr="00E03421" w:rsidRDefault="00977B84" w:rsidP="00BC4B21">
            <w:pPr>
              <w:spacing w:before="0" w:after="0"/>
              <w:jc w:val="right"/>
              <w:rPr>
                <w:rFonts w:cs="Arial"/>
                <w:color w:val="000000"/>
                <w:sz w:val="18"/>
                <w:szCs w:val="18"/>
                <w:lang w:eastAsia="en-AU"/>
              </w:rPr>
            </w:pPr>
            <w:r w:rsidRPr="00E03421">
              <w:rPr>
                <w:rFonts w:cs="Arial"/>
                <w:color w:val="000000"/>
                <w:sz w:val="18"/>
                <w:szCs w:val="18"/>
                <w:lang w:eastAsia="en-AU"/>
              </w:rPr>
              <w:t>1</w:t>
            </w:r>
            <w:r w:rsidR="00904EBD" w:rsidRPr="00E03421">
              <w:rPr>
                <w:rFonts w:cs="Arial"/>
                <w:color w:val="000000"/>
                <w:sz w:val="18"/>
                <w:szCs w:val="18"/>
                <w:lang w:eastAsia="en-AU"/>
              </w:rPr>
              <w:t>,</w:t>
            </w:r>
            <w:r w:rsidRPr="00E03421">
              <w:rPr>
                <w:rFonts w:cs="Arial"/>
                <w:color w:val="000000"/>
                <w:sz w:val="18"/>
                <w:szCs w:val="18"/>
                <w:lang w:eastAsia="en-AU"/>
              </w:rPr>
              <w:t>011</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165" w:type="dxa"/>
            <w:tcBorders>
              <w:top w:val="nil"/>
              <w:left w:val="nil"/>
              <w:bottom w:val="nil"/>
              <w:right w:val="nil"/>
            </w:tcBorders>
            <w:shd w:val="clear" w:color="auto" w:fill="auto"/>
            <w:noWrap/>
            <w:hideMark/>
          </w:tcPr>
          <w:p w:rsidR="00977B84" w:rsidRPr="00E03421" w:rsidRDefault="00BC4B21" w:rsidP="00810A64">
            <w:pPr>
              <w:spacing w:before="0" w:after="0"/>
              <w:jc w:val="right"/>
              <w:rPr>
                <w:rFonts w:cs="Arial"/>
                <w:color w:val="000000"/>
                <w:sz w:val="18"/>
                <w:szCs w:val="18"/>
                <w:lang w:eastAsia="en-AU"/>
              </w:rPr>
            </w:pPr>
            <w:r w:rsidRPr="00E03421">
              <w:rPr>
                <w:rFonts w:cs="Arial"/>
                <w:color w:val="000000"/>
                <w:sz w:val="18"/>
                <w:szCs w:val="18"/>
                <w:lang w:eastAsia="en-AU"/>
              </w:rPr>
              <w:t>2</w:t>
            </w:r>
            <w:r w:rsidR="00904EBD" w:rsidRPr="00E03421">
              <w:rPr>
                <w:rFonts w:cs="Arial"/>
                <w:color w:val="000000"/>
                <w:sz w:val="18"/>
                <w:szCs w:val="18"/>
                <w:lang w:eastAsia="en-AU"/>
              </w:rPr>
              <w:t>,</w:t>
            </w:r>
            <w:r w:rsidR="00977B84" w:rsidRPr="00E03421">
              <w:rPr>
                <w:rFonts w:cs="Arial"/>
                <w:color w:val="000000"/>
                <w:sz w:val="18"/>
                <w:szCs w:val="18"/>
                <w:lang w:eastAsia="en-AU"/>
              </w:rPr>
              <w:t>022</w:t>
            </w:r>
          </w:p>
        </w:tc>
        <w:tc>
          <w:tcPr>
            <w:tcW w:w="1280" w:type="dxa"/>
            <w:tcBorders>
              <w:top w:val="nil"/>
              <w:left w:val="nil"/>
              <w:bottom w:val="nil"/>
              <w:right w:val="nil"/>
            </w:tcBorders>
            <w:shd w:val="clear" w:color="auto" w:fill="auto"/>
            <w:noWrap/>
            <w:hideMark/>
          </w:tcPr>
          <w:p w:rsidR="00977B84" w:rsidRPr="00E03421" w:rsidRDefault="004E3068" w:rsidP="00810A64">
            <w:pPr>
              <w:spacing w:before="0" w:after="0"/>
              <w:jc w:val="right"/>
              <w:rPr>
                <w:rFonts w:cs="Arial"/>
                <w:color w:val="000000"/>
                <w:sz w:val="18"/>
                <w:szCs w:val="18"/>
                <w:lang w:eastAsia="en-AU"/>
              </w:rPr>
            </w:pPr>
            <w:r w:rsidRPr="00E03421">
              <w:rPr>
                <w:rFonts w:cs="Arial"/>
                <w:color w:val="000000"/>
                <w:sz w:val="18"/>
                <w:szCs w:val="18"/>
                <w:lang w:eastAsia="en-AU"/>
              </w:rPr>
              <w:t>Sep-18</w:t>
            </w:r>
          </w:p>
        </w:tc>
      </w:tr>
      <w:tr w:rsidR="00977B84" w:rsidRPr="00E03421" w:rsidTr="00952B87">
        <w:trPr>
          <w:trHeight w:val="238"/>
        </w:trPr>
        <w:tc>
          <w:tcPr>
            <w:tcW w:w="3402" w:type="dxa"/>
            <w:tcBorders>
              <w:top w:val="nil"/>
              <w:left w:val="nil"/>
              <w:right w:val="nil"/>
            </w:tcBorders>
            <w:shd w:val="clear" w:color="auto" w:fill="auto"/>
            <w:hideMark/>
          </w:tcPr>
          <w:p w:rsidR="00977B84" w:rsidRPr="00E03421" w:rsidRDefault="00977B84" w:rsidP="00977B84">
            <w:pPr>
              <w:spacing w:before="0" w:after="0"/>
              <w:rPr>
                <w:rFonts w:cs="Arial"/>
                <w:color w:val="000000"/>
                <w:sz w:val="18"/>
                <w:szCs w:val="18"/>
                <w:lang w:eastAsia="en-AU"/>
              </w:rPr>
            </w:pPr>
            <w:r w:rsidRPr="00E03421">
              <w:rPr>
                <w:rFonts w:cs="Arial"/>
                <w:color w:val="000000"/>
                <w:sz w:val="18"/>
                <w:szCs w:val="18"/>
                <w:lang w:eastAsia="en-AU"/>
              </w:rPr>
              <w:t>Clinical Services Redevelopment - Phase 2</w:t>
            </w:r>
          </w:p>
        </w:tc>
        <w:tc>
          <w:tcPr>
            <w:tcW w:w="1033" w:type="dxa"/>
            <w:tcBorders>
              <w:top w:val="nil"/>
              <w:left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217</w:t>
            </w:r>
          </w:p>
        </w:tc>
        <w:tc>
          <w:tcPr>
            <w:tcW w:w="1033" w:type="dxa"/>
            <w:tcBorders>
              <w:top w:val="nil"/>
              <w:left w:val="nil"/>
              <w:right w:val="nil"/>
            </w:tcBorders>
            <w:shd w:val="clear" w:color="auto" w:fill="auto"/>
            <w:noWrap/>
            <w:hideMark/>
          </w:tcPr>
          <w:p w:rsidR="00977B84" w:rsidRPr="00E03421" w:rsidRDefault="001A6BC2" w:rsidP="00810A64">
            <w:pPr>
              <w:spacing w:before="0" w:after="0"/>
              <w:jc w:val="right"/>
              <w:rPr>
                <w:rFonts w:cs="Arial"/>
                <w:color w:val="000000"/>
                <w:sz w:val="18"/>
                <w:szCs w:val="18"/>
                <w:lang w:eastAsia="en-AU"/>
              </w:rPr>
            </w:pPr>
            <w:r>
              <w:rPr>
                <w:rFonts w:cs="Arial"/>
                <w:color w:val="000000"/>
                <w:sz w:val="18"/>
                <w:szCs w:val="18"/>
                <w:lang w:eastAsia="en-AU"/>
              </w:rPr>
              <w:t>-</w:t>
            </w:r>
          </w:p>
        </w:tc>
        <w:tc>
          <w:tcPr>
            <w:tcW w:w="1033" w:type="dxa"/>
            <w:tcBorders>
              <w:top w:val="nil"/>
              <w:left w:val="nil"/>
              <w:right w:val="nil"/>
            </w:tcBorders>
            <w:shd w:val="clear" w:color="auto" w:fill="auto"/>
            <w:noWrap/>
            <w:hideMark/>
          </w:tcPr>
          <w:p w:rsidR="00977B84" w:rsidRPr="00E03421" w:rsidRDefault="001A6BC2" w:rsidP="00810A64">
            <w:pPr>
              <w:spacing w:before="0" w:after="0"/>
              <w:jc w:val="right"/>
              <w:rPr>
                <w:rFonts w:ascii="Times New Roman" w:hAnsi="Times New Roman"/>
                <w:sz w:val="20"/>
                <w:lang w:eastAsia="en-AU"/>
              </w:rPr>
            </w:pPr>
            <w:r>
              <w:rPr>
                <w:rFonts w:ascii="Times New Roman" w:hAnsi="Times New Roman"/>
                <w:sz w:val="20"/>
                <w:lang w:eastAsia="en-AU"/>
              </w:rPr>
              <w:t>-</w:t>
            </w:r>
          </w:p>
        </w:tc>
        <w:tc>
          <w:tcPr>
            <w:tcW w:w="1033" w:type="dxa"/>
            <w:tcBorders>
              <w:top w:val="nil"/>
              <w:left w:val="nil"/>
              <w:right w:val="nil"/>
            </w:tcBorders>
            <w:shd w:val="clear" w:color="auto" w:fill="auto"/>
            <w:noWrap/>
            <w:hideMark/>
          </w:tcPr>
          <w:p w:rsidR="00977B84" w:rsidRPr="00E03421" w:rsidRDefault="001A6BC2" w:rsidP="00810A64">
            <w:pPr>
              <w:spacing w:before="0" w:after="0"/>
              <w:jc w:val="right"/>
              <w:rPr>
                <w:rFonts w:ascii="Times New Roman" w:hAnsi="Times New Roman"/>
                <w:sz w:val="20"/>
                <w:lang w:eastAsia="en-AU"/>
              </w:rPr>
            </w:pPr>
            <w:r>
              <w:rPr>
                <w:rFonts w:ascii="Times New Roman" w:hAnsi="Times New Roman"/>
                <w:sz w:val="20"/>
                <w:lang w:eastAsia="en-AU"/>
              </w:rPr>
              <w:t>-</w:t>
            </w:r>
          </w:p>
        </w:tc>
        <w:tc>
          <w:tcPr>
            <w:tcW w:w="1165" w:type="dxa"/>
            <w:tcBorders>
              <w:top w:val="nil"/>
              <w:left w:val="nil"/>
              <w:right w:val="nil"/>
            </w:tcBorders>
            <w:shd w:val="clear" w:color="auto" w:fill="auto"/>
            <w:noWrap/>
            <w:hideMark/>
          </w:tcPr>
          <w:p w:rsidR="00977B84" w:rsidRPr="00E03421" w:rsidRDefault="00977B84" w:rsidP="00810A64">
            <w:pPr>
              <w:spacing w:before="0" w:after="0"/>
              <w:jc w:val="right"/>
              <w:rPr>
                <w:rFonts w:cs="Arial"/>
                <w:color w:val="000000"/>
                <w:sz w:val="18"/>
                <w:szCs w:val="18"/>
                <w:lang w:eastAsia="en-AU"/>
              </w:rPr>
            </w:pPr>
            <w:r w:rsidRPr="00E03421">
              <w:rPr>
                <w:rFonts w:cs="Arial"/>
                <w:color w:val="000000"/>
                <w:sz w:val="18"/>
                <w:szCs w:val="18"/>
                <w:lang w:eastAsia="en-AU"/>
              </w:rPr>
              <w:t>217</w:t>
            </w:r>
          </w:p>
        </w:tc>
        <w:tc>
          <w:tcPr>
            <w:tcW w:w="1280" w:type="dxa"/>
            <w:tcBorders>
              <w:top w:val="nil"/>
              <w:left w:val="nil"/>
              <w:right w:val="nil"/>
            </w:tcBorders>
            <w:shd w:val="clear" w:color="auto" w:fill="auto"/>
            <w:noWrap/>
            <w:hideMark/>
          </w:tcPr>
          <w:p w:rsidR="00977B84" w:rsidRPr="00E03421" w:rsidRDefault="004E3068" w:rsidP="00810A64">
            <w:pPr>
              <w:spacing w:before="0" w:after="0"/>
              <w:jc w:val="right"/>
              <w:rPr>
                <w:rFonts w:cs="Arial"/>
                <w:color w:val="000000"/>
                <w:sz w:val="18"/>
                <w:szCs w:val="18"/>
                <w:lang w:eastAsia="en-AU"/>
              </w:rPr>
            </w:pPr>
            <w:r w:rsidRPr="00E03421">
              <w:rPr>
                <w:rFonts w:cs="Arial"/>
                <w:color w:val="000000"/>
                <w:sz w:val="18"/>
                <w:szCs w:val="18"/>
                <w:lang w:eastAsia="en-AU"/>
              </w:rPr>
              <w:t>Jun-18</w:t>
            </w:r>
          </w:p>
        </w:tc>
      </w:tr>
      <w:tr w:rsidR="00977B84" w:rsidRPr="00E03421" w:rsidTr="00952B87">
        <w:trPr>
          <w:trHeight w:val="255"/>
        </w:trPr>
        <w:tc>
          <w:tcPr>
            <w:tcW w:w="3402" w:type="dxa"/>
            <w:tcBorders>
              <w:top w:val="nil"/>
              <w:left w:val="nil"/>
              <w:bottom w:val="nil"/>
              <w:right w:val="nil"/>
            </w:tcBorders>
            <w:shd w:val="clear" w:color="auto" w:fill="auto"/>
            <w:hideMark/>
          </w:tcPr>
          <w:p w:rsidR="00977B84" w:rsidRPr="00E03421" w:rsidRDefault="00977B84" w:rsidP="00977B84">
            <w:pPr>
              <w:spacing w:before="0" w:after="0"/>
              <w:rPr>
                <w:rFonts w:cs="Arial"/>
                <w:color w:val="000000"/>
                <w:sz w:val="18"/>
                <w:szCs w:val="18"/>
                <w:lang w:eastAsia="en-AU"/>
              </w:rPr>
            </w:pPr>
            <w:r w:rsidRPr="00E03421">
              <w:rPr>
                <w:rFonts w:cs="Arial"/>
                <w:color w:val="000000"/>
                <w:sz w:val="18"/>
                <w:szCs w:val="18"/>
                <w:lang w:eastAsia="en-AU"/>
              </w:rPr>
              <w:t>An E-Healthy Future</w:t>
            </w:r>
          </w:p>
        </w:tc>
        <w:tc>
          <w:tcPr>
            <w:tcW w:w="1033" w:type="dxa"/>
            <w:tcBorders>
              <w:top w:val="nil"/>
              <w:left w:val="nil"/>
              <w:bottom w:val="nil"/>
              <w:right w:val="nil"/>
            </w:tcBorders>
            <w:shd w:val="clear" w:color="auto" w:fill="auto"/>
            <w:noWrap/>
            <w:hideMark/>
          </w:tcPr>
          <w:p w:rsidR="00977B84" w:rsidRPr="00E03421" w:rsidRDefault="00BC4B21" w:rsidP="00810A64">
            <w:pPr>
              <w:spacing w:before="0" w:after="0"/>
              <w:jc w:val="right"/>
              <w:rPr>
                <w:rFonts w:cs="Arial"/>
                <w:color w:val="000000"/>
                <w:sz w:val="18"/>
                <w:szCs w:val="18"/>
                <w:lang w:eastAsia="en-AU"/>
              </w:rPr>
            </w:pPr>
            <w:r w:rsidRPr="00E03421">
              <w:rPr>
                <w:rFonts w:cs="Arial"/>
                <w:color w:val="000000"/>
                <w:sz w:val="18"/>
                <w:szCs w:val="18"/>
                <w:lang w:eastAsia="en-AU"/>
              </w:rPr>
              <w:t>1</w:t>
            </w:r>
            <w:r w:rsidR="00904EBD" w:rsidRPr="00E03421">
              <w:rPr>
                <w:rFonts w:cs="Arial"/>
                <w:color w:val="000000"/>
                <w:sz w:val="18"/>
                <w:szCs w:val="18"/>
                <w:lang w:eastAsia="en-AU"/>
              </w:rPr>
              <w:t>,</w:t>
            </w:r>
            <w:r w:rsidR="00977B84" w:rsidRPr="00E03421">
              <w:rPr>
                <w:rFonts w:cs="Arial"/>
                <w:color w:val="000000"/>
                <w:sz w:val="18"/>
                <w:szCs w:val="18"/>
                <w:lang w:eastAsia="en-AU"/>
              </w:rPr>
              <w:t>854</w:t>
            </w:r>
          </w:p>
        </w:tc>
        <w:tc>
          <w:tcPr>
            <w:tcW w:w="1033" w:type="dxa"/>
            <w:tcBorders>
              <w:top w:val="nil"/>
              <w:left w:val="nil"/>
              <w:bottom w:val="nil"/>
              <w:right w:val="nil"/>
            </w:tcBorders>
            <w:shd w:val="clear" w:color="auto" w:fill="auto"/>
            <w:noWrap/>
            <w:hideMark/>
          </w:tcPr>
          <w:p w:rsidR="00977B84" w:rsidRPr="00E03421" w:rsidRDefault="00BC4B21" w:rsidP="00810A64">
            <w:pPr>
              <w:spacing w:before="0" w:after="0"/>
              <w:jc w:val="right"/>
              <w:rPr>
                <w:rFonts w:cs="Arial"/>
                <w:color w:val="000000"/>
                <w:sz w:val="18"/>
                <w:szCs w:val="18"/>
                <w:lang w:eastAsia="en-AU"/>
              </w:rPr>
            </w:pPr>
            <w:r w:rsidRPr="00E03421">
              <w:rPr>
                <w:rFonts w:cs="Arial"/>
                <w:color w:val="000000"/>
                <w:sz w:val="18"/>
                <w:szCs w:val="18"/>
                <w:lang w:eastAsia="en-AU"/>
              </w:rPr>
              <w:t>3</w:t>
            </w:r>
            <w:r w:rsidR="00904EBD" w:rsidRPr="00E03421">
              <w:rPr>
                <w:rFonts w:cs="Arial"/>
                <w:color w:val="000000"/>
                <w:sz w:val="18"/>
                <w:szCs w:val="18"/>
                <w:lang w:eastAsia="en-AU"/>
              </w:rPr>
              <w:t>,</w:t>
            </w:r>
            <w:r w:rsidR="00977B84" w:rsidRPr="00E03421">
              <w:rPr>
                <w:rFonts w:cs="Arial"/>
                <w:color w:val="000000"/>
                <w:sz w:val="18"/>
                <w:szCs w:val="18"/>
                <w:lang w:eastAsia="en-AU"/>
              </w:rPr>
              <w:t>210</w:t>
            </w:r>
          </w:p>
        </w:tc>
        <w:tc>
          <w:tcPr>
            <w:tcW w:w="1033" w:type="dxa"/>
            <w:tcBorders>
              <w:top w:val="nil"/>
              <w:left w:val="nil"/>
              <w:bottom w:val="nil"/>
              <w:right w:val="nil"/>
            </w:tcBorders>
            <w:shd w:val="clear" w:color="auto" w:fill="auto"/>
            <w:noWrap/>
            <w:hideMark/>
          </w:tcPr>
          <w:p w:rsidR="00977B84" w:rsidRPr="00E03421" w:rsidRDefault="001A6BC2" w:rsidP="00810A64">
            <w:pPr>
              <w:spacing w:before="0" w:after="0"/>
              <w:jc w:val="right"/>
              <w:rPr>
                <w:rFonts w:cs="Arial"/>
                <w:color w:val="000000"/>
                <w:sz w:val="18"/>
                <w:szCs w:val="18"/>
                <w:lang w:eastAsia="en-AU"/>
              </w:rPr>
            </w:pPr>
            <w:r>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977B84" w:rsidRPr="00E03421" w:rsidRDefault="001A6BC2" w:rsidP="00810A64">
            <w:pPr>
              <w:spacing w:before="0" w:after="0"/>
              <w:jc w:val="right"/>
              <w:rPr>
                <w:rFonts w:ascii="Times New Roman" w:hAnsi="Times New Roman"/>
                <w:sz w:val="20"/>
                <w:lang w:eastAsia="en-AU"/>
              </w:rPr>
            </w:pPr>
            <w:r>
              <w:rPr>
                <w:rFonts w:ascii="Times New Roman" w:hAnsi="Times New Roman"/>
                <w:sz w:val="20"/>
                <w:lang w:eastAsia="en-AU"/>
              </w:rPr>
              <w:t>-</w:t>
            </w:r>
          </w:p>
        </w:tc>
        <w:tc>
          <w:tcPr>
            <w:tcW w:w="1165" w:type="dxa"/>
            <w:tcBorders>
              <w:top w:val="nil"/>
              <w:left w:val="nil"/>
              <w:bottom w:val="nil"/>
              <w:right w:val="nil"/>
            </w:tcBorders>
            <w:shd w:val="clear" w:color="auto" w:fill="auto"/>
            <w:noWrap/>
            <w:hideMark/>
          </w:tcPr>
          <w:p w:rsidR="00977B84" w:rsidRPr="00E03421" w:rsidRDefault="00BC4B21" w:rsidP="00810A64">
            <w:pPr>
              <w:spacing w:before="0" w:after="0"/>
              <w:jc w:val="right"/>
              <w:rPr>
                <w:rFonts w:cs="Arial"/>
                <w:color w:val="000000"/>
                <w:sz w:val="18"/>
                <w:szCs w:val="18"/>
                <w:lang w:eastAsia="en-AU"/>
              </w:rPr>
            </w:pPr>
            <w:r w:rsidRPr="00E03421">
              <w:rPr>
                <w:rFonts w:cs="Arial"/>
                <w:color w:val="000000"/>
                <w:sz w:val="18"/>
                <w:szCs w:val="18"/>
                <w:lang w:eastAsia="en-AU"/>
              </w:rPr>
              <w:t>5</w:t>
            </w:r>
            <w:r w:rsidR="00904EBD" w:rsidRPr="00E03421">
              <w:rPr>
                <w:rFonts w:cs="Arial"/>
                <w:color w:val="000000"/>
                <w:sz w:val="18"/>
                <w:szCs w:val="18"/>
                <w:lang w:eastAsia="en-AU"/>
              </w:rPr>
              <w:t>,</w:t>
            </w:r>
            <w:r w:rsidR="00977B84" w:rsidRPr="00E03421">
              <w:rPr>
                <w:rFonts w:cs="Arial"/>
                <w:color w:val="000000"/>
                <w:sz w:val="18"/>
                <w:szCs w:val="18"/>
                <w:lang w:eastAsia="en-AU"/>
              </w:rPr>
              <w:t>064</w:t>
            </w:r>
          </w:p>
        </w:tc>
        <w:tc>
          <w:tcPr>
            <w:tcW w:w="1280" w:type="dxa"/>
            <w:tcBorders>
              <w:top w:val="nil"/>
              <w:left w:val="nil"/>
              <w:bottom w:val="nil"/>
              <w:right w:val="nil"/>
            </w:tcBorders>
            <w:shd w:val="clear" w:color="auto" w:fill="auto"/>
            <w:noWrap/>
            <w:hideMark/>
          </w:tcPr>
          <w:p w:rsidR="00977B84" w:rsidRPr="00E03421" w:rsidRDefault="00E03421" w:rsidP="00810A64">
            <w:pPr>
              <w:spacing w:before="0" w:after="0"/>
              <w:jc w:val="right"/>
              <w:rPr>
                <w:rFonts w:cs="Arial"/>
                <w:color w:val="000000"/>
                <w:sz w:val="18"/>
                <w:szCs w:val="18"/>
                <w:lang w:eastAsia="en-AU"/>
              </w:rPr>
            </w:pPr>
            <w:r w:rsidRPr="00E03421">
              <w:rPr>
                <w:rFonts w:cs="Arial"/>
                <w:color w:val="000000"/>
                <w:sz w:val="18"/>
                <w:szCs w:val="18"/>
                <w:lang w:eastAsia="en-AU"/>
              </w:rPr>
              <w:t>Dec</w:t>
            </w:r>
            <w:r w:rsidR="004E3068" w:rsidRPr="00E03421">
              <w:rPr>
                <w:rFonts w:cs="Arial"/>
                <w:color w:val="000000"/>
                <w:sz w:val="18"/>
                <w:szCs w:val="18"/>
                <w:lang w:eastAsia="en-AU"/>
              </w:rPr>
              <w:t>-18</w:t>
            </w:r>
          </w:p>
        </w:tc>
      </w:tr>
      <w:tr w:rsidR="000B31F8" w:rsidRPr="00E03421" w:rsidTr="000B31F8">
        <w:trPr>
          <w:trHeight w:val="240"/>
        </w:trPr>
        <w:tc>
          <w:tcPr>
            <w:tcW w:w="3402" w:type="dxa"/>
            <w:tcBorders>
              <w:left w:val="nil"/>
              <w:bottom w:val="nil"/>
              <w:right w:val="nil"/>
            </w:tcBorders>
            <w:shd w:val="clear" w:color="auto" w:fill="auto"/>
            <w:hideMark/>
          </w:tcPr>
          <w:p w:rsidR="000B31F8" w:rsidRPr="00E03421" w:rsidRDefault="000B31F8" w:rsidP="000B31F8">
            <w:pPr>
              <w:spacing w:before="0" w:after="0"/>
              <w:rPr>
                <w:rFonts w:cs="Arial"/>
                <w:b/>
                <w:bCs/>
                <w:color w:val="000000"/>
                <w:sz w:val="18"/>
                <w:szCs w:val="18"/>
                <w:lang w:eastAsia="en-AU"/>
              </w:rPr>
            </w:pPr>
            <w:r w:rsidRPr="00E03421">
              <w:rPr>
                <w:rFonts w:cs="Arial"/>
                <w:b/>
                <w:bCs/>
                <w:color w:val="000000"/>
                <w:sz w:val="18"/>
                <w:szCs w:val="18"/>
                <w:lang w:eastAsia="en-AU"/>
              </w:rPr>
              <w:t>Total Work In Progress</w:t>
            </w:r>
          </w:p>
        </w:tc>
        <w:tc>
          <w:tcPr>
            <w:tcW w:w="1033" w:type="dxa"/>
            <w:tcBorders>
              <w:left w:val="nil"/>
              <w:bottom w:val="nil"/>
              <w:right w:val="nil"/>
            </w:tcBorders>
            <w:shd w:val="clear" w:color="auto" w:fill="auto"/>
            <w:noWrap/>
            <w:hideMark/>
          </w:tcPr>
          <w:p w:rsidR="000B31F8" w:rsidRPr="00E03421" w:rsidRDefault="00BC4B21" w:rsidP="000B31F8">
            <w:pPr>
              <w:spacing w:before="0" w:after="0"/>
              <w:jc w:val="right"/>
              <w:rPr>
                <w:rFonts w:cs="Arial"/>
                <w:b/>
                <w:bCs/>
                <w:color w:val="000000"/>
                <w:sz w:val="18"/>
                <w:szCs w:val="18"/>
                <w:lang w:eastAsia="en-AU"/>
              </w:rPr>
            </w:pPr>
            <w:r w:rsidRPr="00E03421">
              <w:rPr>
                <w:rFonts w:cs="Arial"/>
                <w:b/>
                <w:bCs/>
                <w:color w:val="000000"/>
                <w:sz w:val="18"/>
                <w:szCs w:val="18"/>
                <w:lang w:eastAsia="en-AU"/>
              </w:rPr>
              <w:t>80</w:t>
            </w:r>
            <w:r w:rsidR="00904EBD" w:rsidRPr="00E03421">
              <w:rPr>
                <w:rFonts w:cs="Arial"/>
                <w:b/>
                <w:bCs/>
                <w:color w:val="000000"/>
                <w:sz w:val="18"/>
                <w:szCs w:val="18"/>
                <w:lang w:eastAsia="en-AU"/>
              </w:rPr>
              <w:t>,</w:t>
            </w:r>
            <w:r w:rsidR="000B31F8" w:rsidRPr="00E03421">
              <w:rPr>
                <w:rFonts w:cs="Arial"/>
                <w:b/>
                <w:bCs/>
                <w:color w:val="000000"/>
                <w:sz w:val="18"/>
                <w:szCs w:val="18"/>
                <w:lang w:eastAsia="en-AU"/>
              </w:rPr>
              <w:t>219</w:t>
            </w:r>
          </w:p>
        </w:tc>
        <w:tc>
          <w:tcPr>
            <w:tcW w:w="1033" w:type="dxa"/>
            <w:tcBorders>
              <w:left w:val="nil"/>
              <w:bottom w:val="nil"/>
              <w:right w:val="nil"/>
            </w:tcBorders>
            <w:shd w:val="clear" w:color="auto" w:fill="auto"/>
            <w:noWrap/>
            <w:hideMark/>
          </w:tcPr>
          <w:p w:rsidR="000B31F8" w:rsidRPr="00E03421" w:rsidRDefault="00BC4B21" w:rsidP="000B31F8">
            <w:pPr>
              <w:spacing w:before="0" w:after="0"/>
              <w:jc w:val="right"/>
              <w:rPr>
                <w:rFonts w:cs="Arial"/>
                <w:b/>
                <w:bCs/>
                <w:color w:val="000000"/>
                <w:sz w:val="18"/>
                <w:szCs w:val="18"/>
                <w:lang w:eastAsia="en-AU"/>
              </w:rPr>
            </w:pPr>
            <w:r w:rsidRPr="00E03421">
              <w:rPr>
                <w:rFonts w:cs="Arial"/>
                <w:b/>
                <w:bCs/>
                <w:color w:val="000000"/>
                <w:sz w:val="18"/>
                <w:szCs w:val="18"/>
                <w:lang w:eastAsia="en-AU"/>
              </w:rPr>
              <w:t>73</w:t>
            </w:r>
            <w:r w:rsidR="00904EBD" w:rsidRPr="00E03421">
              <w:rPr>
                <w:rFonts w:cs="Arial"/>
                <w:b/>
                <w:bCs/>
                <w:color w:val="000000"/>
                <w:sz w:val="18"/>
                <w:szCs w:val="18"/>
                <w:lang w:eastAsia="en-AU"/>
              </w:rPr>
              <w:t>,</w:t>
            </w:r>
            <w:r w:rsidR="000B31F8" w:rsidRPr="00E03421">
              <w:rPr>
                <w:rFonts w:cs="Arial"/>
                <w:b/>
                <w:bCs/>
                <w:color w:val="000000"/>
                <w:sz w:val="18"/>
                <w:szCs w:val="18"/>
                <w:lang w:eastAsia="en-AU"/>
              </w:rPr>
              <w:t>271</w:t>
            </w:r>
          </w:p>
        </w:tc>
        <w:tc>
          <w:tcPr>
            <w:tcW w:w="1033" w:type="dxa"/>
            <w:tcBorders>
              <w:left w:val="nil"/>
              <w:bottom w:val="nil"/>
              <w:right w:val="nil"/>
            </w:tcBorders>
            <w:shd w:val="clear" w:color="auto" w:fill="auto"/>
            <w:noWrap/>
            <w:hideMark/>
          </w:tcPr>
          <w:p w:rsidR="000B31F8" w:rsidRPr="00E03421" w:rsidRDefault="000B31F8" w:rsidP="000B31F8">
            <w:pPr>
              <w:spacing w:before="0" w:after="0"/>
              <w:jc w:val="right"/>
              <w:rPr>
                <w:rFonts w:cs="Arial"/>
                <w:b/>
                <w:bCs/>
                <w:color w:val="000000"/>
                <w:sz w:val="18"/>
                <w:szCs w:val="18"/>
                <w:lang w:eastAsia="en-AU"/>
              </w:rPr>
            </w:pPr>
            <w:r w:rsidRPr="00E03421">
              <w:rPr>
                <w:rFonts w:cs="Arial"/>
                <w:b/>
                <w:bCs/>
                <w:color w:val="000000"/>
                <w:sz w:val="18"/>
                <w:szCs w:val="18"/>
                <w:lang w:eastAsia="en-AU"/>
              </w:rPr>
              <w:t>-</w:t>
            </w:r>
          </w:p>
        </w:tc>
        <w:tc>
          <w:tcPr>
            <w:tcW w:w="1033" w:type="dxa"/>
            <w:tcBorders>
              <w:left w:val="nil"/>
              <w:bottom w:val="nil"/>
              <w:right w:val="nil"/>
            </w:tcBorders>
            <w:shd w:val="clear" w:color="auto" w:fill="auto"/>
            <w:noWrap/>
            <w:hideMark/>
          </w:tcPr>
          <w:p w:rsidR="000B31F8" w:rsidRPr="00E03421" w:rsidRDefault="000B31F8" w:rsidP="000B31F8">
            <w:pPr>
              <w:spacing w:before="0" w:after="0"/>
              <w:jc w:val="right"/>
              <w:rPr>
                <w:rFonts w:cs="Arial"/>
                <w:b/>
                <w:bCs/>
                <w:color w:val="000000"/>
                <w:sz w:val="18"/>
                <w:szCs w:val="18"/>
                <w:lang w:eastAsia="en-AU"/>
              </w:rPr>
            </w:pPr>
            <w:r w:rsidRPr="00E03421">
              <w:rPr>
                <w:rFonts w:cs="Arial"/>
                <w:b/>
                <w:bCs/>
                <w:color w:val="000000"/>
                <w:sz w:val="18"/>
                <w:szCs w:val="18"/>
                <w:lang w:eastAsia="en-AU"/>
              </w:rPr>
              <w:t>-</w:t>
            </w:r>
          </w:p>
        </w:tc>
        <w:tc>
          <w:tcPr>
            <w:tcW w:w="1165" w:type="dxa"/>
            <w:tcBorders>
              <w:left w:val="nil"/>
              <w:bottom w:val="nil"/>
              <w:right w:val="nil"/>
            </w:tcBorders>
            <w:shd w:val="clear" w:color="auto" w:fill="auto"/>
            <w:noWrap/>
            <w:hideMark/>
          </w:tcPr>
          <w:p w:rsidR="000B31F8" w:rsidRPr="00E03421" w:rsidRDefault="000B31F8" w:rsidP="00BC4B21">
            <w:pPr>
              <w:spacing w:before="0" w:after="0"/>
              <w:jc w:val="right"/>
              <w:rPr>
                <w:rFonts w:cs="Arial"/>
                <w:b/>
                <w:bCs/>
                <w:color w:val="000000"/>
                <w:sz w:val="18"/>
                <w:szCs w:val="18"/>
                <w:lang w:eastAsia="en-AU"/>
              </w:rPr>
            </w:pPr>
            <w:r w:rsidRPr="00E03421">
              <w:rPr>
                <w:rFonts w:cs="Arial"/>
                <w:b/>
                <w:bCs/>
                <w:color w:val="000000"/>
                <w:sz w:val="18"/>
                <w:szCs w:val="18"/>
                <w:lang w:eastAsia="en-AU"/>
              </w:rPr>
              <w:t>153</w:t>
            </w:r>
            <w:r w:rsidR="00904EBD" w:rsidRPr="00E03421">
              <w:rPr>
                <w:rFonts w:cs="Arial"/>
                <w:b/>
                <w:bCs/>
                <w:color w:val="000000"/>
                <w:sz w:val="18"/>
                <w:szCs w:val="18"/>
                <w:lang w:eastAsia="en-AU"/>
              </w:rPr>
              <w:t>,</w:t>
            </w:r>
            <w:r w:rsidRPr="00E03421">
              <w:rPr>
                <w:rFonts w:cs="Arial"/>
                <w:b/>
                <w:bCs/>
                <w:color w:val="000000"/>
                <w:sz w:val="18"/>
                <w:szCs w:val="18"/>
                <w:lang w:eastAsia="en-AU"/>
              </w:rPr>
              <w:t>490</w:t>
            </w:r>
          </w:p>
        </w:tc>
        <w:tc>
          <w:tcPr>
            <w:tcW w:w="1280" w:type="dxa"/>
            <w:tcBorders>
              <w:left w:val="nil"/>
              <w:bottom w:val="nil"/>
              <w:right w:val="nil"/>
            </w:tcBorders>
            <w:shd w:val="clear" w:color="auto" w:fill="auto"/>
            <w:noWrap/>
            <w:hideMark/>
          </w:tcPr>
          <w:p w:rsidR="000B31F8" w:rsidRPr="00E03421" w:rsidRDefault="000B31F8" w:rsidP="000B31F8">
            <w:pPr>
              <w:spacing w:before="0" w:after="0"/>
              <w:jc w:val="right"/>
              <w:rPr>
                <w:rFonts w:cs="Arial"/>
                <w:color w:val="000000"/>
                <w:sz w:val="18"/>
                <w:szCs w:val="18"/>
                <w:lang w:eastAsia="en-AU"/>
              </w:rPr>
            </w:pPr>
            <w:r w:rsidRPr="00E03421">
              <w:rPr>
                <w:rFonts w:cs="Arial"/>
                <w:color w:val="000000"/>
                <w:sz w:val="18"/>
                <w:szCs w:val="18"/>
                <w:lang w:eastAsia="en-AU"/>
              </w:rPr>
              <w:t> </w:t>
            </w:r>
          </w:p>
        </w:tc>
      </w:tr>
      <w:tr w:rsidR="000B31F8" w:rsidRPr="00E03421" w:rsidTr="00952B87">
        <w:trPr>
          <w:trHeight w:val="255"/>
        </w:trPr>
        <w:tc>
          <w:tcPr>
            <w:tcW w:w="3402" w:type="dxa"/>
            <w:tcBorders>
              <w:top w:val="nil"/>
              <w:left w:val="nil"/>
              <w:bottom w:val="nil"/>
              <w:right w:val="nil"/>
            </w:tcBorders>
            <w:shd w:val="clear" w:color="auto" w:fill="auto"/>
          </w:tcPr>
          <w:p w:rsidR="000B31F8" w:rsidRPr="00E03421" w:rsidRDefault="000B31F8" w:rsidP="00977B84">
            <w:pPr>
              <w:spacing w:before="0" w:after="0"/>
              <w:rPr>
                <w:rFonts w:cs="Arial"/>
                <w:color w:val="000000"/>
                <w:sz w:val="18"/>
                <w:szCs w:val="18"/>
                <w:lang w:eastAsia="en-AU"/>
              </w:rPr>
            </w:pPr>
          </w:p>
        </w:tc>
        <w:tc>
          <w:tcPr>
            <w:tcW w:w="1033" w:type="dxa"/>
            <w:tcBorders>
              <w:top w:val="nil"/>
              <w:left w:val="nil"/>
              <w:bottom w:val="nil"/>
              <w:right w:val="nil"/>
            </w:tcBorders>
            <w:shd w:val="clear" w:color="auto" w:fill="auto"/>
            <w:noWrap/>
          </w:tcPr>
          <w:p w:rsidR="000B31F8" w:rsidRPr="00E03421" w:rsidRDefault="000B31F8" w:rsidP="00810A64">
            <w:pPr>
              <w:spacing w:before="0" w:after="0"/>
              <w:jc w:val="right"/>
              <w:rPr>
                <w:rFonts w:cs="Arial"/>
                <w:color w:val="000000"/>
                <w:sz w:val="18"/>
                <w:szCs w:val="18"/>
                <w:lang w:eastAsia="en-AU"/>
              </w:rPr>
            </w:pPr>
          </w:p>
        </w:tc>
        <w:tc>
          <w:tcPr>
            <w:tcW w:w="1033" w:type="dxa"/>
            <w:tcBorders>
              <w:top w:val="nil"/>
              <w:left w:val="nil"/>
              <w:bottom w:val="nil"/>
              <w:right w:val="nil"/>
            </w:tcBorders>
            <w:shd w:val="clear" w:color="auto" w:fill="auto"/>
            <w:noWrap/>
          </w:tcPr>
          <w:p w:rsidR="000B31F8" w:rsidRPr="00E03421" w:rsidRDefault="000B31F8" w:rsidP="00810A64">
            <w:pPr>
              <w:spacing w:before="0" w:after="0"/>
              <w:jc w:val="right"/>
              <w:rPr>
                <w:rFonts w:cs="Arial"/>
                <w:color w:val="000000"/>
                <w:sz w:val="18"/>
                <w:szCs w:val="18"/>
                <w:lang w:eastAsia="en-AU"/>
              </w:rPr>
            </w:pPr>
          </w:p>
        </w:tc>
        <w:tc>
          <w:tcPr>
            <w:tcW w:w="1033" w:type="dxa"/>
            <w:tcBorders>
              <w:top w:val="nil"/>
              <w:left w:val="nil"/>
              <w:bottom w:val="nil"/>
              <w:right w:val="nil"/>
            </w:tcBorders>
            <w:shd w:val="clear" w:color="auto" w:fill="auto"/>
            <w:noWrap/>
          </w:tcPr>
          <w:p w:rsidR="000B31F8" w:rsidRPr="00E03421" w:rsidRDefault="000B31F8" w:rsidP="00810A64">
            <w:pPr>
              <w:spacing w:before="0" w:after="0"/>
              <w:jc w:val="right"/>
              <w:rPr>
                <w:rFonts w:cs="Arial"/>
                <w:color w:val="000000"/>
                <w:sz w:val="18"/>
                <w:szCs w:val="18"/>
                <w:lang w:eastAsia="en-AU"/>
              </w:rPr>
            </w:pPr>
          </w:p>
        </w:tc>
        <w:tc>
          <w:tcPr>
            <w:tcW w:w="1033" w:type="dxa"/>
            <w:tcBorders>
              <w:top w:val="nil"/>
              <w:left w:val="nil"/>
              <w:bottom w:val="nil"/>
              <w:right w:val="nil"/>
            </w:tcBorders>
            <w:shd w:val="clear" w:color="auto" w:fill="auto"/>
            <w:noWrap/>
          </w:tcPr>
          <w:p w:rsidR="000B31F8" w:rsidRPr="00E03421" w:rsidRDefault="000B31F8" w:rsidP="00810A64">
            <w:pPr>
              <w:spacing w:before="0" w:after="0"/>
              <w:jc w:val="right"/>
              <w:rPr>
                <w:rFonts w:ascii="Times New Roman" w:hAnsi="Times New Roman"/>
                <w:sz w:val="20"/>
                <w:lang w:eastAsia="en-AU"/>
              </w:rPr>
            </w:pPr>
          </w:p>
        </w:tc>
        <w:tc>
          <w:tcPr>
            <w:tcW w:w="1165" w:type="dxa"/>
            <w:tcBorders>
              <w:top w:val="nil"/>
              <w:left w:val="nil"/>
              <w:bottom w:val="nil"/>
              <w:right w:val="nil"/>
            </w:tcBorders>
            <w:shd w:val="clear" w:color="auto" w:fill="auto"/>
            <w:noWrap/>
          </w:tcPr>
          <w:p w:rsidR="000B31F8" w:rsidRPr="00E03421" w:rsidRDefault="000B31F8" w:rsidP="00810A64">
            <w:pPr>
              <w:spacing w:before="0" w:after="0"/>
              <w:jc w:val="right"/>
              <w:rPr>
                <w:rFonts w:cs="Arial"/>
                <w:color w:val="000000"/>
                <w:sz w:val="18"/>
                <w:szCs w:val="18"/>
                <w:lang w:eastAsia="en-AU"/>
              </w:rPr>
            </w:pPr>
          </w:p>
        </w:tc>
        <w:tc>
          <w:tcPr>
            <w:tcW w:w="1280" w:type="dxa"/>
            <w:tcBorders>
              <w:top w:val="nil"/>
              <w:left w:val="nil"/>
              <w:bottom w:val="nil"/>
              <w:right w:val="nil"/>
            </w:tcBorders>
            <w:shd w:val="clear" w:color="auto" w:fill="auto"/>
            <w:noWrap/>
          </w:tcPr>
          <w:p w:rsidR="000B31F8" w:rsidRPr="00E03421" w:rsidRDefault="000B31F8" w:rsidP="00810A64">
            <w:pPr>
              <w:spacing w:before="0" w:after="0"/>
              <w:jc w:val="right"/>
              <w:rPr>
                <w:rFonts w:cs="Arial"/>
                <w:color w:val="000000"/>
                <w:sz w:val="18"/>
                <w:szCs w:val="18"/>
                <w:lang w:eastAsia="en-AU"/>
              </w:rPr>
            </w:pPr>
          </w:p>
        </w:tc>
      </w:tr>
      <w:tr w:rsidR="00752916" w:rsidRPr="00E03421" w:rsidTr="000B31F8">
        <w:trPr>
          <w:trHeight w:val="240"/>
        </w:trPr>
        <w:tc>
          <w:tcPr>
            <w:tcW w:w="3402" w:type="dxa"/>
            <w:tcBorders>
              <w:top w:val="nil"/>
              <w:left w:val="nil"/>
              <w:bottom w:val="nil"/>
              <w:right w:val="nil"/>
            </w:tcBorders>
            <w:shd w:val="clear" w:color="auto" w:fill="auto"/>
            <w:hideMark/>
          </w:tcPr>
          <w:p w:rsidR="00752916" w:rsidRPr="00E03421" w:rsidRDefault="00752916" w:rsidP="000B31F8">
            <w:pPr>
              <w:spacing w:before="0" w:after="0"/>
              <w:rPr>
                <w:rFonts w:cs="Arial"/>
                <w:color w:val="000000"/>
                <w:sz w:val="18"/>
                <w:szCs w:val="18"/>
                <w:u w:val="single"/>
                <w:lang w:eastAsia="en-AU"/>
              </w:rPr>
            </w:pPr>
            <w:r w:rsidRPr="00E03421">
              <w:rPr>
                <w:rFonts w:cs="Arial"/>
                <w:color w:val="000000"/>
                <w:sz w:val="18"/>
                <w:szCs w:val="18"/>
                <w:u w:val="single"/>
                <w:lang w:eastAsia="en-AU"/>
              </w:rPr>
              <w:t>Feasibility</w:t>
            </w:r>
          </w:p>
        </w:tc>
        <w:tc>
          <w:tcPr>
            <w:tcW w:w="1033" w:type="dxa"/>
            <w:tcBorders>
              <w:top w:val="nil"/>
              <w:left w:val="nil"/>
              <w:bottom w:val="nil"/>
              <w:right w:val="nil"/>
            </w:tcBorders>
            <w:shd w:val="clear" w:color="auto" w:fill="auto"/>
            <w:noWrap/>
            <w:hideMark/>
          </w:tcPr>
          <w:p w:rsidR="00752916" w:rsidRPr="00E03421" w:rsidRDefault="00752916" w:rsidP="000B31F8">
            <w:pPr>
              <w:spacing w:before="0" w:after="0"/>
              <w:jc w:val="right"/>
              <w:rPr>
                <w:rFonts w:cs="Arial"/>
                <w:color w:val="000000"/>
                <w:sz w:val="18"/>
                <w:szCs w:val="18"/>
                <w:u w:val="single"/>
                <w:lang w:eastAsia="en-AU"/>
              </w:rPr>
            </w:pPr>
          </w:p>
        </w:tc>
        <w:tc>
          <w:tcPr>
            <w:tcW w:w="1033" w:type="dxa"/>
            <w:tcBorders>
              <w:top w:val="nil"/>
              <w:left w:val="nil"/>
              <w:bottom w:val="nil"/>
              <w:right w:val="nil"/>
            </w:tcBorders>
            <w:shd w:val="clear" w:color="auto" w:fill="auto"/>
            <w:noWrap/>
            <w:hideMark/>
          </w:tcPr>
          <w:p w:rsidR="00752916" w:rsidRPr="00E03421" w:rsidRDefault="00752916" w:rsidP="000B31F8">
            <w:pPr>
              <w:spacing w:before="0" w:after="0"/>
              <w:jc w:val="right"/>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752916" w:rsidRPr="00E03421" w:rsidRDefault="00752916" w:rsidP="000B31F8">
            <w:pPr>
              <w:spacing w:before="0" w:after="0"/>
              <w:jc w:val="right"/>
              <w:rPr>
                <w:rFonts w:ascii="Times New Roman" w:hAnsi="Times New Roman"/>
                <w:sz w:val="20"/>
                <w:lang w:eastAsia="en-AU"/>
              </w:rPr>
            </w:pPr>
          </w:p>
        </w:tc>
        <w:tc>
          <w:tcPr>
            <w:tcW w:w="1033" w:type="dxa"/>
            <w:tcBorders>
              <w:top w:val="nil"/>
              <w:left w:val="nil"/>
              <w:bottom w:val="nil"/>
              <w:right w:val="nil"/>
            </w:tcBorders>
            <w:shd w:val="clear" w:color="auto" w:fill="auto"/>
            <w:noWrap/>
            <w:hideMark/>
          </w:tcPr>
          <w:p w:rsidR="00752916" w:rsidRPr="00E03421" w:rsidRDefault="00752916" w:rsidP="000B31F8">
            <w:pPr>
              <w:spacing w:before="0" w:after="0"/>
              <w:jc w:val="right"/>
              <w:rPr>
                <w:rFonts w:ascii="Times New Roman" w:hAnsi="Times New Roman"/>
                <w:sz w:val="20"/>
                <w:lang w:eastAsia="en-AU"/>
              </w:rPr>
            </w:pPr>
          </w:p>
        </w:tc>
        <w:tc>
          <w:tcPr>
            <w:tcW w:w="1165" w:type="dxa"/>
            <w:tcBorders>
              <w:top w:val="nil"/>
              <w:left w:val="nil"/>
              <w:bottom w:val="nil"/>
              <w:right w:val="nil"/>
            </w:tcBorders>
            <w:shd w:val="clear" w:color="auto" w:fill="auto"/>
            <w:noWrap/>
            <w:hideMark/>
          </w:tcPr>
          <w:p w:rsidR="00752916" w:rsidRPr="00E03421" w:rsidRDefault="00752916" w:rsidP="000B31F8">
            <w:pPr>
              <w:spacing w:before="0" w:after="0"/>
              <w:jc w:val="right"/>
              <w:rPr>
                <w:rFonts w:ascii="Times New Roman" w:hAnsi="Times New Roman"/>
                <w:sz w:val="20"/>
                <w:lang w:eastAsia="en-AU"/>
              </w:rPr>
            </w:pPr>
          </w:p>
        </w:tc>
        <w:tc>
          <w:tcPr>
            <w:tcW w:w="1280" w:type="dxa"/>
            <w:tcBorders>
              <w:top w:val="nil"/>
              <w:left w:val="nil"/>
              <w:bottom w:val="nil"/>
              <w:right w:val="nil"/>
            </w:tcBorders>
            <w:shd w:val="clear" w:color="auto" w:fill="auto"/>
            <w:noWrap/>
            <w:hideMark/>
          </w:tcPr>
          <w:p w:rsidR="00752916" w:rsidRPr="00E03421" w:rsidRDefault="00752916" w:rsidP="000B31F8">
            <w:pPr>
              <w:spacing w:before="0" w:after="0"/>
              <w:jc w:val="right"/>
              <w:rPr>
                <w:rFonts w:ascii="Times New Roman" w:hAnsi="Times New Roman"/>
                <w:sz w:val="20"/>
                <w:lang w:eastAsia="en-AU"/>
              </w:rPr>
            </w:pPr>
          </w:p>
        </w:tc>
      </w:tr>
      <w:tr w:rsidR="00752916" w:rsidRPr="00E03421" w:rsidTr="000B31F8">
        <w:trPr>
          <w:trHeight w:val="480"/>
        </w:trPr>
        <w:tc>
          <w:tcPr>
            <w:tcW w:w="3402" w:type="dxa"/>
            <w:tcBorders>
              <w:top w:val="nil"/>
              <w:left w:val="nil"/>
              <w:bottom w:val="nil"/>
              <w:right w:val="nil"/>
            </w:tcBorders>
            <w:shd w:val="clear" w:color="auto" w:fill="auto"/>
            <w:hideMark/>
          </w:tcPr>
          <w:p w:rsidR="00752916" w:rsidRPr="00E03421" w:rsidRDefault="00752916" w:rsidP="000B31F8">
            <w:pPr>
              <w:spacing w:before="0" w:after="0"/>
              <w:rPr>
                <w:rFonts w:cs="Arial"/>
                <w:color w:val="000000"/>
                <w:sz w:val="18"/>
                <w:szCs w:val="18"/>
                <w:lang w:eastAsia="en-AU"/>
              </w:rPr>
            </w:pPr>
            <w:r w:rsidRPr="00E03421">
              <w:rPr>
                <w:rFonts w:cs="Arial"/>
                <w:color w:val="000000"/>
                <w:sz w:val="18"/>
                <w:szCs w:val="18"/>
                <w:lang w:eastAsia="en-AU"/>
              </w:rPr>
              <w:t xml:space="preserve">Expanding Centenary Hospital - More services for </w:t>
            </w:r>
            <w:r w:rsidR="000E4DA3" w:rsidRPr="00E03421">
              <w:rPr>
                <w:rFonts w:cs="Arial"/>
                <w:color w:val="000000"/>
                <w:sz w:val="18"/>
                <w:szCs w:val="18"/>
                <w:lang w:eastAsia="en-AU"/>
              </w:rPr>
              <w:t>women and</w:t>
            </w:r>
            <w:r w:rsidRPr="00E03421">
              <w:rPr>
                <w:rFonts w:cs="Arial"/>
                <w:color w:val="000000"/>
                <w:sz w:val="18"/>
                <w:szCs w:val="18"/>
                <w:lang w:eastAsia="en-AU"/>
              </w:rPr>
              <w:t xml:space="preserve"> children</w:t>
            </w:r>
          </w:p>
        </w:tc>
        <w:tc>
          <w:tcPr>
            <w:tcW w:w="1033" w:type="dxa"/>
            <w:tcBorders>
              <w:top w:val="nil"/>
              <w:left w:val="nil"/>
              <w:bottom w:val="nil"/>
              <w:right w:val="nil"/>
            </w:tcBorders>
            <w:shd w:val="clear" w:color="auto" w:fill="auto"/>
            <w:noWrap/>
            <w:hideMark/>
          </w:tcPr>
          <w:p w:rsidR="00752916" w:rsidRPr="00E03421" w:rsidRDefault="00752916" w:rsidP="000B31F8">
            <w:pPr>
              <w:spacing w:before="0" w:after="0"/>
              <w:jc w:val="right"/>
              <w:rPr>
                <w:rFonts w:cs="Arial"/>
                <w:color w:val="000000"/>
                <w:sz w:val="18"/>
                <w:szCs w:val="18"/>
                <w:lang w:eastAsia="en-AU"/>
              </w:rPr>
            </w:pPr>
            <w:r w:rsidRPr="00E03421">
              <w:rPr>
                <w:rFonts w:cs="Arial"/>
                <w:color w:val="000000"/>
                <w:sz w:val="18"/>
                <w:szCs w:val="18"/>
                <w:lang w:eastAsia="en-AU"/>
              </w:rPr>
              <w:t>225</w:t>
            </w:r>
          </w:p>
        </w:tc>
        <w:tc>
          <w:tcPr>
            <w:tcW w:w="1033" w:type="dxa"/>
            <w:tcBorders>
              <w:top w:val="nil"/>
              <w:left w:val="nil"/>
              <w:bottom w:val="nil"/>
              <w:right w:val="nil"/>
            </w:tcBorders>
            <w:shd w:val="clear" w:color="auto" w:fill="auto"/>
            <w:noWrap/>
            <w:hideMark/>
          </w:tcPr>
          <w:p w:rsidR="00752916" w:rsidRPr="00E03421" w:rsidRDefault="00752916" w:rsidP="000B31F8">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752916" w:rsidRPr="00E03421" w:rsidRDefault="00752916" w:rsidP="000B31F8">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752916" w:rsidRPr="00E03421" w:rsidRDefault="00752916" w:rsidP="000B31F8">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165" w:type="dxa"/>
            <w:tcBorders>
              <w:top w:val="nil"/>
              <w:left w:val="nil"/>
              <w:bottom w:val="nil"/>
              <w:right w:val="nil"/>
            </w:tcBorders>
            <w:shd w:val="clear" w:color="auto" w:fill="auto"/>
            <w:noWrap/>
            <w:hideMark/>
          </w:tcPr>
          <w:p w:rsidR="00752916" w:rsidRPr="00E03421" w:rsidRDefault="00752916" w:rsidP="000B31F8">
            <w:pPr>
              <w:spacing w:before="0" w:after="0"/>
              <w:jc w:val="right"/>
              <w:rPr>
                <w:rFonts w:cs="Arial"/>
                <w:color w:val="000000"/>
                <w:sz w:val="18"/>
                <w:szCs w:val="18"/>
                <w:lang w:eastAsia="en-AU"/>
              </w:rPr>
            </w:pPr>
            <w:r w:rsidRPr="00E03421">
              <w:rPr>
                <w:rFonts w:cs="Arial"/>
                <w:color w:val="000000"/>
                <w:sz w:val="18"/>
                <w:szCs w:val="18"/>
                <w:lang w:eastAsia="en-AU"/>
              </w:rPr>
              <w:t>225</w:t>
            </w:r>
          </w:p>
        </w:tc>
        <w:tc>
          <w:tcPr>
            <w:tcW w:w="1280" w:type="dxa"/>
            <w:tcBorders>
              <w:top w:val="nil"/>
              <w:left w:val="nil"/>
              <w:bottom w:val="nil"/>
              <w:right w:val="nil"/>
            </w:tcBorders>
            <w:shd w:val="clear" w:color="auto" w:fill="auto"/>
            <w:noWrap/>
            <w:hideMark/>
          </w:tcPr>
          <w:p w:rsidR="00752916" w:rsidRPr="00E03421" w:rsidRDefault="00752916" w:rsidP="000B31F8">
            <w:pPr>
              <w:spacing w:before="0" w:after="0"/>
              <w:jc w:val="right"/>
              <w:rPr>
                <w:rFonts w:cs="Arial"/>
                <w:color w:val="000000"/>
                <w:sz w:val="18"/>
                <w:szCs w:val="18"/>
                <w:lang w:eastAsia="en-AU"/>
              </w:rPr>
            </w:pPr>
            <w:r w:rsidRPr="00E03421">
              <w:rPr>
                <w:rFonts w:cs="Arial"/>
                <w:color w:val="000000"/>
                <w:sz w:val="18"/>
                <w:szCs w:val="18"/>
                <w:lang w:eastAsia="en-AU"/>
              </w:rPr>
              <w:t>-</w:t>
            </w:r>
          </w:p>
        </w:tc>
      </w:tr>
      <w:tr w:rsidR="00752916" w:rsidRPr="00E03421" w:rsidTr="000B31F8">
        <w:trPr>
          <w:trHeight w:val="240"/>
        </w:trPr>
        <w:tc>
          <w:tcPr>
            <w:tcW w:w="3402" w:type="dxa"/>
            <w:tcBorders>
              <w:top w:val="nil"/>
              <w:left w:val="nil"/>
              <w:bottom w:val="nil"/>
              <w:right w:val="nil"/>
            </w:tcBorders>
            <w:shd w:val="clear" w:color="auto" w:fill="auto"/>
            <w:hideMark/>
          </w:tcPr>
          <w:p w:rsidR="00752916" w:rsidRPr="00E03421" w:rsidRDefault="00752916" w:rsidP="000B31F8">
            <w:pPr>
              <w:spacing w:before="0" w:after="0"/>
              <w:rPr>
                <w:rFonts w:cs="Arial"/>
                <w:color w:val="000000"/>
                <w:sz w:val="18"/>
                <w:szCs w:val="18"/>
                <w:lang w:eastAsia="en-AU"/>
              </w:rPr>
            </w:pPr>
            <w:proofErr w:type="spellStart"/>
            <w:r w:rsidRPr="00E03421">
              <w:rPr>
                <w:rFonts w:cs="Arial"/>
                <w:color w:val="000000"/>
                <w:sz w:val="18"/>
                <w:szCs w:val="18"/>
                <w:lang w:eastAsia="en-AU"/>
              </w:rPr>
              <w:t>Northside</w:t>
            </w:r>
            <w:proofErr w:type="spellEnd"/>
            <w:r w:rsidRPr="00E03421">
              <w:rPr>
                <w:rFonts w:cs="Arial"/>
                <w:color w:val="000000"/>
                <w:sz w:val="18"/>
                <w:szCs w:val="18"/>
                <w:lang w:eastAsia="en-AU"/>
              </w:rPr>
              <w:t xml:space="preserve"> health care planning</w:t>
            </w:r>
          </w:p>
        </w:tc>
        <w:tc>
          <w:tcPr>
            <w:tcW w:w="1033" w:type="dxa"/>
            <w:tcBorders>
              <w:top w:val="nil"/>
              <w:left w:val="nil"/>
              <w:bottom w:val="nil"/>
              <w:right w:val="nil"/>
            </w:tcBorders>
            <w:shd w:val="clear" w:color="auto" w:fill="auto"/>
            <w:noWrap/>
            <w:hideMark/>
          </w:tcPr>
          <w:p w:rsidR="00752916" w:rsidRPr="00E03421" w:rsidRDefault="00BC4B21" w:rsidP="000B31F8">
            <w:pPr>
              <w:spacing w:before="0" w:after="0"/>
              <w:jc w:val="right"/>
              <w:rPr>
                <w:rFonts w:cs="Arial"/>
                <w:color w:val="000000"/>
                <w:sz w:val="18"/>
                <w:szCs w:val="18"/>
                <w:lang w:eastAsia="en-AU"/>
              </w:rPr>
            </w:pPr>
            <w:r w:rsidRPr="00E03421">
              <w:rPr>
                <w:rFonts w:cs="Arial"/>
                <w:color w:val="000000"/>
                <w:sz w:val="18"/>
                <w:szCs w:val="18"/>
                <w:lang w:eastAsia="en-AU"/>
              </w:rPr>
              <w:t>2</w:t>
            </w:r>
            <w:r w:rsidR="00904EBD" w:rsidRPr="00E03421">
              <w:rPr>
                <w:rFonts w:cs="Arial"/>
                <w:color w:val="000000"/>
                <w:sz w:val="18"/>
                <w:szCs w:val="18"/>
                <w:lang w:eastAsia="en-AU"/>
              </w:rPr>
              <w:t>,</w:t>
            </w:r>
            <w:r w:rsidR="00752916" w:rsidRPr="00E03421">
              <w:rPr>
                <w:rFonts w:cs="Arial"/>
                <w:color w:val="000000"/>
                <w:sz w:val="18"/>
                <w:szCs w:val="18"/>
                <w:lang w:eastAsia="en-AU"/>
              </w:rPr>
              <w:t>750</w:t>
            </w:r>
          </w:p>
        </w:tc>
        <w:tc>
          <w:tcPr>
            <w:tcW w:w="1033" w:type="dxa"/>
            <w:tcBorders>
              <w:top w:val="nil"/>
              <w:left w:val="nil"/>
              <w:bottom w:val="nil"/>
              <w:right w:val="nil"/>
            </w:tcBorders>
            <w:shd w:val="clear" w:color="auto" w:fill="auto"/>
            <w:noWrap/>
            <w:hideMark/>
          </w:tcPr>
          <w:p w:rsidR="00752916" w:rsidRPr="00E03421" w:rsidRDefault="00752916" w:rsidP="000B31F8">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752916" w:rsidRPr="00E03421" w:rsidRDefault="00752916" w:rsidP="000B31F8">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752916" w:rsidRPr="00E03421" w:rsidRDefault="00752916" w:rsidP="000B31F8">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165" w:type="dxa"/>
            <w:tcBorders>
              <w:top w:val="nil"/>
              <w:left w:val="nil"/>
              <w:bottom w:val="nil"/>
              <w:right w:val="nil"/>
            </w:tcBorders>
            <w:shd w:val="clear" w:color="auto" w:fill="auto"/>
            <w:noWrap/>
            <w:hideMark/>
          </w:tcPr>
          <w:p w:rsidR="00752916" w:rsidRPr="00E03421" w:rsidRDefault="00BC4B21" w:rsidP="000B31F8">
            <w:pPr>
              <w:spacing w:before="0" w:after="0"/>
              <w:jc w:val="right"/>
              <w:rPr>
                <w:rFonts w:cs="Arial"/>
                <w:color w:val="000000"/>
                <w:sz w:val="18"/>
                <w:szCs w:val="18"/>
                <w:lang w:eastAsia="en-AU"/>
              </w:rPr>
            </w:pPr>
            <w:r w:rsidRPr="00E03421">
              <w:rPr>
                <w:rFonts w:cs="Arial"/>
                <w:color w:val="000000"/>
                <w:sz w:val="18"/>
                <w:szCs w:val="18"/>
                <w:lang w:eastAsia="en-AU"/>
              </w:rPr>
              <w:t>2</w:t>
            </w:r>
            <w:r w:rsidR="00904EBD" w:rsidRPr="00E03421">
              <w:rPr>
                <w:rFonts w:cs="Arial"/>
                <w:color w:val="000000"/>
                <w:sz w:val="18"/>
                <w:szCs w:val="18"/>
                <w:lang w:eastAsia="en-AU"/>
              </w:rPr>
              <w:t>,</w:t>
            </w:r>
            <w:r w:rsidR="00752916" w:rsidRPr="00E03421">
              <w:rPr>
                <w:rFonts w:cs="Arial"/>
                <w:color w:val="000000"/>
                <w:sz w:val="18"/>
                <w:szCs w:val="18"/>
                <w:lang w:eastAsia="en-AU"/>
              </w:rPr>
              <w:t>750</w:t>
            </w:r>
          </w:p>
        </w:tc>
        <w:tc>
          <w:tcPr>
            <w:tcW w:w="1280" w:type="dxa"/>
            <w:tcBorders>
              <w:top w:val="nil"/>
              <w:left w:val="nil"/>
              <w:bottom w:val="nil"/>
              <w:right w:val="nil"/>
            </w:tcBorders>
            <w:shd w:val="clear" w:color="auto" w:fill="auto"/>
            <w:noWrap/>
            <w:hideMark/>
          </w:tcPr>
          <w:p w:rsidR="00752916" w:rsidRPr="00E03421" w:rsidRDefault="00752916" w:rsidP="000B31F8">
            <w:pPr>
              <w:spacing w:before="0" w:after="0"/>
              <w:jc w:val="right"/>
              <w:rPr>
                <w:rFonts w:cs="Arial"/>
                <w:color w:val="000000"/>
                <w:sz w:val="18"/>
                <w:szCs w:val="18"/>
                <w:lang w:eastAsia="en-AU"/>
              </w:rPr>
            </w:pPr>
            <w:r w:rsidRPr="00E03421">
              <w:rPr>
                <w:rFonts w:cs="Arial"/>
                <w:color w:val="000000"/>
                <w:sz w:val="18"/>
                <w:szCs w:val="18"/>
                <w:lang w:eastAsia="en-AU"/>
              </w:rPr>
              <w:t>-</w:t>
            </w:r>
          </w:p>
        </w:tc>
      </w:tr>
      <w:tr w:rsidR="00752916" w:rsidRPr="00E03421" w:rsidTr="000B31F8">
        <w:trPr>
          <w:trHeight w:val="476"/>
        </w:trPr>
        <w:tc>
          <w:tcPr>
            <w:tcW w:w="3402" w:type="dxa"/>
            <w:tcBorders>
              <w:top w:val="nil"/>
              <w:left w:val="nil"/>
              <w:bottom w:val="nil"/>
              <w:right w:val="nil"/>
            </w:tcBorders>
            <w:shd w:val="clear" w:color="auto" w:fill="auto"/>
            <w:hideMark/>
          </w:tcPr>
          <w:p w:rsidR="00752916" w:rsidRPr="00E03421" w:rsidRDefault="00752916" w:rsidP="000B31F8">
            <w:pPr>
              <w:spacing w:before="0" w:after="0"/>
              <w:rPr>
                <w:rFonts w:cs="Arial"/>
                <w:color w:val="000000"/>
                <w:sz w:val="18"/>
                <w:szCs w:val="18"/>
                <w:lang w:eastAsia="en-AU"/>
              </w:rPr>
            </w:pPr>
            <w:r w:rsidRPr="00E03421">
              <w:rPr>
                <w:rFonts w:cs="Arial"/>
                <w:color w:val="000000"/>
                <w:sz w:val="18"/>
                <w:szCs w:val="18"/>
                <w:lang w:eastAsia="en-AU"/>
              </w:rPr>
              <w:t xml:space="preserve">Surgical Procedures, Interventional Radiology and Emergency (SPIRE) Centre </w:t>
            </w:r>
          </w:p>
        </w:tc>
        <w:tc>
          <w:tcPr>
            <w:tcW w:w="1033" w:type="dxa"/>
            <w:tcBorders>
              <w:top w:val="nil"/>
              <w:left w:val="nil"/>
              <w:bottom w:val="nil"/>
              <w:right w:val="nil"/>
            </w:tcBorders>
            <w:shd w:val="clear" w:color="auto" w:fill="auto"/>
            <w:noWrap/>
            <w:hideMark/>
          </w:tcPr>
          <w:p w:rsidR="00752916" w:rsidRPr="00E03421" w:rsidRDefault="00752916" w:rsidP="00BC4B21">
            <w:pPr>
              <w:spacing w:before="0" w:after="0"/>
              <w:jc w:val="right"/>
              <w:rPr>
                <w:rFonts w:cs="Arial"/>
                <w:color w:val="000000"/>
                <w:sz w:val="18"/>
                <w:szCs w:val="18"/>
                <w:lang w:eastAsia="en-AU"/>
              </w:rPr>
            </w:pPr>
            <w:r w:rsidRPr="00E03421">
              <w:rPr>
                <w:rFonts w:cs="Arial"/>
                <w:color w:val="000000"/>
                <w:sz w:val="18"/>
                <w:szCs w:val="18"/>
                <w:lang w:eastAsia="en-AU"/>
              </w:rPr>
              <w:t>3</w:t>
            </w:r>
            <w:r w:rsidR="00904EBD" w:rsidRPr="00E03421">
              <w:rPr>
                <w:rFonts w:cs="Arial"/>
                <w:color w:val="000000"/>
                <w:sz w:val="18"/>
                <w:szCs w:val="18"/>
                <w:lang w:eastAsia="en-AU"/>
              </w:rPr>
              <w:t>,</w:t>
            </w:r>
            <w:r w:rsidRPr="00E03421">
              <w:rPr>
                <w:rFonts w:cs="Arial"/>
                <w:color w:val="000000"/>
                <w:sz w:val="18"/>
                <w:szCs w:val="18"/>
                <w:lang w:eastAsia="en-AU"/>
              </w:rPr>
              <w:t>000</w:t>
            </w:r>
          </w:p>
        </w:tc>
        <w:tc>
          <w:tcPr>
            <w:tcW w:w="1033" w:type="dxa"/>
            <w:tcBorders>
              <w:top w:val="nil"/>
              <w:left w:val="nil"/>
              <w:bottom w:val="nil"/>
              <w:right w:val="nil"/>
            </w:tcBorders>
            <w:shd w:val="clear" w:color="auto" w:fill="auto"/>
            <w:noWrap/>
            <w:hideMark/>
          </w:tcPr>
          <w:p w:rsidR="00752916" w:rsidRPr="00E03421" w:rsidRDefault="00752916" w:rsidP="000B31F8">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752916" w:rsidRPr="00E03421" w:rsidRDefault="00752916" w:rsidP="000B31F8">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033" w:type="dxa"/>
            <w:tcBorders>
              <w:top w:val="nil"/>
              <w:left w:val="nil"/>
              <w:bottom w:val="nil"/>
              <w:right w:val="nil"/>
            </w:tcBorders>
            <w:shd w:val="clear" w:color="auto" w:fill="auto"/>
            <w:noWrap/>
            <w:hideMark/>
          </w:tcPr>
          <w:p w:rsidR="00752916" w:rsidRPr="00E03421" w:rsidRDefault="00752916" w:rsidP="000B31F8">
            <w:pPr>
              <w:spacing w:before="0" w:after="0"/>
              <w:jc w:val="right"/>
              <w:rPr>
                <w:rFonts w:cs="Arial"/>
                <w:color w:val="000000"/>
                <w:sz w:val="18"/>
                <w:szCs w:val="18"/>
                <w:lang w:eastAsia="en-AU"/>
              </w:rPr>
            </w:pPr>
            <w:r w:rsidRPr="00E03421">
              <w:rPr>
                <w:rFonts w:cs="Arial"/>
                <w:color w:val="000000"/>
                <w:sz w:val="18"/>
                <w:szCs w:val="18"/>
                <w:lang w:eastAsia="en-AU"/>
              </w:rPr>
              <w:t>-</w:t>
            </w:r>
          </w:p>
        </w:tc>
        <w:tc>
          <w:tcPr>
            <w:tcW w:w="1165" w:type="dxa"/>
            <w:tcBorders>
              <w:top w:val="nil"/>
              <w:left w:val="nil"/>
              <w:bottom w:val="nil"/>
              <w:right w:val="nil"/>
            </w:tcBorders>
            <w:shd w:val="clear" w:color="auto" w:fill="auto"/>
            <w:noWrap/>
            <w:hideMark/>
          </w:tcPr>
          <w:p w:rsidR="00752916" w:rsidRPr="00E03421" w:rsidRDefault="00BC4B21" w:rsidP="000B31F8">
            <w:pPr>
              <w:spacing w:before="0" w:after="0"/>
              <w:jc w:val="right"/>
              <w:rPr>
                <w:rFonts w:cs="Arial"/>
                <w:color w:val="000000"/>
                <w:sz w:val="18"/>
                <w:szCs w:val="18"/>
                <w:lang w:eastAsia="en-AU"/>
              </w:rPr>
            </w:pPr>
            <w:r w:rsidRPr="00E03421">
              <w:rPr>
                <w:rFonts w:cs="Arial"/>
                <w:color w:val="000000"/>
                <w:sz w:val="18"/>
                <w:szCs w:val="18"/>
                <w:lang w:eastAsia="en-AU"/>
              </w:rPr>
              <w:t>3</w:t>
            </w:r>
            <w:r w:rsidR="00904EBD" w:rsidRPr="00E03421">
              <w:rPr>
                <w:rFonts w:cs="Arial"/>
                <w:color w:val="000000"/>
                <w:sz w:val="18"/>
                <w:szCs w:val="18"/>
                <w:lang w:eastAsia="en-AU"/>
              </w:rPr>
              <w:t>,</w:t>
            </w:r>
            <w:r w:rsidR="00752916" w:rsidRPr="00E03421">
              <w:rPr>
                <w:rFonts w:cs="Arial"/>
                <w:color w:val="000000"/>
                <w:sz w:val="18"/>
                <w:szCs w:val="18"/>
                <w:lang w:eastAsia="en-AU"/>
              </w:rPr>
              <w:t>000</w:t>
            </w:r>
          </w:p>
        </w:tc>
        <w:tc>
          <w:tcPr>
            <w:tcW w:w="1280" w:type="dxa"/>
            <w:tcBorders>
              <w:top w:val="nil"/>
              <w:left w:val="nil"/>
              <w:bottom w:val="nil"/>
              <w:right w:val="nil"/>
            </w:tcBorders>
            <w:shd w:val="clear" w:color="auto" w:fill="auto"/>
            <w:noWrap/>
            <w:hideMark/>
          </w:tcPr>
          <w:p w:rsidR="00752916" w:rsidRPr="00E03421" w:rsidRDefault="00752916" w:rsidP="000B31F8">
            <w:pPr>
              <w:spacing w:before="0" w:after="0"/>
              <w:jc w:val="right"/>
              <w:rPr>
                <w:rFonts w:cs="Arial"/>
                <w:color w:val="000000"/>
                <w:sz w:val="18"/>
                <w:szCs w:val="18"/>
                <w:lang w:eastAsia="en-AU"/>
              </w:rPr>
            </w:pPr>
            <w:r w:rsidRPr="00E03421">
              <w:rPr>
                <w:rFonts w:cs="Arial"/>
                <w:color w:val="000000"/>
                <w:sz w:val="18"/>
                <w:szCs w:val="18"/>
                <w:lang w:eastAsia="en-AU"/>
              </w:rPr>
              <w:t>-</w:t>
            </w:r>
          </w:p>
        </w:tc>
      </w:tr>
      <w:tr w:rsidR="00752916" w:rsidRPr="00E03421" w:rsidTr="000B31F8">
        <w:trPr>
          <w:trHeight w:val="240"/>
        </w:trPr>
        <w:tc>
          <w:tcPr>
            <w:tcW w:w="3402" w:type="dxa"/>
            <w:tcBorders>
              <w:top w:val="nil"/>
              <w:left w:val="nil"/>
              <w:bottom w:val="nil"/>
              <w:right w:val="nil"/>
            </w:tcBorders>
            <w:shd w:val="clear" w:color="auto" w:fill="auto"/>
            <w:hideMark/>
          </w:tcPr>
          <w:p w:rsidR="00752916" w:rsidRPr="00E03421" w:rsidRDefault="00752916" w:rsidP="000B31F8">
            <w:pPr>
              <w:spacing w:before="0" w:after="0"/>
              <w:rPr>
                <w:rFonts w:cs="Arial"/>
                <w:b/>
                <w:bCs/>
                <w:color w:val="000000"/>
                <w:sz w:val="18"/>
                <w:szCs w:val="18"/>
                <w:lang w:eastAsia="en-AU"/>
              </w:rPr>
            </w:pPr>
            <w:r w:rsidRPr="00E03421">
              <w:rPr>
                <w:rFonts w:cs="Arial"/>
                <w:b/>
                <w:bCs/>
                <w:color w:val="000000"/>
                <w:sz w:val="18"/>
                <w:szCs w:val="18"/>
                <w:lang w:eastAsia="en-AU"/>
              </w:rPr>
              <w:t>Total</w:t>
            </w:r>
            <w:r w:rsidR="000B31F8" w:rsidRPr="00E03421">
              <w:rPr>
                <w:rFonts w:cs="Arial"/>
                <w:b/>
                <w:bCs/>
                <w:color w:val="000000"/>
                <w:sz w:val="18"/>
                <w:szCs w:val="18"/>
                <w:lang w:eastAsia="en-AU"/>
              </w:rPr>
              <w:t xml:space="preserve"> Feasibility</w:t>
            </w:r>
          </w:p>
        </w:tc>
        <w:tc>
          <w:tcPr>
            <w:tcW w:w="1033" w:type="dxa"/>
            <w:tcBorders>
              <w:top w:val="nil"/>
              <w:left w:val="nil"/>
              <w:bottom w:val="nil"/>
              <w:right w:val="nil"/>
            </w:tcBorders>
            <w:shd w:val="clear" w:color="auto" w:fill="auto"/>
            <w:noWrap/>
            <w:hideMark/>
          </w:tcPr>
          <w:p w:rsidR="00752916" w:rsidRPr="00E03421" w:rsidRDefault="00BC4B21" w:rsidP="000B31F8">
            <w:pPr>
              <w:spacing w:before="0" w:after="0"/>
              <w:jc w:val="right"/>
              <w:rPr>
                <w:rFonts w:cs="Arial"/>
                <w:b/>
                <w:bCs/>
                <w:color w:val="000000"/>
                <w:sz w:val="18"/>
                <w:szCs w:val="18"/>
                <w:lang w:eastAsia="en-AU"/>
              </w:rPr>
            </w:pPr>
            <w:r w:rsidRPr="00E03421">
              <w:rPr>
                <w:rFonts w:cs="Arial"/>
                <w:b/>
                <w:bCs/>
                <w:color w:val="000000"/>
                <w:sz w:val="18"/>
                <w:szCs w:val="18"/>
                <w:lang w:eastAsia="en-AU"/>
              </w:rPr>
              <w:t>5</w:t>
            </w:r>
            <w:r w:rsidR="00904EBD" w:rsidRPr="00E03421">
              <w:rPr>
                <w:rFonts w:cs="Arial"/>
                <w:b/>
                <w:bCs/>
                <w:color w:val="000000"/>
                <w:sz w:val="18"/>
                <w:szCs w:val="18"/>
                <w:lang w:eastAsia="en-AU"/>
              </w:rPr>
              <w:t>,</w:t>
            </w:r>
            <w:r w:rsidR="00752916" w:rsidRPr="00E03421">
              <w:rPr>
                <w:rFonts w:cs="Arial"/>
                <w:b/>
                <w:bCs/>
                <w:color w:val="000000"/>
                <w:sz w:val="18"/>
                <w:szCs w:val="18"/>
                <w:lang w:eastAsia="en-AU"/>
              </w:rPr>
              <w:t>975</w:t>
            </w:r>
          </w:p>
        </w:tc>
        <w:tc>
          <w:tcPr>
            <w:tcW w:w="1033" w:type="dxa"/>
            <w:tcBorders>
              <w:top w:val="nil"/>
              <w:left w:val="nil"/>
              <w:bottom w:val="nil"/>
              <w:right w:val="nil"/>
            </w:tcBorders>
            <w:shd w:val="clear" w:color="auto" w:fill="auto"/>
            <w:noWrap/>
            <w:hideMark/>
          </w:tcPr>
          <w:p w:rsidR="00752916" w:rsidRPr="00E03421" w:rsidRDefault="00752916" w:rsidP="000B31F8">
            <w:pPr>
              <w:spacing w:before="0" w:after="0"/>
              <w:jc w:val="right"/>
              <w:rPr>
                <w:rFonts w:cs="Arial"/>
                <w:b/>
                <w:bCs/>
                <w:color w:val="000000"/>
                <w:sz w:val="18"/>
                <w:szCs w:val="18"/>
                <w:lang w:eastAsia="en-AU"/>
              </w:rPr>
            </w:pPr>
            <w:r w:rsidRPr="00E03421">
              <w:rPr>
                <w:rFonts w:cs="Arial"/>
                <w:b/>
                <w:bCs/>
                <w:color w:val="000000"/>
                <w:sz w:val="18"/>
                <w:szCs w:val="18"/>
                <w:lang w:eastAsia="en-AU"/>
              </w:rPr>
              <w:t>-</w:t>
            </w:r>
          </w:p>
        </w:tc>
        <w:tc>
          <w:tcPr>
            <w:tcW w:w="1033" w:type="dxa"/>
            <w:tcBorders>
              <w:top w:val="nil"/>
              <w:left w:val="nil"/>
              <w:bottom w:val="nil"/>
              <w:right w:val="nil"/>
            </w:tcBorders>
            <w:shd w:val="clear" w:color="auto" w:fill="auto"/>
            <w:noWrap/>
            <w:hideMark/>
          </w:tcPr>
          <w:p w:rsidR="00752916" w:rsidRPr="00E03421" w:rsidRDefault="00752916" w:rsidP="000B31F8">
            <w:pPr>
              <w:spacing w:before="0" w:after="0"/>
              <w:jc w:val="right"/>
              <w:rPr>
                <w:rFonts w:cs="Arial"/>
                <w:b/>
                <w:bCs/>
                <w:color w:val="000000"/>
                <w:sz w:val="18"/>
                <w:szCs w:val="18"/>
                <w:lang w:eastAsia="en-AU"/>
              </w:rPr>
            </w:pPr>
            <w:r w:rsidRPr="00E03421">
              <w:rPr>
                <w:rFonts w:cs="Arial"/>
                <w:b/>
                <w:bCs/>
                <w:color w:val="000000"/>
                <w:sz w:val="18"/>
                <w:szCs w:val="18"/>
                <w:lang w:eastAsia="en-AU"/>
              </w:rPr>
              <w:t>-</w:t>
            </w:r>
          </w:p>
        </w:tc>
        <w:tc>
          <w:tcPr>
            <w:tcW w:w="1033" w:type="dxa"/>
            <w:tcBorders>
              <w:top w:val="nil"/>
              <w:left w:val="nil"/>
              <w:bottom w:val="nil"/>
              <w:right w:val="nil"/>
            </w:tcBorders>
            <w:shd w:val="clear" w:color="auto" w:fill="auto"/>
            <w:noWrap/>
            <w:hideMark/>
          </w:tcPr>
          <w:p w:rsidR="00752916" w:rsidRPr="00E03421" w:rsidRDefault="00752916" w:rsidP="000B31F8">
            <w:pPr>
              <w:spacing w:before="0" w:after="0"/>
              <w:jc w:val="right"/>
              <w:rPr>
                <w:rFonts w:cs="Arial"/>
                <w:b/>
                <w:bCs/>
                <w:color w:val="000000"/>
                <w:sz w:val="18"/>
                <w:szCs w:val="18"/>
                <w:lang w:eastAsia="en-AU"/>
              </w:rPr>
            </w:pPr>
            <w:r w:rsidRPr="00E03421">
              <w:rPr>
                <w:rFonts w:cs="Arial"/>
                <w:b/>
                <w:bCs/>
                <w:color w:val="000000"/>
                <w:sz w:val="18"/>
                <w:szCs w:val="18"/>
                <w:lang w:eastAsia="en-AU"/>
              </w:rPr>
              <w:t>-</w:t>
            </w:r>
          </w:p>
        </w:tc>
        <w:tc>
          <w:tcPr>
            <w:tcW w:w="1165" w:type="dxa"/>
            <w:tcBorders>
              <w:top w:val="nil"/>
              <w:left w:val="nil"/>
              <w:bottom w:val="nil"/>
              <w:right w:val="nil"/>
            </w:tcBorders>
            <w:shd w:val="clear" w:color="auto" w:fill="auto"/>
            <w:noWrap/>
            <w:hideMark/>
          </w:tcPr>
          <w:p w:rsidR="00752916" w:rsidRPr="00E03421" w:rsidRDefault="00BC4B21" w:rsidP="000B31F8">
            <w:pPr>
              <w:spacing w:before="0" w:after="0"/>
              <w:jc w:val="right"/>
              <w:rPr>
                <w:rFonts w:cs="Arial"/>
                <w:b/>
                <w:bCs/>
                <w:color w:val="000000"/>
                <w:sz w:val="18"/>
                <w:szCs w:val="18"/>
                <w:lang w:eastAsia="en-AU"/>
              </w:rPr>
            </w:pPr>
            <w:r w:rsidRPr="00E03421">
              <w:rPr>
                <w:rFonts w:cs="Arial"/>
                <w:b/>
                <w:bCs/>
                <w:color w:val="000000"/>
                <w:sz w:val="18"/>
                <w:szCs w:val="18"/>
                <w:lang w:eastAsia="en-AU"/>
              </w:rPr>
              <w:t>5</w:t>
            </w:r>
            <w:r w:rsidR="00904EBD" w:rsidRPr="00E03421">
              <w:rPr>
                <w:rFonts w:cs="Arial"/>
                <w:b/>
                <w:bCs/>
                <w:color w:val="000000"/>
                <w:sz w:val="18"/>
                <w:szCs w:val="18"/>
                <w:lang w:eastAsia="en-AU"/>
              </w:rPr>
              <w:t>,</w:t>
            </w:r>
            <w:r w:rsidR="00752916" w:rsidRPr="00E03421">
              <w:rPr>
                <w:rFonts w:cs="Arial"/>
                <w:b/>
                <w:bCs/>
                <w:color w:val="000000"/>
                <w:sz w:val="18"/>
                <w:szCs w:val="18"/>
                <w:lang w:eastAsia="en-AU"/>
              </w:rPr>
              <w:t>975</w:t>
            </w:r>
          </w:p>
        </w:tc>
        <w:tc>
          <w:tcPr>
            <w:tcW w:w="1280" w:type="dxa"/>
            <w:tcBorders>
              <w:top w:val="nil"/>
              <w:left w:val="nil"/>
              <w:bottom w:val="nil"/>
              <w:right w:val="nil"/>
            </w:tcBorders>
            <w:shd w:val="clear" w:color="auto" w:fill="auto"/>
            <w:noWrap/>
            <w:hideMark/>
          </w:tcPr>
          <w:p w:rsidR="00752916" w:rsidRPr="00E03421" w:rsidRDefault="00752916" w:rsidP="000B31F8">
            <w:pPr>
              <w:spacing w:before="0" w:after="0"/>
              <w:jc w:val="right"/>
              <w:rPr>
                <w:rFonts w:cs="Arial"/>
                <w:b/>
                <w:bCs/>
                <w:color w:val="000000"/>
                <w:sz w:val="18"/>
                <w:szCs w:val="18"/>
                <w:lang w:eastAsia="en-AU"/>
              </w:rPr>
            </w:pPr>
          </w:p>
        </w:tc>
      </w:tr>
      <w:tr w:rsidR="00752916" w:rsidRPr="00E03421" w:rsidTr="00952B87">
        <w:trPr>
          <w:trHeight w:val="255"/>
        </w:trPr>
        <w:tc>
          <w:tcPr>
            <w:tcW w:w="3402" w:type="dxa"/>
            <w:tcBorders>
              <w:top w:val="nil"/>
              <w:left w:val="nil"/>
              <w:bottom w:val="nil"/>
              <w:right w:val="nil"/>
            </w:tcBorders>
            <w:shd w:val="clear" w:color="auto" w:fill="auto"/>
          </w:tcPr>
          <w:p w:rsidR="00752916" w:rsidRPr="00E03421" w:rsidRDefault="00752916" w:rsidP="00977B84">
            <w:pPr>
              <w:spacing w:before="0" w:after="0"/>
              <w:rPr>
                <w:rFonts w:cs="Arial"/>
                <w:color w:val="000000"/>
                <w:sz w:val="18"/>
                <w:szCs w:val="18"/>
                <w:lang w:eastAsia="en-AU"/>
              </w:rPr>
            </w:pPr>
          </w:p>
        </w:tc>
        <w:tc>
          <w:tcPr>
            <w:tcW w:w="1033" w:type="dxa"/>
            <w:tcBorders>
              <w:top w:val="nil"/>
              <w:left w:val="nil"/>
              <w:bottom w:val="nil"/>
              <w:right w:val="nil"/>
            </w:tcBorders>
            <w:shd w:val="clear" w:color="auto" w:fill="auto"/>
            <w:noWrap/>
          </w:tcPr>
          <w:p w:rsidR="00752916" w:rsidRPr="00E03421" w:rsidRDefault="00752916" w:rsidP="00810A64">
            <w:pPr>
              <w:spacing w:before="0" w:after="0"/>
              <w:jc w:val="right"/>
              <w:rPr>
                <w:rFonts w:cs="Arial"/>
                <w:color w:val="000000"/>
                <w:sz w:val="18"/>
                <w:szCs w:val="18"/>
                <w:lang w:eastAsia="en-AU"/>
              </w:rPr>
            </w:pPr>
          </w:p>
        </w:tc>
        <w:tc>
          <w:tcPr>
            <w:tcW w:w="1033" w:type="dxa"/>
            <w:tcBorders>
              <w:top w:val="nil"/>
              <w:left w:val="nil"/>
              <w:bottom w:val="nil"/>
              <w:right w:val="nil"/>
            </w:tcBorders>
            <w:shd w:val="clear" w:color="auto" w:fill="auto"/>
            <w:noWrap/>
          </w:tcPr>
          <w:p w:rsidR="00752916" w:rsidRPr="00E03421" w:rsidRDefault="00752916" w:rsidP="00810A64">
            <w:pPr>
              <w:spacing w:before="0" w:after="0"/>
              <w:jc w:val="right"/>
              <w:rPr>
                <w:rFonts w:cs="Arial"/>
                <w:color w:val="000000"/>
                <w:sz w:val="18"/>
                <w:szCs w:val="18"/>
                <w:lang w:eastAsia="en-AU"/>
              </w:rPr>
            </w:pPr>
          </w:p>
        </w:tc>
        <w:tc>
          <w:tcPr>
            <w:tcW w:w="1033" w:type="dxa"/>
            <w:tcBorders>
              <w:top w:val="nil"/>
              <w:left w:val="nil"/>
              <w:bottom w:val="nil"/>
              <w:right w:val="nil"/>
            </w:tcBorders>
            <w:shd w:val="clear" w:color="auto" w:fill="auto"/>
            <w:noWrap/>
          </w:tcPr>
          <w:p w:rsidR="00752916" w:rsidRPr="00E03421" w:rsidRDefault="00752916" w:rsidP="00810A64">
            <w:pPr>
              <w:spacing w:before="0" w:after="0"/>
              <w:jc w:val="right"/>
              <w:rPr>
                <w:rFonts w:cs="Arial"/>
                <w:color w:val="000000"/>
                <w:sz w:val="18"/>
                <w:szCs w:val="18"/>
                <w:lang w:eastAsia="en-AU"/>
              </w:rPr>
            </w:pPr>
          </w:p>
        </w:tc>
        <w:tc>
          <w:tcPr>
            <w:tcW w:w="1033" w:type="dxa"/>
            <w:tcBorders>
              <w:top w:val="nil"/>
              <w:left w:val="nil"/>
              <w:bottom w:val="nil"/>
              <w:right w:val="nil"/>
            </w:tcBorders>
            <w:shd w:val="clear" w:color="auto" w:fill="auto"/>
            <w:noWrap/>
          </w:tcPr>
          <w:p w:rsidR="00752916" w:rsidRPr="00E03421" w:rsidRDefault="00752916" w:rsidP="00810A64">
            <w:pPr>
              <w:spacing w:before="0" w:after="0"/>
              <w:jc w:val="right"/>
              <w:rPr>
                <w:rFonts w:ascii="Times New Roman" w:hAnsi="Times New Roman"/>
                <w:sz w:val="20"/>
                <w:lang w:eastAsia="en-AU"/>
              </w:rPr>
            </w:pPr>
          </w:p>
        </w:tc>
        <w:tc>
          <w:tcPr>
            <w:tcW w:w="1165" w:type="dxa"/>
            <w:tcBorders>
              <w:top w:val="nil"/>
              <w:left w:val="nil"/>
              <w:bottom w:val="nil"/>
              <w:right w:val="nil"/>
            </w:tcBorders>
            <w:shd w:val="clear" w:color="auto" w:fill="auto"/>
            <w:noWrap/>
          </w:tcPr>
          <w:p w:rsidR="00752916" w:rsidRPr="00E03421" w:rsidRDefault="00752916" w:rsidP="00810A64">
            <w:pPr>
              <w:spacing w:before="0" w:after="0"/>
              <w:jc w:val="right"/>
              <w:rPr>
                <w:rFonts w:cs="Arial"/>
                <w:color w:val="000000"/>
                <w:sz w:val="18"/>
                <w:szCs w:val="18"/>
                <w:lang w:eastAsia="en-AU"/>
              </w:rPr>
            </w:pPr>
          </w:p>
        </w:tc>
        <w:tc>
          <w:tcPr>
            <w:tcW w:w="1280" w:type="dxa"/>
            <w:tcBorders>
              <w:top w:val="nil"/>
              <w:left w:val="nil"/>
              <w:bottom w:val="nil"/>
              <w:right w:val="nil"/>
            </w:tcBorders>
            <w:shd w:val="clear" w:color="auto" w:fill="auto"/>
            <w:noWrap/>
          </w:tcPr>
          <w:p w:rsidR="00752916" w:rsidRPr="00E03421" w:rsidRDefault="00752916" w:rsidP="00810A64">
            <w:pPr>
              <w:spacing w:before="0" w:after="0"/>
              <w:jc w:val="right"/>
              <w:rPr>
                <w:rFonts w:cs="Arial"/>
                <w:color w:val="000000"/>
                <w:sz w:val="18"/>
                <w:szCs w:val="18"/>
                <w:lang w:eastAsia="en-AU"/>
              </w:rPr>
            </w:pPr>
          </w:p>
        </w:tc>
      </w:tr>
      <w:tr w:rsidR="00977B84" w:rsidRPr="00E03421" w:rsidTr="00952B87">
        <w:trPr>
          <w:trHeight w:val="255"/>
        </w:trPr>
        <w:tc>
          <w:tcPr>
            <w:tcW w:w="3402" w:type="dxa"/>
            <w:tcBorders>
              <w:top w:val="nil"/>
              <w:left w:val="nil"/>
              <w:bottom w:val="nil"/>
              <w:right w:val="nil"/>
            </w:tcBorders>
            <w:shd w:val="clear" w:color="auto" w:fill="auto"/>
            <w:noWrap/>
            <w:vAlign w:val="bottom"/>
            <w:hideMark/>
          </w:tcPr>
          <w:p w:rsidR="00977B84" w:rsidRPr="00E03421" w:rsidRDefault="00977B84" w:rsidP="00977B84">
            <w:pPr>
              <w:spacing w:before="0" w:after="0"/>
              <w:jc w:val="right"/>
              <w:rPr>
                <w:rFonts w:cs="Arial"/>
                <w:color w:val="000000"/>
                <w:sz w:val="18"/>
                <w:szCs w:val="18"/>
                <w:lang w:eastAsia="en-AU"/>
              </w:rPr>
            </w:pPr>
          </w:p>
        </w:tc>
        <w:tc>
          <w:tcPr>
            <w:tcW w:w="1033" w:type="dxa"/>
            <w:tcBorders>
              <w:top w:val="nil"/>
              <w:left w:val="nil"/>
              <w:bottom w:val="nil"/>
              <w:right w:val="nil"/>
            </w:tcBorders>
            <w:shd w:val="clear" w:color="auto" w:fill="auto"/>
            <w:noWrap/>
            <w:vAlign w:val="bottom"/>
            <w:hideMark/>
          </w:tcPr>
          <w:p w:rsidR="00977B84" w:rsidRPr="00E03421" w:rsidRDefault="00977B84" w:rsidP="00810A64">
            <w:pPr>
              <w:spacing w:before="0" w:after="0"/>
              <w:jc w:val="right"/>
              <w:rPr>
                <w:rFonts w:ascii="Times New Roman" w:hAnsi="Times New Roman"/>
                <w:sz w:val="20"/>
                <w:lang w:eastAsia="en-AU"/>
              </w:rPr>
            </w:pPr>
          </w:p>
        </w:tc>
        <w:tc>
          <w:tcPr>
            <w:tcW w:w="1033" w:type="dxa"/>
            <w:tcBorders>
              <w:top w:val="nil"/>
              <w:left w:val="nil"/>
              <w:bottom w:val="nil"/>
              <w:right w:val="nil"/>
            </w:tcBorders>
            <w:shd w:val="clear" w:color="auto" w:fill="auto"/>
            <w:noWrap/>
            <w:vAlign w:val="bottom"/>
            <w:hideMark/>
          </w:tcPr>
          <w:p w:rsidR="00977B84" w:rsidRPr="00E03421" w:rsidRDefault="00977B84" w:rsidP="00810A64">
            <w:pPr>
              <w:spacing w:before="0" w:after="0"/>
              <w:jc w:val="right"/>
              <w:rPr>
                <w:rFonts w:ascii="Times New Roman" w:hAnsi="Times New Roman"/>
                <w:sz w:val="20"/>
                <w:lang w:eastAsia="en-AU"/>
              </w:rPr>
            </w:pPr>
          </w:p>
        </w:tc>
        <w:tc>
          <w:tcPr>
            <w:tcW w:w="1033" w:type="dxa"/>
            <w:tcBorders>
              <w:top w:val="nil"/>
              <w:left w:val="nil"/>
              <w:bottom w:val="nil"/>
              <w:right w:val="nil"/>
            </w:tcBorders>
            <w:shd w:val="clear" w:color="auto" w:fill="auto"/>
            <w:noWrap/>
            <w:vAlign w:val="bottom"/>
            <w:hideMark/>
          </w:tcPr>
          <w:p w:rsidR="00977B84" w:rsidRPr="00E03421" w:rsidRDefault="00977B84" w:rsidP="00810A64">
            <w:pPr>
              <w:spacing w:before="0" w:after="0"/>
              <w:jc w:val="right"/>
              <w:rPr>
                <w:rFonts w:ascii="Times New Roman" w:hAnsi="Times New Roman"/>
                <w:sz w:val="20"/>
                <w:lang w:eastAsia="en-AU"/>
              </w:rPr>
            </w:pPr>
          </w:p>
        </w:tc>
        <w:tc>
          <w:tcPr>
            <w:tcW w:w="1033" w:type="dxa"/>
            <w:tcBorders>
              <w:top w:val="nil"/>
              <w:left w:val="nil"/>
              <w:bottom w:val="nil"/>
              <w:right w:val="nil"/>
            </w:tcBorders>
            <w:shd w:val="clear" w:color="auto" w:fill="auto"/>
            <w:noWrap/>
            <w:vAlign w:val="bottom"/>
            <w:hideMark/>
          </w:tcPr>
          <w:p w:rsidR="00977B84" w:rsidRPr="00E03421" w:rsidRDefault="00977B84" w:rsidP="00810A64">
            <w:pPr>
              <w:spacing w:before="0" w:after="0"/>
              <w:jc w:val="right"/>
              <w:rPr>
                <w:rFonts w:ascii="Times New Roman" w:hAnsi="Times New Roman"/>
                <w:sz w:val="20"/>
                <w:lang w:eastAsia="en-AU"/>
              </w:rPr>
            </w:pPr>
          </w:p>
        </w:tc>
        <w:tc>
          <w:tcPr>
            <w:tcW w:w="1165" w:type="dxa"/>
            <w:tcBorders>
              <w:top w:val="nil"/>
              <w:left w:val="nil"/>
              <w:bottom w:val="nil"/>
              <w:right w:val="nil"/>
            </w:tcBorders>
            <w:shd w:val="clear" w:color="auto" w:fill="auto"/>
            <w:noWrap/>
            <w:vAlign w:val="bottom"/>
            <w:hideMark/>
          </w:tcPr>
          <w:p w:rsidR="00977B84" w:rsidRPr="00E03421" w:rsidRDefault="00977B84" w:rsidP="00810A64">
            <w:pPr>
              <w:spacing w:before="0" w:after="0"/>
              <w:jc w:val="right"/>
              <w:rPr>
                <w:rFonts w:ascii="Times New Roman" w:hAnsi="Times New Roman"/>
                <w:sz w:val="20"/>
                <w:lang w:eastAsia="en-AU"/>
              </w:rPr>
            </w:pPr>
          </w:p>
        </w:tc>
        <w:tc>
          <w:tcPr>
            <w:tcW w:w="1280" w:type="dxa"/>
            <w:tcBorders>
              <w:top w:val="nil"/>
              <w:left w:val="nil"/>
              <w:bottom w:val="nil"/>
              <w:right w:val="nil"/>
            </w:tcBorders>
            <w:shd w:val="clear" w:color="auto" w:fill="auto"/>
            <w:noWrap/>
            <w:vAlign w:val="bottom"/>
            <w:hideMark/>
          </w:tcPr>
          <w:p w:rsidR="00977B84" w:rsidRPr="00E03421" w:rsidRDefault="00977B84" w:rsidP="00810A64">
            <w:pPr>
              <w:spacing w:before="0" w:after="0"/>
              <w:jc w:val="right"/>
              <w:rPr>
                <w:rFonts w:ascii="Times New Roman" w:hAnsi="Times New Roman"/>
                <w:sz w:val="20"/>
                <w:lang w:eastAsia="en-AU"/>
              </w:rPr>
            </w:pPr>
          </w:p>
        </w:tc>
      </w:tr>
      <w:tr w:rsidR="00977B84" w:rsidRPr="00977B84" w:rsidTr="00952B87">
        <w:trPr>
          <w:trHeight w:val="240"/>
        </w:trPr>
        <w:tc>
          <w:tcPr>
            <w:tcW w:w="3402" w:type="dxa"/>
            <w:tcBorders>
              <w:top w:val="single" w:sz="4" w:space="0" w:color="auto"/>
              <w:left w:val="nil"/>
              <w:bottom w:val="single" w:sz="8" w:space="0" w:color="auto"/>
              <w:right w:val="nil"/>
            </w:tcBorders>
            <w:shd w:val="clear" w:color="auto" w:fill="auto"/>
            <w:hideMark/>
          </w:tcPr>
          <w:p w:rsidR="00977B84" w:rsidRPr="00E03421" w:rsidRDefault="00977B84" w:rsidP="00977B84">
            <w:pPr>
              <w:spacing w:before="0" w:after="0"/>
              <w:rPr>
                <w:rFonts w:cs="Arial"/>
                <w:b/>
                <w:bCs/>
                <w:color w:val="000000"/>
                <w:sz w:val="18"/>
                <w:szCs w:val="18"/>
                <w:lang w:eastAsia="en-AU"/>
              </w:rPr>
            </w:pPr>
            <w:r w:rsidRPr="00E03421">
              <w:rPr>
                <w:rFonts w:cs="Arial"/>
                <w:b/>
                <w:bCs/>
                <w:color w:val="000000"/>
                <w:sz w:val="18"/>
                <w:szCs w:val="18"/>
                <w:lang w:eastAsia="en-AU"/>
              </w:rPr>
              <w:t xml:space="preserve">Total </w:t>
            </w:r>
            <w:r w:rsidR="000E4DA3" w:rsidRPr="00E03421">
              <w:rPr>
                <w:rFonts w:cs="Arial"/>
                <w:b/>
                <w:bCs/>
                <w:color w:val="000000"/>
                <w:sz w:val="18"/>
                <w:szCs w:val="18"/>
                <w:lang w:eastAsia="en-AU"/>
              </w:rPr>
              <w:t>Infrastructure</w:t>
            </w:r>
            <w:r w:rsidRPr="00E03421">
              <w:rPr>
                <w:rFonts w:cs="Arial"/>
                <w:b/>
                <w:bCs/>
                <w:color w:val="000000"/>
                <w:sz w:val="18"/>
                <w:szCs w:val="18"/>
                <w:lang w:eastAsia="en-AU"/>
              </w:rPr>
              <w:t xml:space="preserve"> Program</w:t>
            </w:r>
          </w:p>
        </w:tc>
        <w:tc>
          <w:tcPr>
            <w:tcW w:w="1033" w:type="dxa"/>
            <w:tcBorders>
              <w:top w:val="single" w:sz="4" w:space="0" w:color="auto"/>
              <w:left w:val="nil"/>
              <w:bottom w:val="single" w:sz="8" w:space="0" w:color="auto"/>
              <w:right w:val="nil"/>
            </w:tcBorders>
            <w:shd w:val="clear" w:color="auto" w:fill="auto"/>
            <w:noWrap/>
            <w:hideMark/>
          </w:tcPr>
          <w:p w:rsidR="00977B84" w:rsidRPr="00E03421" w:rsidRDefault="00BC4B21" w:rsidP="00C415CB">
            <w:pPr>
              <w:spacing w:before="0" w:after="0"/>
              <w:jc w:val="right"/>
              <w:rPr>
                <w:rFonts w:cs="Arial"/>
                <w:b/>
                <w:bCs/>
                <w:color w:val="000000"/>
                <w:sz w:val="18"/>
                <w:szCs w:val="18"/>
                <w:lang w:eastAsia="en-AU"/>
              </w:rPr>
            </w:pPr>
            <w:r w:rsidRPr="00E03421">
              <w:rPr>
                <w:rFonts w:cs="Arial"/>
                <w:b/>
                <w:bCs/>
                <w:color w:val="000000"/>
                <w:sz w:val="18"/>
                <w:szCs w:val="18"/>
                <w:lang w:eastAsia="en-AU"/>
              </w:rPr>
              <w:t>131</w:t>
            </w:r>
            <w:r w:rsidR="00904EBD" w:rsidRPr="00E03421">
              <w:rPr>
                <w:rFonts w:cs="Arial"/>
                <w:b/>
                <w:bCs/>
                <w:color w:val="000000"/>
                <w:sz w:val="18"/>
                <w:szCs w:val="18"/>
                <w:lang w:eastAsia="en-AU"/>
              </w:rPr>
              <w:t>,</w:t>
            </w:r>
            <w:r w:rsidR="00977B84" w:rsidRPr="00E03421">
              <w:rPr>
                <w:rFonts w:cs="Arial"/>
                <w:b/>
                <w:bCs/>
                <w:color w:val="000000"/>
                <w:sz w:val="18"/>
                <w:szCs w:val="18"/>
                <w:lang w:eastAsia="en-AU"/>
              </w:rPr>
              <w:t>607</w:t>
            </w:r>
          </w:p>
        </w:tc>
        <w:tc>
          <w:tcPr>
            <w:tcW w:w="1033" w:type="dxa"/>
            <w:tcBorders>
              <w:top w:val="single" w:sz="4" w:space="0" w:color="auto"/>
              <w:left w:val="nil"/>
              <w:bottom w:val="single" w:sz="8" w:space="0" w:color="auto"/>
              <w:right w:val="nil"/>
            </w:tcBorders>
            <w:shd w:val="clear" w:color="auto" w:fill="auto"/>
            <w:noWrap/>
            <w:hideMark/>
          </w:tcPr>
          <w:p w:rsidR="00977B84" w:rsidRPr="00E03421" w:rsidRDefault="00BC4B21" w:rsidP="00C415CB">
            <w:pPr>
              <w:spacing w:before="0" w:after="0"/>
              <w:jc w:val="right"/>
              <w:rPr>
                <w:rFonts w:cs="Arial"/>
                <w:b/>
                <w:bCs/>
                <w:color w:val="000000"/>
                <w:sz w:val="18"/>
                <w:szCs w:val="18"/>
                <w:lang w:eastAsia="en-AU"/>
              </w:rPr>
            </w:pPr>
            <w:r w:rsidRPr="00E03421">
              <w:rPr>
                <w:rFonts w:cs="Arial"/>
                <w:b/>
                <w:bCs/>
                <w:color w:val="000000"/>
                <w:sz w:val="18"/>
                <w:szCs w:val="18"/>
                <w:lang w:eastAsia="en-AU"/>
              </w:rPr>
              <w:t>111</w:t>
            </w:r>
            <w:r w:rsidR="00904EBD" w:rsidRPr="00E03421">
              <w:rPr>
                <w:rFonts w:cs="Arial"/>
                <w:b/>
                <w:bCs/>
                <w:color w:val="000000"/>
                <w:sz w:val="18"/>
                <w:szCs w:val="18"/>
                <w:lang w:eastAsia="en-AU"/>
              </w:rPr>
              <w:t>,</w:t>
            </w:r>
            <w:r w:rsidR="00977B84" w:rsidRPr="00E03421">
              <w:rPr>
                <w:rFonts w:cs="Arial"/>
                <w:b/>
                <w:bCs/>
                <w:color w:val="000000"/>
                <w:sz w:val="18"/>
                <w:szCs w:val="18"/>
                <w:lang w:eastAsia="en-AU"/>
              </w:rPr>
              <w:t>157</w:t>
            </w:r>
          </w:p>
        </w:tc>
        <w:tc>
          <w:tcPr>
            <w:tcW w:w="1033" w:type="dxa"/>
            <w:tcBorders>
              <w:top w:val="single" w:sz="4" w:space="0" w:color="auto"/>
              <w:left w:val="nil"/>
              <w:bottom w:val="single" w:sz="8" w:space="0" w:color="auto"/>
              <w:right w:val="nil"/>
            </w:tcBorders>
            <w:shd w:val="clear" w:color="auto" w:fill="auto"/>
            <w:noWrap/>
            <w:hideMark/>
          </w:tcPr>
          <w:p w:rsidR="00977B84" w:rsidRPr="00E03421" w:rsidRDefault="00BC4B21" w:rsidP="00C415CB">
            <w:pPr>
              <w:spacing w:before="0" w:after="0"/>
              <w:jc w:val="right"/>
              <w:rPr>
                <w:rFonts w:cs="Arial"/>
                <w:b/>
                <w:bCs/>
                <w:color w:val="000000"/>
                <w:sz w:val="18"/>
                <w:szCs w:val="18"/>
                <w:lang w:eastAsia="en-AU"/>
              </w:rPr>
            </w:pPr>
            <w:r w:rsidRPr="00E03421">
              <w:rPr>
                <w:rFonts w:cs="Arial"/>
                <w:b/>
                <w:bCs/>
                <w:color w:val="000000"/>
                <w:sz w:val="18"/>
                <w:szCs w:val="18"/>
                <w:lang w:eastAsia="en-AU"/>
              </w:rPr>
              <w:t>19</w:t>
            </w:r>
            <w:r w:rsidR="00904EBD" w:rsidRPr="00E03421">
              <w:rPr>
                <w:rFonts w:cs="Arial"/>
                <w:b/>
                <w:bCs/>
                <w:color w:val="000000"/>
                <w:sz w:val="18"/>
                <w:szCs w:val="18"/>
                <w:lang w:eastAsia="en-AU"/>
              </w:rPr>
              <w:t>,</w:t>
            </w:r>
            <w:r w:rsidR="00977B84" w:rsidRPr="00E03421">
              <w:rPr>
                <w:rFonts w:cs="Arial"/>
                <w:b/>
                <w:bCs/>
                <w:color w:val="000000"/>
                <w:sz w:val="18"/>
                <w:szCs w:val="18"/>
                <w:lang w:eastAsia="en-AU"/>
              </w:rPr>
              <w:t>626</w:t>
            </w:r>
          </w:p>
        </w:tc>
        <w:tc>
          <w:tcPr>
            <w:tcW w:w="1033" w:type="dxa"/>
            <w:tcBorders>
              <w:top w:val="single" w:sz="4" w:space="0" w:color="auto"/>
              <w:left w:val="nil"/>
              <w:bottom w:val="single" w:sz="8" w:space="0" w:color="auto"/>
              <w:right w:val="nil"/>
            </w:tcBorders>
            <w:shd w:val="clear" w:color="auto" w:fill="auto"/>
            <w:noWrap/>
            <w:hideMark/>
          </w:tcPr>
          <w:p w:rsidR="00977B84" w:rsidRPr="00E03421" w:rsidRDefault="00BC4B21" w:rsidP="00C415CB">
            <w:pPr>
              <w:spacing w:before="0" w:after="0"/>
              <w:jc w:val="right"/>
              <w:rPr>
                <w:rFonts w:cs="Arial"/>
                <w:b/>
                <w:bCs/>
                <w:color w:val="000000"/>
                <w:sz w:val="18"/>
                <w:szCs w:val="18"/>
                <w:lang w:eastAsia="en-AU"/>
              </w:rPr>
            </w:pPr>
            <w:r w:rsidRPr="00E03421">
              <w:rPr>
                <w:rFonts w:cs="Arial"/>
                <w:b/>
                <w:bCs/>
                <w:color w:val="000000"/>
                <w:sz w:val="18"/>
                <w:szCs w:val="18"/>
                <w:lang w:eastAsia="en-AU"/>
              </w:rPr>
              <w:t>5</w:t>
            </w:r>
            <w:r w:rsidR="00904EBD" w:rsidRPr="00E03421">
              <w:rPr>
                <w:rFonts w:cs="Arial"/>
                <w:b/>
                <w:bCs/>
                <w:color w:val="000000"/>
                <w:sz w:val="18"/>
                <w:szCs w:val="18"/>
                <w:lang w:eastAsia="en-AU"/>
              </w:rPr>
              <w:t>,</w:t>
            </w:r>
            <w:r w:rsidR="00977B84" w:rsidRPr="00E03421">
              <w:rPr>
                <w:rFonts w:cs="Arial"/>
                <w:b/>
                <w:bCs/>
                <w:color w:val="000000"/>
                <w:sz w:val="18"/>
                <w:szCs w:val="18"/>
                <w:lang w:eastAsia="en-AU"/>
              </w:rPr>
              <w:t>913</w:t>
            </w:r>
          </w:p>
        </w:tc>
        <w:tc>
          <w:tcPr>
            <w:tcW w:w="1165" w:type="dxa"/>
            <w:tcBorders>
              <w:top w:val="single" w:sz="4" w:space="0" w:color="auto"/>
              <w:left w:val="nil"/>
              <w:bottom w:val="single" w:sz="8" w:space="0" w:color="auto"/>
              <w:right w:val="nil"/>
            </w:tcBorders>
            <w:shd w:val="clear" w:color="auto" w:fill="auto"/>
            <w:noWrap/>
            <w:hideMark/>
          </w:tcPr>
          <w:p w:rsidR="00977B84" w:rsidRPr="00977B84" w:rsidRDefault="00BC4B21" w:rsidP="00EE2875">
            <w:pPr>
              <w:spacing w:before="0" w:after="0"/>
              <w:jc w:val="center"/>
              <w:rPr>
                <w:rFonts w:cs="Arial"/>
                <w:b/>
                <w:bCs/>
                <w:color w:val="000000"/>
                <w:sz w:val="18"/>
                <w:szCs w:val="18"/>
                <w:lang w:eastAsia="en-AU"/>
              </w:rPr>
            </w:pPr>
            <w:r w:rsidRPr="00E03421">
              <w:rPr>
                <w:rFonts w:cs="Arial"/>
                <w:b/>
                <w:bCs/>
                <w:color w:val="000000"/>
                <w:sz w:val="18"/>
                <w:szCs w:val="18"/>
                <w:lang w:eastAsia="en-AU"/>
              </w:rPr>
              <w:t>268</w:t>
            </w:r>
            <w:r w:rsidR="00904EBD" w:rsidRPr="00E03421">
              <w:rPr>
                <w:rFonts w:cs="Arial"/>
                <w:b/>
                <w:bCs/>
                <w:color w:val="000000"/>
                <w:sz w:val="18"/>
                <w:szCs w:val="18"/>
                <w:lang w:eastAsia="en-AU"/>
              </w:rPr>
              <w:t>,</w:t>
            </w:r>
            <w:r w:rsidR="00227F26">
              <w:rPr>
                <w:rFonts w:cs="Arial"/>
                <w:b/>
                <w:bCs/>
                <w:color w:val="000000"/>
                <w:sz w:val="18"/>
                <w:szCs w:val="18"/>
                <w:lang w:eastAsia="en-AU"/>
              </w:rPr>
              <w:t>303</w:t>
            </w:r>
          </w:p>
        </w:tc>
        <w:tc>
          <w:tcPr>
            <w:tcW w:w="1280" w:type="dxa"/>
            <w:tcBorders>
              <w:top w:val="single" w:sz="4" w:space="0" w:color="auto"/>
              <w:left w:val="nil"/>
              <w:bottom w:val="single" w:sz="8" w:space="0" w:color="auto"/>
              <w:right w:val="nil"/>
            </w:tcBorders>
            <w:shd w:val="clear" w:color="auto" w:fill="auto"/>
            <w:noWrap/>
            <w:hideMark/>
          </w:tcPr>
          <w:p w:rsidR="00977B84" w:rsidRPr="00977B84" w:rsidRDefault="00977B84" w:rsidP="00810A64">
            <w:pPr>
              <w:spacing w:before="0" w:after="0"/>
              <w:jc w:val="right"/>
              <w:rPr>
                <w:rFonts w:cs="Arial"/>
                <w:color w:val="000000"/>
                <w:sz w:val="18"/>
                <w:szCs w:val="18"/>
                <w:lang w:eastAsia="en-AU"/>
              </w:rPr>
            </w:pPr>
            <w:r w:rsidRPr="00977B84">
              <w:rPr>
                <w:rFonts w:cs="Arial"/>
                <w:color w:val="000000"/>
                <w:sz w:val="18"/>
                <w:szCs w:val="18"/>
                <w:lang w:eastAsia="en-AU"/>
              </w:rPr>
              <w:t> </w:t>
            </w:r>
          </w:p>
        </w:tc>
      </w:tr>
    </w:tbl>
    <w:p w:rsidR="00281F97" w:rsidRDefault="00765F6E" w:rsidP="00281F97">
      <w:pPr>
        <w:pStyle w:val="Heading2"/>
        <w:pageBreakBefore/>
        <w:pBdr>
          <w:top w:val="nil"/>
          <w:left w:val="nil"/>
          <w:bottom w:val="nil"/>
          <w:right w:val="nil"/>
          <w:between w:val="nil"/>
          <w:bar w:val="nil"/>
        </w:pBdr>
        <w:ind w:left="-426" w:firstLine="426"/>
        <w:rPr>
          <w:bdr w:val="nil"/>
        </w:rPr>
      </w:pPr>
      <w:bookmarkStart w:id="132" w:name="_Toc514832562"/>
      <w:r>
        <w:rPr>
          <w:bdr w:val="nil"/>
        </w:rPr>
        <w:lastRenderedPageBreak/>
        <w:t>Financial Statements</w:t>
      </w:r>
      <w:bookmarkEnd w:id="131"/>
      <w:bookmarkEnd w:id="132"/>
    </w:p>
    <w:p w:rsidR="00281F97" w:rsidRPr="00625775" w:rsidRDefault="00765F6E" w:rsidP="00281F97">
      <w:pPr>
        <w:pStyle w:val="Caption"/>
        <w:pBdr>
          <w:top w:val="nil"/>
          <w:left w:val="nil"/>
          <w:bottom w:val="nil"/>
          <w:right w:val="nil"/>
          <w:between w:val="nil"/>
          <w:bar w:val="nil"/>
        </w:pBdr>
        <w:rPr>
          <w:bdr w:val="nil"/>
        </w:rPr>
      </w:pPr>
      <w:r>
        <w:rPr>
          <w:bdr w:val="nil"/>
        </w:rPr>
        <w:t>Table 3</w:t>
      </w:r>
      <w:r w:rsidR="00141A32">
        <w:rPr>
          <w:bdr w:val="nil"/>
        </w:rPr>
        <w:t>2</w:t>
      </w:r>
      <w:r>
        <w:rPr>
          <w:bdr w:val="nil"/>
        </w:rPr>
        <w:t xml:space="preserve">: Health Directorate: Operating Statement </w:t>
      </w:r>
    </w:p>
    <w:tbl>
      <w:tblPr>
        <w:tblStyle w:val="CDMRange2"/>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237D6F">
        <w:trPr>
          <w:trHeight w:val="1005"/>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2017-18 Budget            </w:t>
            </w:r>
          </w:p>
          <w:p w:rsidR="00237D6F" w:rsidRDefault="00237D6F">
            <w:pPr>
              <w:spacing w:before="0" w:after="0"/>
              <w:jc w:val="right"/>
              <w:rPr>
                <w:rFonts w:eastAsia="Calibri" w:cs="Calibri"/>
                <w:b/>
                <w:color w:val="000000"/>
                <w:sz w:val="18"/>
              </w:rPr>
            </w:pPr>
          </w:p>
          <w:p w:rsidR="00237D6F" w:rsidRDefault="00765F6E">
            <w:pPr>
              <w:spacing w:before="0" w:after="0"/>
              <w:jc w:val="right"/>
              <w:rPr>
                <w:rFonts w:eastAsia="Calibri" w:cs="Calibri"/>
                <w:b/>
                <w:color w:val="000000"/>
                <w:sz w:val="18"/>
              </w:rPr>
            </w:pPr>
            <w:r>
              <w:rPr>
                <w:rFonts w:eastAsia="Calibri" w:cs="Calibri"/>
                <w:b/>
                <w:color w:val="000000"/>
                <w:sz w:val="18"/>
              </w:rPr>
              <w:t xml:space="preserve"> $'000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2018-19 Budget            </w:t>
            </w:r>
          </w:p>
          <w:p w:rsidR="00237D6F" w:rsidRDefault="00237D6F">
            <w:pPr>
              <w:spacing w:before="0" w:after="0"/>
              <w:jc w:val="right"/>
              <w:rPr>
                <w:rFonts w:eastAsia="Calibri" w:cs="Calibri"/>
                <w:b/>
                <w:color w:val="000000"/>
                <w:sz w:val="18"/>
              </w:rPr>
            </w:pPr>
          </w:p>
          <w:p w:rsidR="00237D6F" w:rsidRDefault="00765F6E">
            <w:pPr>
              <w:spacing w:before="0" w:after="0"/>
              <w:jc w:val="right"/>
              <w:rPr>
                <w:rFonts w:eastAsia="Calibri" w:cs="Calibri"/>
                <w:b/>
                <w:color w:val="000000"/>
                <w:sz w:val="18"/>
              </w:rPr>
            </w:pPr>
            <w:r>
              <w:rPr>
                <w:rFonts w:eastAsia="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proofErr w:type="spellStart"/>
            <w:r>
              <w:rPr>
                <w:rFonts w:eastAsia="Calibri" w:cs="Calibri"/>
                <w:b/>
                <w:color w:val="000000"/>
                <w:sz w:val="18"/>
              </w:rPr>
              <w:t>Var</w:t>
            </w:r>
            <w:proofErr w:type="spellEnd"/>
          </w:p>
          <w:p w:rsidR="00237D6F" w:rsidRDefault="00765F6E">
            <w:pPr>
              <w:spacing w:before="0" w:after="0"/>
              <w:jc w:val="right"/>
              <w:rPr>
                <w:rFonts w:eastAsia="Calibri" w:cs="Calibri"/>
                <w:b/>
                <w:color w:val="000000"/>
                <w:sz w:val="18"/>
              </w:rPr>
            </w:pPr>
            <w:r>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2019-20 Estimate            </w:t>
            </w:r>
          </w:p>
          <w:p w:rsidR="00237D6F" w:rsidRDefault="00237D6F">
            <w:pPr>
              <w:spacing w:before="0" w:after="0"/>
              <w:jc w:val="right"/>
              <w:rPr>
                <w:rFonts w:eastAsia="Calibri" w:cs="Calibri"/>
                <w:b/>
                <w:color w:val="000000"/>
                <w:sz w:val="18"/>
              </w:rPr>
            </w:pPr>
          </w:p>
          <w:p w:rsidR="00237D6F" w:rsidRDefault="00765F6E">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2020-21 Estimate            </w:t>
            </w:r>
          </w:p>
          <w:p w:rsidR="00237D6F" w:rsidRDefault="00237D6F">
            <w:pPr>
              <w:spacing w:before="0" w:after="0"/>
              <w:jc w:val="right"/>
              <w:rPr>
                <w:rFonts w:eastAsia="Calibri" w:cs="Calibri"/>
                <w:b/>
                <w:color w:val="000000"/>
                <w:sz w:val="18"/>
              </w:rPr>
            </w:pPr>
          </w:p>
          <w:p w:rsidR="00237D6F" w:rsidRDefault="00765F6E">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2021-22 Estimate            </w:t>
            </w:r>
          </w:p>
          <w:p w:rsidR="00237D6F" w:rsidRDefault="00237D6F">
            <w:pPr>
              <w:spacing w:before="0" w:after="0"/>
              <w:jc w:val="right"/>
              <w:rPr>
                <w:rFonts w:eastAsia="Calibri" w:cs="Calibri"/>
                <w:b/>
                <w:color w:val="000000"/>
                <w:sz w:val="18"/>
              </w:rPr>
            </w:pPr>
          </w:p>
          <w:p w:rsidR="00237D6F" w:rsidRDefault="00765F6E">
            <w:pPr>
              <w:spacing w:before="0" w:after="0"/>
              <w:jc w:val="right"/>
              <w:rPr>
                <w:rFonts w:eastAsia="Calibri" w:cs="Calibri"/>
                <w:b/>
                <w:color w:val="000000"/>
                <w:sz w:val="18"/>
              </w:rPr>
            </w:pPr>
            <w:r>
              <w:rPr>
                <w:rFonts w:eastAsia="Calibri" w:cs="Calibri"/>
                <w:b/>
                <w:color w:val="000000"/>
                <w:sz w:val="18"/>
              </w:rPr>
              <w:t xml:space="preserve"> $'000</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Income</w:t>
            </w: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Revenue</w:t>
            </w: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313</w:t>
            </w:r>
            <w:r w:rsidR="00904EBD">
              <w:rPr>
                <w:rFonts w:eastAsia="Calibri" w:cs="Calibri"/>
                <w:color w:val="000000"/>
                <w:sz w:val="18"/>
              </w:rPr>
              <w:t>,</w:t>
            </w:r>
            <w:r>
              <w:rPr>
                <w:rFonts w:eastAsia="Calibri" w:cs="Calibri"/>
                <w:color w:val="000000"/>
                <w:sz w:val="18"/>
              </w:rPr>
              <w:t>371</w:t>
            </w:r>
          </w:p>
        </w:tc>
        <w:tc>
          <w:tcPr>
            <w:tcW w:w="238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Controlled Recurrent Payments</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297</w:t>
            </w:r>
            <w:r w:rsidR="00904EBD">
              <w:rPr>
                <w:rFonts w:eastAsia="Calibri" w:cs="Calibri"/>
                <w:color w:val="000000"/>
                <w:sz w:val="18"/>
              </w:rPr>
              <w:t>,</w:t>
            </w:r>
            <w:r>
              <w:rPr>
                <w:rFonts w:eastAsia="Calibri" w:cs="Calibri"/>
                <w:color w:val="000000"/>
                <w:sz w:val="18"/>
              </w:rPr>
              <w:t>851</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310</w:t>
            </w:r>
            <w:r w:rsidR="00904EBD">
              <w:rPr>
                <w:rFonts w:eastAsia="Calibri" w:cs="Calibri"/>
                <w:color w:val="000000"/>
                <w:sz w:val="18"/>
              </w:rPr>
              <w:t>,</w:t>
            </w:r>
            <w:r>
              <w:rPr>
                <w:rFonts w:eastAsia="Calibri" w:cs="Calibri"/>
                <w:color w:val="000000"/>
                <w:sz w:val="18"/>
              </w:rPr>
              <w:t>654</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4 </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313</w:t>
            </w:r>
            <w:r w:rsidR="00904EBD">
              <w:rPr>
                <w:rFonts w:eastAsia="Calibri" w:cs="Calibri"/>
                <w:color w:val="000000"/>
                <w:sz w:val="18"/>
              </w:rPr>
              <w:t>,</w:t>
            </w:r>
            <w:r>
              <w:rPr>
                <w:rFonts w:eastAsia="Calibri" w:cs="Calibri"/>
                <w:color w:val="000000"/>
                <w:sz w:val="18"/>
              </w:rPr>
              <w:t>625</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294</w:t>
            </w:r>
            <w:r w:rsidR="00904EBD">
              <w:rPr>
                <w:rFonts w:eastAsia="Calibri" w:cs="Calibri"/>
                <w:color w:val="000000"/>
                <w:sz w:val="18"/>
              </w:rPr>
              <w:t>,</w:t>
            </w:r>
            <w:r>
              <w:rPr>
                <w:rFonts w:eastAsia="Calibri" w:cs="Calibri"/>
                <w:color w:val="000000"/>
                <w:sz w:val="18"/>
              </w:rPr>
              <w:t>875</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266</w:t>
            </w:r>
            <w:r w:rsidR="00904EBD">
              <w:rPr>
                <w:rFonts w:eastAsia="Calibri" w:cs="Calibri"/>
                <w:color w:val="000000"/>
                <w:sz w:val="18"/>
              </w:rPr>
              <w:t>,</w:t>
            </w:r>
            <w:r>
              <w:rPr>
                <w:rFonts w:eastAsia="Calibri" w:cs="Calibri"/>
                <w:color w:val="000000"/>
                <w:sz w:val="18"/>
              </w:rPr>
              <w:t>943</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001</w:t>
            </w:r>
            <w:r w:rsidR="00904EBD">
              <w:rPr>
                <w:rFonts w:eastAsia="Calibri" w:cs="Calibri"/>
                <w:color w:val="000000"/>
                <w:sz w:val="18"/>
              </w:rPr>
              <w:t>,</w:t>
            </w:r>
            <w:r>
              <w:rPr>
                <w:rFonts w:eastAsia="Calibri" w:cs="Calibri"/>
                <w:color w:val="000000"/>
                <w:sz w:val="18"/>
              </w:rPr>
              <w:t>509</w:t>
            </w:r>
          </w:p>
        </w:tc>
        <w:tc>
          <w:tcPr>
            <w:tcW w:w="238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User Charges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003</w:t>
            </w:r>
            <w:r w:rsidR="00904EBD">
              <w:rPr>
                <w:rFonts w:eastAsia="Calibri" w:cs="Calibri"/>
                <w:color w:val="000000"/>
                <w:sz w:val="18"/>
              </w:rPr>
              <w:t>,</w:t>
            </w:r>
            <w:r>
              <w:rPr>
                <w:rFonts w:eastAsia="Calibri" w:cs="Calibri"/>
                <w:color w:val="000000"/>
                <w:sz w:val="18"/>
              </w:rPr>
              <w:t>484</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051</w:t>
            </w:r>
            <w:r w:rsidR="00904EBD">
              <w:rPr>
                <w:rFonts w:eastAsia="Calibri" w:cs="Calibri"/>
                <w:color w:val="000000"/>
                <w:sz w:val="18"/>
              </w:rPr>
              <w:t>,</w:t>
            </w:r>
            <w:r>
              <w:rPr>
                <w:rFonts w:eastAsia="Calibri" w:cs="Calibri"/>
                <w:color w:val="000000"/>
                <w:sz w:val="18"/>
              </w:rPr>
              <w:t>282</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5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080</w:t>
            </w:r>
            <w:r w:rsidR="00904EBD">
              <w:rPr>
                <w:rFonts w:eastAsia="Calibri" w:cs="Calibri"/>
                <w:color w:val="000000"/>
                <w:sz w:val="18"/>
              </w:rPr>
              <w:t>,</w:t>
            </w:r>
            <w:r>
              <w:rPr>
                <w:rFonts w:eastAsia="Calibri" w:cs="Calibri"/>
                <w:color w:val="000000"/>
                <w:sz w:val="18"/>
              </w:rPr>
              <w:t>547</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128</w:t>
            </w:r>
            <w:r w:rsidR="00904EBD">
              <w:rPr>
                <w:rFonts w:eastAsia="Calibri" w:cs="Calibri"/>
                <w:color w:val="000000"/>
                <w:sz w:val="18"/>
              </w:rPr>
              <w:t>,</w:t>
            </w:r>
            <w:r>
              <w:rPr>
                <w:rFonts w:eastAsia="Calibri" w:cs="Calibri"/>
                <w:color w:val="000000"/>
                <w:sz w:val="18"/>
              </w:rPr>
              <w:t>645</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187</w:t>
            </w:r>
            <w:r w:rsidR="00904EBD">
              <w:rPr>
                <w:rFonts w:eastAsia="Calibri" w:cs="Calibri"/>
                <w:color w:val="000000"/>
                <w:sz w:val="18"/>
              </w:rPr>
              <w:t>,</w:t>
            </w:r>
            <w:r>
              <w:rPr>
                <w:rFonts w:eastAsia="Calibri" w:cs="Calibri"/>
                <w:color w:val="000000"/>
                <w:sz w:val="18"/>
              </w:rPr>
              <w:t>435</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w:t>
            </w:r>
            <w:r w:rsidR="00904EBD">
              <w:rPr>
                <w:rFonts w:eastAsia="Calibri" w:cs="Calibri"/>
                <w:color w:val="000000"/>
                <w:sz w:val="18"/>
              </w:rPr>
              <w:t>,</w:t>
            </w:r>
            <w:r>
              <w:rPr>
                <w:rFonts w:eastAsia="Calibri" w:cs="Calibri"/>
                <w:color w:val="000000"/>
                <w:sz w:val="18"/>
              </w:rPr>
              <w:t>085</w:t>
            </w:r>
          </w:p>
        </w:tc>
        <w:tc>
          <w:tcPr>
            <w:tcW w:w="238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Grants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w:t>
            </w:r>
            <w:r w:rsidR="00904EBD">
              <w:rPr>
                <w:rFonts w:eastAsia="Calibri" w:cs="Calibri"/>
                <w:color w:val="000000"/>
                <w:sz w:val="18"/>
              </w:rPr>
              <w:t>,</w:t>
            </w:r>
            <w:r>
              <w:rPr>
                <w:rFonts w:eastAsia="Calibri" w:cs="Calibri"/>
                <w:color w:val="000000"/>
                <w:sz w:val="18"/>
              </w:rPr>
              <w:t>435</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w:t>
            </w:r>
            <w:r w:rsidR="00904EBD">
              <w:rPr>
                <w:rFonts w:eastAsia="Calibri" w:cs="Calibri"/>
                <w:color w:val="000000"/>
                <w:sz w:val="18"/>
              </w:rPr>
              <w:t>,</w:t>
            </w:r>
            <w:r>
              <w:rPr>
                <w:rFonts w:eastAsia="Calibri" w:cs="Calibri"/>
                <w:color w:val="000000"/>
                <w:sz w:val="18"/>
              </w:rPr>
              <w:t>546</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w:t>
            </w:r>
            <w:r w:rsidR="00904EBD">
              <w:rPr>
                <w:rFonts w:eastAsia="Calibri" w:cs="Calibri"/>
                <w:color w:val="000000"/>
                <w:sz w:val="18"/>
              </w:rPr>
              <w:t>,</w:t>
            </w:r>
            <w:r>
              <w:rPr>
                <w:rFonts w:eastAsia="Calibri" w:cs="Calibri"/>
                <w:color w:val="000000"/>
                <w:sz w:val="18"/>
              </w:rPr>
              <w:t>659</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w:t>
            </w:r>
            <w:r w:rsidR="00904EBD">
              <w:rPr>
                <w:rFonts w:eastAsia="Calibri" w:cs="Calibri"/>
                <w:color w:val="000000"/>
                <w:sz w:val="18"/>
              </w:rPr>
              <w:t>,</w:t>
            </w:r>
            <w:r>
              <w:rPr>
                <w:rFonts w:eastAsia="Calibri" w:cs="Calibri"/>
                <w:color w:val="000000"/>
                <w:sz w:val="18"/>
              </w:rPr>
              <w:t>775</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w:t>
            </w:r>
            <w:r w:rsidR="00904EBD">
              <w:rPr>
                <w:rFonts w:eastAsia="Calibri" w:cs="Calibri"/>
                <w:color w:val="000000"/>
                <w:sz w:val="18"/>
              </w:rPr>
              <w:t>,</w:t>
            </w:r>
            <w:r>
              <w:rPr>
                <w:rFonts w:eastAsia="Calibri" w:cs="Calibri"/>
                <w:color w:val="000000"/>
                <w:sz w:val="18"/>
              </w:rPr>
              <w:t>894</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191</w:t>
            </w:r>
          </w:p>
        </w:tc>
        <w:tc>
          <w:tcPr>
            <w:tcW w:w="238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Interest</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191</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191</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195</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199</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204</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766</w:t>
            </w:r>
          </w:p>
        </w:tc>
        <w:tc>
          <w:tcPr>
            <w:tcW w:w="238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Resources Received Free of Charge</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w:t>
            </w:r>
            <w:r w:rsidR="00904EBD">
              <w:rPr>
                <w:rFonts w:eastAsia="Calibri" w:cs="Calibri"/>
                <w:color w:val="000000"/>
                <w:sz w:val="18"/>
              </w:rPr>
              <w:t>,</w:t>
            </w:r>
            <w:r>
              <w:rPr>
                <w:rFonts w:eastAsia="Calibri" w:cs="Calibri"/>
                <w:color w:val="000000"/>
                <w:sz w:val="18"/>
              </w:rPr>
              <w:t>050</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w:t>
            </w:r>
            <w:r w:rsidR="00904EBD">
              <w:rPr>
                <w:rFonts w:eastAsia="Calibri" w:cs="Calibri"/>
                <w:color w:val="000000"/>
                <w:sz w:val="18"/>
              </w:rPr>
              <w:t>,</w:t>
            </w:r>
            <w:r>
              <w:rPr>
                <w:rFonts w:eastAsia="Calibri" w:cs="Calibri"/>
                <w:color w:val="000000"/>
                <w:sz w:val="18"/>
              </w:rPr>
              <w:t>062</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1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w:t>
            </w:r>
            <w:r w:rsidR="00904EBD">
              <w:rPr>
                <w:rFonts w:eastAsia="Calibri" w:cs="Calibri"/>
                <w:color w:val="000000"/>
                <w:sz w:val="18"/>
              </w:rPr>
              <w:t>,</w:t>
            </w:r>
            <w:r>
              <w:rPr>
                <w:rFonts w:eastAsia="Calibri" w:cs="Calibri"/>
                <w:color w:val="000000"/>
                <w:sz w:val="18"/>
              </w:rPr>
              <w:t>097</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w:t>
            </w:r>
            <w:r w:rsidR="00904EBD">
              <w:rPr>
                <w:rFonts w:eastAsia="Calibri" w:cs="Calibri"/>
                <w:color w:val="000000"/>
                <w:sz w:val="18"/>
              </w:rPr>
              <w:t>,</w:t>
            </w:r>
            <w:r>
              <w:rPr>
                <w:rFonts w:eastAsia="Calibri" w:cs="Calibri"/>
                <w:color w:val="000000"/>
                <w:sz w:val="18"/>
              </w:rPr>
              <w:t>156</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w:t>
            </w:r>
            <w:r w:rsidR="00904EBD">
              <w:rPr>
                <w:rFonts w:eastAsia="Calibri" w:cs="Calibri"/>
                <w:color w:val="000000"/>
                <w:sz w:val="18"/>
              </w:rPr>
              <w:t>,</w:t>
            </w:r>
            <w:r>
              <w:rPr>
                <w:rFonts w:eastAsia="Calibri" w:cs="Calibri"/>
                <w:color w:val="000000"/>
                <w:sz w:val="18"/>
              </w:rPr>
              <w:t>151</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14</w:t>
            </w:r>
            <w:r w:rsidR="00904EBD">
              <w:rPr>
                <w:rFonts w:eastAsia="Calibri" w:cs="Calibri"/>
                <w:color w:val="000000"/>
                <w:sz w:val="18"/>
              </w:rPr>
              <w:t>,</w:t>
            </w:r>
            <w:r>
              <w:rPr>
                <w:rFonts w:eastAsia="Calibri" w:cs="Calibri"/>
                <w:color w:val="000000"/>
                <w:sz w:val="18"/>
              </w:rPr>
              <w:t>930</w:t>
            </w:r>
          </w:p>
        </w:tc>
        <w:tc>
          <w:tcPr>
            <w:tcW w:w="238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Other Revenue</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13</w:t>
            </w:r>
            <w:r w:rsidR="00904EBD">
              <w:rPr>
                <w:rFonts w:eastAsia="Calibri" w:cs="Calibri"/>
                <w:color w:val="000000"/>
                <w:sz w:val="18"/>
              </w:rPr>
              <w:t>,</w:t>
            </w:r>
            <w:r>
              <w:rPr>
                <w:rFonts w:eastAsia="Calibri" w:cs="Calibri"/>
                <w:color w:val="000000"/>
                <w:sz w:val="18"/>
              </w:rPr>
              <w:t>930</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14</w:t>
            </w:r>
            <w:r w:rsidR="00904EBD">
              <w:rPr>
                <w:rFonts w:eastAsia="Calibri" w:cs="Calibri"/>
                <w:color w:val="000000"/>
                <w:sz w:val="18"/>
              </w:rPr>
              <w:t>,</w:t>
            </w:r>
            <w:r>
              <w:rPr>
                <w:rFonts w:eastAsia="Calibri" w:cs="Calibri"/>
                <w:color w:val="000000"/>
                <w:sz w:val="18"/>
              </w:rPr>
              <w:t>218</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14</w:t>
            </w:r>
            <w:r w:rsidR="00904EBD">
              <w:rPr>
                <w:rFonts w:eastAsia="Calibri" w:cs="Calibri"/>
                <w:color w:val="000000"/>
                <w:sz w:val="18"/>
              </w:rPr>
              <w:t>,</w:t>
            </w:r>
            <w:r>
              <w:rPr>
                <w:rFonts w:eastAsia="Calibri" w:cs="Calibri"/>
                <w:color w:val="000000"/>
                <w:sz w:val="18"/>
              </w:rPr>
              <w:t>531</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14</w:t>
            </w:r>
            <w:r w:rsidR="00904EBD">
              <w:rPr>
                <w:rFonts w:eastAsia="Calibri" w:cs="Calibri"/>
                <w:color w:val="000000"/>
                <w:sz w:val="18"/>
              </w:rPr>
              <w:t>,</w:t>
            </w:r>
            <w:r>
              <w:rPr>
                <w:rFonts w:eastAsia="Calibri" w:cs="Calibri"/>
                <w:color w:val="000000"/>
                <w:sz w:val="18"/>
              </w:rPr>
              <w:t>869</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15</w:t>
            </w:r>
            <w:r w:rsidR="00904EBD">
              <w:rPr>
                <w:rFonts w:eastAsia="Calibri" w:cs="Calibri"/>
                <w:color w:val="000000"/>
                <w:sz w:val="18"/>
              </w:rPr>
              <w:t>,</w:t>
            </w:r>
            <w:r>
              <w:rPr>
                <w:rFonts w:eastAsia="Calibri" w:cs="Calibri"/>
                <w:color w:val="000000"/>
                <w:sz w:val="18"/>
              </w:rPr>
              <w:t>241</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335</w:t>
            </w:r>
            <w:r w:rsidR="00904EBD">
              <w:rPr>
                <w:rFonts w:eastAsia="Calibri" w:cs="Calibri"/>
                <w:b/>
                <w:color w:val="000000"/>
                <w:sz w:val="18"/>
              </w:rPr>
              <w:t>,</w:t>
            </w:r>
            <w:r>
              <w:rPr>
                <w:rFonts w:eastAsia="Calibri" w:cs="Calibri"/>
                <w:b/>
                <w:color w:val="000000"/>
                <w:sz w:val="18"/>
              </w:rPr>
              <w:t>852</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Total Revenue</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321</w:t>
            </w:r>
            <w:r w:rsidR="00904EBD">
              <w:rPr>
                <w:rFonts w:eastAsia="Calibri" w:cs="Calibri"/>
                <w:b/>
                <w:color w:val="000000"/>
                <w:sz w:val="18"/>
              </w:rPr>
              <w:t>,</w:t>
            </w:r>
            <w:r>
              <w:rPr>
                <w:rFonts w:eastAsia="Calibri" w:cs="Calibri"/>
                <w:b/>
                <w:color w:val="000000"/>
                <w:sz w:val="18"/>
              </w:rPr>
              <w:t>941</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382</w:t>
            </w:r>
            <w:r w:rsidR="00904EBD">
              <w:rPr>
                <w:rFonts w:eastAsia="Calibri" w:cs="Calibri"/>
                <w:b/>
                <w:color w:val="000000"/>
                <w:sz w:val="18"/>
              </w:rPr>
              <w:t>,</w:t>
            </w:r>
            <w:r>
              <w:rPr>
                <w:rFonts w:eastAsia="Calibri" w:cs="Calibri"/>
                <w:b/>
                <w:color w:val="000000"/>
                <w:sz w:val="18"/>
              </w:rPr>
              <w:t>953</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5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415</w:t>
            </w:r>
            <w:r w:rsidR="00904EBD">
              <w:rPr>
                <w:rFonts w:eastAsia="Calibri" w:cs="Calibri"/>
                <w:b/>
                <w:color w:val="000000"/>
                <w:sz w:val="18"/>
              </w:rPr>
              <w:t>,</w:t>
            </w:r>
            <w:r>
              <w:rPr>
                <w:rFonts w:eastAsia="Calibri" w:cs="Calibri"/>
                <w:b/>
                <w:color w:val="000000"/>
                <w:sz w:val="18"/>
              </w:rPr>
              <w:t>654</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445</w:t>
            </w:r>
            <w:r w:rsidR="00904EBD">
              <w:rPr>
                <w:rFonts w:eastAsia="Calibri" w:cs="Calibri"/>
                <w:b/>
                <w:color w:val="000000"/>
                <w:sz w:val="18"/>
              </w:rPr>
              <w:t>,</w:t>
            </w:r>
            <w:r>
              <w:rPr>
                <w:rFonts w:eastAsia="Calibri" w:cs="Calibri"/>
                <w:b/>
                <w:color w:val="000000"/>
                <w:sz w:val="18"/>
              </w:rPr>
              <w:t>519</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476</w:t>
            </w:r>
            <w:r w:rsidR="00904EBD">
              <w:rPr>
                <w:rFonts w:eastAsia="Calibri" w:cs="Calibri"/>
                <w:b/>
                <w:color w:val="000000"/>
                <w:sz w:val="18"/>
              </w:rPr>
              <w:t>,</w:t>
            </w:r>
            <w:r>
              <w:rPr>
                <w:rFonts w:eastAsia="Calibri" w:cs="Calibri"/>
                <w:b/>
                <w:color w:val="000000"/>
                <w:sz w:val="18"/>
              </w:rPr>
              <w:t>868</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Gains</w:t>
            </w: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992</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Other Gains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992</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017</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042</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068</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095</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992</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Total Gains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992</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017</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042</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068</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095</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336</w:t>
            </w:r>
            <w:r w:rsidR="00904EBD">
              <w:rPr>
                <w:rFonts w:eastAsia="Calibri" w:cs="Calibri"/>
                <w:b/>
                <w:color w:val="000000"/>
                <w:sz w:val="18"/>
              </w:rPr>
              <w:t>,</w:t>
            </w:r>
            <w:r>
              <w:rPr>
                <w:rFonts w:eastAsia="Calibri" w:cs="Calibri"/>
                <w:b/>
                <w:color w:val="000000"/>
                <w:sz w:val="18"/>
              </w:rPr>
              <w:t>844</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Total Income</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322</w:t>
            </w:r>
            <w:r w:rsidR="00904EBD">
              <w:rPr>
                <w:rFonts w:eastAsia="Calibri" w:cs="Calibri"/>
                <w:b/>
                <w:color w:val="000000"/>
                <w:sz w:val="18"/>
              </w:rPr>
              <w:t>,</w:t>
            </w:r>
            <w:r>
              <w:rPr>
                <w:rFonts w:eastAsia="Calibri" w:cs="Calibri"/>
                <w:b/>
                <w:color w:val="000000"/>
                <w:sz w:val="18"/>
              </w:rPr>
              <w:t>933</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383</w:t>
            </w:r>
            <w:r w:rsidR="00904EBD">
              <w:rPr>
                <w:rFonts w:eastAsia="Calibri" w:cs="Calibri"/>
                <w:b/>
                <w:color w:val="000000"/>
                <w:sz w:val="18"/>
              </w:rPr>
              <w:t>,</w:t>
            </w:r>
            <w:r>
              <w:rPr>
                <w:rFonts w:eastAsia="Calibri" w:cs="Calibri"/>
                <w:b/>
                <w:color w:val="000000"/>
                <w:sz w:val="18"/>
              </w:rPr>
              <w:t>970</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5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416</w:t>
            </w:r>
            <w:r w:rsidR="00904EBD">
              <w:rPr>
                <w:rFonts w:eastAsia="Calibri" w:cs="Calibri"/>
                <w:b/>
                <w:color w:val="000000"/>
                <w:sz w:val="18"/>
              </w:rPr>
              <w:t>,</w:t>
            </w:r>
            <w:r>
              <w:rPr>
                <w:rFonts w:eastAsia="Calibri" w:cs="Calibri"/>
                <w:b/>
                <w:color w:val="000000"/>
                <w:sz w:val="18"/>
              </w:rPr>
              <w:t>696</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446</w:t>
            </w:r>
            <w:r w:rsidR="00904EBD">
              <w:rPr>
                <w:rFonts w:eastAsia="Calibri" w:cs="Calibri"/>
                <w:b/>
                <w:color w:val="000000"/>
                <w:sz w:val="18"/>
              </w:rPr>
              <w:t>,</w:t>
            </w:r>
            <w:r>
              <w:rPr>
                <w:rFonts w:eastAsia="Calibri" w:cs="Calibri"/>
                <w:b/>
                <w:color w:val="000000"/>
                <w:sz w:val="18"/>
              </w:rPr>
              <w:t>587</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477</w:t>
            </w:r>
            <w:r w:rsidR="00904EBD">
              <w:rPr>
                <w:rFonts w:eastAsia="Calibri" w:cs="Calibri"/>
                <w:b/>
                <w:color w:val="000000"/>
                <w:sz w:val="18"/>
              </w:rPr>
              <w:t>,</w:t>
            </w:r>
            <w:r>
              <w:rPr>
                <w:rFonts w:eastAsia="Calibri" w:cs="Calibri"/>
                <w:b/>
                <w:color w:val="000000"/>
                <w:sz w:val="18"/>
              </w:rPr>
              <w:t>963</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 xml:space="preserve">Expenses  </w:t>
            </w: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748</w:t>
            </w:r>
            <w:r w:rsidR="00904EBD">
              <w:rPr>
                <w:rFonts w:eastAsia="Calibri" w:cs="Calibri"/>
                <w:color w:val="000000"/>
                <w:sz w:val="18"/>
              </w:rPr>
              <w:t>,</w:t>
            </w:r>
            <w:r>
              <w:rPr>
                <w:rFonts w:eastAsia="Calibri" w:cs="Calibri"/>
                <w:color w:val="000000"/>
                <w:sz w:val="18"/>
              </w:rPr>
              <w:t>651</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Employee Expenses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749</w:t>
            </w:r>
            <w:r w:rsidR="00904EBD">
              <w:rPr>
                <w:rFonts w:eastAsia="Calibri" w:cs="Calibri"/>
                <w:color w:val="000000"/>
                <w:sz w:val="18"/>
              </w:rPr>
              <w:t>,</w:t>
            </w:r>
            <w:r>
              <w:rPr>
                <w:rFonts w:eastAsia="Calibri" w:cs="Calibri"/>
                <w:color w:val="000000"/>
                <w:sz w:val="18"/>
              </w:rPr>
              <w:t>788</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780</w:t>
            </w:r>
            <w:r w:rsidR="00904EBD">
              <w:rPr>
                <w:rFonts w:eastAsia="Calibri" w:cs="Calibri"/>
                <w:color w:val="000000"/>
                <w:sz w:val="18"/>
              </w:rPr>
              <w:t>,</w:t>
            </w:r>
            <w:r>
              <w:rPr>
                <w:rFonts w:eastAsia="Calibri" w:cs="Calibri"/>
                <w:color w:val="000000"/>
                <w:sz w:val="18"/>
              </w:rPr>
              <w:t>388</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4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800</w:t>
            </w:r>
            <w:r w:rsidR="00904EBD">
              <w:rPr>
                <w:rFonts w:eastAsia="Calibri" w:cs="Calibri"/>
                <w:color w:val="000000"/>
                <w:sz w:val="18"/>
              </w:rPr>
              <w:t>,</w:t>
            </w:r>
            <w:r>
              <w:rPr>
                <w:rFonts w:eastAsia="Calibri" w:cs="Calibri"/>
                <w:color w:val="000000"/>
                <w:sz w:val="18"/>
              </w:rPr>
              <w:t>166</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814</w:t>
            </w:r>
            <w:r w:rsidR="00904EBD">
              <w:rPr>
                <w:rFonts w:eastAsia="Calibri" w:cs="Calibri"/>
                <w:color w:val="000000"/>
                <w:sz w:val="18"/>
              </w:rPr>
              <w:t>,</w:t>
            </w:r>
            <w:r>
              <w:rPr>
                <w:rFonts w:eastAsia="Calibri" w:cs="Calibri"/>
                <w:color w:val="000000"/>
                <w:sz w:val="18"/>
              </w:rPr>
              <w:t>654</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828</w:t>
            </w:r>
            <w:r w:rsidR="00904EBD">
              <w:rPr>
                <w:rFonts w:eastAsia="Calibri" w:cs="Calibri"/>
                <w:color w:val="000000"/>
                <w:sz w:val="18"/>
              </w:rPr>
              <w:t>,</w:t>
            </w:r>
            <w:r>
              <w:rPr>
                <w:rFonts w:eastAsia="Calibri" w:cs="Calibri"/>
                <w:color w:val="000000"/>
                <w:sz w:val="18"/>
              </w:rPr>
              <w:t>558</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95</w:t>
            </w:r>
            <w:r w:rsidR="00904EBD">
              <w:rPr>
                <w:rFonts w:eastAsia="Calibri" w:cs="Calibri"/>
                <w:color w:val="000000"/>
                <w:sz w:val="18"/>
              </w:rPr>
              <w:t>,</w:t>
            </w:r>
            <w:r>
              <w:rPr>
                <w:rFonts w:eastAsia="Calibri" w:cs="Calibri"/>
                <w:color w:val="000000"/>
                <w:sz w:val="18"/>
              </w:rPr>
              <w:t>393</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Superannuation Expenses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95</w:t>
            </w:r>
            <w:r w:rsidR="00904EBD">
              <w:rPr>
                <w:rFonts w:eastAsia="Calibri" w:cs="Calibri"/>
                <w:color w:val="000000"/>
                <w:sz w:val="18"/>
              </w:rPr>
              <w:t>,</w:t>
            </w:r>
            <w:r>
              <w:rPr>
                <w:rFonts w:eastAsia="Calibri" w:cs="Calibri"/>
                <w:color w:val="000000"/>
                <w:sz w:val="18"/>
              </w:rPr>
              <w:t>596</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99</w:t>
            </w:r>
            <w:r w:rsidR="00904EBD">
              <w:rPr>
                <w:rFonts w:eastAsia="Calibri" w:cs="Calibri"/>
                <w:color w:val="000000"/>
                <w:sz w:val="18"/>
              </w:rPr>
              <w:t>,</w:t>
            </w:r>
            <w:r>
              <w:rPr>
                <w:rFonts w:eastAsia="Calibri" w:cs="Calibri"/>
                <w:color w:val="000000"/>
                <w:sz w:val="18"/>
              </w:rPr>
              <w:t>666</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4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102</w:t>
            </w:r>
            <w:r w:rsidR="00904EBD">
              <w:rPr>
                <w:rFonts w:eastAsia="Calibri" w:cs="Calibri"/>
                <w:color w:val="000000"/>
                <w:sz w:val="18"/>
              </w:rPr>
              <w:t>,</w:t>
            </w:r>
            <w:r>
              <w:rPr>
                <w:rFonts w:eastAsia="Calibri" w:cs="Calibri"/>
                <w:color w:val="000000"/>
                <w:sz w:val="18"/>
              </w:rPr>
              <w:t>028</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105</w:t>
            </w:r>
            <w:r w:rsidR="00904EBD">
              <w:rPr>
                <w:rFonts w:eastAsia="Calibri" w:cs="Calibri"/>
                <w:color w:val="000000"/>
                <w:sz w:val="18"/>
              </w:rPr>
              <w:t>,</w:t>
            </w:r>
            <w:r>
              <w:rPr>
                <w:rFonts w:eastAsia="Calibri" w:cs="Calibri"/>
                <w:color w:val="000000"/>
                <w:sz w:val="18"/>
              </w:rPr>
              <w:t>169</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105</w:t>
            </w:r>
            <w:r w:rsidR="00904EBD">
              <w:rPr>
                <w:rFonts w:eastAsia="Calibri" w:cs="Calibri"/>
                <w:color w:val="000000"/>
                <w:sz w:val="18"/>
              </w:rPr>
              <w:t>,</w:t>
            </w:r>
            <w:r>
              <w:rPr>
                <w:rFonts w:eastAsia="Calibri" w:cs="Calibri"/>
                <w:color w:val="000000"/>
                <w:sz w:val="18"/>
              </w:rPr>
              <w:t>956</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382</w:t>
            </w:r>
            <w:r w:rsidR="00904EBD">
              <w:rPr>
                <w:rFonts w:eastAsia="Calibri" w:cs="Calibri"/>
                <w:color w:val="000000"/>
                <w:sz w:val="18"/>
              </w:rPr>
              <w:t>,</w:t>
            </w:r>
            <w:r>
              <w:rPr>
                <w:rFonts w:eastAsia="Calibri" w:cs="Calibri"/>
                <w:color w:val="000000"/>
                <w:sz w:val="18"/>
              </w:rPr>
              <w:t>898</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Supplies and Services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385</w:t>
            </w:r>
            <w:r w:rsidR="00904EBD">
              <w:rPr>
                <w:rFonts w:eastAsia="Calibri" w:cs="Calibri"/>
                <w:color w:val="000000"/>
                <w:sz w:val="18"/>
              </w:rPr>
              <w:t>,</w:t>
            </w:r>
            <w:r>
              <w:rPr>
                <w:rFonts w:eastAsia="Calibri" w:cs="Calibri"/>
                <w:color w:val="000000"/>
                <w:sz w:val="18"/>
              </w:rPr>
              <w:t>492</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396</w:t>
            </w:r>
            <w:r w:rsidR="00904EBD">
              <w:rPr>
                <w:rFonts w:eastAsia="Calibri" w:cs="Calibri"/>
                <w:color w:val="000000"/>
                <w:sz w:val="18"/>
              </w:rPr>
              <w:t>,</w:t>
            </w:r>
            <w:r>
              <w:rPr>
                <w:rFonts w:eastAsia="Calibri" w:cs="Calibri"/>
                <w:color w:val="000000"/>
                <w:sz w:val="18"/>
              </w:rPr>
              <w:t>291</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405</w:t>
            </w:r>
            <w:r w:rsidR="00904EBD">
              <w:rPr>
                <w:rFonts w:eastAsia="Calibri" w:cs="Calibri"/>
                <w:color w:val="000000"/>
                <w:sz w:val="18"/>
              </w:rPr>
              <w:t>,</w:t>
            </w:r>
            <w:r>
              <w:rPr>
                <w:rFonts w:eastAsia="Calibri" w:cs="Calibri"/>
                <w:color w:val="000000"/>
                <w:sz w:val="18"/>
              </w:rPr>
              <w:t>045</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418</w:t>
            </w:r>
            <w:r w:rsidR="00904EBD">
              <w:rPr>
                <w:rFonts w:eastAsia="Calibri" w:cs="Calibri"/>
                <w:color w:val="000000"/>
                <w:sz w:val="18"/>
              </w:rPr>
              <w:t>,</w:t>
            </w:r>
            <w:r>
              <w:rPr>
                <w:rFonts w:eastAsia="Calibri" w:cs="Calibri"/>
                <w:color w:val="000000"/>
                <w:sz w:val="18"/>
              </w:rPr>
              <w:t>708</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425</w:t>
            </w:r>
            <w:r w:rsidR="00904EBD">
              <w:rPr>
                <w:rFonts w:eastAsia="Calibri" w:cs="Calibri"/>
                <w:color w:val="000000"/>
                <w:sz w:val="18"/>
              </w:rPr>
              <w:t>,</w:t>
            </w:r>
            <w:r>
              <w:rPr>
                <w:rFonts w:eastAsia="Calibri" w:cs="Calibri"/>
                <w:color w:val="000000"/>
                <w:sz w:val="18"/>
              </w:rPr>
              <w:t>071</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45</w:t>
            </w:r>
            <w:r w:rsidR="00904EBD">
              <w:rPr>
                <w:rFonts w:eastAsia="Calibri" w:cs="Calibri"/>
                <w:color w:val="000000"/>
                <w:sz w:val="18"/>
              </w:rPr>
              <w:t>,</w:t>
            </w:r>
            <w:r>
              <w:rPr>
                <w:rFonts w:eastAsia="Calibri" w:cs="Calibri"/>
                <w:color w:val="000000"/>
                <w:sz w:val="18"/>
              </w:rPr>
              <w:t>601</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Depreciation and Amortisation</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45</w:t>
            </w:r>
            <w:r w:rsidR="00904EBD">
              <w:rPr>
                <w:rFonts w:eastAsia="Calibri" w:cs="Calibri"/>
                <w:color w:val="000000"/>
                <w:sz w:val="18"/>
              </w:rPr>
              <w:t>,</w:t>
            </w:r>
            <w:r>
              <w:rPr>
                <w:rFonts w:eastAsia="Calibri" w:cs="Calibri"/>
                <w:color w:val="000000"/>
                <w:sz w:val="18"/>
              </w:rPr>
              <w:t>601</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50</w:t>
            </w:r>
            <w:r w:rsidR="00904EBD">
              <w:rPr>
                <w:rFonts w:eastAsia="Calibri" w:cs="Calibri"/>
                <w:color w:val="000000"/>
                <w:sz w:val="18"/>
              </w:rPr>
              <w:t>,</w:t>
            </w:r>
            <w:r>
              <w:rPr>
                <w:rFonts w:eastAsia="Calibri" w:cs="Calibri"/>
                <w:color w:val="000000"/>
                <w:sz w:val="18"/>
              </w:rPr>
              <w:t>817</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11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55</w:t>
            </w:r>
            <w:r w:rsidR="00904EBD">
              <w:rPr>
                <w:rFonts w:eastAsia="Calibri" w:cs="Calibri"/>
                <w:color w:val="000000"/>
                <w:sz w:val="18"/>
              </w:rPr>
              <w:t>,</w:t>
            </w:r>
            <w:r>
              <w:rPr>
                <w:rFonts w:eastAsia="Calibri" w:cs="Calibri"/>
                <w:color w:val="000000"/>
                <w:sz w:val="18"/>
              </w:rPr>
              <w:t>530</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55</w:t>
            </w:r>
            <w:r w:rsidR="00904EBD">
              <w:rPr>
                <w:rFonts w:eastAsia="Calibri" w:cs="Calibri"/>
                <w:color w:val="000000"/>
                <w:sz w:val="18"/>
              </w:rPr>
              <w:t>,</w:t>
            </w:r>
            <w:r>
              <w:rPr>
                <w:rFonts w:eastAsia="Calibri" w:cs="Calibri"/>
                <w:color w:val="000000"/>
                <w:sz w:val="18"/>
              </w:rPr>
              <w:t>874</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56</w:t>
            </w:r>
            <w:r w:rsidR="00904EBD">
              <w:rPr>
                <w:rFonts w:eastAsia="Calibri" w:cs="Calibri"/>
                <w:color w:val="000000"/>
                <w:sz w:val="18"/>
              </w:rPr>
              <w:t>,</w:t>
            </w:r>
            <w:r>
              <w:rPr>
                <w:rFonts w:eastAsia="Calibri" w:cs="Calibri"/>
                <w:color w:val="000000"/>
                <w:sz w:val="18"/>
              </w:rPr>
              <w:t>546</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95</w:t>
            </w:r>
            <w:r w:rsidR="00904EBD">
              <w:rPr>
                <w:rFonts w:eastAsia="Calibri" w:cs="Calibri"/>
                <w:color w:val="000000"/>
                <w:sz w:val="18"/>
              </w:rPr>
              <w:t>,</w:t>
            </w:r>
            <w:r>
              <w:rPr>
                <w:rFonts w:eastAsia="Calibri" w:cs="Calibri"/>
                <w:color w:val="000000"/>
                <w:sz w:val="18"/>
              </w:rPr>
              <w:t>149</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Grants and Purchased Services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98</w:t>
            </w:r>
            <w:r w:rsidR="00904EBD">
              <w:rPr>
                <w:rFonts w:eastAsia="Calibri" w:cs="Calibri"/>
                <w:color w:val="000000"/>
                <w:sz w:val="18"/>
              </w:rPr>
              <w:t>,</w:t>
            </w:r>
            <w:r>
              <w:rPr>
                <w:rFonts w:eastAsia="Calibri" w:cs="Calibri"/>
                <w:color w:val="000000"/>
                <w:sz w:val="18"/>
              </w:rPr>
              <w:t>895</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99</w:t>
            </w:r>
            <w:r w:rsidR="00904EBD">
              <w:rPr>
                <w:rFonts w:eastAsia="Calibri" w:cs="Calibri"/>
                <w:color w:val="000000"/>
                <w:sz w:val="18"/>
              </w:rPr>
              <w:t>,</w:t>
            </w:r>
            <w:r>
              <w:rPr>
                <w:rFonts w:eastAsia="Calibri" w:cs="Calibri"/>
                <w:color w:val="000000"/>
                <w:sz w:val="18"/>
              </w:rPr>
              <w:t>066</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102</w:t>
            </w:r>
            <w:r w:rsidR="00904EBD">
              <w:rPr>
                <w:rFonts w:eastAsia="Calibri" w:cs="Calibri"/>
                <w:color w:val="000000"/>
                <w:sz w:val="18"/>
              </w:rPr>
              <w:t>,</w:t>
            </w:r>
            <w:r>
              <w:rPr>
                <w:rFonts w:eastAsia="Calibri" w:cs="Calibri"/>
                <w:color w:val="000000"/>
                <w:sz w:val="18"/>
              </w:rPr>
              <w:t>368</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106</w:t>
            </w:r>
            <w:r w:rsidR="00904EBD">
              <w:rPr>
                <w:rFonts w:eastAsia="Calibri" w:cs="Calibri"/>
                <w:color w:val="000000"/>
                <w:sz w:val="18"/>
              </w:rPr>
              <w:t>,</w:t>
            </w:r>
            <w:r>
              <w:rPr>
                <w:rFonts w:eastAsia="Calibri" w:cs="Calibri"/>
                <w:color w:val="000000"/>
                <w:sz w:val="18"/>
              </w:rPr>
              <w:t>594</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109</w:t>
            </w:r>
            <w:r w:rsidR="00904EBD">
              <w:rPr>
                <w:rFonts w:eastAsia="Calibri" w:cs="Calibri"/>
                <w:color w:val="000000"/>
                <w:sz w:val="18"/>
              </w:rPr>
              <w:t>,</w:t>
            </w:r>
            <w:r>
              <w:rPr>
                <w:rFonts w:eastAsia="Calibri" w:cs="Calibri"/>
                <w:color w:val="000000"/>
                <w:sz w:val="18"/>
              </w:rPr>
              <w:t>333</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12</w:t>
            </w:r>
            <w:r w:rsidR="00904EBD">
              <w:rPr>
                <w:rFonts w:eastAsia="Calibri" w:cs="Calibri"/>
                <w:color w:val="000000"/>
                <w:sz w:val="18"/>
              </w:rPr>
              <w:t>,</w:t>
            </w:r>
            <w:r>
              <w:rPr>
                <w:rFonts w:eastAsia="Calibri" w:cs="Calibri"/>
                <w:color w:val="000000"/>
                <w:sz w:val="18"/>
              </w:rPr>
              <w:t>059</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Cost of Goods Sold</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9</w:t>
            </w:r>
            <w:r w:rsidR="00904EBD">
              <w:rPr>
                <w:rFonts w:eastAsia="Calibri" w:cs="Calibri"/>
                <w:color w:val="000000"/>
                <w:sz w:val="18"/>
              </w:rPr>
              <w:t>,</w:t>
            </w:r>
            <w:r>
              <w:rPr>
                <w:rFonts w:eastAsia="Calibri" w:cs="Calibri"/>
                <w:color w:val="000000"/>
                <w:sz w:val="18"/>
              </w:rPr>
              <w:t>559</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9</w:t>
            </w:r>
            <w:r w:rsidR="00904EBD">
              <w:rPr>
                <w:rFonts w:eastAsia="Calibri" w:cs="Calibri"/>
                <w:color w:val="000000"/>
                <w:sz w:val="18"/>
              </w:rPr>
              <w:t>,</w:t>
            </w:r>
            <w:r>
              <w:rPr>
                <w:rFonts w:eastAsia="Calibri" w:cs="Calibri"/>
                <w:color w:val="000000"/>
                <w:sz w:val="18"/>
              </w:rPr>
              <w:t>636</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1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9</w:t>
            </w:r>
            <w:r w:rsidR="00904EBD">
              <w:rPr>
                <w:rFonts w:eastAsia="Calibri" w:cs="Calibri"/>
                <w:color w:val="000000"/>
                <w:sz w:val="18"/>
              </w:rPr>
              <w:t>,</w:t>
            </w:r>
            <w:r>
              <w:rPr>
                <w:rFonts w:eastAsia="Calibri" w:cs="Calibri"/>
                <w:color w:val="000000"/>
                <w:sz w:val="18"/>
              </w:rPr>
              <w:t>877</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10</w:t>
            </w:r>
            <w:r w:rsidR="00904EBD">
              <w:rPr>
                <w:rFonts w:eastAsia="Calibri" w:cs="Calibri"/>
                <w:color w:val="000000"/>
                <w:sz w:val="18"/>
              </w:rPr>
              <w:t>,</w:t>
            </w:r>
            <w:r>
              <w:rPr>
                <w:rFonts w:eastAsia="Calibri" w:cs="Calibri"/>
                <w:color w:val="000000"/>
                <w:sz w:val="18"/>
              </w:rPr>
              <w:t>125</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10</w:t>
            </w:r>
            <w:r w:rsidR="00904EBD">
              <w:rPr>
                <w:rFonts w:eastAsia="Calibri" w:cs="Calibri"/>
                <w:color w:val="000000"/>
                <w:sz w:val="18"/>
              </w:rPr>
              <w:t>,</w:t>
            </w:r>
            <w:r>
              <w:rPr>
                <w:rFonts w:eastAsia="Calibri" w:cs="Calibri"/>
                <w:color w:val="000000"/>
                <w:sz w:val="18"/>
              </w:rPr>
              <w:t>377</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430</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Borrowing Costs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430</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436</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1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447</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447</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458</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6</w:t>
            </w:r>
            <w:r w:rsidR="00904EBD">
              <w:rPr>
                <w:rFonts w:eastAsia="Calibri" w:cs="Calibri"/>
                <w:color w:val="000000"/>
                <w:sz w:val="18"/>
              </w:rPr>
              <w:t>,</w:t>
            </w:r>
            <w:r>
              <w:rPr>
                <w:rFonts w:eastAsia="Calibri" w:cs="Calibri"/>
                <w:color w:val="000000"/>
                <w:sz w:val="18"/>
              </w:rPr>
              <w:t>909</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Other Expenses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10</w:t>
            </w:r>
            <w:r w:rsidR="00904EBD">
              <w:rPr>
                <w:rFonts w:eastAsia="Calibri" w:cs="Calibri"/>
                <w:color w:val="000000"/>
                <w:sz w:val="18"/>
              </w:rPr>
              <w:t>,</w:t>
            </w:r>
            <w:r>
              <w:rPr>
                <w:rFonts w:eastAsia="Calibri" w:cs="Calibri"/>
                <w:color w:val="000000"/>
                <w:sz w:val="18"/>
              </w:rPr>
              <w:t>590</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7</w:t>
            </w:r>
            <w:r w:rsidR="00904EBD">
              <w:rPr>
                <w:rFonts w:eastAsia="Calibri" w:cs="Calibri"/>
                <w:color w:val="000000"/>
                <w:sz w:val="18"/>
              </w:rPr>
              <w:t>,</w:t>
            </w:r>
            <w:r>
              <w:rPr>
                <w:rFonts w:eastAsia="Calibri" w:cs="Calibri"/>
                <w:color w:val="000000"/>
                <w:sz w:val="18"/>
              </w:rPr>
              <w:t>674</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-28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7</w:t>
            </w:r>
            <w:r w:rsidR="00904EBD">
              <w:rPr>
                <w:rFonts w:eastAsia="Calibri" w:cs="Calibri"/>
                <w:color w:val="000000"/>
                <w:sz w:val="18"/>
              </w:rPr>
              <w:t>,</w:t>
            </w:r>
            <w:r>
              <w:rPr>
                <w:rFonts w:eastAsia="Calibri" w:cs="Calibri"/>
                <w:color w:val="000000"/>
                <w:sz w:val="18"/>
              </w:rPr>
              <w:t>869</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8</w:t>
            </w:r>
            <w:r w:rsidR="00904EBD">
              <w:rPr>
                <w:rFonts w:eastAsia="Calibri" w:cs="Calibri"/>
                <w:color w:val="000000"/>
                <w:sz w:val="18"/>
              </w:rPr>
              <w:t>,</w:t>
            </w:r>
            <w:r>
              <w:rPr>
                <w:rFonts w:eastAsia="Calibri" w:cs="Calibri"/>
                <w:color w:val="000000"/>
                <w:sz w:val="18"/>
              </w:rPr>
              <w:t>070</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8</w:t>
            </w:r>
            <w:r w:rsidR="00904EBD">
              <w:rPr>
                <w:rFonts w:eastAsia="Calibri" w:cs="Calibri"/>
                <w:color w:val="000000"/>
                <w:sz w:val="18"/>
              </w:rPr>
              <w:t>,</w:t>
            </w:r>
            <w:r>
              <w:rPr>
                <w:rFonts w:eastAsia="Calibri" w:cs="Calibri"/>
                <w:color w:val="000000"/>
                <w:sz w:val="18"/>
              </w:rPr>
              <w:t>275</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387</w:t>
            </w:r>
            <w:r w:rsidR="00904EBD">
              <w:rPr>
                <w:rFonts w:eastAsia="Calibri" w:cs="Calibri"/>
                <w:b/>
                <w:color w:val="000000"/>
                <w:sz w:val="18"/>
              </w:rPr>
              <w:t>,</w:t>
            </w:r>
            <w:r>
              <w:rPr>
                <w:rFonts w:eastAsia="Calibri" w:cs="Calibri"/>
                <w:b/>
                <w:color w:val="000000"/>
                <w:sz w:val="18"/>
              </w:rPr>
              <w:t>090</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Total Expenses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395</w:t>
            </w:r>
            <w:r w:rsidR="00904EBD">
              <w:rPr>
                <w:rFonts w:eastAsia="Calibri" w:cs="Calibri"/>
                <w:b/>
                <w:color w:val="000000"/>
                <w:sz w:val="18"/>
              </w:rPr>
              <w:t>,</w:t>
            </w:r>
            <w:r>
              <w:rPr>
                <w:rFonts w:eastAsia="Calibri" w:cs="Calibri"/>
                <w:b/>
                <w:color w:val="000000"/>
                <w:sz w:val="18"/>
              </w:rPr>
              <w:t>951</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443</w:t>
            </w:r>
            <w:r w:rsidR="00904EBD">
              <w:rPr>
                <w:rFonts w:eastAsia="Calibri" w:cs="Calibri"/>
                <w:b/>
                <w:color w:val="000000"/>
                <w:sz w:val="18"/>
              </w:rPr>
              <w:t>,</w:t>
            </w:r>
            <w:r>
              <w:rPr>
                <w:rFonts w:eastAsia="Calibri" w:cs="Calibri"/>
                <w:b/>
                <w:color w:val="000000"/>
                <w:sz w:val="18"/>
              </w:rPr>
              <w:t>974</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483</w:t>
            </w:r>
            <w:r w:rsidR="00904EBD">
              <w:rPr>
                <w:rFonts w:eastAsia="Calibri" w:cs="Calibri"/>
                <w:b/>
                <w:color w:val="000000"/>
                <w:sz w:val="18"/>
              </w:rPr>
              <w:t>,</w:t>
            </w:r>
            <w:r>
              <w:rPr>
                <w:rFonts w:eastAsia="Calibri" w:cs="Calibri"/>
                <w:b/>
                <w:color w:val="000000"/>
                <w:sz w:val="18"/>
              </w:rPr>
              <w:t>330</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519</w:t>
            </w:r>
            <w:r w:rsidR="00904EBD">
              <w:rPr>
                <w:rFonts w:eastAsia="Calibri" w:cs="Calibri"/>
                <w:b/>
                <w:color w:val="000000"/>
                <w:sz w:val="18"/>
              </w:rPr>
              <w:t>,</w:t>
            </w:r>
            <w:r>
              <w:rPr>
                <w:rFonts w:eastAsia="Calibri" w:cs="Calibri"/>
                <w:b/>
                <w:color w:val="000000"/>
                <w:sz w:val="18"/>
              </w:rPr>
              <w:t>641</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544</w:t>
            </w:r>
            <w:r w:rsidR="00904EBD">
              <w:rPr>
                <w:rFonts w:eastAsia="Calibri" w:cs="Calibri"/>
                <w:b/>
                <w:color w:val="000000"/>
                <w:sz w:val="18"/>
              </w:rPr>
              <w:t>,</w:t>
            </w:r>
            <w:r>
              <w:rPr>
                <w:rFonts w:eastAsia="Calibri" w:cs="Calibri"/>
                <w:b/>
                <w:color w:val="000000"/>
                <w:sz w:val="18"/>
              </w:rPr>
              <w:t>574</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-50</w:t>
            </w:r>
            <w:r w:rsidR="00904EBD">
              <w:rPr>
                <w:rFonts w:eastAsia="Calibri" w:cs="Calibri"/>
                <w:b/>
                <w:color w:val="000000"/>
                <w:sz w:val="18"/>
              </w:rPr>
              <w:t>,</w:t>
            </w:r>
            <w:r>
              <w:rPr>
                <w:rFonts w:eastAsia="Calibri" w:cs="Calibri"/>
                <w:b/>
                <w:color w:val="000000"/>
                <w:sz w:val="18"/>
              </w:rPr>
              <w:t>246</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Operating Result</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-73</w:t>
            </w:r>
            <w:r w:rsidR="00904EBD">
              <w:rPr>
                <w:rFonts w:eastAsia="Calibri" w:cs="Calibri"/>
                <w:b/>
                <w:color w:val="000000"/>
                <w:sz w:val="18"/>
              </w:rPr>
              <w:t>,</w:t>
            </w:r>
            <w:r>
              <w:rPr>
                <w:rFonts w:eastAsia="Calibri" w:cs="Calibri"/>
                <w:b/>
                <w:color w:val="000000"/>
                <w:sz w:val="18"/>
              </w:rPr>
              <w:t>018</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-60</w:t>
            </w:r>
            <w:r w:rsidR="00904EBD">
              <w:rPr>
                <w:rFonts w:eastAsia="Calibri" w:cs="Calibri"/>
                <w:b/>
                <w:color w:val="000000"/>
                <w:sz w:val="18"/>
              </w:rPr>
              <w:t>,</w:t>
            </w:r>
            <w:r>
              <w:rPr>
                <w:rFonts w:eastAsia="Calibri" w:cs="Calibri"/>
                <w:b/>
                <w:color w:val="000000"/>
                <w:sz w:val="18"/>
              </w:rPr>
              <w:t>004</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18</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-66</w:t>
            </w:r>
            <w:r w:rsidR="00904EBD">
              <w:rPr>
                <w:rFonts w:eastAsia="Calibri" w:cs="Calibri"/>
                <w:b/>
                <w:color w:val="000000"/>
                <w:sz w:val="18"/>
              </w:rPr>
              <w:t>,</w:t>
            </w:r>
            <w:r>
              <w:rPr>
                <w:rFonts w:eastAsia="Calibri" w:cs="Calibri"/>
                <w:b/>
                <w:color w:val="000000"/>
                <w:sz w:val="18"/>
              </w:rPr>
              <w:t>634</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-73</w:t>
            </w:r>
            <w:r w:rsidR="00904EBD">
              <w:rPr>
                <w:rFonts w:eastAsia="Calibri" w:cs="Calibri"/>
                <w:b/>
                <w:color w:val="000000"/>
                <w:sz w:val="18"/>
              </w:rPr>
              <w:t>,</w:t>
            </w:r>
            <w:r>
              <w:rPr>
                <w:rFonts w:eastAsia="Calibri" w:cs="Calibri"/>
                <w:b/>
                <w:color w:val="000000"/>
                <w:sz w:val="18"/>
              </w:rPr>
              <w:t>054</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-66</w:t>
            </w:r>
            <w:r w:rsidR="00904EBD">
              <w:rPr>
                <w:rFonts w:eastAsia="Calibri" w:cs="Calibri"/>
                <w:b/>
                <w:color w:val="000000"/>
                <w:sz w:val="18"/>
              </w:rPr>
              <w:t>,</w:t>
            </w:r>
            <w:r>
              <w:rPr>
                <w:rFonts w:eastAsia="Calibri" w:cs="Calibri"/>
                <w:b/>
                <w:color w:val="000000"/>
                <w:sz w:val="18"/>
              </w:rPr>
              <w:t>611</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-50</w:t>
            </w:r>
            <w:r w:rsidR="00904EBD">
              <w:rPr>
                <w:rFonts w:eastAsia="Calibri" w:cs="Calibri"/>
                <w:b/>
                <w:color w:val="000000"/>
                <w:sz w:val="18"/>
              </w:rPr>
              <w:t>,</w:t>
            </w:r>
            <w:r>
              <w:rPr>
                <w:rFonts w:eastAsia="Calibri" w:cs="Calibri"/>
                <w:b/>
                <w:color w:val="000000"/>
                <w:sz w:val="18"/>
              </w:rPr>
              <w:t>246</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Total Comprehensive Income</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-73</w:t>
            </w:r>
            <w:r w:rsidR="00904EBD">
              <w:rPr>
                <w:rFonts w:eastAsia="Calibri" w:cs="Calibri"/>
                <w:b/>
                <w:color w:val="000000"/>
                <w:sz w:val="18"/>
              </w:rPr>
              <w:t>,</w:t>
            </w:r>
            <w:r>
              <w:rPr>
                <w:rFonts w:eastAsia="Calibri" w:cs="Calibri"/>
                <w:b/>
                <w:color w:val="000000"/>
                <w:sz w:val="18"/>
              </w:rPr>
              <w:t>018</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-60</w:t>
            </w:r>
            <w:r w:rsidR="00904EBD">
              <w:rPr>
                <w:rFonts w:eastAsia="Calibri" w:cs="Calibri"/>
                <w:b/>
                <w:color w:val="000000"/>
                <w:sz w:val="18"/>
              </w:rPr>
              <w:t>,</w:t>
            </w:r>
            <w:r>
              <w:rPr>
                <w:rFonts w:eastAsia="Calibri" w:cs="Calibri"/>
                <w:b/>
                <w:color w:val="000000"/>
                <w:sz w:val="18"/>
              </w:rPr>
              <w:t>004</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18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-66</w:t>
            </w:r>
            <w:r w:rsidR="00904EBD">
              <w:rPr>
                <w:rFonts w:eastAsia="Calibri" w:cs="Calibri"/>
                <w:b/>
                <w:color w:val="000000"/>
                <w:sz w:val="18"/>
              </w:rPr>
              <w:t>,</w:t>
            </w:r>
            <w:r>
              <w:rPr>
                <w:rFonts w:eastAsia="Calibri" w:cs="Calibri"/>
                <w:b/>
                <w:color w:val="000000"/>
                <w:sz w:val="18"/>
              </w:rPr>
              <w:t>634</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-73</w:t>
            </w:r>
            <w:r w:rsidR="00904EBD">
              <w:rPr>
                <w:rFonts w:eastAsia="Calibri" w:cs="Calibri"/>
                <w:b/>
                <w:color w:val="000000"/>
                <w:sz w:val="18"/>
              </w:rPr>
              <w:t>,</w:t>
            </w:r>
            <w:r>
              <w:rPr>
                <w:rFonts w:eastAsia="Calibri" w:cs="Calibri"/>
                <w:b/>
                <w:color w:val="000000"/>
                <w:sz w:val="18"/>
              </w:rPr>
              <w:t>054</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-66</w:t>
            </w:r>
            <w:r w:rsidR="00904EBD">
              <w:rPr>
                <w:rFonts w:eastAsia="Calibri" w:cs="Calibri"/>
                <w:b/>
                <w:color w:val="000000"/>
                <w:sz w:val="18"/>
              </w:rPr>
              <w:t>,</w:t>
            </w:r>
            <w:r>
              <w:rPr>
                <w:rFonts w:eastAsia="Calibri" w:cs="Calibri"/>
                <w:b/>
                <w:color w:val="000000"/>
                <w:sz w:val="18"/>
              </w:rPr>
              <w:t>611</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bl>
    <w:p w:rsidR="00281F97" w:rsidRDefault="00765F6E" w:rsidP="00281F97">
      <w:pPr>
        <w:pStyle w:val="Caption"/>
        <w:pageBreakBefore/>
        <w:pBdr>
          <w:top w:val="nil"/>
          <w:left w:val="nil"/>
          <w:bottom w:val="nil"/>
          <w:right w:val="nil"/>
          <w:between w:val="nil"/>
          <w:bar w:val="nil"/>
        </w:pBdr>
        <w:outlineLvl w:val="0"/>
        <w:rPr>
          <w:bdr w:val="nil"/>
        </w:rPr>
      </w:pPr>
      <w:bookmarkStart w:id="133" w:name="_Toc514764130"/>
      <w:bookmarkStart w:id="134" w:name="_Toc514765756"/>
      <w:bookmarkStart w:id="135" w:name="_Toc514832380"/>
      <w:bookmarkStart w:id="136" w:name="_Toc514832563"/>
      <w:r>
        <w:rPr>
          <w:bdr w:val="nil"/>
        </w:rPr>
        <w:lastRenderedPageBreak/>
        <w:t>Table 3</w:t>
      </w:r>
      <w:r w:rsidR="00141A32">
        <w:rPr>
          <w:bdr w:val="nil"/>
        </w:rPr>
        <w:t>3</w:t>
      </w:r>
      <w:r>
        <w:rPr>
          <w:bdr w:val="nil"/>
        </w:rPr>
        <w:t>: Health Directorate: Balance Sheet</w:t>
      </w:r>
      <w:bookmarkEnd w:id="133"/>
      <w:bookmarkEnd w:id="134"/>
      <w:bookmarkEnd w:id="135"/>
      <w:bookmarkEnd w:id="136"/>
      <w:r>
        <w:rPr>
          <w:bdr w:val="nil"/>
        </w:rPr>
        <w:t xml:space="preserve"> </w:t>
      </w:r>
    </w:p>
    <w:tbl>
      <w:tblPr>
        <w:tblStyle w:val="CDMRange2"/>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237D6F">
        <w:trPr>
          <w:trHeight w:val="945"/>
        </w:trPr>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Budget</w:t>
            </w:r>
          </w:p>
          <w:p w:rsidR="00237D6F" w:rsidRDefault="00765F6E">
            <w:pPr>
              <w:spacing w:before="0" w:after="0"/>
              <w:jc w:val="right"/>
              <w:rPr>
                <w:rFonts w:eastAsia="Calibri" w:cs="Calibri"/>
                <w:b/>
                <w:color w:val="000000"/>
                <w:sz w:val="18"/>
              </w:rPr>
            </w:pPr>
            <w:r>
              <w:rPr>
                <w:rFonts w:eastAsia="Calibri" w:cs="Calibri"/>
                <w:b/>
                <w:color w:val="000000"/>
                <w:sz w:val="18"/>
              </w:rPr>
              <w:t>at</w:t>
            </w:r>
          </w:p>
          <w:p w:rsidR="00237D6F" w:rsidRDefault="00765F6E">
            <w:pPr>
              <w:spacing w:before="0" w:after="0"/>
              <w:jc w:val="right"/>
              <w:rPr>
                <w:rFonts w:eastAsia="Calibri" w:cs="Calibri"/>
                <w:b/>
                <w:color w:val="000000"/>
                <w:sz w:val="18"/>
              </w:rPr>
            </w:pPr>
            <w:r>
              <w:rPr>
                <w:rFonts w:eastAsia="Calibri" w:cs="Calibri"/>
                <w:b/>
                <w:color w:val="000000"/>
                <w:sz w:val="18"/>
              </w:rPr>
              <w:t xml:space="preserve">30/6/18 </w:t>
            </w:r>
          </w:p>
          <w:p w:rsidR="00237D6F" w:rsidRDefault="00765F6E">
            <w:pPr>
              <w:spacing w:before="0" w:after="0"/>
              <w:jc w:val="right"/>
              <w:rPr>
                <w:rFonts w:eastAsia="Calibri" w:cs="Calibri"/>
                <w:b/>
                <w:color w:val="000000"/>
                <w:sz w:val="18"/>
              </w:rPr>
            </w:pPr>
            <w:r>
              <w:rPr>
                <w:rFonts w:eastAsia="Calibri" w:cs="Calibri"/>
                <w:b/>
                <w:color w:val="000000"/>
                <w:sz w:val="18"/>
              </w:rPr>
              <w:t>$'000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2017-18 Estimated Outcome</w:t>
            </w:r>
          </w:p>
          <w:p w:rsidR="00237D6F" w:rsidRDefault="00765F6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Budget</w:t>
            </w:r>
          </w:p>
          <w:p w:rsidR="00237D6F" w:rsidRDefault="00765F6E">
            <w:pPr>
              <w:spacing w:before="0" w:after="0"/>
              <w:jc w:val="right"/>
              <w:rPr>
                <w:rFonts w:eastAsia="Calibri" w:cs="Calibri"/>
                <w:b/>
                <w:color w:val="000000"/>
                <w:sz w:val="18"/>
              </w:rPr>
            </w:pPr>
            <w:r>
              <w:rPr>
                <w:rFonts w:eastAsia="Calibri" w:cs="Calibri"/>
                <w:b/>
                <w:color w:val="000000"/>
                <w:sz w:val="18"/>
              </w:rPr>
              <w:t>at</w:t>
            </w:r>
          </w:p>
          <w:p w:rsidR="00237D6F" w:rsidRDefault="00765F6E">
            <w:pPr>
              <w:spacing w:before="0" w:after="0"/>
              <w:jc w:val="right"/>
              <w:rPr>
                <w:rFonts w:eastAsia="Calibri" w:cs="Calibri"/>
                <w:b/>
                <w:color w:val="000000"/>
                <w:sz w:val="18"/>
              </w:rPr>
            </w:pPr>
            <w:r>
              <w:rPr>
                <w:rFonts w:eastAsia="Calibri" w:cs="Calibri"/>
                <w:b/>
                <w:color w:val="000000"/>
                <w:sz w:val="18"/>
              </w:rPr>
              <w:t xml:space="preserve">30/6/19 </w:t>
            </w:r>
          </w:p>
          <w:p w:rsidR="00237D6F" w:rsidRDefault="00765F6E">
            <w:pPr>
              <w:spacing w:before="0" w:after="0"/>
              <w:jc w:val="right"/>
              <w:rPr>
                <w:rFonts w:eastAsia="Calibri" w:cs="Calibri"/>
                <w:b/>
                <w:color w:val="000000"/>
                <w:sz w:val="18"/>
              </w:rPr>
            </w:pPr>
            <w:r>
              <w:rPr>
                <w:rFonts w:eastAsia="Calibri" w:cs="Calibri"/>
                <w:b/>
                <w:color w:val="000000"/>
                <w:sz w:val="18"/>
              </w:rPr>
              <w:t>$'000</w:t>
            </w:r>
          </w:p>
        </w:tc>
        <w:tc>
          <w:tcPr>
            <w:tcW w:w="60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b/>
                <w:color w:val="000000"/>
                <w:sz w:val="18"/>
              </w:rPr>
            </w:pPr>
            <w:proofErr w:type="spellStart"/>
            <w:r>
              <w:rPr>
                <w:rFonts w:eastAsia="Calibri" w:cs="Calibri"/>
                <w:b/>
                <w:color w:val="000000"/>
                <w:sz w:val="18"/>
              </w:rPr>
              <w:t>Var</w:t>
            </w:r>
            <w:proofErr w:type="spellEnd"/>
          </w:p>
          <w:p w:rsidR="00237D6F" w:rsidRDefault="00765F6E">
            <w:pPr>
              <w:spacing w:before="0" w:after="0"/>
              <w:jc w:val="right"/>
              <w:rPr>
                <w:rFonts w:eastAsia="Calibri" w:cs="Calibri"/>
                <w:b/>
                <w:color w:val="000000"/>
                <w:sz w:val="18"/>
              </w:rPr>
            </w:pPr>
            <w:r>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Estimate</w:t>
            </w:r>
          </w:p>
          <w:p w:rsidR="00237D6F" w:rsidRDefault="00765F6E">
            <w:pPr>
              <w:spacing w:before="0" w:after="0"/>
              <w:jc w:val="right"/>
              <w:rPr>
                <w:rFonts w:eastAsia="Calibri" w:cs="Calibri"/>
                <w:b/>
                <w:color w:val="000000"/>
                <w:sz w:val="18"/>
              </w:rPr>
            </w:pPr>
            <w:r>
              <w:rPr>
                <w:rFonts w:eastAsia="Calibri" w:cs="Calibri"/>
                <w:b/>
                <w:color w:val="000000"/>
                <w:sz w:val="18"/>
              </w:rPr>
              <w:t>at</w:t>
            </w:r>
          </w:p>
          <w:p w:rsidR="00237D6F" w:rsidRDefault="00765F6E">
            <w:pPr>
              <w:spacing w:before="0" w:after="0"/>
              <w:jc w:val="right"/>
              <w:rPr>
                <w:rFonts w:eastAsia="Calibri" w:cs="Calibri"/>
                <w:b/>
                <w:color w:val="000000"/>
                <w:sz w:val="18"/>
              </w:rPr>
            </w:pPr>
            <w:r>
              <w:rPr>
                <w:rFonts w:eastAsia="Calibri" w:cs="Calibri"/>
                <w:b/>
                <w:color w:val="000000"/>
                <w:sz w:val="18"/>
              </w:rPr>
              <w:t xml:space="preserve">30/6/20 </w:t>
            </w:r>
          </w:p>
          <w:p w:rsidR="00237D6F" w:rsidRDefault="00765F6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Estimate</w:t>
            </w:r>
          </w:p>
          <w:p w:rsidR="00237D6F" w:rsidRDefault="00765F6E">
            <w:pPr>
              <w:spacing w:before="0" w:after="0"/>
              <w:jc w:val="right"/>
              <w:rPr>
                <w:rFonts w:eastAsia="Calibri" w:cs="Calibri"/>
                <w:b/>
                <w:color w:val="000000"/>
                <w:sz w:val="18"/>
              </w:rPr>
            </w:pPr>
            <w:r>
              <w:rPr>
                <w:rFonts w:eastAsia="Calibri" w:cs="Calibri"/>
                <w:b/>
                <w:color w:val="000000"/>
                <w:sz w:val="18"/>
              </w:rPr>
              <w:t>at</w:t>
            </w:r>
          </w:p>
          <w:p w:rsidR="00237D6F" w:rsidRDefault="00765F6E">
            <w:pPr>
              <w:spacing w:before="0" w:after="0"/>
              <w:jc w:val="right"/>
              <w:rPr>
                <w:rFonts w:eastAsia="Calibri" w:cs="Calibri"/>
                <w:b/>
                <w:color w:val="000000"/>
                <w:sz w:val="18"/>
              </w:rPr>
            </w:pPr>
            <w:r>
              <w:rPr>
                <w:rFonts w:eastAsia="Calibri" w:cs="Calibri"/>
                <w:b/>
                <w:color w:val="000000"/>
                <w:sz w:val="18"/>
              </w:rPr>
              <w:t xml:space="preserve">30/6/21 </w:t>
            </w:r>
          </w:p>
          <w:p w:rsidR="00237D6F" w:rsidRDefault="00765F6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Estimate</w:t>
            </w:r>
          </w:p>
          <w:p w:rsidR="00237D6F" w:rsidRDefault="00765F6E">
            <w:pPr>
              <w:spacing w:before="0" w:after="0"/>
              <w:jc w:val="right"/>
              <w:rPr>
                <w:rFonts w:eastAsia="Calibri" w:cs="Calibri"/>
                <w:b/>
                <w:color w:val="000000"/>
                <w:sz w:val="18"/>
              </w:rPr>
            </w:pPr>
            <w:r>
              <w:rPr>
                <w:rFonts w:eastAsia="Calibri" w:cs="Calibri"/>
                <w:b/>
                <w:color w:val="000000"/>
                <w:sz w:val="18"/>
              </w:rPr>
              <w:t>at</w:t>
            </w:r>
          </w:p>
          <w:p w:rsidR="00237D6F" w:rsidRDefault="00765F6E">
            <w:pPr>
              <w:spacing w:before="0" w:after="0"/>
              <w:jc w:val="right"/>
              <w:rPr>
                <w:rFonts w:eastAsia="Calibri" w:cs="Calibri"/>
                <w:b/>
                <w:color w:val="000000"/>
                <w:sz w:val="18"/>
              </w:rPr>
            </w:pPr>
            <w:r>
              <w:rPr>
                <w:rFonts w:eastAsia="Calibri" w:cs="Calibri"/>
                <w:b/>
                <w:color w:val="000000"/>
                <w:sz w:val="18"/>
              </w:rPr>
              <w:t xml:space="preserve">30/6/22 </w:t>
            </w:r>
          </w:p>
          <w:p w:rsidR="00237D6F" w:rsidRDefault="00765F6E">
            <w:pPr>
              <w:spacing w:before="0" w:after="0"/>
              <w:jc w:val="right"/>
              <w:rPr>
                <w:rFonts w:eastAsia="Calibri" w:cs="Calibri"/>
                <w:b/>
                <w:color w:val="000000"/>
                <w:sz w:val="18"/>
              </w:rPr>
            </w:pPr>
            <w:r>
              <w:rPr>
                <w:rFonts w:eastAsia="Calibri" w:cs="Calibri"/>
                <w:b/>
                <w:color w:val="000000"/>
                <w:sz w:val="18"/>
              </w:rPr>
              <w:t>$'000</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rPr>
                <w:rFonts w:eastAsia="Calibri" w:cs="Calibri"/>
                <w:b/>
                <w:color w:val="000000"/>
                <w:sz w:val="18"/>
              </w:rPr>
            </w:pPr>
            <w:r>
              <w:rPr>
                <w:rFonts w:eastAsia="Calibri" w:cs="Calibri"/>
                <w:b/>
                <w:color w:val="000000"/>
                <w:sz w:val="18"/>
              </w:rPr>
              <w:t>Current Assets</w:t>
            </w: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59</w:t>
            </w:r>
            <w:r w:rsidR="00904EBD">
              <w:rPr>
                <w:rFonts w:eastAsia="Calibri" w:cs="Calibri"/>
                <w:color w:val="000000"/>
                <w:sz w:val="18"/>
              </w:rPr>
              <w:t>,</w:t>
            </w:r>
            <w:r>
              <w:rPr>
                <w:rFonts w:eastAsia="Calibri" w:cs="Calibri"/>
                <w:color w:val="000000"/>
                <w:sz w:val="18"/>
              </w:rPr>
              <w:t>454</w:t>
            </w:r>
          </w:p>
        </w:tc>
        <w:tc>
          <w:tcPr>
            <w:tcW w:w="2385" w:type="dxa"/>
            <w:tcBorders>
              <w:top w:val="nil"/>
              <w:left w:val="nil"/>
              <w:bottom w:val="nil"/>
              <w:right w:val="nil"/>
              <w:tl2br w:val="nil"/>
              <w:tr2bl w:val="nil"/>
            </w:tcBorders>
            <w:shd w:val="clear" w:color="auto" w:fill="auto"/>
            <w:noWrap/>
            <w:tcMar>
              <w:left w:w="40" w:type="dxa"/>
              <w:right w:w="40" w:type="dxa"/>
            </w:tcMar>
          </w:tcPr>
          <w:p w:rsidR="00237D6F" w:rsidRDefault="00765F6E">
            <w:pPr>
              <w:spacing w:before="0" w:after="0"/>
              <w:rPr>
                <w:rFonts w:eastAsia="Calibri" w:cs="Calibri"/>
                <w:color w:val="000000"/>
                <w:sz w:val="18"/>
              </w:rPr>
            </w:pPr>
            <w:r>
              <w:rPr>
                <w:rFonts w:eastAsia="Calibri" w:cs="Calibri"/>
                <w:color w:val="000000"/>
                <w:sz w:val="18"/>
              </w:rPr>
              <w:t>Cash and Cash Equivalents</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81</w:t>
            </w:r>
            <w:r w:rsidR="00904EBD">
              <w:rPr>
                <w:rFonts w:eastAsia="Calibri" w:cs="Calibri"/>
                <w:color w:val="000000"/>
                <w:sz w:val="18"/>
              </w:rPr>
              <w:t>,</w:t>
            </w:r>
            <w:r>
              <w:rPr>
                <w:rFonts w:eastAsia="Calibri" w:cs="Calibri"/>
                <w:color w:val="000000"/>
                <w:sz w:val="18"/>
              </w:rPr>
              <w:t>698</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81</w:t>
            </w:r>
            <w:r w:rsidR="00904EBD">
              <w:rPr>
                <w:rFonts w:eastAsia="Calibri" w:cs="Calibri"/>
                <w:color w:val="000000"/>
                <w:sz w:val="18"/>
              </w:rPr>
              <w:t>,</w:t>
            </w:r>
            <w:r>
              <w:rPr>
                <w:rFonts w:eastAsia="Calibri" w:cs="Calibri"/>
                <w:color w:val="000000"/>
                <w:sz w:val="18"/>
              </w:rPr>
              <w:t>745</w:t>
            </w:r>
          </w:p>
        </w:tc>
        <w:tc>
          <w:tcPr>
            <w:tcW w:w="600"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80</w:t>
            </w:r>
            <w:r w:rsidR="00904EBD">
              <w:rPr>
                <w:rFonts w:eastAsia="Calibri" w:cs="Calibri"/>
                <w:color w:val="000000"/>
                <w:sz w:val="18"/>
              </w:rPr>
              <w:t>,</w:t>
            </w:r>
            <w:r>
              <w:rPr>
                <w:rFonts w:eastAsia="Calibri" w:cs="Calibri"/>
                <w:color w:val="000000"/>
                <w:sz w:val="18"/>
              </w:rPr>
              <w:t>522</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74</w:t>
            </w:r>
            <w:r w:rsidR="00904EBD">
              <w:rPr>
                <w:rFonts w:eastAsia="Calibri" w:cs="Calibri"/>
                <w:color w:val="000000"/>
                <w:sz w:val="18"/>
              </w:rPr>
              <w:t>,</w:t>
            </w:r>
            <w:r>
              <w:rPr>
                <w:rFonts w:eastAsia="Calibri" w:cs="Calibri"/>
                <w:color w:val="000000"/>
                <w:sz w:val="18"/>
              </w:rPr>
              <w:t>034</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75</w:t>
            </w:r>
            <w:r w:rsidR="00904EBD">
              <w:rPr>
                <w:rFonts w:eastAsia="Calibri" w:cs="Calibri"/>
                <w:color w:val="000000"/>
                <w:sz w:val="18"/>
              </w:rPr>
              <w:t>,</w:t>
            </w:r>
            <w:r>
              <w:rPr>
                <w:rFonts w:eastAsia="Calibri" w:cs="Calibri"/>
                <w:color w:val="000000"/>
                <w:sz w:val="18"/>
              </w:rPr>
              <w:t>246</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3</w:t>
            </w:r>
            <w:r w:rsidR="00904EBD">
              <w:rPr>
                <w:rFonts w:eastAsia="Calibri" w:cs="Calibri"/>
                <w:color w:val="000000"/>
                <w:sz w:val="18"/>
              </w:rPr>
              <w:t>,</w:t>
            </w:r>
            <w:r>
              <w:rPr>
                <w:rFonts w:eastAsia="Calibri" w:cs="Calibri"/>
                <w:color w:val="000000"/>
                <w:sz w:val="18"/>
              </w:rPr>
              <w:t>019</w:t>
            </w:r>
          </w:p>
        </w:tc>
        <w:tc>
          <w:tcPr>
            <w:tcW w:w="2385" w:type="dxa"/>
            <w:tcBorders>
              <w:top w:val="nil"/>
              <w:left w:val="nil"/>
              <w:bottom w:val="nil"/>
              <w:right w:val="nil"/>
              <w:tl2br w:val="nil"/>
              <w:tr2bl w:val="nil"/>
            </w:tcBorders>
            <w:shd w:val="clear" w:color="auto" w:fill="auto"/>
            <w:noWrap/>
            <w:tcMar>
              <w:left w:w="40" w:type="dxa"/>
              <w:right w:w="40" w:type="dxa"/>
            </w:tcMar>
          </w:tcPr>
          <w:p w:rsidR="00237D6F" w:rsidRDefault="00765F6E">
            <w:pPr>
              <w:spacing w:before="0" w:after="0"/>
              <w:rPr>
                <w:rFonts w:eastAsia="Calibri" w:cs="Calibri"/>
                <w:color w:val="000000"/>
                <w:sz w:val="18"/>
              </w:rPr>
            </w:pPr>
            <w:r>
              <w:rPr>
                <w:rFonts w:eastAsia="Calibri" w:cs="Calibri"/>
                <w:color w:val="000000"/>
                <w:sz w:val="18"/>
              </w:rPr>
              <w:t>Investments</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3</w:t>
            </w:r>
            <w:r w:rsidR="00904EBD">
              <w:rPr>
                <w:rFonts w:eastAsia="Calibri" w:cs="Calibri"/>
                <w:color w:val="000000"/>
                <w:sz w:val="18"/>
              </w:rPr>
              <w:t>,</w:t>
            </w:r>
            <w:r>
              <w:rPr>
                <w:rFonts w:eastAsia="Calibri" w:cs="Calibri"/>
                <w:color w:val="000000"/>
                <w:sz w:val="18"/>
              </w:rPr>
              <w:t>029</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3</w:t>
            </w:r>
            <w:r w:rsidR="00904EBD">
              <w:rPr>
                <w:rFonts w:eastAsia="Calibri" w:cs="Calibri"/>
                <w:color w:val="000000"/>
                <w:sz w:val="18"/>
              </w:rPr>
              <w:t>,</w:t>
            </w:r>
            <w:r>
              <w:rPr>
                <w:rFonts w:eastAsia="Calibri" w:cs="Calibri"/>
                <w:color w:val="000000"/>
                <w:sz w:val="18"/>
              </w:rPr>
              <w:t>029</w:t>
            </w:r>
          </w:p>
        </w:tc>
        <w:tc>
          <w:tcPr>
            <w:tcW w:w="600"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3</w:t>
            </w:r>
            <w:r w:rsidR="00904EBD">
              <w:rPr>
                <w:rFonts w:eastAsia="Calibri" w:cs="Calibri"/>
                <w:color w:val="000000"/>
                <w:sz w:val="18"/>
              </w:rPr>
              <w:t>,</w:t>
            </w:r>
            <w:r>
              <w:rPr>
                <w:rFonts w:eastAsia="Calibri" w:cs="Calibri"/>
                <w:color w:val="000000"/>
                <w:sz w:val="18"/>
              </w:rPr>
              <w:t>029</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3</w:t>
            </w:r>
            <w:r w:rsidR="00904EBD">
              <w:rPr>
                <w:rFonts w:eastAsia="Calibri" w:cs="Calibri"/>
                <w:color w:val="000000"/>
                <w:sz w:val="18"/>
              </w:rPr>
              <w:t>,</w:t>
            </w:r>
            <w:r>
              <w:rPr>
                <w:rFonts w:eastAsia="Calibri" w:cs="Calibri"/>
                <w:color w:val="000000"/>
                <w:sz w:val="18"/>
              </w:rPr>
              <w:t>029</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3</w:t>
            </w:r>
            <w:r w:rsidR="00904EBD">
              <w:rPr>
                <w:rFonts w:eastAsia="Calibri" w:cs="Calibri"/>
                <w:color w:val="000000"/>
                <w:sz w:val="18"/>
              </w:rPr>
              <w:t>,</w:t>
            </w:r>
            <w:r>
              <w:rPr>
                <w:rFonts w:eastAsia="Calibri" w:cs="Calibri"/>
                <w:color w:val="000000"/>
                <w:sz w:val="18"/>
              </w:rPr>
              <w:t>029</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42</w:t>
            </w:r>
            <w:r w:rsidR="00904EBD">
              <w:rPr>
                <w:rFonts w:eastAsia="Calibri" w:cs="Calibri"/>
                <w:color w:val="000000"/>
                <w:sz w:val="18"/>
              </w:rPr>
              <w:t>,</w:t>
            </w:r>
            <w:r>
              <w:rPr>
                <w:rFonts w:eastAsia="Calibri" w:cs="Calibri"/>
                <w:color w:val="000000"/>
                <w:sz w:val="18"/>
              </w:rPr>
              <w:t>742</w:t>
            </w:r>
          </w:p>
        </w:tc>
        <w:tc>
          <w:tcPr>
            <w:tcW w:w="2385" w:type="dxa"/>
            <w:tcBorders>
              <w:top w:val="nil"/>
              <w:left w:val="nil"/>
              <w:bottom w:val="nil"/>
              <w:right w:val="nil"/>
              <w:tl2br w:val="nil"/>
              <w:tr2bl w:val="nil"/>
            </w:tcBorders>
            <w:shd w:val="clear" w:color="auto" w:fill="auto"/>
            <w:noWrap/>
            <w:tcMar>
              <w:left w:w="40" w:type="dxa"/>
              <w:right w:w="40" w:type="dxa"/>
            </w:tcMar>
          </w:tcPr>
          <w:p w:rsidR="00237D6F" w:rsidRDefault="00765F6E">
            <w:pPr>
              <w:spacing w:before="0" w:after="0"/>
              <w:rPr>
                <w:rFonts w:eastAsia="Calibri" w:cs="Calibri"/>
                <w:color w:val="000000"/>
                <w:sz w:val="18"/>
              </w:rPr>
            </w:pPr>
            <w:r>
              <w:rPr>
                <w:rFonts w:eastAsia="Calibri" w:cs="Calibri"/>
                <w:color w:val="000000"/>
                <w:sz w:val="18"/>
              </w:rPr>
              <w:t>Receivables</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34</w:t>
            </w:r>
            <w:r w:rsidR="00904EBD">
              <w:rPr>
                <w:rFonts w:eastAsia="Calibri" w:cs="Calibri"/>
                <w:color w:val="000000"/>
                <w:sz w:val="18"/>
              </w:rPr>
              <w:t>,</w:t>
            </w:r>
            <w:r>
              <w:rPr>
                <w:rFonts w:eastAsia="Calibri" w:cs="Calibri"/>
                <w:color w:val="000000"/>
                <w:sz w:val="18"/>
              </w:rPr>
              <w:t>372</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35</w:t>
            </w:r>
            <w:r w:rsidR="00904EBD">
              <w:rPr>
                <w:rFonts w:eastAsia="Calibri" w:cs="Calibri"/>
                <w:color w:val="000000"/>
                <w:sz w:val="18"/>
              </w:rPr>
              <w:t>,</w:t>
            </w:r>
            <w:r>
              <w:rPr>
                <w:rFonts w:eastAsia="Calibri" w:cs="Calibri"/>
                <w:color w:val="000000"/>
                <w:sz w:val="18"/>
              </w:rPr>
              <w:t>464</w:t>
            </w:r>
          </w:p>
        </w:tc>
        <w:tc>
          <w:tcPr>
            <w:tcW w:w="600"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3 </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36</w:t>
            </w:r>
            <w:r w:rsidR="00904EBD">
              <w:rPr>
                <w:rFonts w:eastAsia="Calibri" w:cs="Calibri"/>
                <w:color w:val="000000"/>
                <w:sz w:val="18"/>
              </w:rPr>
              <w:t>,</w:t>
            </w:r>
            <w:r>
              <w:rPr>
                <w:rFonts w:eastAsia="Calibri" w:cs="Calibri"/>
                <w:color w:val="000000"/>
                <w:sz w:val="18"/>
              </w:rPr>
              <w:t>556</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37</w:t>
            </w:r>
            <w:r w:rsidR="00904EBD">
              <w:rPr>
                <w:rFonts w:eastAsia="Calibri" w:cs="Calibri"/>
                <w:color w:val="000000"/>
                <w:sz w:val="18"/>
              </w:rPr>
              <w:t>,</w:t>
            </w:r>
            <w:r>
              <w:rPr>
                <w:rFonts w:eastAsia="Calibri" w:cs="Calibri"/>
                <w:color w:val="000000"/>
                <w:sz w:val="18"/>
              </w:rPr>
              <w:t>648</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38</w:t>
            </w:r>
            <w:r w:rsidR="00904EBD">
              <w:rPr>
                <w:rFonts w:eastAsia="Calibri" w:cs="Calibri"/>
                <w:color w:val="000000"/>
                <w:sz w:val="18"/>
              </w:rPr>
              <w:t>,</w:t>
            </w:r>
            <w:r>
              <w:rPr>
                <w:rFonts w:eastAsia="Calibri" w:cs="Calibri"/>
                <w:color w:val="000000"/>
                <w:sz w:val="18"/>
              </w:rPr>
              <w:t>740</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10</w:t>
            </w:r>
            <w:r w:rsidR="00904EBD">
              <w:rPr>
                <w:rFonts w:eastAsia="Calibri" w:cs="Calibri"/>
                <w:color w:val="000000"/>
                <w:sz w:val="18"/>
              </w:rPr>
              <w:t>,</w:t>
            </w:r>
            <w:r>
              <w:rPr>
                <w:rFonts w:eastAsia="Calibri" w:cs="Calibri"/>
                <w:color w:val="000000"/>
                <w:sz w:val="18"/>
              </w:rPr>
              <w:t>506</w:t>
            </w:r>
          </w:p>
        </w:tc>
        <w:tc>
          <w:tcPr>
            <w:tcW w:w="2385" w:type="dxa"/>
            <w:tcBorders>
              <w:top w:val="nil"/>
              <w:left w:val="nil"/>
              <w:bottom w:val="nil"/>
              <w:right w:val="nil"/>
              <w:tl2br w:val="nil"/>
              <w:tr2bl w:val="nil"/>
            </w:tcBorders>
            <w:shd w:val="clear" w:color="auto" w:fill="auto"/>
            <w:noWrap/>
            <w:tcMar>
              <w:left w:w="40" w:type="dxa"/>
              <w:right w:w="40" w:type="dxa"/>
            </w:tcMar>
          </w:tcPr>
          <w:p w:rsidR="00237D6F" w:rsidRDefault="00765F6E">
            <w:pPr>
              <w:spacing w:before="0" w:after="0"/>
              <w:rPr>
                <w:rFonts w:eastAsia="Calibri" w:cs="Calibri"/>
                <w:color w:val="000000"/>
                <w:sz w:val="18"/>
              </w:rPr>
            </w:pPr>
            <w:r>
              <w:rPr>
                <w:rFonts w:eastAsia="Calibri" w:cs="Calibri"/>
                <w:color w:val="000000"/>
                <w:sz w:val="18"/>
              </w:rPr>
              <w:t>Inventories</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9</w:t>
            </w:r>
            <w:r w:rsidR="00904EBD">
              <w:rPr>
                <w:rFonts w:eastAsia="Calibri" w:cs="Calibri"/>
                <w:color w:val="000000"/>
                <w:sz w:val="18"/>
              </w:rPr>
              <w:t>,</w:t>
            </w:r>
            <w:r>
              <w:rPr>
                <w:rFonts w:eastAsia="Calibri" w:cs="Calibri"/>
                <w:color w:val="000000"/>
                <w:sz w:val="18"/>
              </w:rPr>
              <w:t>218</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9</w:t>
            </w:r>
            <w:r w:rsidR="00904EBD">
              <w:rPr>
                <w:rFonts w:eastAsia="Calibri" w:cs="Calibri"/>
                <w:color w:val="000000"/>
                <w:sz w:val="18"/>
              </w:rPr>
              <w:t>,</w:t>
            </w:r>
            <w:r>
              <w:rPr>
                <w:rFonts w:eastAsia="Calibri" w:cs="Calibri"/>
                <w:color w:val="000000"/>
                <w:sz w:val="18"/>
              </w:rPr>
              <w:t>418</w:t>
            </w:r>
          </w:p>
        </w:tc>
        <w:tc>
          <w:tcPr>
            <w:tcW w:w="600"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2 </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9</w:t>
            </w:r>
            <w:r w:rsidR="00904EBD">
              <w:rPr>
                <w:rFonts w:eastAsia="Calibri" w:cs="Calibri"/>
                <w:color w:val="000000"/>
                <w:sz w:val="18"/>
              </w:rPr>
              <w:t>,</w:t>
            </w:r>
            <w:r>
              <w:rPr>
                <w:rFonts w:eastAsia="Calibri" w:cs="Calibri"/>
                <w:color w:val="000000"/>
                <w:sz w:val="18"/>
              </w:rPr>
              <w:t>618</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9</w:t>
            </w:r>
            <w:r w:rsidR="00904EBD">
              <w:rPr>
                <w:rFonts w:eastAsia="Calibri" w:cs="Calibri"/>
                <w:color w:val="000000"/>
                <w:sz w:val="18"/>
              </w:rPr>
              <w:t>,</w:t>
            </w:r>
            <w:r>
              <w:rPr>
                <w:rFonts w:eastAsia="Calibri" w:cs="Calibri"/>
                <w:color w:val="000000"/>
                <w:sz w:val="18"/>
              </w:rPr>
              <w:t>818</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10</w:t>
            </w:r>
            <w:r w:rsidR="00904EBD">
              <w:rPr>
                <w:rFonts w:eastAsia="Calibri" w:cs="Calibri"/>
                <w:color w:val="000000"/>
                <w:sz w:val="18"/>
              </w:rPr>
              <w:t>,</w:t>
            </w:r>
            <w:r>
              <w:rPr>
                <w:rFonts w:eastAsia="Calibri" w:cs="Calibri"/>
                <w:color w:val="000000"/>
                <w:sz w:val="18"/>
              </w:rPr>
              <w:t>018</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6</w:t>
            </w:r>
            <w:r w:rsidR="00904EBD">
              <w:rPr>
                <w:rFonts w:eastAsia="Calibri" w:cs="Calibri"/>
                <w:color w:val="000000"/>
                <w:sz w:val="18"/>
              </w:rPr>
              <w:t>,</w:t>
            </w:r>
            <w:r>
              <w:rPr>
                <w:rFonts w:eastAsia="Calibri" w:cs="Calibri"/>
                <w:color w:val="000000"/>
                <w:sz w:val="18"/>
              </w:rPr>
              <w:t>157</w:t>
            </w:r>
          </w:p>
        </w:tc>
        <w:tc>
          <w:tcPr>
            <w:tcW w:w="2385" w:type="dxa"/>
            <w:tcBorders>
              <w:top w:val="nil"/>
              <w:left w:val="nil"/>
              <w:bottom w:val="nil"/>
              <w:right w:val="nil"/>
              <w:tl2br w:val="nil"/>
              <w:tr2bl w:val="nil"/>
            </w:tcBorders>
            <w:shd w:val="clear" w:color="auto" w:fill="auto"/>
            <w:noWrap/>
            <w:tcMar>
              <w:left w:w="40" w:type="dxa"/>
              <w:right w:w="40" w:type="dxa"/>
            </w:tcMar>
          </w:tcPr>
          <w:p w:rsidR="00237D6F" w:rsidRDefault="00765F6E">
            <w:pPr>
              <w:spacing w:before="0" w:after="0"/>
              <w:rPr>
                <w:rFonts w:eastAsia="Calibri" w:cs="Calibri"/>
                <w:color w:val="000000"/>
                <w:sz w:val="18"/>
              </w:rPr>
            </w:pPr>
            <w:r>
              <w:rPr>
                <w:rFonts w:eastAsia="Calibri" w:cs="Calibri"/>
                <w:color w:val="000000"/>
                <w:sz w:val="18"/>
              </w:rPr>
              <w:t>Other Assets</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7</w:t>
            </w:r>
            <w:r w:rsidR="00904EBD">
              <w:rPr>
                <w:rFonts w:eastAsia="Calibri" w:cs="Calibri"/>
                <w:color w:val="000000"/>
                <w:sz w:val="18"/>
              </w:rPr>
              <w:t>,</w:t>
            </w:r>
            <w:r>
              <w:rPr>
                <w:rFonts w:eastAsia="Calibri" w:cs="Calibri"/>
                <w:color w:val="000000"/>
                <w:sz w:val="18"/>
              </w:rPr>
              <w:t>239</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7</w:t>
            </w:r>
            <w:r w:rsidR="00904EBD">
              <w:rPr>
                <w:rFonts w:eastAsia="Calibri" w:cs="Calibri"/>
                <w:color w:val="000000"/>
                <w:sz w:val="18"/>
              </w:rPr>
              <w:t>,</w:t>
            </w:r>
            <w:r>
              <w:rPr>
                <w:rFonts w:eastAsia="Calibri" w:cs="Calibri"/>
                <w:color w:val="000000"/>
                <w:sz w:val="18"/>
              </w:rPr>
              <w:t>339</w:t>
            </w:r>
          </w:p>
        </w:tc>
        <w:tc>
          <w:tcPr>
            <w:tcW w:w="600"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1 </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7</w:t>
            </w:r>
            <w:r w:rsidR="00904EBD">
              <w:rPr>
                <w:rFonts w:eastAsia="Calibri" w:cs="Calibri"/>
                <w:color w:val="000000"/>
                <w:sz w:val="18"/>
              </w:rPr>
              <w:t>,</w:t>
            </w:r>
            <w:r>
              <w:rPr>
                <w:rFonts w:eastAsia="Calibri" w:cs="Calibri"/>
                <w:color w:val="000000"/>
                <w:sz w:val="18"/>
              </w:rPr>
              <w:t>439</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7</w:t>
            </w:r>
            <w:r w:rsidR="00904EBD">
              <w:rPr>
                <w:rFonts w:eastAsia="Calibri" w:cs="Calibri"/>
                <w:color w:val="000000"/>
                <w:sz w:val="18"/>
              </w:rPr>
              <w:t>,</w:t>
            </w:r>
            <w:r>
              <w:rPr>
                <w:rFonts w:eastAsia="Calibri" w:cs="Calibri"/>
                <w:color w:val="000000"/>
                <w:sz w:val="18"/>
              </w:rPr>
              <w:t>539</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7</w:t>
            </w:r>
            <w:r w:rsidR="00904EBD">
              <w:rPr>
                <w:rFonts w:eastAsia="Calibri" w:cs="Calibri"/>
                <w:color w:val="000000"/>
                <w:sz w:val="18"/>
              </w:rPr>
              <w:t>,</w:t>
            </w:r>
            <w:r>
              <w:rPr>
                <w:rFonts w:eastAsia="Calibri" w:cs="Calibri"/>
                <w:color w:val="000000"/>
                <w:sz w:val="18"/>
              </w:rPr>
              <w:t>639</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121</w:t>
            </w:r>
            <w:r w:rsidR="00904EBD">
              <w:rPr>
                <w:rFonts w:eastAsia="Calibri" w:cs="Calibri"/>
                <w:b/>
                <w:color w:val="000000"/>
                <w:sz w:val="18"/>
              </w:rPr>
              <w:t>,</w:t>
            </w:r>
            <w:r>
              <w:rPr>
                <w:rFonts w:eastAsia="Calibri" w:cs="Calibri"/>
                <w:b/>
                <w:color w:val="000000"/>
                <w:sz w:val="18"/>
              </w:rPr>
              <w:t>878</w:t>
            </w:r>
          </w:p>
        </w:tc>
        <w:tc>
          <w:tcPr>
            <w:tcW w:w="238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rPr>
                <w:rFonts w:eastAsia="Calibri" w:cs="Calibri"/>
                <w:b/>
                <w:color w:val="000000"/>
                <w:sz w:val="18"/>
              </w:rPr>
            </w:pPr>
            <w:r>
              <w:rPr>
                <w:rFonts w:eastAsia="Calibri" w:cs="Calibri"/>
                <w:b/>
                <w:color w:val="000000"/>
                <w:sz w:val="18"/>
              </w:rPr>
              <w:t>Total Current Assets</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135</w:t>
            </w:r>
            <w:r w:rsidR="00904EBD">
              <w:rPr>
                <w:rFonts w:eastAsia="Calibri" w:cs="Calibri"/>
                <w:b/>
                <w:color w:val="000000"/>
                <w:sz w:val="18"/>
              </w:rPr>
              <w:t>,</w:t>
            </w:r>
            <w:r>
              <w:rPr>
                <w:rFonts w:eastAsia="Calibri" w:cs="Calibri"/>
                <w:b/>
                <w:color w:val="000000"/>
                <w:sz w:val="18"/>
              </w:rPr>
              <w:t>556</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136</w:t>
            </w:r>
            <w:r w:rsidR="00904EBD">
              <w:rPr>
                <w:rFonts w:eastAsia="Calibri" w:cs="Calibri"/>
                <w:b/>
                <w:color w:val="000000"/>
                <w:sz w:val="18"/>
              </w:rPr>
              <w:t>,</w:t>
            </w:r>
            <w:r>
              <w:rPr>
                <w:rFonts w:eastAsia="Calibri" w:cs="Calibri"/>
                <w:b/>
                <w:color w:val="000000"/>
                <w:sz w:val="18"/>
              </w:rPr>
              <w:t>995</w:t>
            </w:r>
          </w:p>
        </w:tc>
        <w:tc>
          <w:tcPr>
            <w:tcW w:w="600"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1 </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137</w:t>
            </w:r>
            <w:r w:rsidR="00904EBD">
              <w:rPr>
                <w:rFonts w:eastAsia="Calibri" w:cs="Calibri"/>
                <w:b/>
                <w:color w:val="000000"/>
                <w:sz w:val="18"/>
              </w:rPr>
              <w:t>,</w:t>
            </w:r>
            <w:r>
              <w:rPr>
                <w:rFonts w:eastAsia="Calibri" w:cs="Calibri"/>
                <w:b/>
                <w:color w:val="000000"/>
                <w:sz w:val="18"/>
              </w:rPr>
              <w:t>164</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132</w:t>
            </w:r>
            <w:r w:rsidR="00904EBD">
              <w:rPr>
                <w:rFonts w:eastAsia="Calibri" w:cs="Calibri"/>
                <w:b/>
                <w:color w:val="000000"/>
                <w:sz w:val="18"/>
              </w:rPr>
              <w:t>,</w:t>
            </w:r>
            <w:r>
              <w:rPr>
                <w:rFonts w:eastAsia="Calibri" w:cs="Calibri"/>
                <w:b/>
                <w:color w:val="000000"/>
                <w:sz w:val="18"/>
              </w:rPr>
              <w:t>068</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134</w:t>
            </w:r>
            <w:r w:rsidR="00904EBD">
              <w:rPr>
                <w:rFonts w:eastAsia="Calibri" w:cs="Calibri"/>
                <w:b/>
                <w:color w:val="000000"/>
                <w:sz w:val="18"/>
              </w:rPr>
              <w:t>,</w:t>
            </w:r>
            <w:r>
              <w:rPr>
                <w:rFonts w:eastAsia="Calibri" w:cs="Calibri"/>
                <w:b/>
                <w:color w:val="000000"/>
                <w:sz w:val="18"/>
              </w:rPr>
              <w:t>672</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rPr>
                <w:rFonts w:eastAsia="Calibri" w:cs="Calibri"/>
                <w:b/>
                <w:color w:val="000000"/>
                <w:sz w:val="18"/>
              </w:rPr>
            </w:pPr>
            <w:proofErr w:type="spellStart"/>
            <w:r>
              <w:rPr>
                <w:rFonts w:eastAsia="Calibri" w:cs="Calibri"/>
                <w:b/>
                <w:color w:val="000000"/>
                <w:sz w:val="18"/>
              </w:rPr>
              <w:t>Non Current</w:t>
            </w:r>
            <w:proofErr w:type="spellEnd"/>
            <w:r>
              <w:rPr>
                <w:rFonts w:eastAsia="Calibri" w:cs="Calibri"/>
                <w:b/>
                <w:color w:val="000000"/>
                <w:sz w:val="18"/>
              </w:rPr>
              <w:t xml:space="preserve"> Assets</w:t>
            </w: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375</w:t>
            </w:r>
            <w:r w:rsidR="00904EBD">
              <w:rPr>
                <w:rFonts w:eastAsia="Calibri" w:cs="Calibri"/>
                <w:color w:val="000000"/>
                <w:sz w:val="18"/>
              </w:rPr>
              <w:t>,</w:t>
            </w:r>
            <w:r>
              <w:rPr>
                <w:rFonts w:eastAsia="Calibri" w:cs="Calibri"/>
                <w:color w:val="000000"/>
                <w:sz w:val="18"/>
              </w:rPr>
              <w:t>316</w:t>
            </w:r>
          </w:p>
        </w:tc>
        <w:tc>
          <w:tcPr>
            <w:tcW w:w="238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rPr>
                <w:rFonts w:eastAsia="Calibri" w:cs="Calibri"/>
                <w:color w:val="000000"/>
                <w:sz w:val="18"/>
              </w:rPr>
            </w:pPr>
            <w:r>
              <w:rPr>
                <w:rFonts w:eastAsia="Calibri" w:cs="Calibri"/>
                <w:color w:val="000000"/>
                <w:sz w:val="18"/>
              </w:rPr>
              <w:t>Property, Plant and Equipment</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270</w:t>
            </w:r>
            <w:r w:rsidR="00904EBD">
              <w:rPr>
                <w:rFonts w:eastAsia="Calibri" w:cs="Calibri"/>
                <w:color w:val="000000"/>
                <w:sz w:val="18"/>
              </w:rPr>
              <w:t>,</w:t>
            </w:r>
            <w:r>
              <w:rPr>
                <w:rFonts w:eastAsia="Calibri" w:cs="Calibri"/>
                <w:color w:val="000000"/>
                <w:sz w:val="18"/>
              </w:rPr>
              <w:t>281</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336</w:t>
            </w:r>
            <w:r w:rsidR="00904EBD">
              <w:rPr>
                <w:rFonts w:eastAsia="Calibri" w:cs="Calibri"/>
                <w:color w:val="000000"/>
                <w:sz w:val="18"/>
              </w:rPr>
              <w:t>,</w:t>
            </w:r>
            <w:r>
              <w:rPr>
                <w:rFonts w:eastAsia="Calibri" w:cs="Calibri"/>
                <w:color w:val="000000"/>
                <w:sz w:val="18"/>
              </w:rPr>
              <w:t>571</w:t>
            </w:r>
          </w:p>
        </w:tc>
        <w:tc>
          <w:tcPr>
            <w:tcW w:w="600"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5 </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382</w:t>
            </w:r>
            <w:r w:rsidR="00904EBD">
              <w:rPr>
                <w:rFonts w:eastAsia="Calibri" w:cs="Calibri"/>
                <w:color w:val="000000"/>
                <w:sz w:val="18"/>
              </w:rPr>
              <w:t>,</w:t>
            </w:r>
            <w:r>
              <w:rPr>
                <w:rFonts w:eastAsia="Calibri" w:cs="Calibri"/>
                <w:color w:val="000000"/>
                <w:sz w:val="18"/>
              </w:rPr>
              <w:t>181</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361</w:t>
            </w:r>
            <w:r w:rsidR="00904EBD">
              <w:rPr>
                <w:rFonts w:eastAsia="Calibri" w:cs="Calibri"/>
                <w:color w:val="000000"/>
                <w:sz w:val="18"/>
              </w:rPr>
              <w:t>,</w:t>
            </w:r>
            <w:r>
              <w:rPr>
                <w:rFonts w:eastAsia="Calibri" w:cs="Calibri"/>
                <w:color w:val="000000"/>
                <w:sz w:val="18"/>
              </w:rPr>
              <w:t>015</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335</w:t>
            </w:r>
            <w:r w:rsidR="00904EBD">
              <w:rPr>
                <w:rFonts w:eastAsia="Calibri" w:cs="Calibri"/>
                <w:color w:val="000000"/>
                <w:sz w:val="18"/>
              </w:rPr>
              <w:t>,</w:t>
            </w:r>
            <w:r>
              <w:rPr>
                <w:rFonts w:eastAsia="Calibri" w:cs="Calibri"/>
                <w:color w:val="000000"/>
                <w:sz w:val="18"/>
              </w:rPr>
              <w:t>876</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39</w:t>
            </w:r>
            <w:r w:rsidR="00904EBD">
              <w:rPr>
                <w:rFonts w:eastAsia="Calibri" w:cs="Calibri"/>
                <w:color w:val="000000"/>
                <w:sz w:val="18"/>
              </w:rPr>
              <w:t>,</w:t>
            </w:r>
            <w:r>
              <w:rPr>
                <w:rFonts w:eastAsia="Calibri" w:cs="Calibri"/>
                <w:color w:val="000000"/>
                <w:sz w:val="18"/>
              </w:rPr>
              <w:t>193</w:t>
            </w:r>
          </w:p>
        </w:tc>
        <w:tc>
          <w:tcPr>
            <w:tcW w:w="238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rPr>
                <w:rFonts w:eastAsia="Calibri" w:cs="Calibri"/>
                <w:color w:val="000000"/>
                <w:sz w:val="18"/>
              </w:rPr>
            </w:pPr>
            <w:r>
              <w:rPr>
                <w:rFonts w:eastAsia="Calibri" w:cs="Calibri"/>
                <w:color w:val="000000"/>
                <w:sz w:val="18"/>
              </w:rPr>
              <w:t>Intangible Assets</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48</w:t>
            </w:r>
            <w:r w:rsidR="00904EBD">
              <w:rPr>
                <w:rFonts w:eastAsia="Calibri" w:cs="Calibri"/>
                <w:color w:val="000000"/>
                <w:sz w:val="18"/>
              </w:rPr>
              <w:t>,</w:t>
            </w:r>
            <w:r>
              <w:rPr>
                <w:rFonts w:eastAsia="Calibri" w:cs="Calibri"/>
                <w:color w:val="000000"/>
                <w:sz w:val="18"/>
              </w:rPr>
              <w:t>538</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57</w:t>
            </w:r>
            <w:r w:rsidR="00904EBD">
              <w:rPr>
                <w:rFonts w:eastAsia="Calibri" w:cs="Calibri"/>
                <w:color w:val="000000"/>
                <w:sz w:val="18"/>
              </w:rPr>
              <w:t>,</w:t>
            </w:r>
            <w:r>
              <w:rPr>
                <w:rFonts w:eastAsia="Calibri" w:cs="Calibri"/>
                <w:color w:val="000000"/>
                <w:sz w:val="18"/>
              </w:rPr>
              <w:t>511</w:t>
            </w:r>
          </w:p>
        </w:tc>
        <w:tc>
          <w:tcPr>
            <w:tcW w:w="600"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18 </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58</w:t>
            </w:r>
            <w:r w:rsidR="00904EBD">
              <w:rPr>
                <w:rFonts w:eastAsia="Calibri" w:cs="Calibri"/>
                <w:color w:val="000000"/>
                <w:sz w:val="18"/>
              </w:rPr>
              <w:t>,</w:t>
            </w:r>
            <w:r>
              <w:rPr>
                <w:rFonts w:eastAsia="Calibri" w:cs="Calibri"/>
                <w:color w:val="000000"/>
                <w:sz w:val="18"/>
              </w:rPr>
              <w:t>104</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59</w:t>
            </w:r>
            <w:r w:rsidR="00904EBD">
              <w:rPr>
                <w:rFonts w:eastAsia="Calibri" w:cs="Calibri"/>
                <w:color w:val="000000"/>
                <w:sz w:val="18"/>
              </w:rPr>
              <w:t>,</w:t>
            </w:r>
            <w:r>
              <w:rPr>
                <w:rFonts w:eastAsia="Calibri" w:cs="Calibri"/>
                <w:color w:val="000000"/>
                <w:sz w:val="18"/>
              </w:rPr>
              <w:t>312</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53</w:t>
            </w:r>
            <w:r w:rsidR="00904EBD">
              <w:rPr>
                <w:rFonts w:eastAsia="Calibri" w:cs="Calibri"/>
                <w:color w:val="000000"/>
                <w:sz w:val="18"/>
              </w:rPr>
              <w:t>,</w:t>
            </w:r>
            <w:r>
              <w:rPr>
                <w:rFonts w:eastAsia="Calibri" w:cs="Calibri"/>
                <w:color w:val="000000"/>
                <w:sz w:val="18"/>
              </w:rPr>
              <w:t>132</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13</w:t>
            </w:r>
            <w:r w:rsidR="00904EBD">
              <w:rPr>
                <w:rFonts w:eastAsia="Calibri" w:cs="Calibri"/>
                <w:color w:val="000000"/>
                <w:sz w:val="18"/>
              </w:rPr>
              <w:t>,</w:t>
            </w:r>
            <w:r>
              <w:rPr>
                <w:rFonts w:eastAsia="Calibri" w:cs="Calibri"/>
                <w:color w:val="000000"/>
                <w:sz w:val="18"/>
              </w:rPr>
              <w:t>397</w:t>
            </w:r>
          </w:p>
        </w:tc>
        <w:tc>
          <w:tcPr>
            <w:tcW w:w="238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rPr>
                <w:rFonts w:eastAsia="Calibri" w:cs="Calibri"/>
                <w:color w:val="000000"/>
                <w:sz w:val="18"/>
              </w:rPr>
            </w:pPr>
            <w:r>
              <w:rPr>
                <w:rFonts w:eastAsia="Calibri" w:cs="Calibri"/>
                <w:color w:val="000000"/>
                <w:sz w:val="18"/>
              </w:rPr>
              <w:t>Capital Works in Progress</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13</w:t>
            </w:r>
            <w:r w:rsidR="00904EBD">
              <w:rPr>
                <w:rFonts w:eastAsia="Calibri" w:cs="Calibri"/>
                <w:color w:val="000000"/>
                <w:sz w:val="18"/>
              </w:rPr>
              <w:t>,</w:t>
            </w:r>
            <w:r>
              <w:rPr>
                <w:rFonts w:eastAsia="Calibri" w:cs="Calibri"/>
                <w:color w:val="000000"/>
                <w:sz w:val="18"/>
              </w:rPr>
              <w:t>397</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21</w:t>
            </w:r>
            <w:r w:rsidR="00904EBD">
              <w:rPr>
                <w:rFonts w:eastAsia="Calibri" w:cs="Calibri"/>
                <w:color w:val="000000"/>
                <w:sz w:val="18"/>
              </w:rPr>
              <w:t>,</w:t>
            </w:r>
            <w:r>
              <w:rPr>
                <w:rFonts w:eastAsia="Calibri" w:cs="Calibri"/>
                <w:color w:val="000000"/>
                <w:sz w:val="18"/>
              </w:rPr>
              <w:t>259</w:t>
            </w:r>
          </w:p>
        </w:tc>
        <w:tc>
          <w:tcPr>
            <w:tcW w:w="600"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59 </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35</w:t>
            </w:r>
            <w:r w:rsidR="00904EBD">
              <w:rPr>
                <w:rFonts w:eastAsia="Calibri" w:cs="Calibri"/>
                <w:color w:val="000000"/>
                <w:sz w:val="18"/>
              </w:rPr>
              <w:t>,</w:t>
            </w:r>
            <w:r>
              <w:rPr>
                <w:rFonts w:eastAsia="Calibri" w:cs="Calibri"/>
                <w:color w:val="000000"/>
                <w:sz w:val="18"/>
              </w:rPr>
              <w:t>921</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21</w:t>
            </w:r>
            <w:r w:rsidR="00904EBD">
              <w:rPr>
                <w:rFonts w:eastAsia="Calibri" w:cs="Calibri"/>
                <w:color w:val="000000"/>
                <w:sz w:val="18"/>
              </w:rPr>
              <w:t>,</w:t>
            </w:r>
            <w:r>
              <w:rPr>
                <w:rFonts w:eastAsia="Calibri" w:cs="Calibri"/>
                <w:color w:val="000000"/>
                <w:sz w:val="18"/>
              </w:rPr>
              <w:t>952</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12</w:t>
            </w:r>
            <w:r w:rsidR="00904EBD">
              <w:rPr>
                <w:rFonts w:eastAsia="Calibri" w:cs="Calibri"/>
                <w:color w:val="000000"/>
                <w:sz w:val="18"/>
              </w:rPr>
              <w:t>,</w:t>
            </w:r>
            <w:r>
              <w:rPr>
                <w:rFonts w:eastAsia="Calibri" w:cs="Calibri"/>
                <w:color w:val="000000"/>
                <w:sz w:val="18"/>
              </w:rPr>
              <w:t>636</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rPr>
                <w:rFonts w:eastAsia="Calibri" w:cs="Calibri"/>
                <w:color w:val="000000"/>
                <w:sz w:val="18"/>
              </w:rPr>
            </w:pPr>
            <w:r>
              <w:rPr>
                <w:rFonts w:eastAsia="Calibri" w:cs="Calibri"/>
                <w:color w:val="000000"/>
                <w:sz w:val="18"/>
              </w:rPr>
              <w:t>Other Assets</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14</w:t>
            </w:r>
            <w:r w:rsidR="00904EBD">
              <w:rPr>
                <w:rFonts w:eastAsia="Calibri" w:cs="Calibri"/>
                <w:color w:val="000000"/>
                <w:sz w:val="18"/>
              </w:rPr>
              <w:t>,</w:t>
            </w:r>
            <w:r>
              <w:rPr>
                <w:rFonts w:eastAsia="Calibri" w:cs="Calibri"/>
                <w:color w:val="000000"/>
                <w:sz w:val="18"/>
              </w:rPr>
              <w:t>765</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14</w:t>
            </w:r>
            <w:r w:rsidR="00904EBD">
              <w:rPr>
                <w:rFonts w:eastAsia="Calibri" w:cs="Calibri"/>
                <w:color w:val="000000"/>
                <w:sz w:val="18"/>
              </w:rPr>
              <w:t>,</w:t>
            </w:r>
            <w:r>
              <w:rPr>
                <w:rFonts w:eastAsia="Calibri" w:cs="Calibri"/>
                <w:color w:val="000000"/>
                <w:sz w:val="18"/>
              </w:rPr>
              <w:t>765</w:t>
            </w:r>
          </w:p>
        </w:tc>
        <w:tc>
          <w:tcPr>
            <w:tcW w:w="600"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14</w:t>
            </w:r>
            <w:r w:rsidR="00904EBD">
              <w:rPr>
                <w:rFonts w:eastAsia="Calibri" w:cs="Calibri"/>
                <w:color w:val="000000"/>
                <w:sz w:val="18"/>
              </w:rPr>
              <w:t>,</w:t>
            </w:r>
            <w:r>
              <w:rPr>
                <w:rFonts w:eastAsia="Calibri" w:cs="Calibri"/>
                <w:color w:val="000000"/>
                <w:sz w:val="18"/>
              </w:rPr>
              <w:t>765</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14</w:t>
            </w:r>
            <w:r w:rsidR="00904EBD">
              <w:rPr>
                <w:rFonts w:eastAsia="Calibri" w:cs="Calibri"/>
                <w:color w:val="000000"/>
                <w:sz w:val="18"/>
              </w:rPr>
              <w:t>,</w:t>
            </w:r>
            <w:r>
              <w:rPr>
                <w:rFonts w:eastAsia="Calibri" w:cs="Calibri"/>
                <w:color w:val="000000"/>
                <w:sz w:val="18"/>
              </w:rPr>
              <w:t>765</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14</w:t>
            </w:r>
            <w:r w:rsidR="00904EBD">
              <w:rPr>
                <w:rFonts w:eastAsia="Calibri" w:cs="Calibri"/>
                <w:color w:val="000000"/>
                <w:sz w:val="18"/>
              </w:rPr>
              <w:t>,</w:t>
            </w:r>
            <w:r>
              <w:rPr>
                <w:rFonts w:eastAsia="Calibri" w:cs="Calibri"/>
                <w:color w:val="000000"/>
                <w:sz w:val="18"/>
              </w:rPr>
              <w:t>765</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427</w:t>
            </w:r>
            <w:r w:rsidR="00904EBD">
              <w:rPr>
                <w:rFonts w:eastAsia="Calibri" w:cs="Calibri"/>
                <w:b/>
                <w:color w:val="000000"/>
                <w:sz w:val="18"/>
              </w:rPr>
              <w:t>,</w:t>
            </w:r>
            <w:r>
              <w:rPr>
                <w:rFonts w:eastAsia="Calibri" w:cs="Calibri"/>
                <w:b/>
                <w:color w:val="000000"/>
                <w:sz w:val="18"/>
              </w:rPr>
              <w:t>906</w:t>
            </w:r>
          </w:p>
        </w:tc>
        <w:tc>
          <w:tcPr>
            <w:tcW w:w="238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rPr>
                <w:rFonts w:eastAsia="Calibri" w:cs="Calibri"/>
                <w:b/>
                <w:color w:val="000000"/>
                <w:sz w:val="18"/>
              </w:rPr>
            </w:pPr>
            <w:r>
              <w:rPr>
                <w:rFonts w:eastAsia="Calibri" w:cs="Calibri"/>
                <w:b/>
                <w:color w:val="000000"/>
                <w:sz w:val="18"/>
              </w:rPr>
              <w:t xml:space="preserve">Total </w:t>
            </w:r>
            <w:proofErr w:type="spellStart"/>
            <w:r>
              <w:rPr>
                <w:rFonts w:eastAsia="Calibri" w:cs="Calibri"/>
                <w:b/>
                <w:color w:val="000000"/>
                <w:sz w:val="18"/>
              </w:rPr>
              <w:t>Non Current</w:t>
            </w:r>
            <w:proofErr w:type="spellEnd"/>
            <w:r>
              <w:rPr>
                <w:rFonts w:eastAsia="Calibri" w:cs="Calibri"/>
                <w:b/>
                <w:color w:val="000000"/>
                <w:sz w:val="18"/>
              </w:rPr>
              <w:t xml:space="preserve"> Assets</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346</w:t>
            </w:r>
            <w:r w:rsidR="00904EBD">
              <w:rPr>
                <w:rFonts w:eastAsia="Calibri" w:cs="Calibri"/>
                <w:b/>
                <w:color w:val="000000"/>
                <w:sz w:val="18"/>
              </w:rPr>
              <w:t>,</w:t>
            </w:r>
            <w:r>
              <w:rPr>
                <w:rFonts w:eastAsia="Calibri" w:cs="Calibri"/>
                <w:b/>
                <w:color w:val="000000"/>
                <w:sz w:val="18"/>
              </w:rPr>
              <w:t>981</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430</w:t>
            </w:r>
            <w:r w:rsidR="00904EBD">
              <w:rPr>
                <w:rFonts w:eastAsia="Calibri" w:cs="Calibri"/>
                <w:b/>
                <w:color w:val="000000"/>
                <w:sz w:val="18"/>
              </w:rPr>
              <w:t>,</w:t>
            </w:r>
            <w:r>
              <w:rPr>
                <w:rFonts w:eastAsia="Calibri" w:cs="Calibri"/>
                <w:b/>
                <w:color w:val="000000"/>
                <w:sz w:val="18"/>
              </w:rPr>
              <w:t>106</w:t>
            </w:r>
          </w:p>
        </w:tc>
        <w:tc>
          <w:tcPr>
            <w:tcW w:w="600"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6 </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490</w:t>
            </w:r>
            <w:r w:rsidR="00904EBD">
              <w:rPr>
                <w:rFonts w:eastAsia="Calibri" w:cs="Calibri"/>
                <w:b/>
                <w:color w:val="000000"/>
                <w:sz w:val="18"/>
              </w:rPr>
              <w:t>,</w:t>
            </w:r>
            <w:r>
              <w:rPr>
                <w:rFonts w:eastAsia="Calibri" w:cs="Calibri"/>
                <w:b/>
                <w:color w:val="000000"/>
                <w:sz w:val="18"/>
              </w:rPr>
              <w:t>971</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457</w:t>
            </w:r>
            <w:r w:rsidR="00904EBD">
              <w:rPr>
                <w:rFonts w:eastAsia="Calibri" w:cs="Calibri"/>
                <w:b/>
                <w:color w:val="000000"/>
                <w:sz w:val="18"/>
              </w:rPr>
              <w:t>,</w:t>
            </w:r>
            <w:r>
              <w:rPr>
                <w:rFonts w:eastAsia="Calibri" w:cs="Calibri"/>
                <w:b/>
                <w:color w:val="000000"/>
                <w:sz w:val="18"/>
              </w:rPr>
              <w:t>044</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416</w:t>
            </w:r>
            <w:r w:rsidR="00904EBD">
              <w:rPr>
                <w:rFonts w:eastAsia="Calibri" w:cs="Calibri"/>
                <w:b/>
                <w:color w:val="000000"/>
                <w:sz w:val="18"/>
              </w:rPr>
              <w:t>,</w:t>
            </w:r>
            <w:r>
              <w:rPr>
                <w:rFonts w:eastAsia="Calibri" w:cs="Calibri"/>
                <w:b/>
                <w:color w:val="000000"/>
                <w:sz w:val="18"/>
              </w:rPr>
              <w:t>409</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549</w:t>
            </w:r>
            <w:r w:rsidR="00904EBD">
              <w:rPr>
                <w:rFonts w:eastAsia="Calibri" w:cs="Calibri"/>
                <w:b/>
                <w:color w:val="000000"/>
                <w:sz w:val="18"/>
              </w:rPr>
              <w:t>,</w:t>
            </w:r>
            <w:r>
              <w:rPr>
                <w:rFonts w:eastAsia="Calibri" w:cs="Calibri"/>
                <w:b/>
                <w:color w:val="000000"/>
                <w:sz w:val="18"/>
              </w:rPr>
              <w:t>784</w:t>
            </w:r>
          </w:p>
        </w:tc>
        <w:tc>
          <w:tcPr>
            <w:tcW w:w="238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rPr>
                <w:rFonts w:eastAsia="Calibri" w:cs="Calibri"/>
                <w:b/>
                <w:color w:val="000000"/>
                <w:sz w:val="18"/>
              </w:rPr>
            </w:pPr>
            <w:r>
              <w:rPr>
                <w:rFonts w:eastAsia="Calibri" w:cs="Calibri"/>
                <w:b/>
                <w:color w:val="000000"/>
                <w:sz w:val="18"/>
              </w:rPr>
              <w:t>TOTAL ASSETS</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482</w:t>
            </w:r>
            <w:r w:rsidR="00904EBD">
              <w:rPr>
                <w:rFonts w:eastAsia="Calibri" w:cs="Calibri"/>
                <w:b/>
                <w:color w:val="000000"/>
                <w:sz w:val="18"/>
              </w:rPr>
              <w:t>,</w:t>
            </w:r>
            <w:r>
              <w:rPr>
                <w:rFonts w:eastAsia="Calibri" w:cs="Calibri"/>
                <w:b/>
                <w:color w:val="000000"/>
                <w:sz w:val="18"/>
              </w:rPr>
              <w:t>537</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567</w:t>
            </w:r>
            <w:r w:rsidR="00904EBD">
              <w:rPr>
                <w:rFonts w:eastAsia="Calibri" w:cs="Calibri"/>
                <w:b/>
                <w:color w:val="000000"/>
                <w:sz w:val="18"/>
              </w:rPr>
              <w:t>,</w:t>
            </w:r>
            <w:r>
              <w:rPr>
                <w:rFonts w:eastAsia="Calibri" w:cs="Calibri"/>
                <w:b/>
                <w:color w:val="000000"/>
                <w:sz w:val="18"/>
              </w:rPr>
              <w:t>101</w:t>
            </w:r>
          </w:p>
        </w:tc>
        <w:tc>
          <w:tcPr>
            <w:tcW w:w="600"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6 </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628</w:t>
            </w:r>
            <w:r w:rsidR="00904EBD">
              <w:rPr>
                <w:rFonts w:eastAsia="Calibri" w:cs="Calibri"/>
                <w:b/>
                <w:color w:val="000000"/>
                <w:sz w:val="18"/>
              </w:rPr>
              <w:t>,</w:t>
            </w:r>
            <w:r>
              <w:rPr>
                <w:rFonts w:eastAsia="Calibri" w:cs="Calibri"/>
                <w:b/>
                <w:color w:val="000000"/>
                <w:sz w:val="18"/>
              </w:rPr>
              <w:t>135</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589</w:t>
            </w:r>
            <w:r w:rsidR="00904EBD">
              <w:rPr>
                <w:rFonts w:eastAsia="Calibri" w:cs="Calibri"/>
                <w:b/>
                <w:color w:val="000000"/>
                <w:sz w:val="18"/>
              </w:rPr>
              <w:t>,</w:t>
            </w:r>
            <w:r>
              <w:rPr>
                <w:rFonts w:eastAsia="Calibri" w:cs="Calibri"/>
                <w:b/>
                <w:color w:val="000000"/>
                <w:sz w:val="18"/>
              </w:rPr>
              <w:t>112</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551</w:t>
            </w:r>
            <w:r w:rsidR="00904EBD">
              <w:rPr>
                <w:rFonts w:eastAsia="Calibri" w:cs="Calibri"/>
                <w:b/>
                <w:color w:val="000000"/>
                <w:sz w:val="18"/>
              </w:rPr>
              <w:t>,</w:t>
            </w:r>
            <w:r>
              <w:rPr>
                <w:rFonts w:eastAsia="Calibri" w:cs="Calibri"/>
                <w:b/>
                <w:color w:val="000000"/>
                <w:sz w:val="18"/>
              </w:rPr>
              <w:t>081</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rPr>
                <w:rFonts w:eastAsia="Calibri" w:cs="Calibri"/>
                <w:b/>
                <w:color w:val="000000"/>
                <w:sz w:val="18"/>
              </w:rPr>
            </w:pPr>
            <w:r>
              <w:rPr>
                <w:rFonts w:eastAsia="Calibri" w:cs="Calibri"/>
                <w:b/>
                <w:color w:val="000000"/>
                <w:sz w:val="18"/>
              </w:rPr>
              <w:t>Current Liabilities</w:t>
            </w: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52</w:t>
            </w:r>
            <w:r w:rsidR="00904EBD">
              <w:rPr>
                <w:rFonts w:eastAsia="Calibri" w:cs="Calibri"/>
                <w:color w:val="000000"/>
                <w:sz w:val="18"/>
              </w:rPr>
              <w:t>,</w:t>
            </w:r>
            <w:r>
              <w:rPr>
                <w:rFonts w:eastAsia="Calibri" w:cs="Calibri"/>
                <w:color w:val="000000"/>
                <w:sz w:val="18"/>
              </w:rPr>
              <w:t>459</w:t>
            </w:r>
          </w:p>
        </w:tc>
        <w:tc>
          <w:tcPr>
            <w:tcW w:w="238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rPr>
                <w:rFonts w:eastAsia="Calibri" w:cs="Calibri"/>
                <w:color w:val="000000"/>
                <w:sz w:val="18"/>
              </w:rPr>
            </w:pPr>
            <w:r>
              <w:rPr>
                <w:rFonts w:eastAsia="Calibri" w:cs="Calibri"/>
                <w:color w:val="000000"/>
                <w:sz w:val="18"/>
              </w:rPr>
              <w:t>Payables</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90</w:t>
            </w:r>
            <w:r w:rsidR="00904EBD">
              <w:rPr>
                <w:rFonts w:eastAsia="Calibri" w:cs="Calibri"/>
                <w:color w:val="000000"/>
                <w:sz w:val="18"/>
              </w:rPr>
              <w:t>,</w:t>
            </w:r>
            <w:r>
              <w:rPr>
                <w:rFonts w:eastAsia="Calibri" w:cs="Calibri"/>
                <w:color w:val="000000"/>
                <w:sz w:val="18"/>
              </w:rPr>
              <w:t>804</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92</w:t>
            </w:r>
            <w:r w:rsidR="00904EBD">
              <w:rPr>
                <w:rFonts w:eastAsia="Calibri" w:cs="Calibri"/>
                <w:color w:val="000000"/>
                <w:sz w:val="18"/>
              </w:rPr>
              <w:t>,</w:t>
            </w:r>
            <w:r>
              <w:rPr>
                <w:rFonts w:eastAsia="Calibri" w:cs="Calibri"/>
                <w:color w:val="000000"/>
                <w:sz w:val="18"/>
              </w:rPr>
              <w:t>204</w:t>
            </w:r>
          </w:p>
        </w:tc>
        <w:tc>
          <w:tcPr>
            <w:tcW w:w="600"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2 </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93</w:t>
            </w:r>
            <w:r w:rsidR="00904EBD">
              <w:rPr>
                <w:rFonts w:eastAsia="Calibri" w:cs="Calibri"/>
                <w:color w:val="000000"/>
                <w:sz w:val="18"/>
              </w:rPr>
              <w:t>,</w:t>
            </w:r>
            <w:r>
              <w:rPr>
                <w:rFonts w:eastAsia="Calibri" w:cs="Calibri"/>
                <w:color w:val="000000"/>
                <w:sz w:val="18"/>
              </w:rPr>
              <w:t>604</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95</w:t>
            </w:r>
            <w:r w:rsidR="00904EBD">
              <w:rPr>
                <w:rFonts w:eastAsia="Calibri" w:cs="Calibri"/>
                <w:color w:val="000000"/>
                <w:sz w:val="18"/>
              </w:rPr>
              <w:t>,</w:t>
            </w:r>
            <w:r>
              <w:rPr>
                <w:rFonts w:eastAsia="Calibri" w:cs="Calibri"/>
                <w:color w:val="000000"/>
                <w:sz w:val="18"/>
              </w:rPr>
              <w:t>004</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96</w:t>
            </w:r>
            <w:r w:rsidR="00904EBD">
              <w:rPr>
                <w:rFonts w:eastAsia="Calibri" w:cs="Calibri"/>
                <w:color w:val="000000"/>
                <w:sz w:val="18"/>
              </w:rPr>
              <w:t>,</w:t>
            </w:r>
            <w:r>
              <w:rPr>
                <w:rFonts w:eastAsia="Calibri" w:cs="Calibri"/>
                <w:color w:val="000000"/>
                <w:sz w:val="18"/>
              </w:rPr>
              <w:t>404</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242</w:t>
            </w:r>
            <w:r w:rsidR="00904EBD">
              <w:rPr>
                <w:rFonts w:eastAsia="Calibri" w:cs="Calibri"/>
                <w:color w:val="000000"/>
                <w:sz w:val="18"/>
              </w:rPr>
              <w:t>,</w:t>
            </w:r>
            <w:r>
              <w:rPr>
                <w:rFonts w:eastAsia="Calibri" w:cs="Calibri"/>
                <w:color w:val="000000"/>
                <w:sz w:val="18"/>
              </w:rPr>
              <w:t>660</w:t>
            </w:r>
          </w:p>
        </w:tc>
        <w:tc>
          <w:tcPr>
            <w:tcW w:w="238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rPr>
                <w:rFonts w:eastAsia="Calibri" w:cs="Calibri"/>
                <w:color w:val="000000"/>
                <w:sz w:val="18"/>
              </w:rPr>
            </w:pPr>
            <w:r>
              <w:rPr>
                <w:rFonts w:eastAsia="Calibri" w:cs="Calibri"/>
                <w:color w:val="000000"/>
                <w:sz w:val="18"/>
              </w:rPr>
              <w:t>Employee Benefits</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242</w:t>
            </w:r>
            <w:r w:rsidR="00904EBD">
              <w:rPr>
                <w:rFonts w:eastAsia="Calibri" w:cs="Calibri"/>
                <w:color w:val="000000"/>
                <w:sz w:val="18"/>
              </w:rPr>
              <w:t>,</w:t>
            </w:r>
            <w:r>
              <w:rPr>
                <w:rFonts w:eastAsia="Calibri" w:cs="Calibri"/>
                <w:color w:val="000000"/>
                <w:sz w:val="18"/>
              </w:rPr>
              <w:t>899</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261</w:t>
            </w:r>
            <w:r w:rsidR="00904EBD">
              <w:rPr>
                <w:rFonts w:eastAsia="Calibri" w:cs="Calibri"/>
                <w:color w:val="000000"/>
                <w:sz w:val="18"/>
              </w:rPr>
              <w:t>,</w:t>
            </w:r>
            <w:r>
              <w:rPr>
                <w:rFonts w:eastAsia="Calibri" w:cs="Calibri"/>
                <w:color w:val="000000"/>
                <w:sz w:val="18"/>
              </w:rPr>
              <w:t>126</w:t>
            </w:r>
          </w:p>
        </w:tc>
        <w:tc>
          <w:tcPr>
            <w:tcW w:w="600"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8 </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279</w:t>
            </w:r>
            <w:r w:rsidR="00904EBD">
              <w:rPr>
                <w:rFonts w:eastAsia="Calibri" w:cs="Calibri"/>
                <w:color w:val="000000"/>
                <w:sz w:val="18"/>
              </w:rPr>
              <w:t>,</w:t>
            </w:r>
            <w:r>
              <w:rPr>
                <w:rFonts w:eastAsia="Calibri" w:cs="Calibri"/>
                <w:color w:val="000000"/>
                <w:sz w:val="18"/>
              </w:rPr>
              <w:t>815</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299</w:t>
            </w:r>
            <w:r w:rsidR="00904EBD">
              <w:rPr>
                <w:rFonts w:eastAsia="Calibri" w:cs="Calibri"/>
                <w:color w:val="000000"/>
                <w:sz w:val="18"/>
              </w:rPr>
              <w:t>,</w:t>
            </w:r>
            <w:r>
              <w:rPr>
                <w:rFonts w:eastAsia="Calibri" w:cs="Calibri"/>
                <w:color w:val="000000"/>
                <w:sz w:val="18"/>
              </w:rPr>
              <w:t>265</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319</w:t>
            </w:r>
            <w:r w:rsidR="00904EBD">
              <w:rPr>
                <w:rFonts w:eastAsia="Calibri" w:cs="Calibri"/>
                <w:color w:val="000000"/>
                <w:sz w:val="18"/>
              </w:rPr>
              <w:t>,</w:t>
            </w:r>
            <w:r>
              <w:rPr>
                <w:rFonts w:eastAsia="Calibri" w:cs="Calibri"/>
                <w:color w:val="000000"/>
                <w:sz w:val="18"/>
              </w:rPr>
              <w:t>266</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652</w:t>
            </w:r>
          </w:p>
        </w:tc>
        <w:tc>
          <w:tcPr>
            <w:tcW w:w="238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rPr>
                <w:rFonts w:eastAsia="Calibri" w:cs="Calibri"/>
                <w:color w:val="000000"/>
                <w:sz w:val="18"/>
              </w:rPr>
            </w:pPr>
            <w:r>
              <w:rPr>
                <w:rFonts w:eastAsia="Calibri" w:cs="Calibri"/>
                <w:color w:val="000000"/>
                <w:sz w:val="18"/>
              </w:rPr>
              <w:t>Other Liabilities</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7</w:t>
            </w:r>
            <w:r w:rsidR="00904EBD">
              <w:rPr>
                <w:rFonts w:eastAsia="Calibri" w:cs="Calibri"/>
                <w:color w:val="000000"/>
                <w:sz w:val="18"/>
              </w:rPr>
              <w:t>,</w:t>
            </w:r>
            <w:r>
              <w:rPr>
                <w:rFonts w:eastAsia="Calibri" w:cs="Calibri"/>
                <w:color w:val="000000"/>
                <w:sz w:val="18"/>
              </w:rPr>
              <w:t>163</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7</w:t>
            </w:r>
            <w:r w:rsidR="00904EBD">
              <w:rPr>
                <w:rFonts w:eastAsia="Calibri" w:cs="Calibri"/>
                <w:color w:val="000000"/>
                <w:sz w:val="18"/>
              </w:rPr>
              <w:t>,</w:t>
            </w:r>
            <w:r>
              <w:rPr>
                <w:rFonts w:eastAsia="Calibri" w:cs="Calibri"/>
                <w:color w:val="000000"/>
                <w:sz w:val="18"/>
              </w:rPr>
              <w:t>363</w:t>
            </w:r>
          </w:p>
        </w:tc>
        <w:tc>
          <w:tcPr>
            <w:tcW w:w="600"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3 </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8</w:t>
            </w:r>
            <w:r w:rsidR="00904EBD">
              <w:rPr>
                <w:rFonts w:eastAsia="Calibri" w:cs="Calibri"/>
                <w:color w:val="000000"/>
                <w:sz w:val="18"/>
              </w:rPr>
              <w:t>,</w:t>
            </w:r>
            <w:r>
              <w:rPr>
                <w:rFonts w:eastAsia="Calibri" w:cs="Calibri"/>
                <w:color w:val="000000"/>
                <w:sz w:val="18"/>
              </w:rPr>
              <w:t>102</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8</w:t>
            </w:r>
            <w:r w:rsidR="00904EBD">
              <w:rPr>
                <w:rFonts w:eastAsia="Calibri" w:cs="Calibri"/>
                <w:color w:val="000000"/>
                <w:sz w:val="18"/>
              </w:rPr>
              <w:t>,</w:t>
            </w:r>
            <w:r>
              <w:rPr>
                <w:rFonts w:eastAsia="Calibri" w:cs="Calibri"/>
                <w:color w:val="000000"/>
                <w:sz w:val="18"/>
              </w:rPr>
              <w:t>841</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9</w:t>
            </w:r>
            <w:r w:rsidR="00904EBD">
              <w:rPr>
                <w:rFonts w:eastAsia="Calibri" w:cs="Calibri"/>
                <w:color w:val="000000"/>
                <w:sz w:val="18"/>
              </w:rPr>
              <w:t>,</w:t>
            </w:r>
            <w:r>
              <w:rPr>
                <w:rFonts w:eastAsia="Calibri" w:cs="Calibri"/>
                <w:color w:val="000000"/>
                <w:sz w:val="18"/>
              </w:rPr>
              <w:t>041</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295</w:t>
            </w:r>
            <w:r w:rsidR="00904EBD">
              <w:rPr>
                <w:rFonts w:eastAsia="Calibri" w:cs="Calibri"/>
                <w:b/>
                <w:color w:val="000000"/>
                <w:sz w:val="18"/>
              </w:rPr>
              <w:t>,</w:t>
            </w:r>
            <w:r>
              <w:rPr>
                <w:rFonts w:eastAsia="Calibri" w:cs="Calibri"/>
                <w:b/>
                <w:color w:val="000000"/>
                <w:sz w:val="18"/>
              </w:rPr>
              <w:t>771</w:t>
            </w:r>
          </w:p>
        </w:tc>
        <w:tc>
          <w:tcPr>
            <w:tcW w:w="238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rPr>
                <w:rFonts w:eastAsia="Calibri" w:cs="Calibri"/>
                <w:b/>
                <w:color w:val="000000"/>
                <w:sz w:val="18"/>
              </w:rPr>
            </w:pPr>
            <w:r>
              <w:rPr>
                <w:rFonts w:eastAsia="Calibri" w:cs="Calibri"/>
                <w:b/>
                <w:color w:val="000000"/>
                <w:sz w:val="18"/>
              </w:rPr>
              <w:t>Total Current Liabilities</w:t>
            </w:r>
          </w:p>
        </w:tc>
        <w:tc>
          <w:tcPr>
            <w:tcW w:w="103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340</w:t>
            </w:r>
            <w:r w:rsidR="00904EBD">
              <w:rPr>
                <w:rFonts w:eastAsia="Calibri" w:cs="Calibri"/>
                <w:b/>
                <w:color w:val="000000"/>
                <w:sz w:val="18"/>
              </w:rPr>
              <w:t>,</w:t>
            </w:r>
            <w:r>
              <w:rPr>
                <w:rFonts w:eastAsia="Calibri" w:cs="Calibri"/>
                <w:b/>
                <w:color w:val="000000"/>
                <w:sz w:val="18"/>
              </w:rPr>
              <w:t>866</w:t>
            </w:r>
          </w:p>
        </w:tc>
        <w:tc>
          <w:tcPr>
            <w:tcW w:w="103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360</w:t>
            </w:r>
            <w:r w:rsidR="00904EBD">
              <w:rPr>
                <w:rFonts w:eastAsia="Calibri" w:cs="Calibri"/>
                <w:b/>
                <w:color w:val="000000"/>
                <w:sz w:val="18"/>
              </w:rPr>
              <w:t>,</w:t>
            </w:r>
            <w:r>
              <w:rPr>
                <w:rFonts w:eastAsia="Calibri" w:cs="Calibri"/>
                <w:b/>
                <w:color w:val="000000"/>
                <w:sz w:val="18"/>
              </w:rPr>
              <w:t>693</w:t>
            </w:r>
          </w:p>
        </w:tc>
        <w:tc>
          <w:tcPr>
            <w:tcW w:w="600"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6 </w:t>
            </w:r>
          </w:p>
        </w:tc>
        <w:tc>
          <w:tcPr>
            <w:tcW w:w="103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381</w:t>
            </w:r>
            <w:r w:rsidR="00904EBD">
              <w:rPr>
                <w:rFonts w:eastAsia="Calibri" w:cs="Calibri"/>
                <w:b/>
                <w:color w:val="000000"/>
                <w:sz w:val="18"/>
              </w:rPr>
              <w:t>,</w:t>
            </w:r>
            <w:r>
              <w:rPr>
                <w:rFonts w:eastAsia="Calibri" w:cs="Calibri"/>
                <w:b/>
                <w:color w:val="000000"/>
                <w:sz w:val="18"/>
              </w:rPr>
              <w:t>521</w:t>
            </w:r>
          </w:p>
        </w:tc>
        <w:tc>
          <w:tcPr>
            <w:tcW w:w="103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403</w:t>
            </w:r>
            <w:r w:rsidR="00904EBD">
              <w:rPr>
                <w:rFonts w:eastAsia="Calibri" w:cs="Calibri"/>
                <w:b/>
                <w:color w:val="000000"/>
                <w:sz w:val="18"/>
              </w:rPr>
              <w:t>,</w:t>
            </w:r>
            <w:r>
              <w:rPr>
                <w:rFonts w:eastAsia="Calibri" w:cs="Calibri"/>
                <w:b/>
                <w:color w:val="000000"/>
                <w:sz w:val="18"/>
              </w:rPr>
              <w:t>110</w:t>
            </w:r>
          </w:p>
        </w:tc>
        <w:tc>
          <w:tcPr>
            <w:tcW w:w="103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424</w:t>
            </w:r>
            <w:r w:rsidR="00904EBD">
              <w:rPr>
                <w:rFonts w:eastAsia="Calibri" w:cs="Calibri"/>
                <w:b/>
                <w:color w:val="000000"/>
                <w:sz w:val="18"/>
              </w:rPr>
              <w:t>,</w:t>
            </w:r>
            <w:r>
              <w:rPr>
                <w:rFonts w:eastAsia="Calibri" w:cs="Calibri"/>
                <w:b/>
                <w:color w:val="000000"/>
                <w:sz w:val="18"/>
              </w:rPr>
              <w:t>711</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rPr>
                <w:rFonts w:eastAsia="Calibri" w:cs="Calibri"/>
                <w:b/>
                <w:color w:val="000000"/>
                <w:sz w:val="18"/>
              </w:rPr>
            </w:pPr>
            <w:proofErr w:type="spellStart"/>
            <w:r>
              <w:rPr>
                <w:rFonts w:eastAsia="Calibri" w:cs="Calibri"/>
                <w:b/>
                <w:color w:val="000000"/>
                <w:sz w:val="18"/>
              </w:rPr>
              <w:t>Non Current</w:t>
            </w:r>
            <w:proofErr w:type="spellEnd"/>
            <w:r>
              <w:rPr>
                <w:rFonts w:eastAsia="Calibri" w:cs="Calibri"/>
                <w:b/>
                <w:color w:val="000000"/>
                <w:sz w:val="18"/>
              </w:rPr>
              <w:t xml:space="preserve"> Liabilities</w:t>
            </w: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18</w:t>
            </w:r>
            <w:r w:rsidR="00904EBD">
              <w:rPr>
                <w:rFonts w:eastAsia="Calibri" w:cs="Calibri"/>
                <w:color w:val="000000"/>
                <w:sz w:val="18"/>
              </w:rPr>
              <w:t>,</w:t>
            </w:r>
            <w:r>
              <w:rPr>
                <w:rFonts w:eastAsia="Calibri" w:cs="Calibri"/>
                <w:color w:val="000000"/>
                <w:sz w:val="18"/>
              </w:rPr>
              <w:t>922</w:t>
            </w:r>
          </w:p>
        </w:tc>
        <w:tc>
          <w:tcPr>
            <w:tcW w:w="238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rPr>
                <w:rFonts w:eastAsia="Calibri" w:cs="Calibri"/>
                <w:color w:val="000000"/>
                <w:sz w:val="18"/>
              </w:rPr>
            </w:pPr>
            <w:r>
              <w:rPr>
                <w:rFonts w:eastAsia="Calibri" w:cs="Calibri"/>
                <w:color w:val="000000"/>
                <w:sz w:val="18"/>
              </w:rPr>
              <w:t>Employee Benefits</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17</w:t>
            </w:r>
            <w:r w:rsidR="00904EBD">
              <w:rPr>
                <w:rFonts w:eastAsia="Calibri" w:cs="Calibri"/>
                <w:color w:val="000000"/>
                <w:sz w:val="18"/>
              </w:rPr>
              <w:t>,</w:t>
            </w:r>
            <w:r>
              <w:rPr>
                <w:rFonts w:eastAsia="Calibri" w:cs="Calibri"/>
                <w:color w:val="000000"/>
                <w:sz w:val="18"/>
              </w:rPr>
              <w:t>643</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19</w:t>
            </w:r>
            <w:r w:rsidR="00904EBD">
              <w:rPr>
                <w:rFonts w:eastAsia="Calibri" w:cs="Calibri"/>
                <w:color w:val="000000"/>
                <w:sz w:val="18"/>
              </w:rPr>
              <w:t>,</w:t>
            </w:r>
            <w:r>
              <w:rPr>
                <w:rFonts w:eastAsia="Calibri" w:cs="Calibri"/>
                <w:color w:val="000000"/>
                <w:sz w:val="18"/>
              </w:rPr>
              <w:t>372</w:t>
            </w:r>
          </w:p>
        </w:tc>
        <w:tc>
          <w:tcPr>
            <w:tcW w:w="600"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10 </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21</w:t>
            </w:r>
            <w:r w:rsidR="00904EBD">
              <w:rPr>
                <w:rFonts w:eastAsia="Calibri" w:cs="Calibri"/>
                <w:color w:val="000000"/>
                <w:sz w:val="18"/>
              </w:rPr>
              <w:t>,</w:t>
            </w:r>
            <w:r>
              <w:rPr>
                <w:rFonts w:eastAsia="Calibri" w:cs="Calibri"/>
                <w:color w:val="000000"/>
                <w:sz w:val="18"/>
              </w:rPr>
              <w:t>286</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23</w:t>
            </w:r>
            <w:r w:rsidR="00904EBD">
              <w:rPr>
                <w:rFonts w:eastAsia="Calibri" w:cs="Calibri"/>
                <w:color w:val="000000"/>
                <w:sz w:val="18"/>
              </w:rPr>
              <w:t>,</w:t>
            </w:r>
            <w:r>
              <w:rPr>
                <w:rFonts w:eastAsia="Calibri" w:cs="Calibri"/>
                <w:color w:val="000000"/>
                <w:sz w:val="18"/>
              </w:rPr>
              <w:t>250</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25</w:t>
            </w:r>
            <w:r w:rsidR="00904EBD">
              <w:rPr>
                <w:rFonts w:eastAsia="Calibri" w:cs="Calibri"/>
                <w:color w:val="000000"/>
                <w:sz w:val="18"/>
              </w:rPr>
              <w:t>,</w:t>
            </w:r>
            <w:r>
              <w:rPr>
                <w:rFonts w:eastAsia="Calibri" w:cs="Calibri"/>
                <w:color w:val="000000"/>
                <w:sz w:val="18"/>
              </w:rPr>
              <w:t>248</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rPr>
                <w:rFonts w:eastAsia="Calibri" w:cs="Calibri"/>
                <w:color w:val="000000"/>
                <w:sz w:val="18"/>
              </w:rPr>
            </w:pPr>
            <w:r>
              <w:rPr>
                <w:rFonts w:eastAsia="Calibri" w:cs="Calibri"/>
                <w:color w:val="000000"/>
                <w:sz w:val="18"/>
              </w:rPr>
              <w:t>Other Provisions</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462</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462</w:t>
            </w:r>
          </w:p>
        </w:tc>
        <w:tc>
          <w:tcPr>
            <w:tcW w:w="600"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462</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462</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462</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4</w:t>
            </w:r>
            <w:r w:rsidR="00904EBD">
              <w:rPr>
                <w:rFonts w:eastAsia="Calibri" w:cs="Calibri"/>
                <w:color w:val="000000"/>
                <w:sz w:val="18"/>
              </w:rPr>
              <w:t>,</w:t>
            </w:r>
            <w:r>
              <w:rPr>
                <w:rFonts w:eastAsia="Calibri" w:cs="Calibri"/>
                <w:color w:val="000000"/>
                <w:sz w:val="18"/>
              </w:rPr>
              <w:t>733</w:t>
            </w:r>
          </w:p>
        </w:tc>
        <w:tc>
          <w:tcPr>
            <w:tcW w:w="238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rPr>
                <w:rFonts w:eastAsia="Calibri" w:cs="Calibri"/>
                <w:color w:val="000000"/>
                <w:sz w:val="18"/>
              </w:rPr>
            </w:pPr>
            <w:r>
              <w:rPr>
                <w:rFonts w:eastAsia="Calibri" w:cs="Calibri"/>
                <w:color w:val="000000"/>
                <w:sz w:val="18"/>
              </w:rPr>
              <w:t>Other Liabilities</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22</w:t>
            </w:r>
            <w:r w:rsidR="00904EBD">
              <w:rPr>
                <w:rFonts w:eastAsia="Calibri" w:cs="Calibri"/>
                <w:color w:val="000000"/>
                <w:sz w:val="18"/>
              </w:rPr>
              <w:t>,</w:t>
            </w:r>
            <w:r>
              <w:rPr>
                <w:rFonts w:eastAsia="Calibri" w:cs="Calibri"/>
                <w:color w:val="000000"/>
                <w:sz w:val="18"/>
              </w:rPr>
              <w:t>272</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22</w:t>
            </w:r>
            <w:r w:rsidR="00904EBD">
              <w:rPr>
                <w:rFonts w:eastAsia="Calibri" w:cs="Calibri"/>
                <w:color w:val="000000"/>
                <w:sz w:val="18"/>
              </w:rPr>
              <w:t>,</w:t>
            </w:r>
            <w:r>
              <w:rPr>
                <w:rFonts w:eastAsia="Calibri" w:cs="Calibri"/>
                <w:color w:val="000000"/>
                <w:sz w:val="18"/>
              </w:rPr>
              <w:t>272</w:t>
            </w:r>
          </w:p>
        </w:tc>
        <w:tc>
          <w:tcPr>
            <w:tcW w:w="600"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21</w:t>
            </w:r>
            <w:r w:rsidR="00904EBD">
              <w:rPr>
                <w:rFonts w:eastAsia="Calibri" w:cs="Calibri"/>
                <w:color w:val="000000"/>
                <w:sz w:val="18"/>
              </w:rPr>
              <w:t>,</w:t>
            </w:r>
            <w:r>
              <w:rPr>
                <w:rFonts w:eastAsia="Calibri" w:cs="Calibri"/>
                <w:color w:val="000000"/>
                <w:sz w:val="18"/>
              </w:rPr>
              <w:t>733</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21</w:t>
            </w:r>
            <w:r w:rsidR="00904EBD">
              <w:rPr>
                <w:rFonts w:eastAsia="Calibri" w:cs="Calibri"/>
                <w:color w:val="000000"/>
                <w:sz w:val="18"/>
              </w:rPr>
              <w:t>,</w:t>
            </w:r>
            <w:r>
              <w:rPr>
                <w:rFonts w:eastAsia="Calibri" w:cs="Calibri"/>
                <w:color w:val="000000"/>
                <w:sz w:val="18"/>
              </w:rPr>
              <w:t>194</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21</w:t>
            </w:r>
            <w:r w:rsidR="00904EBD">
              <w:rPr>
                <w:rFonts w:eastAsia="Calibri" w:cs="Calibri"/>
                <w:color w:val="000000"/>
                <w:sz w:val="18"/>
              </w:rPr>
              <w:t>,</w:t>
            </w:r>
            <w:r>
              <w:rPr>
                <w:rFonts w:eastAsia="Calibri" w:cs="Calibri"/>
                <w:color w:val="000000"/>
                <w:sz w:val="18"/>
              </w:rPr>
              <w:t>194</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23</w:t>
            </w:r>
            <w:r w:rsidR="00904EBD">
              <w:rPr>
                <w:rFonts w:eastAsia="Calibri" w:cs="Calibri"/>
                <w:b/>
                <w:color w:val="000000"/>
                <w:sz w:val="18"/>
              </w:rPr>
              <w:t>,</w:t>
            </w:r>
            <w:r>
              <w:rPr>
                <w:rFonts w:eastAsia="Calibri" w:cs="Calibri"/>
                <w:b/>
                <w:color w:val="000000"/>
                <w:sz w:val="18"/>
              </w:rPr>
              <w:t>655</w:t>
            </w:r>
          </w:p>
        </w:tc>
        <w:tc>
          <w:tcPr>
            <w:tcW w:w="238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rPr>
                <w:rFonts w:eastAsia="Calibri" w:cs="Calibri"/>
                <w:b/>
                <w:color w:val="000000"/>
                <w:sz w:val="18"/>
              </w:rPr>
            </w:pPr>
            <w:r>
              <w:rPr>
                <w:rFonts w:eastAsia="Calibri" w:cs="Calibri"/>
                <w:b/>
                <w:color w:val="000000"/>
                <w:sz w:val="18"/>
              </w:rPr>
              <w:t xml:space="preserve">Total </w:t>
            </w:r>
            <w:proofErr w:type="spellStart"/>
            <w:r>
              <w:rPr>
                <w:rFonts w:eastAsia="Calibri" w:cs="Calibri"/>
                <w:b/>
                <w:color w:val="000000"/>
                <w:sz w:val="18"/>
              </w:rPr>
              <w:t>Non Current</w:t>
            </w:r>
            <w:proofErr w:type="spellEnd"/>
            <w:r>
              <w:rPr>
                <w:rFonts w:eastAsia="Calibri" w:cs="Calibri"/>
                <w:b/>
                <w:color w:val="000000"/>
                <w:sz w:val="18"/>
              </w:rPr>
              <w:t xml:space="preserve"> Liabilities</w:t>
            </w:r>
          </w:p>
        </w:tc>
        <w:tc>
          <w:tcPr>
            <w:tcW w:w="103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41</w:t>
            </w:r>
            <w:r w:rsidR="00904EBD">
              <w:rPr>
                <w:rFonts w:eastAsia="Calibri" w:cs="Calibri"/>
                <w:b/>
                <w:color w:val="000000"/>
                <w:sz w:val="18"/>
              </w:rPr>
              <w:t>,</w:t>
            </w:r>
            <w:r>
              <w:rPr>
                <w:rFonts w:eastAsia="Calibri" w:cs="Calibri"/>
                <w:b/>
                <w:color w:val="000000"/>
                <w:sz w:val="18"/>
              </w:rPr>
              <w:t>377</w:t>
            </w:r>
          </w:p>
        </w:tc>
        <w:tc>
          <w:tcPr>
            <w:tcW w:w="103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43</w:t>
            </w:r>
            <w:r w:rsidR="00904EBD">
              <w:rPr>
                <w:rFonts w:eastAsia="Calibri" w:cs="Calibri"/>
                <w:b/>
                <w:color w:val="000000"/>
                <w:sz w:val="18"/>
              </w:rPr>
              <w:t>,</w:t>
            </w:r>
            <w:r>
              <w:rPr>
                <w:rFonts w:eastAsia="Calibri" w:cs="Calibri"/>
                <w:b/>
                <w:color w:val="000000"/>
                <w:sz w:val="18"/>
              </w:rPr>
              <w:t>106</w:t>
            </w:r>
          </w:p>
        </w:tc>
        <w:tc>
          <w:tcPr>
            <w:tcW w:w="600"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4 </w:t>
            </w:r>
          </w:p>
        </w:tc>
        <w:tc>
          <w:tcPr>
            <w:tcW w:w="103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44</w:t>
            </w:r>
            <w:r w:rsidR="00904EBD">
              <w:rPr>
                <w:rFonts w:eastAsia="Calibri" w:cs="Calibri"/>
                <w:b/>
                <w:color w:val="000000"/>
                <w:sz w:val="18"/>
              </w:rPr>
              <w:t>,</w:t>
            </w:r>
            <w:r>
              <w:rPr>
                <w:rFonts w:eastAsia="Calibri" w:cs="Calibri"/>
                <w:b/>
                <w:color w:val="000000"/>
                <w:sz w:val="18"/>
              </w:rPr>
              <w:t>481</w:t>
            </w:r>
          </w:p>
        </w:tc>
        <w:tc>
          <w:tcPr>
            <w:tcW w:w="103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45</w:t>
            </w:r>
            <w:r w:rsidR="00904EBD">
              <w:rPr>
                <w:rFonts w:eastAsia="Calibri" w:cs="Calibri"/>
                <w:b/>
                <w:color w:val="000000"/>
                <w:sz w:val="18"/>
              </w:rPr>
              <w:t>,</w:t>
            </w:r>
            <w:r>
              <w:rPr>
                <w:rFonts w:eastAsia="Calibri" w:cs="Calibri"/>
                <w:b/>
                <w:color w:val="000000"/>
                <w:sz w:val="18"/>
              </w:rPr>
              <w:t>906</w:t>
            </w:r>
          </w:p>
        </w:tc>
        <w:tc>
          <w:tcPr>
            <w:tcW w:w="103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47</w:t>
            </w:r>
            <w:r w:rsidR="00904EBD">
              <w:rPr>
                <w:rFonts w:eastAsia="Calibri" w:cs="Calibri"/>
                <w:b/>
                <w:color w:val="000000"/>
                <w:sz w:val="18"/>
              </w:rPr>
              <w:t>,</w:t>
            </w:r>
            <w:r>
              <w:rPr>
                <w:rFonts w:eastAsia="Calibri" w:cs="Calibri"/>
                <w:b/>
                <w:color w:val="000000"/>
                <w:sz w:val="18"/>
              </w:rPr>
              <w:t>904</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319</w:t>
            </w:r>
            <w:r w:rsidR="00904EBD">
              <w:rPr>
                <w:rFonts w:eastAsia="Calibri" w:cs="Calibri"/>
                <w:b/>
                <w:color w:val="000000"/>
                <w:sz w:val="18"/>
              </w:rPr>
              <w:t>,</w:t>
            </w:r>
            <w:r>
              <w:rPr>
                <w:rFonts w:eastAsia="Calibri" w:cs="Calibri"/>
                <w:b/>
                <w:color w:val="000000"/>
                <w:sz w:val="18"/>
              </w:rPr>
              <w:t>426</w:t>
            </w:r>
          </w:p>
        </w:tc>
        <w:tc>
          <w:tcPr>
            <w:tcW w:w="238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rPr>
                <w:rFonts w:eastAsia="Calibri" w:cs="Calibri"/>
                <w:b/>
                <w:color w:val="000000"/>
                <w:sz w:val="18"/>
              </w:rPr>
            </w:pPr>
            <w:r>
              <w:rPr>
                <w:rFonts w:eastAsia="Calibri" w:cs="Calibri"/>
                <w:b/>
                <w:color w:val="000000"/>
                <w:sz w:val="18"/>
              </w:rPr>
              <w:t>TOTAL LIABILITIES</w:t>
            </w:r>
          </w:p>
        </w:tc>
        <w:tc>
          <w:tcPr>
            <w:tcW w:w="103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382</w:t>
            </w:r>
            <w:r w:rsidR="00904EBD">
              <w:rPr>
                <w:rFonts w:eastAsia="Calibri" w:cs="Calibri"/>
                <w:b/>
                <w:color w:val="000000"/>
                <w:sz w:val="18"/>
              </w:rPr>
              <w:t>,</w:t>
            </w:r>
            <w:r>
              <w:rPr>
                <w:rFonts w:eastAsia="Calibri" w:cs="Calibri"/>
                <w:b/>
                <w:color w:val="000000"/>
                <w:sz w:val="18"/>
              </w:rPr>
              <w:t>243</w:t>
            </w:r>
          </w:p>
        </w:tc>
        <w:tc>
          <w:tcPr>
            <w:tcW w:w="103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403</w:t>
            </w:r>
            <w:r w:rsidR="00904EBD">
              <w:rPr>
                <w:rFonts w:eastAsia="Calibri" w:cs="Calibri"/>
                <w:b/>
                <w:color w:val="000000"/>
                <w:sz w:val="18"/>
              </w:rPr>
              <w:t>,</w:t>
            </w:r>
            <w:r>
              <w:rPr>
                <w:rFonts w:eastAsia="Calibri" w:cs="Calibri"/>
                <w:b/>
                <w:color w:val="000000"/>
                <w:sz w:val="18"/>
              </w:rPr>
              <w:t>799</w:t>
            </w:r>
          </w:p>
        </w:tc>
        <w:tc>
          <w:tcPr>
            <w:tcW w:w="600"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6 </w:t>
            </w:r>
          </w:p>
        </w:tc>
        <w:tc>
          <w:tcPr>
            <w:tcW w:w="103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426</w:t>
            </w:r>
            <w:r w:rsidR="00904EBD">
              <w:rPr>
                <w:rFonts w:eastAsia="Calibri" w:cs="Calibri"/>
                <w:b/>
                <w:color w:val="000000"/>
                <w:sz w:val="18"/>
              </w:rPr>
              <w:t>,</w:t>
            </w:r>
            <w:r>
              <w:rPr>
                <w:rFonts w:eastAsia="Calibri" w:cs="Calibri"/>
                <w:b/>
                <w:color w:val="000000"/>
                <w:sz w:val="18"/>
              </w:rPr>
              <w:t>002</w:t>
            </w:r>
          </w:p>
        </w:tc>
        <w:tc>
          <w:tcPr>
            <w:tcW w:w="103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449</w:t>
            </w:r>
            <w:r w:rsidR="00904EBD">
              <w:rPr>
                <w:rFonts w:eastAsia="Calibri" w:cs="Calibri"/>
                <w:b/>
                <w:color w:val="000000"/>
                <w:sz w:val="18"/>
              </w:rPr>
              <w:t>,</w:t>
            </w:r>
            <w:r>
              <w:rPr>
                <w:rFonts w:eastAsia="Calibri" w:cs="Calibri"/>
                <w:b/>
                <w:color w:val="000000"/>
                <w:sz w:val="18"/>
              </w:rPr>
              <w:t>016</w:t>
            </w:r>
          </w:p>
        </w:tc>
        <w:tc>
          <w:tcPr>
            <w:tcW w:w="103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472</w:t>
            </w:r>
            <w:r w:rsidR="00904EBD">
              <w:rPr>
                <w:rFonts w:eastAsia="Calibri" w:cs="Calibri"/>
                <w:b/>
                <w:color w:val="000000"/>
                <w:sz w:val="18"/>
              </w:rPr>
              <w:t>,</w:t>
            </w:r>
            <w:r>
              <w:rPr>
                <w:rFonts w:eastAsia="Calibri" w:cs="Calibri"/>
                <w:b/>
                <w:color w:val="000000"/>
                <w:sz w:val="18"/>
              </w:rPr>
              <w:t>615</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230</w:t>
            </w:r>
            <w:r w:rsidR="00904EBD">
              <w:rPr>
                <w:rFonts w:eastAsia="Calibri" w:cs="Calibri"/>
                <w:b/>
                <w:color w:val="000000"/>
                <w:sz w:val="18"/>
              </w:rPr>
              <w:t>,</w:t>
            </w:r>
            <w:r>
              <w:rPr>
                <w:rFonts w:eastAsia="Calibri" w:cs="Calibri"/>
                <w:b/>
                <w:color w:val="000000"/>
                <w:sz w:val="18"/>
              </w:rPr>
              <w:t>358</w:t>
            </w:r>
          </w:p>
        </w:tc>
        <w:tc>
          <w:tcPr>
            <w:tcW w:w="238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rPr>
                <w:rFonts w:eastAsia="Calibri" w:cs="Calibri"/>
                <w:b/>
                <w:color w:val="000000"/>
                <w:sz w:val="18"/>
              </w:rPr>
            </w:pPr>
            <w:r>
              <w:rPr>
                <w:rFonts w:eastAsia="Calibri" w:cs="Calibri"/>
                <w:b/>
                <w:color w:val="000000"/>
                <w:sz w:val="18"/>
              </w:rPr>
              <w:t>NET ASSETS</w:t>
            </w:r>
          </w:p>
        </w:tc>
        <w:tc>
          <w:tcPr>
            <w:tcW w:w="103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100</w:t>
            </w:r>
            <w:r w:rsidR="00904EBD">
              <w:rPr>
                <w:rFonts w:eastAsia="Calibri" w:cs="Calibri"/>
                <w:b/>
                <w:color w:val="000000"/>
                <w:sz w:val="18"/>
              </w:rPr>
              <w:t>,</w:t>
            </w:r>
            <w:r>
              <w:rPr>
                <w:rFonts w:eastAsia="Calibri" w:cs="Calibri"/>
                <w:b/>
                <w:color w:val="000000"/>
                <w:sz w:val="18"/>
              </w:rPr>
              <w:t>294</w:t>
            </w:r>
          </w:p>
        </w:tc>
        <w:tc>
          <w:tcPr>
            <w:tcW w:w="103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163</w:t>
            </w:r>
            <w:r w:rsidR="00904EBD">
              <w:rPr>
                <w:rFonts w:eastAsia="Calibri" w:cs="Calibri"/>
                <w:b/>
                <w:color w:val="000000"/>
                <w:sz w:val="18"/>
              </w:rPr>
              <w:t>,</w:t>
            </w:r>
            <w:r>
              <w:rPr>
                <w:rFonts w:eastAsia="Calibri" w:cs="Calibri"/>
                <w:b/>
                <w:color w:val="000000"/>
                <w:sz w:val="18"/>
              </w:rPr>
              <w:t>302</w:t>
            </w:r>
          </w:p>
        </w:tc>
        <w:tc>
          <w:tcPr>
            <w:tcW w:w="600"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6 </w:t>
            </w:r>
          </w:p>
        </w:tc>
        <w:tc>
          <w:tcPr>
            <w:tcW w:w="103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202</w:t>
            </w:r>
            <w:r w:rsidR="00904EBD">
              <w:rPr>
                <w:rFonts w:eastAsia="Calibri" w:cs="Calibri"/>
                <w:b/>
                <w:color w:val="000000"/>
                <w:sz w:val="18"/>
              </w:rPr>
              <w:t>,</w:t>
            </w:r>
            <w:r>
              <w:rPr>
                <w:rFonts w:eastAsia="Calibri" w:cs="Calibri"/>
                <w:b/>
                <w:color w:val="000000"/>
                <w:sz w:val="18"/>
              </w:rPr>
              <w:t>133</w:t>
            </w:r>
          </w:p>
        </w:tc>
        <w:tc>
          <w:tcPr>
            <w:tcW w:w="103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140</w:t>
            </w:r>
            <w:r w:rsidR="00904EBD">
              <w:rPr>
                <w:rFonts w:eastAsia="Calibri" w:cs="Calibri"/>
                <w:b/>
                <w:color w:val="000000"/>
                <w:sz w:val="18"/>
              </w:rPr>
              <w:t>,</w:t>
            </w:r>
            <w:r>
              <w:rPr>
                <w:rFonts w:eastAsia="Calibri" w:cs="Calibri"/>
                <w:b/>
                <w:color w:val="000000"/>
                <w:sz w:val="18"/>
              </w:rPr>
              <w:t>096</w:t>
            </w:r>
          </w:p>
        </w:tc>
        <w:tc>
          <w:tcPr>
            <w:tcW w:w="103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078</w:t>
            </w:r>
            <w:r w:rsidR="00904EBD">
              <w:rPr>
                <w:rFonts w:eastAsia="Calibri" w:cs="Calibri"/>
                <w:b/>
                <w:color w:val="000000"/>
                <w:sz w:val="18"/>
              </w:rPr>
              <w:t>,</w:t>
            </w:r>
            <w:r>
              <w:rPr>
                <w:rFonts w:eastAsia="Calibri" w:cs="Calibri"/>
                <w:b/>
                <w:color w:val="000000"/>
                <w:sz w:val="18"/>
              </w:rPr>
              <w:t>466</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099</w:t>
            </w:r>
            <w:r w:rsidR="00904EBD">
              <w:rPr>
                <w:rFonts w:eastAsia="Calibri" w:cs="Calibri"/>
                <w:color w:val="000000"/>
                <w:sz w:val="18"/>
              </w:rPr>
              <w:t>,</w:t>
            </w:r>
            <w:r>
              <w:rPr>
                <w:rFonts w:eastAsia="Calibri" w:cs="Calibri"/>
                <w:color w:val="000000"/>
                <w:sz w:val="18"/>
              </w:rPr>
              <w:t>327</w:t>
            </w:r>
          </w:p>
        </w:tc>
        <w:tc>
          <w:tcPr>
            <w:tcW w:w="238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rPr>
                <w:rFonts w:eastAsia="Calibri" w:cs="Calibri"/>
                <w:color w:val="000000"/>
                <w:sz w:val="18"/>
              </w:rPr>
            </w:pPr>
            <w:r>
              <w:rPr>
                <w:rFonts w:eastAsia="Calibri" w:cs="Calibri"/>
                <w:color w:val="000000"/>
                <w:sz w:val="18"/>
              </w:rPr>
              <w:t>Accumulated Funds</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967</w:t>
            </w:r>
            <w:r w:rsidR="00904EBD">
              <w:rPr>
                <w:rFonts w:eastAsia="Calibri" w:cs="Calibri"/>
                <w:color w:val="000000"/>
                <w:sz w:val="18"/>
              </w:rPr>
              <w:t>,</w:t>
            </w:r>
            <w:r>
              <w:rPr>
                <w:rFonts w:eastAsia="Calibri" w:cs="Calibri"/>
                <w:color w:val="000000"/>
                <w:sz w:val="18"/>
              </w:rPr>
              <w:t>669</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030</w:t>
            </w:r>
            <w:r w:rsidR="00904EBD">
              <w:rPr>
                <w:rFonts w:eastAsia="Calibri" w:cs="Calibri"/>
                <w:color w:val="000000"/>
                <w:sz w:val="18"/>
              </w:rPr>
              <w:t>,</w:t>
            </w:r>
            <w:r>
              <w:rPr>
                <w:rFonts w:eastAsia="Calibri" w:cs="Calibri"/>
                <w:color w:val="000000"/>
                <w:sz w:val="18"/>
              </w:rPr>
              <w:t>677</w:t>
            </w:r>
          </w:p>
        </w:tc>
        <w:tc>
          <w:tcPr>
            <w:tcW w:w="600"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7 </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069</w:t>
            </w:r>
            <w:r w:rsidR="00904EBD">
              <w:rPr>
                <w:rFonts w:eastAsia="Calibri" w:cs="Calibri"/>
                <w:color w:val="000000"/>
                <w:sz w:val="18"/>
              </w:rPr>
              <w:t>,</w:t>
            </w:r>
            <w:r>
              <w:rPr>
                <w:rFonts w:eastAsia="Calibri" w:cs="Calibri"/>
                <w:color w:val="000000"/>
                <w:sz w:val="18"/>
              </w:rPr>
              <w:t>508</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007</w:t>
            </w:r>
            <w:r w:rsidR="00904EBD">
              <w:rPr>
                <w:rFonts w:eastAsia="Calibri" w:cs="Calibri"/>
                <w:color w:val="000000"/>
                <w:sz w:val="18"/>
              </w:rPr>
              <w:t>,</w:t>
            </w:r>
            <w:r>
              <w:rPr>
                <w:rFonts w:eastAsia="Calibri" w:cs="Calibri"/>
                <w:color w:val="000000"/>
                <w:sz w:val="18"/>
              </w:rPr>
              <w:t>471</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945</w:t>
            </w:r>
            <w:r w:rsidR="00904EBD">
              <w:rPr>
                <w:rFonts w:eastAsia="Calibri" w:cs="Calibri"/>
                <w:color w:val="000000"/>
                <w:sz w:val="18"/>
              </w:rPr>
              <w:t>,</w:t>
            </w:r>
            <w:r>
              <w:rPr>
                <w:rFonts w:eastAsia="Calibri" w:cs="Calibri"/>
                <w:color w:val="000000"/>
                <w:sz w:val="18"/>
              </w:rPr>
              <w:t>841</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131</w:t>
            </w:r>
            <w:r w:rsidR="00904EBD">
              <w:rPr>
                <w:rFonts w:eastAsia="Calibri" w:cs="Calibri"/>
                <w:color w:val="000000"/>
                <w:sz w:val="18"/>
              </w:rPr>
              <w:t>,</w:t>
            </w:r>
            <w:r>
              <w:rPr>
                <w:rFonts w:eastAsia="Calibri" w:cs="Calibri"/>
                <w:color w:val="000000"/>
                <w:sz w:val="18"/>
              </w:rPr>
              <w:t>031</w:t>
            </w:r>
          </w:p>
        </w:tc>
        <w:tc>
          <w:tcPr>
            <w:tcW w:w="238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rPr>
                <w:rFonts w:eastAsia="Calibri" w:cs="Calibri"/>
                <w:color w:val="000000"/>
                <w:sz w:val="18"/>
              </w:rPr>
            </w:pPr>
            <w:r>
              <w:rPr>
                <w:rFonts w:eastAsia="Calibri" w:cs="Calibri"/>
                <w:color w:val="000000"/>
                <w:sz w:val="18"/>
              </w:rPr>
              <w:t>Asset Revaluation Surplus</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132</w:t>
            </w:r>
            <w:r w:rsidR="00904EBD">
              <w:rPr>
                <w:rFonts w:eastAsia="Calibri" w:cs="Calibri"/>
                <w:color w:val="000000"/>
                <w:sz w:val="18"/>
              </w:rPr>
              <w:t>,</w:t>
            </w:r>
            <w:r>
              <w:rPr>
                <w:rFonts w:eastAsia="Calibri" w:cs="Calibri"/>
                <w:color w:val="000000"/>
                <w:sz w:val="18"/>
              </w:rPr>
              <w:t>625</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132</w:t>
            </w:r>
            <w:r w:rsidR="00904EBD">
              <w:rPr>
                <w:rFonts w:eastAsia="Calibri" w:cs="Calibri"/>
                <w:color w:val="000000"/>
                <w:sz w:val="18"/>
              </w:rPr>
              <w:t>,</w:t>
            </w:r>
            <w:r>
              <w:rPr>
                <w:rFonts w:eastAsia="Calibri" w:cs="Calibri"/>
                <w:color w:val="000000"/>
                <w:sz w:val="18"/>
              </w:rPr>
              <w:t>625</w:t>
            </w:r>
          </w:p>
        </w:tc>
        <w:tc>
          <w:tcPr>
            <w:tcW w:w="600"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132</w:t>
            </w:r>
            <w:r w:rsidR="00904EBD">
              <w:rPr>
                <w:rFonts w:eastAsia="Calibri" w:cs="Calibri"/>
                <w:color w:val="000000"/>
                <w:sz w:val="18"/>
              </w:rPr>
              <w:t>,</w:t>
            </w:r>
            <w:r>
              <w:rPr>
                <w:rFonts w:eastAsia="Calibri" w:cs="Calibri"/>
                <w:color w:val="000000"/>
                <w:sz w:val="18"/>
              </w:rPr>
              <w:t>625</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132</w:t>
            </w:r>
            <w:r w:rsidR="00904EBD">
              <w:rPr>
                <w:rFonts w:eastAsia="Calibri" w:cs="Calibri"/>
                <w:color w:val="000000"/>
                <w:sz w:val="18"/>
              </w:rPr>
              <w:t>,</w:t>
            </w:r>
            <w:r>
              <w:rPr>
                <w:rFonts w:eastAsia="Calibri" w:cs="Calibri"/>
                <w:color w:val="000000"/>
                <w:sz w:val="18"/>
              </w:rPr>
              <w:t>625</w:t>
            </w:r>
          </w:p>
        </w:tc>
        <w:tc>
          <w:tcPr>
            <w:tcW w:w="103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color w:val="000000"/>
                <w:sz w:val="18"/>
              </w:rPr>
            </w:pPr>
            <w:r>
              <w:rPr>
                <w:rFonts w:eastAsia="Calibri" w:cs="Calibri"/>
                <w:color w:val="000000"/>
                <w:sz w:val="18"/>
              </w:rPr>
              <w:t>132</w:t>
            </w:r>
            <w:r w:rsidR="00904EBD">
              <w:rPr>
                <w:rFonts w:eastAsia="Calibri" w:cs="Calibri"/>
                <w:color w:val="000000"/>
                <w:sz w:val="18"/>
              </w:rPr>
              <w:t>,</w:t>
            </w:r>
            <w:r>
              <w:rPr>
                <w:rFonts w:eastAsia="Calibri" w:cs="Calibri"/>
                <w:color w:val="000000"/>
                <w:sz w:val="18"/>
              </w:rPr>
              <w:t>625</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230</w:t>
            </w:r>
            <w:r w:rsidR="00904EBD">
              <w:rPr>
                <w:rFonts w:eastAsia="Calibri" w:cs="Calibri"/>
                <w:b/>
                <w:color w:val="000000"/>
                <w:sz w:val="18"/>
              </w:rPr>
              <w:t>,</w:t>
            </w:r>
            <w:r>
              <w:rPr>
                <w:rFonts w:eastAsia="Calibri" w:cs="Calibri"/>
                <w:b/>
                <w:color w:val="000000"/>
                <w:sz w:val="18"/>
              </w:rPr>
              <w:t>358</w:t>
            </w:r>
          </w:p>
        </w:tc>
        <w:tc>
          <w:tcPr>
            <w:tcW w:w="2385"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rPr>
                <w:rFonts w:eastAsia="Calibri" w:cs="Calibri"/>
                <w:b/>
                <w:color w:val="000000"/>
                <w:sz w:val="18"/>
              </w:rPr>
            </w:pPr>
            <w:r>
              <w:rPr>
                <w:rFonts w:eastAsia="Calibri" w:cs="Calibri"/>
                <w:b/>
                <w:color w:val="000000"/>
                <w:sz w:val="18"/>
              </w:rPr>
              <w:t>TOTAL FUNDS EMPLOYED</w:t>
            </w:r>
          </w:p>
        </w:tc>
        <w:tc>
          <w:tcPr>
            <w:tcW w:w="103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100</w:t>
            </w:r>
            <w:r w:rsidR="00904EBD">
              <w:rPr>
                <w:rFonts w:eastAsia="Calibri" w:cs="Calibri"/>
                <w:b/>
                <w:color w:val="000000"/>
                <w:sz w:val="18"/>
              </w:rPr>
              <w:t>,</w:t>
            </w:r>
            <w:r>
              <w:rPr>
                <w:rFonts w:eastAsia="Calibri" w:cs="Calibri"/>
                <w:b/>
                <w:color w:val="000000"/>
                <w:sz w:val="18"/>
              </w:rPr>
              <w:t>294</w:t>
            </w:r>
          </w:p>
        </w:tc>
        <w:tc>
          <w:tcPr>
            <w:tcW w:w="103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163</w:t>
            </w:r>
            <w:r w:rsidR="00904EBD">
              <w:rPr>
                <w:rFonts w:eastAsia="Calibri" w:cs="Calibri"/>
                <w:b/>
                <w:color w:val="000000"/>
                <w:sz w:val="18"/>
              </w:rPr>
              <w:t>,</w:t>
            </w:r>
            <w:r>
              <w:rPr>
                <w:rFonts w:eastAsia="Calibri" w:cs="Calibri"/>
                <w:b/>
                <w:color w:val="000000"/>
                <w:sz w:val="18"/>
              </w:rPr>
              <w:t>302</w:t>
            </w:r>
          </w:p>
        </w:tc>
        <w:tc>
          <w:tcPr>
            <w:tcW w:w="600" w:type="dxa"/>
            <w:tcBorders>
              <w:top w:val="nil"/>
              <w:left w:val="nil"/>
              <w:bottom w:val="nil"/>
              <w:right w:val="nil"/>
              <w:tl2br w:val="nil"/>
              <w:tr2bl w:val="nil"/>
            </w:tcBorders>
            <w:shd w:val="clear" w:color="FFFFFF" w:fill="FFFFFF"/>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6</w:t>
            </w:r>
          </w:p>
        </w:tc>
        <w:tc>
          <w:tcPr>
            <w:tcW w:w="103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202</w:t>
            </w:r>
            <w:r w:rsidR="00904EBD">
              <w:rPr>
                <w:rFonts w:eastAsia="Calibri" w:cs="Calibri"/>
                <w:b/>
                <w:color w:val="000000"/>
                <w:sz w:val="18"/>
              </w:rPr>
              <w:t>,</w:t>
            </w:r>
            <w:r>
              <w:rPr>
                <w:rFonts w:eastAsia="Calibri" w:cs="Calibri"/>
                <w:b/>
                <w:color w:val="000000"/>
                <w:sz w:val="18"/>
              </w:rPr>
              <w:t>133</w:t>
            </w:r>
          </w:p>
        </w:tc>
        <w:tc>
          <w:tcPr>
            <w:tcW w:w="103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140</w:t>
            </w:r>
            <w:r w:rsidR="00904EBD">
              <w:rPr>
                <w:rFonts w:eastAsia="Calibri" w:cs="Calibri"/>
                <w:b/>
                <w:color w:val="000000"/>
                <w:sz w:val="18"/>
              </w:rPr>
              <w:t>,</w:t>
            </w:r>
            <w:r>
              <w:rPr>
                <w:rFonts w:eastAsia="Calibri" w:cs="Calibri"/>
                <w:b/>
                <w:color w:val="000000"/>
                <w:sz w:val="18"/>
              </w:rPr>
              <w:t>096</w:t>
            </w:r>
          </w:p>
        </w:tc>
        <w:tc>
          <w:tcPr>
            <w:tcW w:w="1035" w:type="dxa"/>
            <w:tcBorders>
              <w:top w:val="nil"/>
              <w:left w:val="nil"/>
              <w:bottom w:val="nil"/>
              <w:right w:val="nil"/>
              <w:tl2br w:val="nil"/>
              <w:tr2bl w:val="nil"/>
            </w:tcBorders>
            <w:shd w:val="clear" w:color="FFFFFF" w:fill="FFFFFF"/>
            <w:noWrap/>
            <w:tcMar>
              <w:left w:w="40" w:type="dxa"/>
              <w:right w:w="40"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078</w:t>
            </w:r>
            <w:r w:rsidR="00904EBD">
              <w:rPr>
                <w:rFonts w:eastAsia="Calibri" w:cs="Calibri"/>
                <w:b/>
                <w:color w:val="000000"/>
                <w:sz w:val="18"/>
              </w:rPr>
              <w:t>,</w:t>
            </w:r>
            <w:r>
              <w:rPr>
                <w:rFonts w:eastAsia="Calibri" w:cs="Calibri"/>
                <w:b/>
                <w:color w:val="000000"/>
                <w:sz w:val="18"/>
              </w:rPr>
              <w:t>466</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bl>
    <w:p w:rsidR="00281F97" w:rsidRPr="00DB70E3" w:rsidRDefault="00765F6E" w:rsidP="00281F97">
      <w:pPr>
        <w:pStyle w:val="Caption"/>
        <w:pageBreakBefore/>
        <w:pBdr>
          <w:top w:val="nil"/>
          <w:left w:val="nil"/>
          <w:bottom w:val="nil"/>
          <w:right w:val="nil"/>
          <w:between w:val="nil"/>
          <w:bar w:val="nil"/>
        </w:pBdr>
        <w:outlineLvl w:val="0"/>
        <w:rPr>
          <w:bdr w:val="nil"/>
        </w:rPr>
      </w:pPr>
      <w:bookmarkStart w:id="137" w:name="_Toc514764131"/>
      <w:bookmarkStart w:id="138" w:name="_Toc514765757"/>
      <w:bookmarkStart w:id="139" w:name="_Toc514832381"/>
      <w:bookmarkStart w:id="140" w:name="_Toc514832564"/>
      <w:r>
        <w:rPr>
          <w:bdr w:val="nil"/>
        </w:rPr>
        <w:lastRenderedPageBreak/>
        <w:t>Table 3</w:t>
      </w:r>
      <w:r w:rsidR="00141A32">
        <w:rPr>
          <w:bdr w:val="nil"/>
        </w:rPr>
        <w:t>4</w:t>
      </w:r>
      <w:r>
        <w:rPr>
          <w:bdr w:val="nil"/>
        </w:rPr>
        <w:t>: Health Directorate: Statement of Changes in Equity</w:t>
      </w:r>
      <w:bookmarkEnd w:id="137"/>
      <w:bookmarkEnd w:id="138"/>
      <w:bookmarkEnd w:id="139"/>
      <w:bookmarkEnd w:id="140"/>
      <w:r>
        <w:rPr>
          <w:bdr w:val="nil"/>
        </w:rPr>
        <w:t xml:space="preserve"> </w:t>
      </w:r>
    </w:p>
    <w:tbl>
      <w:tblPr>
        <w:tblStyle w:val="CDMRange1"/>
        <w:tblW w:w="9555" w:type="dxa"/>
        <w:tblLayout w:type="fixed"/>
        <w:tblLook w:val="0600" w:firstRow="0" w:lastRow="0" w:firstColumn="0" w:lastColumn="0" w:noHBand="1" w:noVBand="1"/>
      </w:tblPr>
      <w:tblGrid>
        <w:gridCol w:w="1035"/>
        <w:gridCol w:w="2745"/>
        <w:gridCol w:w="1035"/>
        <w:gridCol w:w="1035"/>
        <w:gridCol w:w="600"/>
        <w:gridCol w:w="1035"/>
        <w:gridCol w:w="1035"/>
        <w:gridCol w:w="1035"/>
      </w:tblGrid>
      <w:tr w:rsidR="00237D6F">
        <w:trPr>
          <w:trHeight w:val="93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Budget</w:t>
            </w:r>
          </w:p>
          <w:p w:rsidR="00237D6F" w:rsidRDefault="00765F6E">
            <w:pPr>
              <w:spacing w:before="0" w:after="0"/>
              <w:jc w:val="right"/>
              <w:rPr>
                <w:rFonts w:eastAsia="Calibri" w:cs="Calibri"/>
                <w:b/>
                <w:color w:val="000000"/>
                <w:sz w:val="18"/>
              </w:rPr>
            </w:pPr>
            <w:r>
              <w:rPr>
                <w:rFonts w:eastAsia="Calibri" w:cs="Calibri"/>
                <w:b/>
                <w:color w:val="000000"/>
                <w:sz w:val="18"/>
              </w:rPr>
              <w:t>at</w:t>
            </w:r>
          </w:p>
          <w:p w:rsidR="00237D6F" w:rsidRDefault="00765F6E">
            <w:pPr>
              <w:spacing w:before="0" w:after="0"/>
              <w:jc w:val="right"/>
              <w:rPr>
                <w:rFonts w:eastAsia="Calibri" w:cs="Calibri"/>
                <w:b/>
                <w:color w:val="000000"/>
                <w:sz w:val="18"/>
              </w:rPr>
            </w:pPr>
            <w:r>
              <w:rPr>
                <w:rFonts w:eastAsia="Calibri" w:cs="Calibri"/>
                <w:b/>
                <w:color w:val="000000"/>
                <w:sz w:val="18"/>
              </w:rPr>
              <w:t xml:space="preserve">30/6/18 </w:t>
            </w:r>
          </w:p>
          <w:p w:rsidR="00237D6F" w:rsidRDefault="00765F6E">
            <w:pPr>
              <w:spacing w:before="0" w:after="0"/>
              <w:jc w:val="right"/>
              <w:rPr>
                <w:rFonts w:eastAsia="Calibri" w:cs="Calibri"/>
                <w:b/>
                <w:color w:val="000000"/>
                <w:sz w:val="18"/>
              </w:rPr>
            </w:pPr>
            <w:r>
              <w:rPr>
                <w:rFonts w:eastAsia="Calibri" w:cs="Calibri"/>
                <w:b/>
                <w:color w:val="000000"/>
                <w:sz w:val="18"/>
              </w:rPr>
              <w:t>$'000</w:t>
            </w:r>
          </w:p>
        </w:tc>
        <w:tc>
          <w:tcPr>
            <w:tcW w:w="274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2017-18 Estimated Outcome</w:t>
            </w:r>
          </w:p>
          <w:p w:rsidR="00237D6F" w:rsidRDefault="00765F6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Budget</w:t>
            </w:r>
          </w:p>
          <w:p w:rsidR="00237D6F" w:rsidRDefault="00765F6E">
            <w:pPr>
              <w:spacing w:before="0" w:after="0"/>
              <w:jc w:val="right"/>
              <w:rPr>
                <w:rFonts w:eastAsia="Calibri" w:cs="Calibri"/>
                <w:b/>
                <w:color w:val="000000"/>
                <w:sz w:val="18"/>
              </w:rPr>
            </w:pPr>
            <w:r>
              <w:rPr>
                <w:rFonts w:eastAsia="Calibri" w:cs="Calibri"/>
                <w:b/>
                <w:color w:val="000000"/>
                <w:sz w:val="18"/>
              </w:rPr>
              <w:t>at</w:t>
            </w:r>
          </w:p>
          <w:p w:rsidR="00237D6F" w:rsidRDefault="00765F6E">
            <w:pPr>
              <w:spacing w:before="0" w:after="0"/>
              <w:jc w:val="right"/>
              <w:rPr>
                <w:rFonts w:eastAsia="Calibri" w:cs="Calibri"/>
                <w:b/>
                <w:color w:val="000000"/>
                <w:sz w:val="18"/>
              </w:rPr>
            </w:pPr>
            <w:r>
              <w:rPr>
                <w:rFonts w:eastAsia="Calibri" w:cs="Calibri"/>
                <w:b/>
                <w:color w:val="000000"/>
                <w:sz w:val="18"/>
              </w:rPr>
              <w:t xml:space="preserve">30/6/19 </w:t>
            </w:r>
          </w:p>
          <w:p w:rsidR="00237D6F" w:rsidRDefault="00765F6E">
            <w:pPr>
              <w:spacing w:before="0" w:after="0"/>
              <w:jc w:val="right"/>
              <w:rPr>
                <w:rFonts w:eastAsia="Calibri" w:cs="Calibri"/>
                <w:b/>
                <w:color w:val="000000"/>
                <w:sz w:val="18"/>
              </w:rPr>
            </w:pPr>
            <w:r>
              <w:rPr>
                <w:rFonts w:eastAsia="Calibri" w:cs="Calibri"/>
                <w:b/>
                <w:color w:val="000000"/>
                <w:sz w:val="18"/>
              </w:rPr>
              <w:t>$'000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proofErr w:type="spellStart"/>
            <w:r>
              <w:rPr>
                <w:rFonts w:eastAsia="Calibri" w:cs="Calibri"/>
                <w:b/>
                <w:color w:val="000000"/>
                <w:sz w:val="18"/>
              </w:rPr>
              <w:t>Var</w:t>
            </w:r>
            <w:proofErr w:type="spellEnd"/>
          </w:p>
          <w:p w:rsidR="00237D6F" w:rsidRDefault="00765F6E">
            <w:pPr>
              <w:spacing w:before="0" w:after="0"/>
              <w:jc w:val="right"/>
              <w:rPr>
                <w:rFonts w:eastAsia="Calibri" w:cs="Calibri"/>
                <w:b/>
                <w:color w:val="000000"/>
                <w:sz w:val="18"/>
              </w:rPr>
            </w:pPr>
            <w:r>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Estimate</w:t>
            </w:r>
          </w:p>
          <w:p w:rsidR="00237D6F" w:rsidRDefault="00765F6E">
            <w:pPr>
              <w:spacing w:before="0" w:after="0"/>
              <w:jc w:val="right"/>
              <w:rPr>
                <w:rFonts w:eastAsia="Calibri" w:cs="Calibri"/>
                <w:b/>
                <w:color w:val="000000"/>
                <w:sz w:val="18"/>
              </w:rPr>
            </w:pPr>
            <w:r>
              <w:rPr>
                <w:rFonts w:eastAsia="Calibri" w:cs="Calibri"/>
                <w:b/>
                <w:color w:val="000000"/>
                <w:sz w:val="18"/>
              </w:rPr>
              <w:t>at</w:t>
            </w:r>
          </w:p>
          <w:p w:rsidR="00237D6F" w:rsidRDefault="00765F6E">
            <w:pPr>
              <w:spacing w:before="0" w:after="0"/>
              <w:jc w:val="right"/>
              <w:rPr>
                <w:rFonts w:eastAsia="Calibri" w:cs="Calibri"/>
                <w:b/>
                <w:color w:val="000000"/>
                <w:sz w:val="18"/>
              </w:rPr>
            </w:pPr>
            <w:r>
              <w:rPr>
                <w:rFonts w:eastAsia="Calibri" w:cs="Calibri"/>
                <w:b/>
                <w:color w:val="000000"/>
                <w:sz w:val="18"/>
              </w:rPr>
              <w:t xml:space="preserve">30/6/20 </w:t>
            </w:r>
          </w:p>
          <w:p w:rsidR="00237D6F" w:rsidRDefault="00765F6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Estimate</w:t>
            </w:r>
          </w:p>
          <w:p w:rsidR="00237D6F" w:rsidRDefault="00765F6E">
            <w:pPr>
              <w:spacing w:before="0" w:after="0"/>
              <w:jc w:val="right"/>
              <w:rPr>
                <w:rFonts w:eastAsia="Calibri" w:cs="Calibri"/>
                <w:b/>
                <w:color w:val="000000"/>
                <w:sz w:val="18"/>
              </w:rPr>
            </w:pPr>
            <w:r>
              <w:rPr>
                <w:rFonts w:eastAsia="Calibri" w:cs="Calibri"/>
                <w:b/>
                <w:color w:val="000000"/>
                <w:sz w:val="18"/>
              </w:rPr>
              <w:t>at</w:t>
            </w:r>
          </w:p>
          <w:p w:rsidR="00237D6F" w:rsidRDefault="00765F6E">
            <w:pPr>
              <w:spacing w:before="0" w:after="0"/>
              <w:jc w:val="right"/>
              <w:rPr>
                <w:rFonts w:eastAsia="Calibri" w:cs="Calibri"/>
                <w:b/>
                <w:color w:val="000000"/>
                <w:sz w:val="18"/>
              </w:rPr>
            </w:pPr>
            <w:r>
              <w:rPr>
                <w:rFonts w:eastAsia="Calibri" w:cs="Calibri"/>
                <w:b/>
                <w:color w:val="000000"/>
                <w:sz w:val="18"/>
              </w:rPr>
              <w:t xml:space="preserve">30/6/21 </w:t>
            </w:r>
          </w:p>
          <w:p w:rsidR="00237D6F" w:rsidRDefault="00765F6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Estimate</w:t>
            </w:r>
          </w:p>
          <w:p w:rsidR="00237D6F" w:rsidRDefault="00765F6E">
            <w:pPr>
              <w:spacing w:before="0" w:after="0"/>
              <w:jc w:val="right"/>
              <w:rPr>
                <w:rFonts w:eastAsia="Calibri" w:cs="Calibri"/>
                <w:b/>
                <w:color w:val="000000"/>
                <w:sz w:val="18"/>
              </w:rPr>
            </w:pPr>
            <w:r>
              <w:rPr>
                <w:rFonts w:eastAsia="Calibri" w:cs="Calibri"/>
                <w:b/>
                <w:color w:val="000000"/>
                <w:sz w:val="18"/>
              </w:rPr>
              <w:t>at</w:t>
            </w:r>
          </w:p>
          <w:p w:rsidR="00237D6F" w:rsidRDefault="00765F6E">
            <w:pPr>
              <w:spacing w:before="0" w:after="0"/>
              <w:jc w:val="right"/>
              <w:rPr>
                <w:rFonts w:eastAsia="Calibri" w:cs="Calibri"/>
                <w:b/>
                <w:color w:val="000000"/>
                <w:sz w:val="18"/>
              </w:rPr>
            </w:pPr>
            <w:r>
              <w:rPr>
                <w:rFonts w:eastAsia="Calibri" w:cs="Calibri"/>
                <w:b/>
                <w:color w:val="000000"/>
                <w:sz w:val="18"/>
              </w:rPr>
              <w:t xml:space="preserve">30/6/22 </w:t>
            </w:r>
          </w:p>
          <w:p w:rsidR="00237D6F" w:rsidRDefault="00765F6E">
            <w:pPr>
              <w:spacing w:before="0" w:after="0"/>
              <w:jc w:val="right"/>
              <w:rPr>
                <w:rFonts w:eastAsia="Calibri" w:cs="Calibri"/>
                <w:b/>
                <w:color w:val="000000"/>
                <w:sz w:val="18"/>
              </w:rPr>
            </w:pPr>
            <w:r>
              <w:rPr>
                <w:rFonts w:eastAsia="Calibri" w:cs="Calibri"/>
                <w:b/>
                <w:color w:val="000000"/>
                <w:sz w:val="18"/>
              </w:rPr>
              <w:t>$'000</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274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b/>
                <w:i/>
                <w:color w:val="000000"/>
                <w:sz w:val="18"/>
              </w:rPr>
            </w:pPr>
          </w:p>
        </w:tc>
        <w:tc>
          <w:tcPr>
            <w:tcW w:w="2745" w:type="dxa"/>
            <w:tcBorders>
              <w:top w:val="nil"/>
              <w:left w:val="nil"/>
              <w:bottom w:val="nil"/>
              <w:right w:val="nil"/>
              <w:tl2br w:val="nil"/>
              <w:tr2bl w:val="nil"/>
            </w:tcBorders>
            <w:shd w:val="clear" w:color="auto" w:fill="auto"/>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Opening Equity</w:t>
            </w: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b/>
                <w: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b/>
                <w: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992</w:t>
            </w:r>
            <w:r w:rsidR="00904EBD">
              <w:rPr>
                <w:rFonts w:eastAsia="Calibri" w:cs="Calibri"/>
                <w:color w:val="000000"/>
                <w:sz w:val="18"/>
              </w:rPr>
              <w:t>,</w:t>
            </w:r>
            <w:r>
              <w:rPr>
                <w:rFonts w:eastAsia="Calibri" w:cs="Calibri"/>
                <w:color w:val="000000"/>
                <w:sz w:val="18"/>
              </w:rPr>
              <w:t>180</w:t>
            </w:r>
          </w:p>
        </w:tc>
        <w:tc>
          <w:tcPr>
            <w:tcW w:w="274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Opening Accumulated Funds</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941</w:t>
            </w:r>
            <w:r w:rsidR="00904EBD">
              <w:rPr>
                <w:rFonts w:eastAsia="Calibri" w:cs="Calibri"/>
                <w:color w:val="000000"/>
                <w:sz w:val="18"/>
              </w:rPr>
              <w:t>,</w:t>
            </w:r>
            <w:r>
              <w:rPr>
                <w:rFonts w:eastAsia="Calibri" w:cs="Calibri"/>
                <w:color w:val="000000"/>
                <w:sz w:val="18"/>
              </w:rPr>
              <w:t>541</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967</w:t>
            </w:r>
            <w:r w:rsidR="00904EBD">
              <w:rPr>
                <w:rFonts w:eastAsia="Calibri" w:cs="Calibri"/>
                <w:color w:val="000000"/>
                <w:sz w:val="18"/>
              </w:rPr>
              <w:t>,</w:t>
            </w:r>
            <w:r>
              <w:rPr>
                <w:rFonts w:eastAsia="Calibri" w:cs="Calibri"/>
                <w:color w:val="000000"/>
                <w:sz w:val="18"/>
              </w:rPr>
              <w:t>669</w:t>
            </w:r>
          </w:p>
        </w:tc>
        <w:tc>
          <w:tcPr>
            <w:tcW w:w="600"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3 </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030</w:t>
            </w:r>
            <w:r w:rsidR="00904EBD">
              <w:rPr>
                <w:rFonts w:eastAsia="Calibri" w:cs="Calibri"/>
                <w:color w:val="000000"/>
                <w:sz w:val="18"/>
              </w:rPr>
              <w:t>,</w:t>
            </w:r>
            <w:r>
              <w:rPr>
                <w:rFonts w:eastAsia="Calibri" w:cs="Calibri"/>
                <w:color w:val="000000"/>
                <w:sz w:val="18"/>
              </w:rPr>
              <w:t>677</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069</w:t>
            </w:r>
            <w:r w:rsidR="00904EBD">
              <w:rPr>
                <w:rFonts w:eastAsia="Calibri" w:cs="Calibri"/>
                <w:color w:val="000000"/>
                <w:sz w:val="18"/>
              </w:rPr>
              <w:t>,</w:t>
            </w:r>
            <w:r>
              <w:rPr>
                <w:rFonts w:eastAsia="Calibri" w:cs="Calibri"/>
                <w:color w:val="000000"/>
                <w:sz w:val="18"/>
              </w:rPr>
              <w:t>508</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007</w:t>
            </w:r>
            <w:r w:rsidR="00904EBD">
              <w:rPr>
                <w:rFonts w:eastAsia="Calibri" w:cs="Calibri"/>
                <w:color w:val="000000"/>
                <w:sz w:val="18"/>
              </w:rPr>
              <w:t>,</w:t>
            </w:r>
            <w:r>
              <w:rPr>
                <w:rFonts w:eastAsia="Calibri" w:cs="Calibri"/>
                <w:color w:val="000000"/>
                <w:sz w:val="18"/>
              </w:rPr>
              <w:t>471</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131</w:t>
            </w:r>
            <w:r w:rsidR="00904EBD">
              <w:rPr>
                <w:rFonts w:eastAsia="Calibri" w:cs="Calibri"/>
                <w:color w:val="000000"/>
                <w:sz w:val="18"/>
              </w:rPr>
              <w:t>,</w:t>
            </w:r>
            <w:r>
              <w:rPr>
                <w:rFonts w:eastAsia="Calibri" w:cs="Calibri"/>
                <w:color w:val="000000"/>
                <w:sz w:val="18"/>
              </w:rPr>
              <w:t>031</w:t>
            </w:r>
          </w:p>
        </w:tc>
        <w:tc>
          <w:tcPr>
            <w:tcW w:w="2745" w:type="dxa"/>
            <w:tcBorders>
              <w:top w:val="nil"/>
              <w:left w:val="nil"/>
              <w:bottom w:val="nil"/>
              <w:right w:val="nil"/>
              <w:tl2br w:val="nil"/>
              <w:tr2bl w:val="nil"/>
            </w:tcBorders>
            <w:shd w:val="clear" w:color="auto" w:fill="auto"/>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Opening Asset Revaluation Reserve</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132</w:t>
            </w:r>
            <w:r w:rsidR="00904EBD">
              <w:rPr>
                <w:rFonts w:eastAsia="Calibri" w:cs="Calibri"/>
                <w:color w:val="000000"/>
                <w:sz w:val="18"/>
              </w:rPr>
              <w:t>,</w:t>
            </w:r>
            <w:r>
              <w:rPr>
                <w:rFonts w:eastAsia="Calibri" w:cs="Calibri"/>
                <w:color w:val="000000"/>
                <w:sz w:val="18"/>
              </w:rPr>
              <w:t>625</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132</w:t>
            </w:r>
            <w:r w:rsidR="00904EBD">
              <w:rPr>
                <w:rFonts w:eastAsia="Calibri" w:cs="Calibri"/>
                <w:color w:val="000000"/>
                <w:sz w:val="18"/>
              </w:rPr>
              <w:t>,</w:t>
            </w:r>
            <w:r>
              <w:rPr>
                <w:rFonts w:eastAsia="Calibri" w:cs="Calibri"/>
                <w:color w:val="000000"/>
                <w:sz w:val="18"/>
              </w:rPr>
              <w:t>625</w:t>
            </w:r>
          </w:p>
        </w:tc>
        <w:tc>
          <w:tcPr>
            <w:tcW w:w="600"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132</w:t>
            </w:r>
            <w:r w:rsidR="00904EBD">
              <w:rPr>
                <w:rFonts w:eastAsia="Calibri" w:cs="Calibri"/>
                <w:color w:val="000000"/>
                <w:sz w:val="18"/>
              </w:rPr>
              <w:t>,</w:t>
            </w:r>
            <w:r>
              <w:rPr>
                <w:rFonts w:eastAsia="Calibri" w:cs="Calibri"/>
                <w:color w:val="000000"/>
                <w:sz w:val="18"/>
              </w:rPr>
              <w:t>625</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132</w:t>
            </w:r>
            <w:r w:rsidR="00904EBD">
              <w:rPr>
                <w:rFonts w:eastAsia="Calibri" w:cs="Calibri"/>
                <w:color w:val="000000"/>
                <w:sz w:val="18"/>
              </w:rPr>
              <w:t>,</w:t>
            </w:r>
            <w:r>
              <w:rPr>
                <w:rFonts w:eastAsia="Calibri" w:cs="Calibri"/>
                <w:color w:val="000000"/>
                <w:sz w:val="18"/>
              </w:rPr>
              <w:t>625</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132</w:t>
            </w:r>
            <w:r w:rsidR="00904EBD">
              <w:rPr>
                <w:rFonts w:eastAsia="Calibri" w:cs="Calibri"/>
                <w:color w:val="000000"/>
                <w:sz w:val="18"/>
              </w:rPr>
              <w:t>,</w:t>
            </w:r>
            <w:r>
              <w:rPr>
                <w:rFonts w:eastAsia="Calibri" w:cs="Calibri"/>
                <w:color w:val="000000"/>
                <w:sz w:val="18"/>
              </w:rPr>
              <w:t>625</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b/>
                <w:color w:val="000000"/>
                <w:sz w:val="18"/>
              </w:rPr>
            </w:pPr>
          </w:p>
        </w:tc>
        <w:tc>
          <w:tcPr>
            <w:tcW w:w="2745" w:type="dxa"/>
            <w:tcBorders>
              <w:top w:val="nil"/>
              <w:left w:val="nil"/>
              <w:bottom w:val="nil"/>
              <w:right w:val="nil"/>
              <w:tl2br w:val="nil"/>
              <w:tr2bl w:val="nil"/>
            </w:tcBorders>
            <w:shd w:val="clear" w:color="auto" w:fill="auto"/>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b/>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b/>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123</w:t>
            </w:r>
            <w:r w:rsidR="00904EBD">
              <w:rPr>
                <w:rFonts w:eastAsia="Calibri" w:cs="Calibri"/>
                <w:b/>
                <w:color w:val="000000"/>
                <w:sz w:val="18"/>
              </w:rPr>
              <w:t>,</w:t>
            </w:r>
            <w:r>
              <w:rPr>
                <w:rFonts w:eastAsia="Calibri" w:cs="Calibri"/>
                <w:b/>
                <w:color w:val="000000"/>
                <w:sz w:val="18"/>
              </w:rPr>
              <w:t>211</w:t>
            </w:r>
          </w:p>
        </w:tc>
        <w:tc>
          <w:tcPr>
            <w:tcW w:w="2745" w:type="dxa"/>
            <w:tcBorders>
              <w:top w:val="nil"/>
              <w:left w:val="nil"/>
              <w:bottom w:val="nil"/>
              <w:right w:val="nil"/>
              <w:tl2br w:val="nil"/>
              <w:tr2bl w:val="nil"/>
            </w:tcBorders>
            <w:shd w:val="clear" w:color="auto" w:fill="auto"/>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Balance at the Start of the Reporting Period</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074</w:t>
            </w:r>
            <w:r w:rsidR="00904EBD">
              <w:rPr>
                <w:rFonts w:eastAsia="Calibri" w:cs="Calibri"/>
                <w:b/>
                <w:color w:val="000000"/>
                <w:sz w:val="18"/>
              </w:rPr>
              <w:t>,</w:t>
            </w:r>
            <w:r>
              <w:rPr>
                <w:rFonts w:eastAsia="Calibri" w:cs="Calibri"/>
                <w:b/>
                <w:color w:val="000000"/>
                <w:sz w:val="18"/>
              </w:rPr>
              <w:t>166</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100</w:t>
            </w:r>
            <w:r w:rsidR="00904EBD">
              <w:rPr>
                <w:rFonts w:eastAsia="Calibri" w:cs="Calibri"/>
                <w:b/>
                <w:color w:val="000000"/>
                <w:sz w:val="18"/>
              </w:rPr>
              <w:t>,</w:t>
            </w:r>
            <w:r>
              <w:rPr>
                <w:rFonts w:eastAsia="Calibri" w:cs="Calibri"/>
                <w:b/>
                <w:color w:val="000000"/>
                <w:sz w:val="18"/>
              </w:rPr>
              <w:t>294</w:t>
            </w:r>
          </w:p>
        </w:tc>
        <w:tc>
          <w:tcPr>
            <w:tcW w:w="600"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2 </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163</w:t>
            </w:r>
            <w:r w:rsidR="00904EBD">
              <w:rPr>
                <w:rFonts w:eastAsia="Calibri" w:cs="Calibri"/>
                <w:b/>
                <w:color w:val="000000"/>
                <w:sz w:val="18"/>
              </w:rPr>
              <w:t>,</w:t>
            </w:r>
            <w:r>
              <w:rPr>
                <w:rFonts w:eastAsia="Calibri" w:cs="Calibri"/>
                <w:b/>
                <w:color w:val="000000"/>
                <w:sz w:val="18"/>
              </w:rPr>
              <w:t>302</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202</w:t>
            </w:r>
            <w:r w:rsidR="00904EBD">
              <w:rPr>
                <w:rFonts w:eastAsia="Calibri" w:cs="Calibri"/>
                <w:b/>
                <w:color w:val="000000"/>
                <w:sz w:val="18"/>
              </w:rPr>
              <w:t>,</w:t>
            </w:r>
            <w:r>
              <w:rPr>
                <w:rFonts w:eastAsia="Calibri" w:cs="Calibri"/>
                <w:b/>
                <w:color w:val="000000"/>
                <w:sz w:val="18"/>
              </w:rPr>
              <w:t>133</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140</w:t>
            </w:r>
            <w:r w:rsidR="00904EBD">
              <w:rPr>
                <w:rFonts w:eastAsia="Calibri" w:cs="Calibri"/>
                <w:b/>
                <w:color w:val="000000"/>
                <w:sz w:val="18"/>
              </w:rPr>
              <w:t>,</w:t>
            </w:r>
            <w:r>
              <w:rPr>
                <w:rFonts w:eastAsia="Calibri" w:cs="Calibri"/>
                <w:b/>
                <w:color w:val="000000"/>
                <w:sz w:val="18"/>
              </w:rPr>
              <w:t>096</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b/>
                <w:i/>
                <w:color w:val="000000"/>
                <w:sz w:val="18"/>
              </w:rPr>
            </w:pPr>
          </w:p>
        </w:tc>
        <w:tc>
          <w:tcPr>
            <w:tcW w:w="274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b/>
                <w: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b/>
                <w: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274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Comprehensive Income</w:t>
            </w: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-50</w:t>
            </w:r>
            <w:r w:rsidR="00904EBD">
              <w:rPr>
                <w:rFonts w:eastAsia="Calibri" w:cs="Calibri"/>
                <w:color w:val="000000"/>
                <w:sz w:val="18"/>
              </w:rPr>
              <w:t>,</w:t>
            </w:r>
            <w:r>
              <w:rPr>
                <w:rFonts w:eastAsia="Calibri" w:cs="Calibri"/>
                <w:color w:val="000000"/>
                <w:sz w:val="18"/>
              </w:rPr>
              <w:t>246</w:t>
            </w:r>
          </w:p>
        </w:tc>
        <w:tc>
          <w:tcPr>
            <w:tcW w:w="2745" w:type="dxa"/>
            <w:tcBorders>
              <w:top w:val="nil"/>
              <w:left w:val="nil"/>
              <w:bottom w:val="nil"/>
              <w:right w:val="nil"/>
              <w:tl2br w:val="nil"/>
              <w:tr2bl w:val="nil"/>
            </w:tcBorders>
            <w:shd w:val="clear" w:color="auto" w:fill="auto"/>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Operating Result - Including Economic Flows</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-73</w:t>
            </w:r>
            <w:r w:rsidR="00904EBD">
              <w:rPr>
                <w:rFonts w:eastAsia="Calibri" w:cs="Calibri"/>
                <w:color w:val="000000"/>
                <w:sz w:val="18"/>
              </w:rPr>
              <w:t>,</w:t>
            </w:r>
            <w:r>
              <w:rPr>
                <w:rFonts w:eastAsia="Calibri" w:cs="Calibri"/>
                <w:color w:val="000000"/>
                <w:sz w:val="18"/>
              </w:rPr>
              <w:t>018</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-60</w:t>
            </w:r>
            <w:r w:rsidR="00904EBD">
              <w:rPr>
                <w:rFonts w:eastAsia="Calibri" w:cs="Calibri"/>
                <w:color w:val="000000"/>
                <w:sz w:val="18"/>
              </w:rPr>
              <w:t>,</w:t>
            </w:r>
            <w:r>
              <w:rPr>
                <w:rFonts w:eastAsia="Calibri" w:cs="Calibri"/>
                <w:color w:val="000000"/>
                <w:sz w:val="18"/>
              </w:rPr>
              <w:t>004</w:t>
            </w:r>
          </w:p>
        </w:tc>
        <w:tc>
          <w:tcPr>
            <w:tcW w:w="600"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18 </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-66</w:t>
            </w:r>
            <w:r w:rsidR="00904EBD">
              <w:rPr>
                <w:rFonts w:eastAsia="Calibri" w:cs="Calibri"/>
                <w:color w:val="000000"/>
                <w:sz w:val="18"/>
              </w:rPr>
              <w:t>,</w:t>
            </w:r>
            <w:r>
              <w:rPr>
                <w:rFonts w:eastAsia="Calibri" w:cs="Calibri"/>
                <w:color w:val="000000"/>
                <w:sz w:val="18"/>
              </w:rPr>
              <w:t>634</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-73</w:t>
            </w:r>
            <w:r w:rsidR="00904EBD">
              <w:rPr>
                <w:rFonts w:eastAsia="Calibri" w:cs="Calibri"/>
                <w:color w:val="000000"/>
                <w:sz w:val="18"/>
              </w:rPr>
              <w:t>,</w:t>
            </w:r>
            <w:r>
              <w:rPr>
                <w:rFonts w:eastAsia="Calibri" w:cs="Calibri"/>
                <w:color w:val="000000"/>
                <w:sz w:val="18"/>
              </w:rPr>
              <w:t>054</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-66</w:t>
            </w:r>
            <w:r w:rsidR="00904EBD">
              <w:rPr>
                <w:rFonts w:eastAsia="Calibri" w:cs="Calibri"/>
                <w:color w:val="000000"/>
                <w:sz w:val="18"/>
              </w:rPr>
              <w:t>,</w:t>
            </w:r>
            <w:r>
              <w:rPr>
                <w:rFonts w:eastAsia="Calibri" w:cs="Calibri"/>
                <w:color w:val="000000"/>
                <w:sz w:val="18"/>
              </w:rPr>
              <w:t>611</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274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-50</w:t>
            </w:r>
            <w:r w:rsidR="00904EBD">
              <w:rPr>
                <w:rFonts w:eastAsia="Calibri" w:cs="Calibri"/>
                <w:b/>
                <w:color w:val="000000"/>
                <w:sz w:val="18"/>
              </w:rPr>
              <w:t>,</w:t>
            </w:r>
            <w:r>
              <w:rPr>
                <w:rFonts w:eastAsia="Calibri" w:cs="Calibri"/>
                <w:b/>
                <w:color w:val="000000"/>
                <w:sz w:val="18"/>
              </w:rPr>
              <w:t>246</w:t>
            </w:r>
          </w:p>
        </w:tc>
        <w:tc>
          <w:tcPr>
            <w:tcW w:w="274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Total Comprehensive Income</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-73</w:t>
            </w:r>
            <w:r w:rsidR="00904EBD">
              <w:rPr>
                <w:rFonts w:eastAsia="Calibri" w:cs="Calibri"/>
                <w:b/>
                <w:color w:val="000000"/>
                <w:sz w:val="18"/>
              </w:rPr>
              <w:t>,</w:t>
            </w:r>
            <w:r>
              <w:rPr>
                <w:rFonts w:eastAsia="Calibri" w:cs="Calibri"/>
                <w:b/>
                <w:color w:val="000000"/>
                <w:sz w:val="18"/>
              </w:rPr>
              <w:t>018</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-60</w:t>
            </w:r>
            <w:r w:rsidR="00904EBD">
              <w:rPr>
                <w:rFonts w:eastAsia="Calibri" w:cs="Calibri"/>
                <w:b/>
                <w:color w:val="000000"/>
                <w:sz w:val="18"/>
              </w:rPr>
              <w:t>,</w:t>
            </w:r>
            <w:r>
              <w:rPr>
                <w:rFonts w:eastAsia="Calibri" w:cs="Calibri"/>
                <w:b/>
                <w:color w:val="000000"/>
                <w:sz w:val="18"/>
              </w:rPr>
              <w:t>004</w:t>
            </w:r>
          </w:p>
        </w:tc>
        <w:tc>
          <w:tcPr>
            <w:tcW w:w="600"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18 </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-66</w:t>
            </w:r>
            <w:r w:rsidR="00904EBD">
              <w:rPr>
                <w:rFonts w:eastAsia="Calibri" w:cs="Calibri"/>
                <w:b/>
                <w:color w:val="000000"/>
                <w:sz w:val="18"/>
              </w:rPr>
              <w:t>,</w:t>
            </w:r>
            <w:r>
              <w:rPr>
                <w:rFonts w:eastAsia="Calibri" w:cs="Calibri"/>
                <w:b/>
                <w:color w:val="000000"/>
                <w:sz w:val="18"/>
              </w:rPr>
              <w:t>634</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-73</w:t>
            </w:r>
            <w:r w:rsidR="00904EBD">
              <w:rPr>
                <w:rFonts w:eastAsia="Calibri" w:cs="Calibri"/>
                <w:b/>
                <w:color w:val="000000"/>
                <w:sz w:val="18"/>
              </w:rPr>
              <w:t>,</w:t>
            </w:r>
            <w:r>
              <w:rPr>
                <w:rFonts w:eastAsia="Calibri" w:cs="Calibri"/>
                <w:b/>
                <w:color w:val="000000"/>
                <w:sz w:val="18"/>
              </w:rPr>
              <w:t>054</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-66</w:t>
            </w:r>
            <w:r w:rsidR="00904EBD">
              <w:rPr>
                <w:rFonts w:eastAsia="Calibri" w:cs="Calibri"/>
                <w:b/>
                <w:color w:val="000000"/>
                <w:sz w:val="18"/>
              </w:rPr>
              <w:t>,</w:t>
            </w:r>
            <w:r>
              <w:rPr>
                <w:rFonts w:eastAsia="Calibri" w:cs="Calibri"/>
                <w:b/>
                <w:color w:val="000000"/>
                <w:sz w:val="18"/>
              </w:rPr>
              <w:t>611</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274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274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w:t>
            </w:r>
          </w:p>
        </w:tc>
        <w:tc>
          <w:tcPr>
            <w:tcW w:w="2745" w:type="dxa"/>
            <w:tcBorders>
              <w:top w:val="nil"/>
              <w:left w:val="nil"/>
              <w:bottom w:val="nil"/>
              <w:right w:val="nil"/>
              <w:tl2br w:val="nil"/>
              <w:tr2bl w:val="nil"/>
            </w:tcBorders>
            <w:shd w:val="clear" w:color="auto" w:fill="auto"/>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Total Movement in Reserves</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w:t>
            </w:r>
          </w:p>
        </w:tc>
        <w:tc>
          <w:tcPr>
            <w:tcW w:w="600"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274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8520" w:type="dxa"/>
            <w:gridSpan w:val="7"/>
            <w:tcBorders>
              <w:top w:val="nil"/>
              <w:left w:val="nil"/>
              <w:bottom w:val="nil"/>
              <w:right w:val="nil"/>
              <w:tl2br w:val="nil"/>
              <w:tr2bl w:val="nil"/>
            </w:tcBorders>
            <w:shd w:val="clear" w:color="auto" w:fill="auto"/>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Transactions Involving Owners Affecting Accumulated Funds</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157</w:t>
            </w:r>
            <w:r w:rsidR="00904EBD">
              <w:rPr>
                <w:rFonts w:eastAsia="Calibri" w:cs="Calibri"/>
                <w:color w:val="000000"/>
                <w:sz w:val="18"/>
              </w:rPr>
              <w:t>,</w:t>
            </w:r>
            <w:r>
              <w:rPr>
                <w:rFonts w:eastAsia="Calibri" w:cs="Calibri"/>
                <w:color w:val="000000"/>
                <w:sz w:val="18"/>
              </w:rPr>
              <w:t>393</w:t>
            </w:r>
          </w:p>
        </w:tc>
        <w:tc>
          <w:tcPr>
            <w:tcW w:w="274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Capital Injections</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99</w:t>
            </w:r>
            <w:r w:rsidR="00904EBD">
              <w:rPr>
                <w:rFonts w:eastAsia="Calibri" w:cs="Calibri"/>
                <w:color w:val="000000"/>
                <w:sz w:val="18"/>
              </w:rPr>
              <w:t>,</w:t>
            </w:r>
            <w:r>
              <w:rPr>
                <w:rFonts w:eastAsia="Calibri" w:cs="Calibri"/>
                <w:color w:val="000000"/>
                <w:sz w:val="18"/>
              </w:rPr>
              <w:t>146</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123</w:t>
            </w:r>
            <w:r w:rsidR="00904EBD">
              <w:rPr>
                <w:rFonts w:eastAsia="Calibri" w:cs="Calibri"/>
                <w:color w:val="000000"/>
                <w:sz w:val="18"/>
              </w:rPr>
              <w:t>,</w:t>
            </w:r>
            <w:r>
              <w:rPr>
                <w:rFonts w:eastAsia="Calibri" w:cs="Calibri"/>
                <w:color w:val="000000"/>
                <w:sz w:val="18"/>
              </w:rPr>
              <w:t>012</w:t>
            </w:r>
          </w:p>
        </w:tc>
        <w:tc>
          <w:tcPr>
            <w:tcW w:w="600"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24 </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105</w:t>
            </w:r>
            <w:r w:rsidR="00904EBD">
              <w:rPr>
                <w:rFonts w:eastAsia="Calibri" w:cs="Calibri"/>
                <w:color w:val="000000"/>
                <w:sz w:val="18"/>
              </w:rPr>
              <w:t>,</w:t>
            </w:r>
            <w:r>
              <w:rPr>
                <w:rFonts w:eastAsia="Calibri" w:cs="Calibri"/>
                <w:color w:val="000000"/>
                <w:sz w:val="18"/>
              </w:rPr>
              <w:t>465</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11</w:t>
            </w:r>
            <w:r w:rsidR="00904EBD">
              <w:rPr>
                <w:rFonts w:eastAsia="Calibri" w:cs="Calibri"/>
                <w:color w:val="000000"/>
                <w:sz w:val="18"/>
              </w:rPr>
              <w:t>,</w:t>
            </w:r>
            <w:r>
              <w:rPr>
                <w:rFonts w:eastAsia="Calibri" w:cs="Calibri"/>
                <w:color w:val="000000"/>
                <w:sz w:val="18"/>
              </w:rPr>
              <w:t>017</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w:t>
            </w:r>
            <w:r w:rsidR="00904EBD">
              <w:rPr>
                <w:rFonts w:eastAsia="Calibri" w:cs="Calibri"/>
                <w:color w:val="000000"/>
                <w:sz w:val="18"/>
              </w:rPr>
              <w:t>,</w:t>
            </w:r>
            <w:r>
              <w:rPr>
                <w:rFonts w:eastAsia="Calibri" w:cs="Calibri"/>
                <w:color w:val="000000"/>
                <w:sz w:val="18"/>
              </w:rPr>
              <w:t>981</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274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157</w:t>
            </w:r>
            <w:r w:rsidR="00904EBD">
              <w:rPr>
                <w:rFonts w:eastAsia="Calibri" w:cs="Calibri"/>
                <w:b/>
                <w:color w:val="000000"/>
                <w:sz w:val="18"/>
              </w:rPr>
              <w:t>,</w:t>
            </w:r>
            <w:r>
              <w:rPr>
                <w:rFonts w:eastAsia="Calibri" w:cs="Calibri"/>
                <w:b/>
                <w:color w:val="000000"/>
                <w:sz w:val="18"/>
              </w:rPr>
              <w:t>393</w:t>
            </w:r>
          </w:p>
        </w:tc>
        <w:tc>
          <w:tcPr>
            <w:tcW w:w="2745" w:type="dxa"/>
            <w:tcBorders>
              <w:top w:val="nil"/>
              <w:left w:val="nil"/>
              <w:bottom w:val="nil"/>
              <w:right w:val="nil"/>
              <w:tl2br w:val="nil"/>
              <w:tr2bl w:val="nil"/>
            </w:tcBorders>
            <w:shd w:val="clear" w:color="auto" w:fill="auto"/>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Total Transactions Involving Owners Affecting Accumulated Funds</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99</w:t>
            </w:r>
            <w:r w:rsidR="00904EBD">
              <w:rPr>
                <w:rFonts w:eastAsia="Calibri" w:cs="Calibri"/>
                <w:b/>
                <w:color w:val="000000"/>
                <w:sz w:val="18"/>
              </w:rPr>
              <w:t>,</w:t>
            </w:r>
            <w:r>
              <w:rPr>
                <w:rFonts w:eastAsia="Calibri" w:cs="Calibri"/>
                <w:b/>
                <w:color w:val="000000"/>
                <w:sz w:val="18"/>
              </w:rPr>
              <w:t>146</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123</w:t>
            </w:r>
            <w:r w:rsidR="00904EBD">
              <w:rPr>
                <w:rFonts w:eastAsia="Calibri" w:cs="Calibri"/>
                <w:b/>
                <w:color w:val="000000"/>
                <w:sz w:val="18"/>
              </w:rPr>
              <w:t>,</w:t>
            </w:r>
            <w:r>
              <w:rPr>
                <w:rFonts w:eastAsia="Calibri" w:cs="Calibri"/>
                <w:b/>
                <w:color w:val="000000"/>
                <w:sz w:val="18"/>
              </w:rPr>
              <w:t>012</w:t>
            </w:r>
          </w:p>
        </w:tc>
        <w:tc>
          <w:tcPr>
            <w:tcW w:w="600"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24 </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105</w:t>
            </w:r>
            <w:r w:rsidR="00904EBD">
              <w:rPr>
                <w:rFonts w:eastAsia="Calibri" w:cs="Calibri"/>
                <w:b/>
                <w:color w:val="000000"/>
                <w:sz w:val="18"/>
              </w:rPr>
              <w:t>,</w:t>
            </w:r>
            <w:r>
              <w:rPr>
                <w:rFonts w:eastAsia="Calibri" w:cs="Calibri"/>
                <w:b/>
                <w:color w:val="000000"/>
                <w:sz w:val="18"/>
              </w:rPr>
              <w:t>465</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11</w:t>
            </w:r>
            <w:r w:rsidR="00904EBD">
              <w:rPr>
                <w:rFonts w:eastAsia="Calibri" w:cs="Calibri"/>
                <w:b/>
                <w:color w:val="000000"/>
                <w:sz w:val="18"/>
              </w:rPr>
              <w:t>,</w:t>
            </w:r>
            <w:r>
              <w:rPr>
                <w:rFonts w:eastAsia="Calibri" w:cs="Calibri"/>
                <w:b/>
                <w:color w:val="000000"/>
                <w:sz w:val="18"/>
              </w:rPr>
              <w:t>017</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4</w:t>
            </w:r>
            <w:r w:rsidR="00904EBD">
              <w:rPr>
                <w:rFonts w:eastAsia="Calibri" w:cs="Calibri"/>
                <w:b/>
                <w:color w:val="000000"/>
                <w:sz w:val="18"/>
              </w:rPr>
              <w:t>,</w:t>
            </w:r>
            <w:r>
              <w:rPr>
                <w:rFonts w:eastAsia="Calibri" w:cs="Calibri"/>
                <w:b/>
                <w:color w:val="000000"/>
                <w:sz w:val="18"/>
              </w:rPr>
              <w:t>981</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274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2745" w:type="dxa"/>
            <w:tcBorders>
              <w:top w:val="nil"/>
              <w:left w:val="nil"/>
              <w:bottom w:val="nil"/>
              <w:right w:val="nil"/>
              <w:tl2br w:val="nil"/>
              <w:tr2bl w:val="nil"/>
            </w:tcBorders>
            <w:shd w:val="clear" w:color="auto" w:fill="auto"/>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Closing Equity</w:t>
            </w: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099</w:t>
            </w:r>
            <w:r w:rsidR="00904EBD">
              <w:rPr>
                <w:rFonts w:eastAsia="Calibri" w:cs="Calibri"/>
                <w:color w:val="000000"/>
                <w:sz w:val="18"/>
              </w:rPr>
              <w:t>,</w:t>
            </w:r>
            <w:r>
              <w:rPr>
                <w:rFonts w:eastAsia="Calibri" w:cs="Calibri"/>
                <w:color w:val="000000"/>
                <w:sz w:val="18"/>
              </w:rPr>
              <w:t>327</w:t>
            </w:r>
          </w:p>
        </w:tc>
        <w:tc>
          <w:tcPr>
            <w:tcW w:w="2745" w:type="dxa"/>
            <w:tcBorders>
              <w:top w:val="nil"/>
              <w:left w:val="nil"/>
              <w:bottom w:val="nil"/>
              <w:right w:val="nil"/>
              <w:tl2br w:val="nil"/>
              <w:tr2bl w:val="nil"/>
            </w:tcBorders>
            <w:shd w:val="clear" w:color="auto" w:fill="auto"/>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Closing Accumulated Funds</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967</w:t>
            </w:r>
            <w:r w:rsidR="00904EBD">
              <w:rPr>
                <w:rFonts w:eastAsia="Calibri" w:cs="Calibri"/>
                <w:color w:val="000000"/>
                <w:sz w:val="18"/>
              </w:rPr>
              <w:t>,</w:t>
            </w:r>
            <w:r>
              <w:rPr>
                <w:rFonts w:eastAsia="Calibri" w:cs="Calibri"/>
                <w:color w:val="000000"/>
                <w:sz w:val="18"/>
              </w:rPr>
              <w:t>669</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030</w:t>
            </w:r>
            <w:r w:rsidR="00904EBD">
              <w:rPr>
                <w:rFonts w:eastAsia="Calibri" w:cs="Calibri"/>
                <w:color w:val="000000"/>
                <w:sz w:val="18"/>
              </w:rPr>
              <w:t>,</w:t>
            </w:r>
            <w:r>
              <w:rPr>
                <w:rFonts w:eastAsia="Calibri" w:cs="Calibri"/>
                <w:color w:val="000000"/>
                <w:sz w:val="18"/>
              </w:rPr>
              <w:t>677</w:t>
            </w:r>
          </w:p>
        </w:tc>
        <w:tc>
          <w:tcPr>
            <w:tcW w:w="600"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7 </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069</w:t>
            </w:r>
            <w:r w:rsidR="00904EBD">
              <w:rPr>
                <w:rFonts w:eastAsia="Calibri" w:cs="Calibri"/>
                <w:color w:val="000000"/>
                <w:sz w:val="18"/>
              </w:rPr>
              <w:t>,</w:t>
            </w:r>
            <w:r>
              <w:rPr>
                <w:rFonts w:eastAsia="Calibri" w:cs="Calibri"/>
                <w:color w:val="000000"/>
                <w:sz w:val="18"/>
              </w:rPr>
              <w:t>508</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007</w:t>
            </w:r>
            <w:r w:rsidR="00904EBD">
              <w:rPr>
                <w:rFonts w:eastAsia="Calibri" w:cs="Calibri"/>
                <w:color w:val="000000"/>
                <w:sz w:val="18"/>
              </w:rPr>
              <w:t>,</w:t>
            </w:r>
            <w:r>
              <w:rPr>
                <w:rFonts w:eastAsia="Calibri" w:cs="Calibri"/>
                <w:color w:val="000000"/>
                <w:sz w:val="18"/>
              </w:rPr>
              <w:t>471</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945</w:t>
            </w:r>
            <w:r w:rsidR="00904EBD">
              <w:rPr>
                <w:rFonts w:eastAsia="Calibri" w:cs="Calibri"/>
                <w:color w:val="000000"/>
                <w:sz w:val="18"/>
              </w:rPr>
              <w:t>,</w:t>
            </w:r>
            <w:r>
              <w:rPr>
                <w:rFonts w:eastAsia="Calibri" w:cs="Calibri"/>
                <w:color w:val="000000"/>
                <w:sz w:val="18"/>
              </w:rPr>
              <w:t>841</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131</w:t>
            </w:r>
            <w:r w:rsidR="00904EBD">
              <w:rPr>
                <w:rFonts w:eastAsia="Calibri" w:cs="Calibri"/>
                <w:color w:val="000000"/>
                <w:sz w:val="18"/>
              </w:rPr>
              <w:t>,</w:t>
            </w:r>
            <w:r>
              <w:rPr>
                <w:rFonts w:eastAsia="Calibri" w:cs="Calibri"/>
                <w:color w:val="000000"/>
                <w:sz w:val="18"/>
              </w:rPr>
              <w:t>031</w:t>
            </w:r>
          </w:p>
        </w:tc>
        <w:tc>
          <w:tcPr>
            <w:tcW w:w="2745" w:type="dxa"/>
            <w:tcBorders>
              <w:top w:val="nil"/>
              <w:left w:val="nil"/>
              <w:bottom w:val="nil"/>
              <w:right w:val="nil"/>
              <w:tl2br w:val="nil"/>
              <w:tr2bl w:val="nil"/>
            </w:tcBorders>
            <w:shd w:val="clear" w:color="auto" w:fill="auto"/>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Closing Asset Revaluation Reserve</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132</w:t>
            </w:r>
            <w:r w:rsidR="00904EBD">
              <w:rPr>
                <w:rFonts w:eastAsia="Calibri" w:cs="Calibri"/>
                <w:color w:val="000000"/>
                <w:sz w:val="18"/>
              </w:rPr>
              <w:t>,</w:t>
            </w:r>
            <w:r>
              <w:rPr>
                <w:rFonts w:eastAsia="Calibri" w:cs="Calibri"/>
                <w:color w:val="000000"/>
                <w:sz w:val="18"/>
              </w:rPr>
              <w:t>625</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132</w:t>
            </w:r>
            <w:r w:rsidR="00904EBD">
              <w:rPr>
                <w:rFonts w:eastAsia="Calibri" w:cs="Calibri"/>
                <w:color w:val="000000"/>
                <w:sz w:val="18"/>
              </w:rPr>
              <w:t>,</w:t>
            </w:r>
            <w:r>
              <w:rPr>
                <w:rFonts w:eastAsia="Calibri" w:cs="Calibri"/>
                <w:color w:val="000000"/>
                <w:sz w:val="18"/>
              </w:rPr>
              <w:t>625</w:t>
            </w:r>
          </w:p>
        </w:tc>
        <w:tc>
          <w:tcPr>
            <w:tcW w:w="600"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132</w:t>
            </w:r>
            <w:r w:rsidR="00904EBD">
              <w:rPr>
                <w:rFonts w:eastAsia="Calibri" w:cs="Calibri"/>
                <w:color w:val="000000"/>
                <w:sz w:val="18"/>
              </w:rPr>
              <w:t>,</w:t>
            </w:r>
            <w:r>
              <w:rPr>
                <w:rFonts w:eastAsia="Calibri" w:cs="Calibri"/>
                <w:color w:val="000000"/>
                <w:sz w:val="18"/>
              </w:rPr>
              <w:t>625</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132</w:t>
            </w:r>
            <w:r w:rsidR="00904EBD">
              <w:rPr>
                <w:rFonts w:eastAsia="Calibri" w:cs="Calibri"/>
                <w:color w:val="000000"/>
                <w:sz w:val="18"/>
              </w:rPr>
              <w:t>,</w:t>
            </w:r>
            <w:r>
              <w:rPr>
                <w:rFonts w:eastAsia="Calibri" w:cs="Calibri"/>
                <w:color w:val="000000"/>
                <w:sz w:val="18"/>
              </w:rPr>
              <w:t>625</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132</w:t>
            </w:r>
            <w:r w:rsidR="00904EBD">
              <w:rPr>
                <w:rFonts w:eastAsia="Calibri" w:cs="Calibri"/>
                <w:color w:val="000000"/>
                <w:sz w:val="18"/>
              </w:rPr>
              <w:t>,</w:t>
            </w:r>
            <w:r>
              <w:rPr>
                <w:rFonts w:eastAsia="Calibri" w:cs="Calibri"/>
                <w:color w:val="000000"/>
                <w:sz w:val="18"/>
              </w:rPr>
              <w:t>625</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274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230</w:t>
            </w:r>
            <w:r w:rsidR="00904EBD">
              <w:rPr>
                <w:rFonts w:eastAsia="Calibri" w:cs="Calibri"/>
                <w:b/>
                <w:color w:val="000000"/>
                <w:sz w:val="18"/>
              </w:rPr>
              <w:t>,</w:t>
            </w:r>
            <w:r>
              <w:rPr>
                <w:rFonts w:eastAsia="Calibri" w:cs="Calibri"/>
                <w:b/>
                <w:color w:val="000000"/>
                <w:sz w:val="18"/>
              </w:rPr>
              <w:t>358</w:t>
            </w:r>
          </w:p>
        </w:tc>
        <w:tc>
          <w:tcPr>
            <w:tcW w:w="274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Balance at the end of the Reporting Period</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100</w:t>
            </w:r>
            <w:r w:rsidR="00904EBD">
              <w:rPr>
                <w:rFonts w:eastAsia="Calibri" w:cs="Calibri"/>
                <w:b/>
                <w:color w:val="000000"/>
                <w:sz w:val="18"/>
              </w:rPr>
              <w:t>,</w:t>
            </w:r>
            <w:r>
              <w:rPr>
                <w:rFonts w:eastAsia="Calibri" w:cs="Calibri"/>
                <w:b/>
                <w:color w:val="000000"/>
                <w:sz w:val="18"/>
              </w:rPr>
              <w:t>294</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163</w:t>
            </w:r>
            <w:r w:rsidR="00904EBD">
              <w:rPr>
                <w:rFonts w:eastAsia="Calibri" w:cs="Calibri"/>
                <w:b/>
                <w:color w:val="000000"/>
                <w:sz w:val="18"/>
              </w:rPr>
              <w:t>,</w:t>
            </w:r>
            <w:r>
              <w:rPr>
                <w:rFonts w:eastAsia="Calibri" w:cs="Calibri"/>
                <w:b/>
                <w:color w:val="000000"/>
                <w:sz w:val="18"/>
              </w:rPr>
              <w:t>302</w:t>
            </w:r>
          </w:p>
        </w:tc>
        <w:tc>
          <w:tcPr>
            <w:tcW w:w="600"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6</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202</w:t>
            </w:r>
            <w:r w:rsidR="00904EBD">
              <w:rPr>
                <w:rFonts w:eastAsia="Calibri" w:cs="Calibri"/>
                <w:b/>
                <w:color w:val="000000"/>
                <w:sz w:val="18"/>
              </w:rPr>
              <w:t>,</w:t>
            </w:r>
            <w:r>
              <w:rPr>
                <w:rFonts w:eastAsia="Calibri" w:cs="Calibri"/>
                <w:b/>
                <w:color w:val="000000"/>
                <w:sz w:val="18"/>
              </w:rPr>
              <w:t>133</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140</w:t>
            </w:r>
            <w:r w:rsidR="00904EBD">
              <w:rPr>
                <w:rFonts w:eastAsia="Calibri" w:cs="Calibri"/>
                <w:b/>
                <w:color w:val="000000"/>
                <w:sz w:val="18"/>
              </w:rPr>
              <w:t>,</w:t>
            </w:r>
            <w:r>
              <w:rPr>
                <w:rFonts w:eastAsia="Calibri" w:cs="Calibri"/>
                <w:b/>
                <w:color w:val="000000"/>
                <w:sz w:val="18"/>
              </w:rPr>
              <w:t>096</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078</w:t>
            </w:r>
            <w:r w:rsidR="00904EBD">
              <w:rPr>
                <w:rFonts w:eastAsia="Calibri" w:cs="Calibri"/>
                <w:b/>
                <w:color w:val="000000"/>
                <w:sz w:val="18"/>
              </w:rPr>
              <w:t>,</w:t>
            </w:r>
            <w:r>
              <w:rPr>
                <w:rFonts w:eastAsia="Calibri" w:cs="Calibri"/>
                <w:b/>
                <w:color w:val="000000"/>
                <w:sz w:val="18"/>
              </w:rPr>
              <w:t>466</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74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bl>
    <w:p w:rsidR="00281F97" w:rsidRDefault="00765F6E" w:rsidP="00281F97">
      <w:pPr>
        <w:pStyle w:val="Caption"/>
        <w:pageBreakBefore/>
        <w:pBdr>
          <w:top w:val="nil"/>
          <w:left w:val="nil"/>
          <w:bottom w:val="nil"/>
          <w:right w:val="nil"/>
          <w:between w:val="nil"/>
          <w:bar w:val="nil"/>
        </w:pBdr>
        <w:outlineLvl w:val="0"/>
        <w:rPr>
          <w:bdr w:val="nil"/>
        </w:rPr>
      </w:pPr>
      <w:bookmarkStart w:id="141" w:name="_Toc514764132"/>
      <w:bookmarkStart w:id="142" w:name="_Toc514765758"/>
      <w:bookmarkStart w:id="143" w:name="_Toc514832382"/>
      <w:bookmarkStart w:id="144" w:name="_Toc514832565"/>
      <w:r>
        <w:rPr>
          <w:bdr w:val="nil"/>
        </w:rPr>
        <w:lastRenderedPageBreak/>
        <w:t>Table 3</w:t>
      </w:r>
      <w:r w:rsidR="00141A32">
        <w:rPr>
          <w:bdr w:val="nil"/>
        </w:rPr>
        <w:t>5</w:t>
      </w:r>
      <w:r>
        <w:rPr>
          <w:bdr w:val="nil"/>
        </w:rPr>
        <w:t>: Health Directorate: Cash Flow Statement</w:t>
      </w:r>
      <w:bookmarkEnd w:id="141"/>
      <w:bookmarkEnd w:id="142"/>
      <w:bookmarkEnd w:id="143"/>
      <w:bookmarkEnd w:id="144"/>
      <w:r>
        <w:rPr>
          <w:bdr w:val="nil"/>
        </w:rPr>
        <w:t xml:space="preserve"> </w:t>
      </w:r>
    </w:p>
    <w:tbl>
      <w:tblPr>
        <w:tblStyle w:val="CDMRange2"/>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237D6F">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2017-18 Budget            </w:t>
            </w:r>
          </w:p>
          <w:p w:rsidR="00237D6F" w:rsidRDefault="00237D6F">
            <w:pPr>
              <w:spacing w:before="0" w:after="0"/>
              <w:jc w:val="right"/>
              <w:rPr>
                <w:rFonts w:eastAsia="Calibri" w:cs="Calibri"/>
                <w:b/>
                <w:color w:val="000000"/>
                <w:sz w:val="18"/>
              </w:rPr>
            </w:pPr>
          </w:p>
          <w:p w:rsidR="00237D6F" w:rsidRDefault="00765F6E">
            <w:pPr>
              <w:spacing w:before="0" w:after="0"/>
              <w:jc w:val="right"/>
              <w:rPr>
                <w:rFonts w:eastAsia="Calibri" w:cs="Calibri"/>
                <w:b/>
                <w:color w:val="000000"/>
                <w:sz w:val="18"/>
              </w:rPr>
            </w:pPr>
            <w:r>
              <w:rPr>
                <w:rFonts w:eastAsia="Calibri" w:cs="Calibri"/>
                <w:b/>
                <w:color w:val="000000"/>
                <w:sz w:val="18"/>
              </w:rPr>
              <w:t xml:space="preserve"> $'000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2018-19 Budget            </w:t>
            </w:r>
          </w:p>
          <w:p w:rsidR="00237D6F" w:rsidRDefault="00237D6F">
            <w:pPr>
              <w:spacing w:before="0" w:after="0"/>
              <w:jc w:val="right"/>
              <w:rPr>
                <w:rFonts w:eastAsia="Calibri" w:cs="Calibri"/>
                <w:b/>
                <w:color w:val="000000"/>
                <w:sz w:val="18"/>
              </w:rPr>
            </w:pPr>
          </w:p>
          <w:p w:rsidR="00237D6F" w:rsidRDefault="00765F6E">
            <w:pPr>
              <w:spacing w:before="0" w:after="0"/>
              <w:jc w:val="right"/>
              <w:rPr>
                <w:rFonts w:eastAsia="Calibri" w:cs="Calibri"/>
                <w:b/>
                <w:color w:val="000000"/>
                <w:sz w:val="18"/>
              </w:rPr>
            </w:pPr>
            <w:r>
              <w:rPr>
                <w:rFonts w:eastAsia="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proofErr w:type="spellStart"/>
            <w:r>
              <w:rPr>
                <w:rFonts w:eastAsia="Calibri" w:cs="Calibri"/>
                <w:b/>
                <w:color w:val="000000"/>
                <w:sz w:val="18"/>
              </w:rPr>
              <w:t>Var</w:t>
            </w:r>
            <w:proofErr w:type="spellEnd"/>
            <w:r>
              <w:rPr>
                <w:rFonts w:eastAsia="Calibri" w:cs="Calibri"/>
                <w:b/>
                <w:color w:val="000000"/>
                <w:sz w:val="18"/>
              </w:rPr>
              <w:t xml:space="preserve"> </w:t>
            </w:r>
          </w:p>
          <w:p w:rsidR="00237D6F" w:rsidRDefault="00765F6E">
            <w:pPr>
              <w:spacing w:before="0" w:after="0"/>
              <w:jc w:val="right"/>
              <w:rPr>
                <w:rFonts w:eastAsia="Calibri" w:cs="Calibri"/>
                <w:b/>
                <w:color w:val="000000"/>
                <w:sz w:val="18"/>
              </w:rPr>
            </w:pPr>
            <w:r>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2019-20 Estimate            </w:t>
            </w:r>
          </w:p>
          <w:p w:rsidR="00237D6F" w:rsidRDefault="00237D6F">
            <w:pPr>
              <w:spacing w:before="0" w:after="0"/>
              <w:jc w:val="right"/>
              <w:rPr>
                <w:rFonts w:eastAsia="Calibri" w:cs="Calibri"/>
                <w:b/>
                <w:color w:val="000000"/>
                <w:sz w:val="18"/>
              </w:rPr>
            </w:pPr>
          </w:p>
          <w:p w:rsidR="00237D6F" w:rsidRDefault="00765F6E">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2020-21 Estimate            </w:t>
            </w:r>
          </w:p>
          <w:p w:rsidR="00237D6F" w:rsidRDefault="00237D6F">
            <w:pPr>
              <w:spacing w:before="0" w:after="0"/>
              <w:jc w:val="right"/>
              <w:rPr>
                <w:rFonts w:eastAsia="Calibri" w:cs="Calibri"/>
                <w:b/>
                <w:color w:val="000000"/>
                <w:sz w:val="18"/>
              </w:rPr>
            </w:pPr>
          </w:p>
          <w:p w:rsidR="00237D6F" w:rsidRDefault="00765F6E">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2021-22 Estimate            </w:t>
            </w:r>
          </w:p>
          <w:p w:rsidR="00237D6F" w:rsidRDefault="00237D6F">
            <w:pPr>
              <w:spacing w:before="0" w:after="0"/>
              <w:jc w:val="right"/>
              <w:rPr>
                <w:rFonts w:eastAsia="Calibri" w:cs="Calibri"/>
                <w:b/>
                <w:color w:val="000000"/>
                <w:sz w:val="18"/>
              </w:rPr>
            </w:pPr>
          </w:p>
          <w:p w:rsidR="00237D6F" w:rsidRDefault="00765F6E">
            <w:pPr>
              <w:spacing w:before="0" w:after="0"/>
              <w:jc w:val="right"/>
              <w:rPr>
                <w:rFonts w:eastAsia="Calibri" w:cs="Calibri"/>
                <w:b/>
                <w:color w:val="000000"/>
                <w:sz w:val="18"/>
              </w:rPr>
            </w:pPr>
            <w:r>
              <w:rPr>
                <w:rFonts w:eastAsia="Calibri" w:cs="Calibri"/>
                <w:b/>
                <w:color w:val="000000"/>
                <w:sz w:val="18"/>
              </w:rPr>
              <w:t xml:space="preserve"> $'000</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auto" w:fill="auto"/>
            <w:noWrap/>
            <w:tcMar>
              <w:left w:w="0" w:type="dxa"/>
              <w:right w:w="0" w:type="dxa"/>
            </w:tcMar>
          </w:tcPr>
          <w:p w:rsidR="00237D6F" w:rsidRDefault="00237D6F">
            <w:pPr>
              <w:spacing w:before="0" w:after="0"/>
              <w:rPr>
                <w:rFonts w:eastAsia="Calibri" w:cs="Calibri"/>
                <w:color w:val="000000"/>
                <w:sz w:val="18"/>
              </w:rPr>
            </w:pPr>
          </w:p>
        </w:tc>
        <w:tc>
          <w:tcPr>
            <w:tcW w:w="8160" w:type="dxa"/>
            <w:gridSpan w:val="7"/>
            <w:tcBorders>
              <w:top w:val="nil"/>
              <w:left w:val="nil"/>
              <w:bottom w:val="nil"/>
              <w:right w:val="nil"/>
              <w:tl2br w:val="nil"/>
              <w:tr2bl w:val="nil"/>
            </w:tcBorders>
            <w:shd w:val="clear" w:color="auto" w:fill="auto"/>
            <w:tcMar>
              <w:left w:w="101" w:type="dxa"/>
              <w:right w:w="101" w:type="dxa"/>
            </w:tcMar>
            <w:vAlign w:val="bottom"/>
          </w:tcPr>
          <w:p w:rsidR="00237D6F" w:rsidRDefault="00765F6E">
            <w:pPr>
              <w:spacing w:before="0" w:after="0"/>
              <w:rPr>
                <w:rFonts w:eastAsia="Calibri" w:cs="Calibri"/>
                <w:b/>
                <w:color w:val="000000"/>
                <w:sz w:val="18"/>
              </w:rPr>
            </w:pPr>
            <w:r>
              <w:rPr>
                <w:rFonts w:eastAsia="Calibri" w:cs="Calibri"/>
                <w:b/>
                <w:color w:val="000000"/>
                <w:sz w:val="18"/>
              </w:rPr>
              <w:t>CASH FLOWS FROM OPERATING ACTIVITIES</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Receipts</w:t>
            </w: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313</w:t>
            </w:r>
            <w:r w:rsidR="00904EBD">
              <w:rPr>
                <w:rFonts w:eastAsia="Calibri" w:cs="Calibri"/>
                <w:color w:val="000000"/>
                <w:sz w:val="18"/>
              </w:rPr>
              <w:t>,</w:t>
            </w:r>
            <w:r>
              <w:rPr>
                <w:rFonts w:eastAsia="Calibri" w:cs="Calibri"/>
                <w:color w:val="000000"/>
                <w:sz w:val="18"/>
              </w:rPr>
              <w:t>371</w:t>
            </w:r>
          </w:p>
        </w:tc>
        <w:tc>
          <w:tcPr>
            <w:tcW w:w="238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Controlled Recurrent Payments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297</w:t>
            </w:r>
            <w:r w:rsidR="00904EBD">
              <w:rPr>
                <w:rFonts w:eastAsia="Calibri" w:cs="Calibri"/>
                <w:color w:val="000000"/>
                <w:sz w:val="18"/>
              </w:rPr>
              <w:t>,</w:t>
            </w:r>
            <w:r>
              <w:rPr>
                <w:rFonts w:eastAsia="Calibri" w:cs="Calibri"/>
                <w:color w:val="000000"/>
                <w:sz w:val="18"/>
              </w:rPr>
              <w:t>851</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310</w:t>
            </w:r>
            <w:r w:rsidR="00904EBD">
              <w:rPr>
                <w:rFonts w:eastAsia="Calibri" w:cs="Calibri"/>
                <w:color w:val="000000"/>
                <w:sz w:val="18"/>
              </w:rPr>
              <w:t>,</w:t>
            </w:r>
            <w:r>
              <w:rPr>
                <w:rFonts w:eastAsia="Calibri" w:cs="Calibri"/>
                <w:color w:val="000000"/>
                <w:sz w:val="18"/>
              </w:rPr>
              <w:t>654</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4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313</w:t>
            </w:r>
            <w:r w:rsidR="00904EBD">
              <w:rPr>
                <w:rFonts w:eastAsia="Calibri" w:cs="Calibri"/>
                <w:color w:val="000000"/>
                <w:sz w:val="18"/>
              </w:rPr>
              <w:t>,</w:t>
            </w:r>
            <w:r>
              <w:rPr>
                <w:rFonts w:eastAsia="Calibri" w:cs="Calibri"/>
                <w:color w:val="000000"/>
                <w:sz w:val="18"/>
              </w:rPr>
              <w:t>625</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294</w:t>
            </w:r>
            <w:r w:rsidR="00904EBD">
              <w:rPr>
                <w:rFonts w:eastAsia="Calibri" w:cs="Calibri"/>
                <w:color w:val="000000"/>
                <w:sz w:val="18"/>
              </w:rPr>
              <w:t>,</w:t>
            </w:r>
            <w:r>
              <w:rPr>
                <w:rFonts w:eastAsia="Calibri" w:cs="Calibri"/>
                <w:color w:val="000000"/>
                <w:sz w:val="18"/>
              </w:rPr>
              <w:t>875</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266</w:t>
            </w:r>
            <w:r w:rsidR="00904EBD">
              <w:rPr>
                <w:rFonts w:eastAsia="Calibri" w:cs="Calibri"/>
                <w:color w:val="000000"/>
                <w:sz w:val="18"/>
              </w:rPr>
              <w:t>,</w:t>
            </w:r>
            <w:r>
              <w:rPr>
                <w:rFonts w:eastAsia="Calibri" w:cs="Calibri"/>
                <w:color w:val="000000"/>
                <w:sz w:val="18"/>
              </w:rPr>
              <w:t>943</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999</w:t>
            </w:r>
            <w:r w:rsidR="00904EBD">
              <w:rPr>
                <w:rFonts w:eastAsia="Calibri" w:cs="Calibri"/>
                <w:color w:val="000000"/>
                <w:sz w:val="18"/>
              </w:rPr>
              <w:t>,</w:t>
            </w:r>
            <w:r>
              <w:rPr>
                <w:rFonts w:eastAsia="Calibri" w:cs="Calibri"/>
                <w:color w:val="000000"/>
                <w:sz w:val="18"/>
              </w:rPr>
              <w:t>365</w:t>
            </w:r>
          </w:p>
        </w:tc>
        <w:tc>
          <w:tcPr>
            <w:tcW w:w="238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User Charges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000</w:t>
            </w:r>
            <w:r w:rsidR="00904EBD">
              <w:rPr>
                <w:rFonts w:eastAsia="Calibri" w:cs="Calibri"/>
                <w:color w:val="000000"/>
                <w:sz w:val="18"/>
              </w:rPr>
              <w:t>,</w:t>
            </w:r>
            <w:r>
              <w:rPr>
                <w:rFonts w:eastAsia="Calibri" w:cs="Calibri"/>
                <w:color w:val="000000"/>
                <w:sz w:val="18"/>
              </w:rPr>
              <w:t>015</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047</w:t>
            </w:r>
            <w:r w:rsidR="00904EBD">
              <w:rPr>
                <w:rFonts w:eastAsia="Calibri" w:cs="Calibri"/>
                <w:color w:val="000000"/>
                <w:sz w:val="18"/>
              </w:rPr>
              <w:t>,</w:t>
            </w:r>
            <w:r>
              <w:rPr>
                <w:rFonts w:eastAsia="Calibri" w:cs="Calibri"/>
                <w:color w:val="000000"/>
                <w:sz w:val="18"/>
              </w:rPr>
              <w:t>059</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5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076</w:t>
            </w:r>
            <w:r w:rsidR="00904EBD">
              <w:rPr>
                <w:rFonts w:eastAsia="Calibri" w:cs="Calibri"/>
                <w:color w:val="000000"/>
                <w:sz w:val="18"/>
              </w:rPr>
              <w:t>,</w:t>
            </w:r>
            <w:r>
              <w:rPr>
                <w:rFonts w:eastAsia="Calibri" w:cs="Calibri"/>
                <w:color w:val="000000"/>
                <w:sz w:val="18"/>
              </w:rPr>
              <w:t>240</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124</w:t>
            </w:r>
            <w:r w:rsidR="00904EBD">
              <w:rPr>
                <w:rFonts w:eastAsia="Calibri" w:cs="Calibri"/>
                <w:color w:val="000000"/>
                <w:sz w:val="18"/>
              </w:rPr>
              <w:t>,</w:t>
            </w:r>
            <w:r>
              <w:rPr>
                <w:rFonts w:eastAsia="Calibri" w:cs="Calibri"/>
                <w:color w:val="000000"/>
                <w:sz w:val="18"/>
              </w:rPr>
              <w:t>287</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183</w:t>
            </w:r>
            <w:r w:rsidR="00904EBD">
              <w:rPr>
                <w:rFonts w:eastAsia="Calibri" w:cs="Calibri"/>
                <w:color w:val="000000"/>
                <w:sz w:val="18"/>
              </w:rPr>
              <w:t>,</w:t>
            </w:r>
            <w:r>
              <w:rPr>
                <w:rFonts w:eastAsia="Calibri" w:cs="Calibri"/>
                <w:color w:val="000000"/>
                <w:sz w:val="18"/>
              </w:rPr>
              <w:t>034</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w:t>
            </w:r>
            <w:r w:rsidR="00904EBD">
              <w:rPr>
                <w:rFonts w:eastAsia="Calibri" w:cs="Calibri"/>
                <w:color w:val="000000"/>
                <w:sz w:val="18"/>
              </w:rPr>
              <w:t>,</w:t>
            </w:r>
            <w:r>
              <w:rPr>
                <w:rFonts w:eastAsia="Calibri" w:cs="Calibri"/>
                <w:color w:val="000000"/>
                <w:sz w:val="18"/>
              </w:rPr>
              <w:t>085</w:t>
            </w:r>
          </w:p>
        </w:tc>
        <w:tc>
          <w:tcPr>
            <w:tcW w:w="238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Grants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w:t>
            </w:r>
            <w:r w:rsidR="00904EBD">
              <w:rPr>
                <w:rFonts w:eastAsia="Calibri" w:cs="Calibri"/>
                <w:color w:val="000000"/>
                <w:sz w:val="18"/>
              </w:rPr>
              <w:t>,</w:t>
            </w:r>
            <w:r>
              <w:rPr>
                <w:rFonts w:eastAsia="Calibri" w:cs="Calibri"/>
                <w:color w:val="000000"/>
                <w:sz w:val="18"/>
              </w:rPr>
              <w:t>435</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w:t>
            </w:r>
            <w:r w:rsidR="00904EBD">
              <w:rPr>
                <w:rFonts w:eastAsia="Calibri" w:cs="Calibri"/>
                <w:color w:val="000000"/>
                <w:sz w:val="18"/>
              </w:rPr>
              <w:t>,</w:t>
            </w:r>
            <w:r>
              <w:rPr>
                <w:rFonts w:eastAsia="Calibri" w:cs="Calibri"/>
                <w:color w:val="000000"/>
                <w:sz w:val="18"/>
              </w:rPr>
              <w:t>546</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w:t>
            </w:r>
            <w:r w:rsidR="00904EBD">
              <w:rPr>
                <w:rFonts w:eastAsia="Calibri" w:cs="Calibri"/>
                <w:color w:val="000000"/>
                <w:sz w:val="18"/>
              </w:rPr>
              <w:t>,</w:t>
            </w:r>
            <w:r>
              <w:rPr>
                <w:rFonts w:eastAsia="Calibri" w:cs="Calibri"/>
                <w:color w:val="000000"/>
                <w:sz w:val="18"/>
              </w:rPr>
              <w:t>659</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w:t>
            </w:r>
            <w:r w:rsidR="00904EBD">
              <w:rPr>
                <w:rFonts w:eastAsia="Calibri" w:cs="Calibri"/>
                <w:color w:val="000000"/>
                <w:sz w:val="18"/>
              </w:rPr>
              <w:t>,</w:t>
            </w:r>
            <w:r>
              <w:rPr>
                <w:rFonts w:eastAsia="Calibri" w:cs="Calibri"/>
                <w:color w:val="000000"/>
                <w:sz w:val="18"/>
              </w:rPr>
              <w:t>775</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w:t>
            </w:r>
            <w:r w:rsidR="00904EBD">
              <w:rPr>
                <w:rFonts w:eastAsia="Calibri" w:cs="Calibri"/>
                <w:color w:val="000000"/>
                <w:sz w:val="18"/>
              </w:rPr>
              <w:t>,</w:t>
            </w:r>
            <w:r>
              <w:rPr>
                <w:rFonts w:eastAsia="Calibri" w:cs="Calibri"/>
                <w:color w:val="000000"/>
                <w:sz w:val="18"/>
              </w:rPr>
              <w:t>894</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191</w:t>
            </w:r>
          </w:p>
        </w:tc>
        <w:tc>
          <w:tcPr>
            <w:tcW w:w="238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Interest Received</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191</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191</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195</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199</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204</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72</w:t>
            </w:r>
            <w:r w:rsidR="00904EBD">
              <w:rPr>
                <w:rFonts w:eastAsia="Calibri" w:cs="Calibri"/>
                <w:color w:val="000000"/>
                <w:sz w:val="18"/>
              </w:rPr>
              <w:t>,</w:t>
            </w:r>
            <w:r>
              <w:rPr>
                <w:rFonts w:eastAsia="Calibri" w:cs="Calibri"/>
                <w:color w:val="000000"/>
                <w:sz w:val="18"/>
              </w:rPr>
              <w:t>454</w:t>
            </w:r>
          </w:p>
        </w:tc>
        <w:tc>
          <w:tcPr>
            <w:tcW w:w="238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Other</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71</w:t>
            </w:r>
            <w:r w:rsidR="00904EBD">
              <w:rPr>
                <w:rFonts w:eastAsia="Calibri" w:cs="Calibri"/>
                <w:color w:val="000000"/>
                <w:sz w:val="18"/>
              </w:rPr>
              <w:t>,</w:t>
            </w:r>
            <w:r>
              <w:rPr>
                <w:rFonts w:eastAsia="Calibri" w:cs="Calibri"/>
                <w:color w:val="000000"/>
                <w:sz w:val="18"/>
              </w:rPr>
              <w:t>454</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71</w:t>
            </w:r>
            <w:r w:rsidR="00904EBD">
              <w:rPr>
                <w:rFonts w:eastAsia="Calibri" w:cs="Calibri"/>
                <w:color w:val="000000"/>
                <w:sz w:val="18"/>
              </w:rPr>
              <w:t>,</w:t>
            </w:r>
            <w:r>
              <w:rPr>
                <w:rFonts w:eastAsia="Calibri" w:cs="Calibri"/>
                <w:color w:val="000000"/>
                <w:sz w:val="18"/>
              </w:rPr>
              <w:t>846</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1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73</w:t>
            </w:r>
            <w:r w:rsidR="00904EBD">
              <w:rPr>
                <w:rFonts w:eastAsia="Calibri" w:cs="Calibri"/>
                <w:color w:val="000000"/>
                <w:sz w:val="18"/>
              </w:rPr>
              <w:t>,</w:t>
            </w:r>
            <w:r>
              <w:rPr>
                <w:rFonts w:eastAsia="Calibri" w:cs="Calibri"/>
                <w:color w:val="000000"/>
                <w:sz w:val="18"/>
              </w:rPr>
              <w:t>623</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75</w:t>
            </w:r>
            <w:r w:rsidR="00904EBD">
              <w:rPr>
                <w:rFonts w:eastAsia="Calibri" w:cs="Calibri"/>
                <w:color w:val="000000"/>
                <w:sz w:val="18"/>
              </w:rPr>
              <w:t>,</w:t>
            </w:r>
            <w:r>
              <w:rPr>
                <w:rFonts w:eastAsia="Calibri" w:cs="Calibri"/>
                <w:color w:val="000000"/>
                <w:sz w:val="18"/>
              </w:rPr>
              <w:t>356</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77</w:t>
            </w:r>
            <w:r w:rsidR="00904EBD">
              <w:rPr>
                <w:rFonts w:eastAsia="Calibri" w:cs="Calibri"/>
                <w:color w:val="000000"/>
                <w:sz w:val="18"/>
              </w:rPr>
              <w:t>,</w:t>
            </w:r>
            <w:r>
              <w:rPr>
                <w:rFonts w:eastAsia="Calibri" w:cs="Calibri"/>
                <w:color w:val="000000"/>
                <w:sz w:val="18"/>
              </w:rPr>
              <w:t>158</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389</w:t>
            </w:r>
            <w:r w:rsidR="00904EBD">
              <w:rPr>
                <w:rFonts w:eastAsia="Calibri" w:cs="Calibri"/>
                <w:b/>
                <w:color w:val="000000"/>
                <w:sz w:val="18"/>
              </w:rPr>
              <w:t>,</w:t>
            </w:r>
            <w:r>
              <w:rPr>
                <w:rFonts w:eastAsia="Calibri" w:cs="Calibri"/>
                <w:b/>
                <w:color w:val="000000"/>
                <w:sz w:val="18"/>
              </w:rPr>
              <w:t>466</w:t>
            </w:r>
          </w:p>
        </w:tc>
        <w:tc>
          <w:tcPr>
            <w:tcW w:w="238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Operating Receipts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373</w:t>
            </w:r>
            <w:r w:rsidR="00904EBD">
              <w:rPr>
                <w:rFonts w:eastAsia="Calibri" w:cs="Calibri"/>
                <w:b/>
                <w:color w:val="000000"/>
                <w:sz w:val="18"/>
              </w:rPr>
              <w:t>,</w:t>
            </w:r>
            <w:r>
              <w:rPr>
                <w:rFonts w:eastAsia="Calibri" w:cs="Calibri"/>
                <w:b/>
                <w:color w:val="000000"/>
                <w:sz w:val="18"/>
              </w:rPr>
              <w:t>946</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434</w:t>
            </w:r>
            <w:r w:rsidR="00904EBD">
              <w:rPr>
                <w:rFonts w:eastAsia="Calibri" w:cs="Calibri"/>
                <w:b/>
                <w:color w:val="000000"/>
                <w:sz w:val="18"/>
              </w:rPr>
              <w:t>,</w:t>
            </w:r>
            <w:r>
              <w:rPr>
                <w:rFonts w:eastAsia="Calibri" w:cs="Calibri"/>
                <w:b/>
                <w:color w:val="000000"/>
                <w:sz w:val="18"/>
              </w:rPr>
              <w:t>296</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4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468</w:t>
            </w:r>
            <w:r w:rsidR="00904EBD">
              <w:rPr>
                <w:rFonts w:eastAsia="Calibri" w:cs="Calibri"/>
                <w:b/>
                <w:color w:val="000000"/>
                <w:sz w:val="18"/>
              </w:rPr>
              <w:t>,</w:t>
            </w:r>
            <w:r>
              <w:rPr>
                <w:rFonts w:eastAsia="Calibri" w:cs="Calibri"/>
                <w:b/>
                <w:color w:val="000000"/>
                <w:sz w:val="18"/>
              </w:rPr>
              <w:t>342</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499</w:t>
            </w:r>
            <w:r w:rsidR="00904EBD">
              <w:rPr>
                <w:rFonts w:eastAsia="Calibri" w:cs="Calibri"/>
                <w:b/>
                <w:color w:val="000000"/>
                <w:sz w:val="18"/>
              </w:rPr>
              <w:t>,</w:t>
            </w:r>
            <w:r>
              <w:rPr>
                <w:rFonts w:eastAsia="Calibri" w:cs="Calibri"/>
                <w:b/>
                <w:color w:val="000000"/>
                <w:sz w:val="18"/>
              </w:rPr>
              <w:t>492</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532</w:t>
            </w:r>
            <w:r w:rsidR="00904EBD">
              <w:rPr>
                <w:rFonts w:eastAsia="Calibri" w:cs="Calibri"/>
                <w:b/>
                <w:color w:val="000000"/>
                <w:sz w:val="18"/>
              </w:rPr>
              <w:t>,</w:t>
            </w:r>
            <w:r>
              <w:rPr>
                <w:rFonts w:eastAsia="Calibri" w:cs="Calibri"/>
                <w:b/>
                <w:color w:val="000000"/>
                <w:sz w:val="18"/>
              </w:rPr>
              <w:t>233</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Payments</w:t>
            </w: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736</w:t>
            </w:r>
            <w:r w:rsidR="00904EBD">
              <w:rPr>
                <w:rFonts w:eastAsia="Calibri" w:cs="Calibri"/>
                <w:color w:val="000000"/>
                <w:sz w:val="18"/>
              </w:rPr>
              <w:t>,</w:t>
            </w:r>
            <w:r>
              <w:rPr>
                <w:rFonts w:eastAsia="Calibri" w:cs="Calibri"/>
                <w:color w:val="000000"/>
                <w:sz w:val="18"/>
              </w:rPr>
              <w:t>739</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Employee</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734</w:t>
            </w:r>
            <w:r w:rsidR="00904EBD">
              <w:rPr>
                <w:rFonts w:eastAsia="Calibri" w:cs="Calibri"/>
                <w:color w:val="000000"/>
                <w:sz w:val="18"/>
              </w:rPr>
              <w:t>,</w:t>
            </w:r>
            <w:r>
              <w:rPr>
                <w:rFonts w:eastAsia="Calibri" w:cs="Calibri"/>
                <w:color w:val="000000"/>
                <w:sz w:val="18"/>
              </w:rPr>
              <w:t>321</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764</w:t>
            </w:r>
            <w:r w:rsidR="00904EBD">
              <w:rPr>
                <w:rFonts w:eastAsia="Calibri" w:cs="Calibri"/>
                <w:color w:val="000000"/>
                <w:sz w:val="18"/>
              </w:rPr>
              <w:t>,</w:t>
            </w:r>
            <w:r>
              <w:rPr>
                <w:rFonts w:eastAsia="Calibri" w:cs="Calibri"/>
                <w:color w:val="000000"/>
                <w:sz w:val="18"/>
              </w:rPr>
              <w:t>710</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4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783</w:t>
            </w:r>
            <w:r w:rsidR="00904EBD">
              <w:rPr>
                <w:rFonts w:eastAsia="Calibri" w:cs="Calibri"/>
                <w:color w:val="000000"/>
                <w:sz w:val="18"/>
              </w:rPr>
              <w:t>,</w:t>
            </w:r>
            <w:r>
              <w:rPr>
                <w:rFonts w:eastAsia="Calibri" w:cs="Calibri"/>
                <w:color w:val="000000"/>
                <w:sz w:val="18"/>
              </w:rPr>
              <w:t>949</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797</w:t>
            </w:r>
            <w:r w:rsidR="00904EBD">
              <w:rPr>
                <w:rFonts w:eastAsia="Calibri" w:cs="Calibri"/>
                <w:color w:val="000000"/>
                <w:sz w:val="18"/>
              </w:rPr>
              <w:t>,</w:t>
            </w:r>
            <w:r>
              <w:rPr>
                <w:rFonts w:eastAsia="Calibri" w:cs="Calibri"/>
                <w:color w:val="000000"/>
                <w:sz w:val="18"/>
              </w:rPr>
              <w:t>626</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810</w:t>
            </w:r>
            <w:r w:rsidR="00904EBD">
              <w:rPr>
                <w:rFonts w:eastAsia="Calibri" w:cs="Calibri"/>
                <w:color w:val="000000"/>
                <w:sz w:val="18"/>
              </w:rPr>
              <w:t>,</w:t>
            </w:r>
            <w:r>
              <w:rPr>
                <w:rFonts w:eastAsia="Calibri" w:cs="Calibri"/>
                <w:color w:val="000000"/>
                <w:sz w:val="18"/>
              </w:rPr>
              <w:t>945</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91</w:t>
            </w:r>
            <w:r w:rsidR="00904EBD">
              <w:rPr>
                <w:rFonts w:eastAsia="Calibri" w:cs="Calibri"/>
                <w:color w:val="000000"/>
                <w:sz w:val="18"/>
              </w:rPr>
              <w:t>,</w:t>
            </w:r>
            <w:r>
              <w:rPr>
                <w:rFonts w:eastAsia="Calibri" w:cs="Calibri"/>
                <w:color w:val="000000"/>
                <w:sz w:val="18"/>
              </w:rPr>
              <w:t>190</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Superannuation</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91</w:t>
            </w:r>
            <w:r w:rsidR="00904EBD">
              <w:rPr>
                <w:rFonts w:eastAsia="Calibri" w:cs="Calibri"/>
                <w:color w:val="000000"/>
                <w:sz w:val="18"/>
              </w:rPr>
              <w:t>,</w:t>
            </w:r>
            <w:r>
              <w:rPr>
                <w:rFonts w:eastAsia="Calibri" w:cs="Calibri"/>
                <w:color w:val="000000"/>
                <w:sz w:val="18"/>
              </w:rPr>
              <w:t>393</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95</w:t>
            </w:r>
            <w:r w:rsidR="00904EBD">
              <w:rPr>
                <w:rFonts w:eastAsia="Calibri" w:cs="Calibri"/>
                <w:color w:val="000000"/>
                <w:sz w:val="18"/>
              </w:rPr>
              <w:t>,</w:t>
            </w:r>
            <w:r>
              <w:rPr>
                <w:rFonts w:eastAsia="Calibri" w:cs="Calibri"/>
                <w:color w:val="000000"/>
                <w:sz w:val="18"/>
              </w:rPr>
              <w:t>358</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4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97</w:t>
            </w:r>
            <w:r w:rsidR="00904EBD">
              <w:rPr>
                <w:rFonts w:eastAsia="Calibri" w:cs="Calibri"/>
                <w:color w:val="000000"/>
                <w:sz w:val="18"/>
              </w:rPr>
              <w:t>,</w:t>
            </w:r>
            <w:r>
              <w:rPr>
                <w:rFonts w:eastAsia="Calibri" w:cs="Calibri"/>
                <w:color w:val="000000"/>
                <w:sz w:val="18"/>
              </w:rPr>
              <w:t>613</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100</w:t>
            </w:r>
            <w:r w:rsidR="00904EBD">
              <w:rPr>
                <w:rFonts w:eastAsia="Calibri" w:cs="Calibri"/>
                <w:color w:val="000000"/>
                <w:sz w:val="18"/>
              </w:rPr>
              <w:t>,</w:t>
            </w:r>
            <w:r>
              <w:rPr>
                <w:rFonts w:eastAsia="Calibri" w:cs="Calibri"/>
                <w:color w:val="000000"/>
                <w:sz w:val="18"/>
              </w:rPr>
              <w:t>754</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101</w:t>
            </w:r>
            <w:r w:rsidR="00904EBD">
              <w:rPr>
                <w:rFonts w:eastAsia="Calibri" w:cs="Calibri"/>
                <w:color w:val="000000"/>
                <w:sz w:val="18"/>
              </w:rPr>
              <w:t>,</w:t>
            </w:r>
            <w:r>
              <w:rPr>
                <w:rFonts w:eastAsia="Calibri" w:cs="Calibri"/>
                <w:color w:val="000000"/>
                <w:sz w:val="18"/>
              </w:rPr>
              <w:t>541</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384</w:t>
            </w:r>
            <w:r w:rsidR="00904EBD">
              <w:rPr>
                <w:rFonts w:eastAsia="Calibri" w:cs="Calibri"/>
                <w:color w:val="000000"/>
                <w:sz w:val="18"/>
              </w:rPr>
              <w:t>,</w:t>
            </w:r>
            <w:r>
              <w:rPr>
                <w:rFonts w:eastAsia="Calibri" w:cs="Calibri"/>
                <w:color w:val="000000"/>
                <w:sz w:val="18"/>
              </w:rPr>
              <w:t>809</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Supplies and Services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385</w:t>
            </w:r>
            <w:r w:rsidR="00904EBD">
              <w:rPr>
                <w:rFonts w:eastAsia="Calibri" w:cs="Calibri"/>
                <w:color w:val="000000"/>
                <w:sz w:val="18"/>
              </w:rPr>
              <w:t>,</w:t>
            </w:r>
            <w:r>
              <w:rPr>
                <w:rFonts w:eastAsia="Calibri" w:cs="Calibri"/>
                <w:color w:val="000000"/>
                <w:sz w:val="18"/>
              </w:rPr>
              <w:t>794</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396</w:t>
            </w:r>
            <w:r w:rsidR="00904EBD">
              <w:rPr>
                <w:rFonts w:eastAsia="Calibri" w:cs="Calibri"/>
                <w:color w:val="000000"/>
                <w:sz w:val="18"/>
              </w:rPr>
              <w:t>,</w:t>
            </w:r>
            <w:r>
              <w:rPr>
                <w:rFonts w:eastAsia="Calibri" w:cs="Calibri"/>
                <w:color w:val="000000"/>
                <w:sz w:val="18"/>
              </w:rPr>
              <w:t>106</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405</w:t>
            </w:r>
            <w:r w:rsidR="00904EBD">
              <w:rPr>
                <w:rFonts w:eastAsia="Calibri" w:cs="Calibri"/>
                <w:color w:val="000000"/>
                <w:sz w:val="18"/>
              </w:rPr>
              <w:t>,</w:t>
            </w:r>
            <w:r>
              <w:rPr>
                <w:rFonts w:eastAsia="Calibri" w:cs="Calibri"/>
                <w:color w:val="000000"/>
                <w:sz w:val="18"/>
              </w:rPr>
              <w:t>990</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419</w:t>
            </w:r>
            <w:r w:rsidR="00904EBD">
              <w:rPr>
                <w:rFonts w:eastAsia="Calibri" w:cs="Calibri"/>
                <w:color w:val="000000"/>
                <w:sz w:val="18"/>
              </w:rPr>
              <w:t>,</w:t>
            </w:r>
            <w:r>
              <w:rPr>
                <w:rFonts w:eastAsia="Calibri" w:cs="Calibri"/>
                <w:color w:val="000000"/>
                <w:sz w:val="18"/>
              </w:rPr>
              <w:t>544</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425</w:t>
            </w:r>
            <w:r w:rsidR="00904EBD">
              <w:rPr>
                <w:rFonts w:eastAsia="Calibri" w:cs="Calibri"/>
                <w:color w:val="000000"/>
                <w:sz w:val="18"/>
              </w:rPr>
              <w:t>,</w:t>
            </w:r>
            <w:r>
              <w:rPr>
                <w:rFonts w:eastAsia="Calibri" w:cs="Calibri"/>
                <w:color w:val="000000"/>
                <w:sz w:val="18"/>
              </w:rPr>
              <w:t>972</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95</w:t>
            </w:r>
            <w:r w:rsidR="00904EBD">
              <w:rPr>
                <w:rFonts w:eastAsia="Calibri" w:cs="Calibri"/>
                <w:color w:val="000000"/>
                <w:sz w:val="18"/>
              </w:rPr>
              <w:t>,</w:t>
            </w:r>
            <w:r>
              <w:rPr>
                <w:rFonts w:eastAsia="Calibri" w:cs="Calibri"/>
                <w:color w:val="000000"/>
                <w:sz w:val="18"/>
              </w:rPr>
              <w:t>149</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Grants and Purchased Services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98</w:t>
            </w:r>
            <w:r w:rsidR="00904EBD">
              <w:rPr>
                <w:rFonts w:eastAsia="Calibri" w:cs="Calibri"/>
                <w:color w:val="000000"/>
                <w:sz w:val="18"/>
              </w:rPr>
              <w:t>,</w:t>
            </w:r>
            <w:r>
              <w:rPr>
                <w:rFonts w:eastAsia="Calibri" w:cs="Calibri"/>
                <w:color w:val="000000"/>
                <w:sz w:val="18"/>
              </w:rPr>
              <w:t>895</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99</w:t>
            </w:r>
            <w:r w:rsidR="00904EBD">
              <w:rPr>
                <w:rFonts w:eastAsia="Calibri" w:cs="Calibri"/>
                <w:color w:val="000000"/>
                <w:sz w:val="18"/>
              </w:rPr>
              <w:t>,</w:t>
            </w:r>
            <w:r>
              <w:rPr>
                <w:rFonts w:eastAsia="Calibri" w:cs="Calibri"/>
                <w:color w:val="000000"/>
                <w:sz w:val="18"/>
              </w:rPr>
              <w:t>066</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102</w:t>
            </w:r>
            <w:r w:rsidR="00904EBD">
              <w:rPr>
                <w:rFonts w:eastAsia="Calibri" w:cs="Calibri"/>
                <w:color w:val="000000"/>
                <w:sz w:val="18"/>
              </w:rPr>
              <w:t>,</w:t>
            </w:r>
            <w:r>
              <w:rPr>
                <w:rFonts w:eastAsia="Calibri" w:cs="Calibri"/>
                <w:color w:val="000000"/>
                <w:sz w:val="18"/>
              </w:rPr>
              <w:t>368</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106</w:t>
            </w:r>
            <w:r w:rsidR="00904EBD">
              <w:rPr>
                <w:rFonts w:eastAsia="Calibri" w:cs="Calibri"/>
                <w:color w:val="000000"/>
                <w:sz w:val="18"/>
              </w:rPr>
              <w:t>,</w:t>
            </w:r>
            <w:r>
              <w:rPr>
                <w:rFonts w:eastAsia="Calibri" w:cs="Calibri"/>
                <w:color w:val="000000"/>
                <w:sz w:val="18"/>
              </w:rPr>
              <w:t>694</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109</w:t>
            </w:r>
            <w:r w:rsidR="00904EBD">
              <w:rPr>
                <w:rFonts w:eastAsia="Calibri" w:cs="Calibri"/>
                <w:color w:val="000000"/>
                <w:sz w:val="18"/>
              </w:rPr>
              <w:t>,</w:t>
            </w:r>
            <w:r>
              <w:rPr>
                <w:rFonts w:eastAsia="Calibri" w:cs="Calibri"/>
                <w:color w:val="000000"/>
                <w:sz w:val="18"/>
              </w:rPr>
              <w:t>433</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430</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Borrowing Costs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430</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452</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5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472</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472</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483</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12</w:t>
            </w:r>
            <w:r w:rsidR="00904EBD">
              <w:rPr>
                <w:rFonts w:eastAsia="Calibri" w:cs="Calibri"/>
                <w:color w:val="000000"/>
                <w:sz w:val="18"/>
              </w:rPr>
              <w:t>,</w:t>
            </w:r>
            <w:r>
              <w:rPr>
                <w:rFonts w:eastAsia="Calibri" w:cs="Calibri"/>
                <w:color w:val="000000"/>
                <w:sz w:val="18"/>
              </w:rPr>
              <w:t>059</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Related to Cost of Goods Sold</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9</w:t>
            </w:r>
            <w:r w:rsidR="00904EBD">
              <w:rPr>
                <w:rFonts w:eastAsia="Calibri" w:cs="Calibri"/>
                <w:color w:val="000000"/>
                <w:sz w:val="18"/>
              </w:rPr>
              <w:t>,</w:t>
            </w:r>
            <w:r>
              <w:rPr>
                <w:rFonts w:eastAsia="Calibri" w:cs="Calibri"/>
                <w:color w:val="000000"/>
                <w:sz w:val="18"/>
              </w:rPr>
              <w:t>559</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9</w:t>
            </w:r>
            <w:r w:rsidR="00904EBD">
              <w:rPr>
                <w:rFonts w:eastAsia="Calibri" w:cs="Calibri"/>
                <w:color w:val="000000"/>
                <w:sz w:val="18"/>
              </w:rPr>
              <w:t>,</w:t>
            </w:r>
            <w:r>
              <w:rPr>
                <w:rFonts w:eastAsia="Calibri" w:cs="Calibri"/>
                <w:color w:val="000000"/>
                <w:sz w:val="18"/>
              </w:rPr>
              <w:t>636</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1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9</w:t>
            </w:r>
            <w:r w:rsidR="00904EBD">
              <w:rPr>
                <w:rFonts w:eastAsia="Calibri" w:cs="Calibri"/>
                <w:color w:val="000000"/>
                <w:sz w:val="18"/>
              </w:rPr>
              <w:t>,</w:t>
            </w:r>
            <w:r>
              <w:rPr>
                <w:rFonts w:eastAsia="Calibri" w:cs="Calibri"/>
                <w:color w:val="000000"/>
                <w:sz w:val="18"/>
              </w:rPr>
              <w:t>877</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10</w:t>
            </w:r>
            <w:r w:rsidR="00904EBD">
              <w:rPr>
                <w:rFonts w:eastAsia="Calibri" w:cs="Calibri"/>
                <w:color w:val="000000"/>
                <w:sz w:val="18"/>
              </w:rPr>
              <w:t>,</w:t>
            </w:r>
            <w:r>
              <w:rPr>
                <w:rFonts w:eastAsia="Calibri" w:cs="Calibri"/>
                <w:color w:val="000000"/>
                <w:sz w:val="18"/>
              </w:rPr>
              <w:t>125</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10</w:t>
            </w:r>
            <w:r w:rsidR="00904EBD">
              <w:rPr>
                <w:rFonts w:eastAsia="Calibri" w:cs="Calibri"/>
                <w:color w:val="000000"/>
                <w:sz w:val="18"/>
              </w:rPr>
              <w:t>,</w:t>
            </w:r>
            <w:r>
              <w:rPr>
                <w:rFonts w:eastAsia="Calibri" w:cs="Calibri"/>
                <w:color w:val="000000"/>
                <w:sz w:val="18"/>
              </w:rPr>
              <w:t>377</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57</w:t>
            </w:r>
            <w:r w:rsidR="00904EBD">
              <w:rPr>
                <w:rFonts w:eastAsia="Calibri" w:cs="Calibri"/>
                <w:color w:val="000000"/>
                <w:sz w:val="18"/>
              </w:rPr>
              <w:t>,</w:t>
            </w:r>
            <w:r>
              <w:rPr>
                <w:rFonts w:eastAsia="Calibri" w:cs="Calibri"/>
                <w:color w:val="000000"/>
                <w:sz w:val="18"/>
              </w:rPr>
              <w:t>437</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Other</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57</w:t>
            </w:r>
            <w:r w:rsidR="00904EBD">
              <w:rPr>
                <w:rFonts w:eastAsia="Calibri" w:cs="Calibri"/>
                <w:color w:val="000000"/>
                <w:sz w:val="18"/>
              </w:rPr>
              <w:t>,</w:t>
            </w:r>
            <w:r>
              <w:rPr>
                <w:rFonts w:eastAsia="Calibri" w:cs="Calibri"/>
                <w:color w:val="000000"/>
                <w:sz w:val="18"/>
              </w:rPr>
              <w:t>601</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57</w:t>
            </w:r>
            <w:r w:rsidR="00904EBD">
              <w:rPr>
                <w:rFonts w:eastAsia="Calibri" w:cs="Calibri"/>
                <w:color w:val="000000"/>
                <w:sz w:val="18"/>
              </w:rPr>
              <w:t>,</w:t>
            </w:r>
            <w:r>
              <w:rPr>
                <w:rFonts w:eastAsia="Calibri" w:cs="Calibri"/>
                <w:color w:val="000000"/>
                <w:sz w:val="18"/>
              </w:rPr>
              <w:t>990</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1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58</w:t>
            </w:r>
            <w:r w:rsidR="00904EBD">
              <w:rPr>
                <w:rFonts w:eastAsia="Calibri" w:cs="Calibri"/>
                <w:color w:val="000000"/>
                <w:sz w:val="18"/>
              </w:rPr>
              <w:t>,</w:t>
            </w:r>
            <w:r>
              <w:rPr>
                <w:rFonts w:eastAsia="Calibri" w:cs="Calibri"/>
                <w:color w:val="000000"/>
                <w:sz w:val="18"/>
              </w:rPr>
              <w:t>365</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59</w:t>
            </w:r>
            <w:r w:rsidR="00904EBD">
              <w:rPr>
                <w:rFonts w:eastAsia="Calibri" w:cs="Calibri"/>
                <w:color w:val="000000"/>
                <w:sz w:val="18"/>
              </w:rPr>
              <w:t>,</w:t>
            </w:r>
            <w:r>
              <w:rPr>
                <w:rFonts w:eastAsia="Calibri" w:cs="Calibri"/>
                <w:color w:val="000000"/>
                <w:sz w:val="18"/>
              </w:rPr>
              <w:t>834</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61</w:t>
            </w:r>
            <w:r w:rsidR="00904EBD">
              <w:rPr>
                <w:rFonts w:eastAsia="Calibri" w:cs="Calibri"/>
                <w:color w:val="000000"/>
                <w:sz w:val="18"/>
              </w:rPr>
              <w:t>,</w:t>
            </w:r>
            <w:r>
              <w:rPr>
                <w:rFonts w:eastAsia="Calibri" w:cs="Calibri"/>
                <w:color w:val="000000"/>
                <w:sz w:val="18"/>
              </w:rPr>
              <w:t>339</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377</w:t>
            </w:r>
            <w:r w:rsidR="00904EBD">
              <w:rPr>
                <w:rFonts w:eastAsia="Calibri" w:cs="Calibri"/>
                <w:b/>
                <w:color w:val="000000"/>
                <w:sz w:val="18"/>
              </w:rPr>
              <w:t>,</w:t>
            </w:r>
            <w:r>
              <w:rPr>
                <w:rFonts w:eastAsia="Calibri" w:cs="Calibri"/>
                <w:b/>
                <w:color w:val="000000"/>
                <w:sz w:val="18"/>
              </w:rPr>
              <w:t>813</w:t>
            </w:r>
          </w:p>
        </w:tc>
        <w:tc>
          <w:tcPr>
            <w:tcW w:w="238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Operating Payments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377</w:t>
            </w:r>
            <w:r w:rsidR="00904EBD">
              <w:rPr>
                <w:rFonts w:eastAsia="Calibri" w:cs="Calibri"/>
                <w:b/>
                <w:color w:val="000000"/>
                <w:sz w:val="18"/>
              </w:rPr>
              <w:t>,</w:t>
            </w:r>
            <w:r>
              <w:rPr>
                <w:rFonts w:eastAsia="Calibri" w:cs="Calibri"/>
                <w:b/>
                <w:color w:val="000000"/>
                <w:sz w:val="18"/>
              </w:rPr>
              <w:t>993</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423</w:t>
            </w:r>
            <w:r w:rsidR="00904EBD">
              <w:rPr>
                <w:rFonts w:eastAsia="Calibri" w:cs="Calibri"/>
                <w:b/>
                <w:color w:val="000000"/>
                <w:sz w:val="18"/>
              </w:rPr>
              <w:t>,</w:t>
            </w:r>
            <w:r>
              <w:rPr>
                <w:rFonts w:eastAsia="Calibri" w:cs="Calibri"/>
                <w:b/>
                <w:color w:val="000000"/>
                <w:sz w:val="18"/>
              </w:rPr>
              <w:t>318</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458</w:t>
            </w:r>
            <w:r w:rsidR="00904EBD">
              <w:rPr>
                <w:rFonts w:eastAsia="Calibri" w:cs="Calibri"/>
                <w:b/>
                <w:color w:val="000000"/>
                <w:sz w:val="18"/>
              </w:rPr>
              <w:t>,</w:t>
            </w:r>
            <w:r>
              <w:rPr>
                <w:rFonts w:eastAsia="Calibri" w:cs="Calibri"/>
                <w:b/>
                <w:color w:val="000000"/>
                <w:sz w:val="18"/>
              </w:rPr>
              <w:t>634</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495</w:t>
            </w:r>
            <w:r w:rsidR="00904EBD">
              <w:rPr>
                <w:rFonts w:eastAsia="Calibri" w:cs="Calibri"/>
                <w:b/>
                <w:color w:val="000000"/>
                <w:sz w:val="18"/>
              </w:rPr>
              <w:t>,</w:t>
            </w:r>
            <w:r>
              <w:rPr>
                <w:rFonts w:eastAsia="Calibri" w:cs="Calibri"/>
                <w:b/>
                <w:color w:val="000000"/>
                <w:sz w:val="18"/>
              </w:rPr>
              <w:t>049</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520</w:t>
            </w:r>
            <w:r w:rsidR="00904EBD">
              <w:rPr>
                <w:rFonts w:eastAsia="Calibri" w:cs="Calibri"/>
                <w:b/>
                <w:color w:val="000000"/>
                <w:sz w:val="18"/>
              </w:rPr>
              <w:t>,</w:t>
            </w:r>
            <w:r>
              <w:rPr>
                <w:rFonts w:eastAsia="Calibri" w:cs="Calibri"/>
                <w:b/>
                <w:color w:val="000000"/>
                <w:sz w:val="18"/>
              </w:rPr>
              <w:t>090</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11</w:t>
            </w:r>
            <w:r w:rsidR="00904EBD">
              <w:rPr>
                <w:rFonts w:eastAsia="Calibri" w:cs="Calibri"/>
                <w:b/>
                <w:color w:val="000000"/>
                <w:sz w:val="18"/>
              </w:rPr>
              <w:t>,</w:t>
            </w:r>
            <w:r>
              <w:rPr>
                <w:rFonts w:eastAsia="Calibri" w:cs="Calibri"/>
                <w:b/>
                <w:color w:val="000000"/>
                <w:sz w:val="18"/>
              </w:rPr>
              <w:t>653</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NET CASH INFLOW/(OUTFLOW) FROM OPERATING ACTIVITIES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-4</w:t>
            </w:r>
            <w:r w:rsidR="00904EBD">
              <w:rPr>
                <w:rFonts w:eastAsia="Calibri" w:cs="Calibri"/>
                <w:b/>
                <w:color w:val="000000"/>
                <w:sz w:val="18"/>
              </w:rPr>
              <w:t>,</w:t>
            </w:r>
            <w:r>
              <w:rPr>
                <w:rFonts w:eastAsia="Calibri" w:cs="Calibri"/>
                <w:b/>
                <w:color w:val="000000"/>
                <w:sz w:val="18"/>
              </w:rPr>
              <w:t>047</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10</w:t>
            </w:r>
            <w:r w:rsidR="00904EBD">
              <w:rPr>
                <w:rFonts w:eastAsia="Calibri" w:cs="Calibri"/>
                <w:b/>
                <w:color w:val="000000"/>
                <w:sz w:val="18"/>
              </w:rPr>
              <w:t>,</w:t>
            </w:r>
            <w:r>
              <w:rPr>
                <w:rFonts w:eastAsia="Calibri" w:cs="Calibri"/>
                <w:b/>
                <w:color w:val="000000"/>
                <w:sz w:val="18"/>
              </w:rPr>
              <w:t>978</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371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9</w:t>
            </w:r>
            <w:r w:rsidR="00904EBD">
              <w:rPr>
                <w:rFonts w:eastAsia="Calibri" w:cs="Calibri"/>
                <w:b/>
                <w:color w:val="000000"/>
                <w:sz w:val="18"/>
              </w:rPr>
              <w:t>,</w:t>
            </w:r>
            <w:r>
              <w:rPr>
                <w:rFonts w:eastAsia="Calibri" w:cs="Calibri"/>
                <w:b/>
                <w:color w:val="000000"/>
                <w:sz w:val="18"/>
              </w:rPr>
              <w:t>708</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4</w:t>
            </w:r>
            <w:r w:rsidR="00904EBD">
              <w:rPr>
                <w:rFonts w:eastAsia="Calibri" w:cs="Calibri"/>
                <w:b/>
                <w:color w:val="000000"/>
                <w:sz w:val="18"/>
              </w:rPr>
              <w:t>,</w:t>
            </w:r>
            <w:r>
              <w:rPr>
                <w:rFonts w:eastAsia="Calibri" w:cs="Calibri"/>
                <w:b/>
                <w:color w:val="000000"/>
                <w:sz w:val="18"/>
              </w:rPr>
              <w:t>443</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12</w:t>
            </w:r>
            <w:r w:rsidR="00904EBD">
              <w:rPr>
                <w:rFonts w:eastAsia="Calibri" w:cs="Calibri"/>
                <w:b/>
                <w:color w:val="000000"/>
                <w:sz w:val="18"/>
              </w:rPr>
              <w:t>,</w:t>
            </w:r>
            <w:r>
              <w:rPr>
                <w:rFonts w:eastAsia="Calibri" w:cs="Calibri"/>
                <w:b/>
                <w:color w:val="000000"/>
                <w:sz w:val="18"/>
              </w:rPr>
              <w:t>143</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8160" w:type="dxa"/>
            <w:gridSpan w:val="7"/>
            <w:tcBorders>
              <w:top w:val="nil"/>
              <w:left w:val="nil"/>
              <w:bottom w:val="nil"/>
              <w:right w:val="nil"/>
              <w:tl2br w:val="nil"/>
              <w:tr2bl w:val="nil"/>
            </w:tcBorders>
            <w:shd w:val="clear" w:color="auto" w:fill="auto"/>
            <w:tcMar>
              <w:left w:w="101" w:type="dxa"/>
              <w:right w:w="101" w:type="dxa"/>
            </w:tcMar>
            <w:vAlign w:val="bottom"/>
          </w:tcPr>
          <w:p w:rsidR="00237D6F" w:rsidRDefault="00765F6E">
            <w:pPr>
              <w:spacing w:before="0" w:after="0"/>
              <w:rPr>
                <w:rFonts w:eastAsia="Calibri" w:cs="Calibri"/>
                <w:b/>
                <w:color w:val="000000"/>
                <w:sz w:val="18"/>
              </w:rPr>
            </w:pPr>
            <w:r>
              <w:rPr>
                <w:rFonts w:eastAsia="Calibri" w:cs="Calibri"/>
                <w:b/>
                <w:color w:val="000000"/>
                <w:sz w:val="18"/>
              </w:rPr>
              <w:t>CASH FLOWS FROM INVESTING ACTIVITIES</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Receipts</w:t>
            </w: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Payments</w:t>
            </w: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167</w:t>
            </w:r>
            <w:r w:rsidR="00904EBD">
              <w:rPr>
                <w:rFonts w:eastAsia="Calibri" w:cs="Calibri"/>
                <w:color w:val="000000"/>
                <w:sz w:val="18"/>
              </w:rPr>
              <w:t>,</w:t>
            </w:r>
            <w:r>
              <w:rPr>
                <w:rFonts w:eastAsia="Calibri" w:cs="Calibri"/>
                <w:color w:val="000000"/>
                <w:sz w:val="18"/>
              </w:rPr>
              <w:t>834</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Purchase of Property, Plant and Equipment</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122</w:t>
            </w:r>
            <w:r w:rsidR="00904EBD">
              <w:rPr>
                <w:rFonts w:eastAsia="Calibri" w:cs="Calibri"/>
                <w:color w:val="000000"/>
                <w:sz w:val="18"/>
              </w:rPr>
              <w:t>,</w:t>
            </w:r>
            <w:r>
              <w:rPr>
                <w:rFonts w:eastAsia="Calibri" w:cs="Calibri"/>
                <w:color w:val="000000"/>
                <w:sz w:val="18"/>
              </w:rPr>
              <w:t>620</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133</w:t>
            </w:r>
            <w:r w:rsidR="00904EBD">
              <w:rPr>
                <w:rFonts w:eastAsia="Calibri" w:cs="Calibri"/>
                <w:color w:val="000000"/>
                <w:sz w:val="18"/>
              </w:rPr>
              <w:t>,</w:t>
            </w:r>
            <w:r>
              <w:rPr>
                <w:rFonts w:eastAsia="Calibri" w:cs="Calibri"/>
                <w:color w:val="000000"/>
                <w:sz w:val="18"/>
              </w:rPr>
              <w:t>943</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9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116</w:t>
            </w:r>
            <w:r w:rsidR="00904EBD">
              <w:rPr>
                <w:rFonts w:eastAsia="Calibri" w:cs="Calibri"/>
                <w:color w:val="000000"/>
                <w:sz w:val="18"/>
              </w:rPr>
              <w:t>,</w:t>
            </w:r>
            <w:r>
              <w:rPr>
                <w:rFonts w:eastAsia="Calibri" w:cs="Calibri"/>
                <w:color w:val="000000"/>
                <w:sz w:val="18"/>
              </w:rPr>
              <w:t>396</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21</w:t>
            </w:r>
            <w:r w:rsidR="00904EBD">
              <w:rPr>
                <w:rFonts w:eastAsia="Calibri" w:cs="Calibri"/>
                <w:color w:val="000000"/>
                <w:sz w:val="18"/>
              </w:rPr>
              <w:t>,</w:t>
            </w:r>
            <w:r>
              <w:rPr>
                <w:rFonts w:eastAsia="Calibri" w:cs="Calibri"/>
                <w:color w:val="000000"/>
                <w:sz w:val="18"/>
              </w:rPr>
              <w:t>948</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15</w:t>
            </w:r>
            <w:r w:rsidR="00904EBD">
              <w:rPr>
                <w:rFonts w:eastAsia="Calibri" w:cs="Calibri"/>
                <w:color w:val="000000"/>
                <w:sz w:val="18"/>
              </w:rPr>
              <w:t>,</w:t>
            </w:r>
            <w:r>
              <w:rPr>
                <w:rFonts w:eastAsia="Calibri" w:cs="Calibri"/>
                <w:color w:val="000000"/>
                <w:sz w:val="18"/>
              </w:rPr>
              <w:t>912</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167</w:t>
            </w:r>
            <w:r w:rsidR="00904EBD">
              <w:rPr>
                <w:rFonts w:eastAsia="Calibri" w:cs="Calibri"/>
                <w:b/>
                <w:color w:val="000000"/>
                <w:sz w:val="18"/>
              </w:rPr>
              <w:t>,</w:t>
            </w:r>
            <w:r>
              <w:rPr>
                <w:rFonts w:eastAsia="Calibri" w:cs="Calibri"/>
                <w:b/>
                <w:color w:val="000000"/>
                <w:sz w:val="18"/>
              </w:rPr>
              <w:t>834</w:t>
            </w:r>
          </w:p>
        </w:tc>
        <w:tc>
          <w:tcPr>
            <w:tcW w:w="238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Investing Payments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122</w:t>
            </w:r>
            <w:r w:rsidR="00904EBD">
              <w:rPr>
                <w:rFonts w:eastAsia="Calibri" w:cs="Calibri"/>
                <w:b/>
                <w:color w:val="000000"/>
                <w:sz w:val="18"/>
              </w:rPr>
              <w:t>,</w:t>
            </w:r>
            <w:r>
              <w:rPr>
                <w:rFonts w:eastAsia="Calibri" w:cs="Calibri"/>
                <w:b/>
                <w:color w:val="000000"/>
                <w:sz w:val="18"/>
              </w:rPr>
              <w:t>620</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133</w:t>
            </w:r>
            <w:r w:rsidR="00904EBD">
              <w:rPr>
                <w:rFonts w:eastAsia="Calibri" w:cs="Calibri"/>
                <w:b/>
                <w:color w:val="000000"/>
                <w:sz w:val="18"/>
              </w:rPr>
              <w:t>,</w:t>
            </w:r>
            <w:r>
              <w:rPr>
                <w:rFonts w:eastAsia="Calibri" w:cs="Calibri"/>
                <w:b/>
                <w:color w:val="000000"/>
                <w:sz w:val="18"/>
              </w:rPr>
              <w:t>943</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9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116</w:t>
            </w:r>
            <w:r w:rsidR="00904EBD">
              <w:rPr>
                <w:rFonts w:eastAsia="Calibri" w:cs="Calibri"/>
                <w:b/>
                <w:color w:val="000000"/>
                <w:sz w:val="18"/>
              </w:rPr>
              <w:t>,</w:t>
            </w:r>
            <w:r>
              <w:rPr>
                <w:rFonts w:eastAsia="Calibri" w:cs="Calibri"/>
                <w:b/>
                <w:color w:val="000000"/>
                <w:sz w:val="18"/>
              </w:rPr>
              <w:t>396</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21</w:t>
            </w:r>
            <w:r w:rsidR="00904EBD">
              <w:rPr>
                <w:rFonts w:eastAsia="Calibri" w:cs="Calibri"/>
                <w:b/>
                <w:color w:val="000000"/>
                <w:sz w:val="18"/>
              </w:rPr>
              <w:t>,</w:t>
            </w:r>
            <w:r>
              <w:rPr>
                <w:rFonts w:eastAsia="Calibri" w:cs="Calibri"/>
                <w:b/>
                <w:color w:val="000000"/>
                <w:sz w:val="18"/>
              </w:rPr>
              <w:t>948</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15</w:t>
            </w:r>
            <w:r w:rsidR="00904EBD">
              <w:rPr>
                <w:rFonts w:eastAsia="Calibri" w:cs="Calibri"/>
                <w:b/>
                <w:color w:val="000000"/>
                <w:sz w:val="18"/>
              </w:rPr>
              <w:t>,</w:t>
            </w:r>
            <w:r>
              <w:rPr>
                <w:rFonts w:eastAsia="Calibri" w:cs="Calibri"/>
                <w:b/>
                <w:color w:val="000000"/>
                <w:sz w:val="18"/>
              </w:rPr>
              <w:t>912</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rsidTr="002D6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-167</w:t>
            </w:r>
            <w:r w:rsidR="00904EBD">
              <w:rPr>
                <w:rFonts w:eastAsia="Calibri" w:cs="Calibri"/>
                <w:b/>
                <w:color w:val="000000"/>
                <w:sz w:val="18"/>
              </w:rPr>
              <w:t>,</w:t>
            </w:r>
            <w:r>
              <w:rPr>
                <w:rFonts w:eastAsia="Calibri" w:cs="Calibri"/>
                <w:b/>
                <w:color w:val="000000"/>
                <w:sz w:val="18"/>
              </w:rPr>
              <w:t>834</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NET CASH INFLOW/(OUTFLOW) FROM INVESTING ACTIVITIES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-122</w:t>
            </w:r>
            <w:r w:rsidR="00904EBD">
              <w:rPr>
                <w:rFonts w:eastAsia="Calibri" w:cs="Calibri"/>
                <w:b/>
                <w:color w:val="000000"/>
                <w:sz w:val="18"/>
              </w:rPr>
              <w:t>,</w:t>
            </w:r>
            <w:r>
              <w:rPr>
                <w:rFonts w:eastAsia="Calibri" w:cs="Calibri"/>
                <w:b/>
                <w:color w:val="000000"/>
                <w:sz w:val="18"/>
              </w:rPr>
              <w:t>620</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-133</w:t>
            </w:r>
            <w:r w:rsidR="00904EBD">
              <w:rPr>
                <w:rFonts w:eastAsia="Calibri" w:cs="Calibri"/>
                <w:b/>
                <w:color w:val="000000"/>
                <w:sz w:val="18"/>
              </w:rPr>
              <w:t>,</w:t>
            </w:r>
            <w:r>
              <w:rPr>
                <w:rFonts w:eastAsia="Calibri" w:cs="Calibri"/>
                <w:b/>
                <w:color w:val="000000"/>
                <w:sz w:val="18"/>
              </w:rPr>
              <w:t>943</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-9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-116</w:t>
            </w:r>
            <w:r w:rsidR="00904EBD">
              <w:rPr>
                <w:rFonts w:eastAsia="Calibri" w:cs="Calibri"/>
                <w:b/>
                <w:color w:val="000000"/>
                <w:sz w:val="18"/>
              </w:rPr>
              <w:t>,</w:t>
            </w:r>
            <w:r>
              <w:rPr>
                <w:rFonts w:eastAsia="Calibri" w:cs="Calibri"/>
                <w:b/>
                <w:color w:val="000000"/>
                <w:sz w:val="18"/>
              </w:rPr>
              <w:t>396</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-21</w:t>
            </w:r>
            <w:r w:rsidR="00904EBD">
              <w:rPr>
                <w:rFonts w:eastAsia="Calibri" w:cs="Calibri"/>
                <w:b/>
                <w:color w:val="000000"/>
                <w:sz w:val="18"/>
              </w:rPr>
              <w:t>,</w:t>
            </w:r>
            <w:r>
              <w:rPr>
                <w:rFonts w:eastAsia="Calibri" w:cs="Calibri"/>
                <w:b/>
                <w:color w:val="000000"/>
                <w:sz w:val="18"/>
              </w:rPr>
              <w:t>948</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-15</w:t>
            </w:r>
            <w:r w:rsidR="00904EBD">
              <w:rPr>
                <w:rFonts w:eastAsia="Calibri" w:cs="Calibri"/>
                <w:b/>
                <w:color w:val="000000"/>
                <w:sz w:val="18"/>
              </w:rPr>
              <w:t>,</w:t>
            </w:r>
            <w:r>
              <w:rPr>
                <w:rFonts w:eastAsia="Calibri" w:cs="Calibri"/>
                <w:b/>
                <w:color w:val="000000"/>
                <w:sz w:val="18"/>
              </w:rPr>
              <w:t>912</w:t>
            </w:r>
          </w:p>
        </w:tc>
      </w:tr>
      <w:tr w:rsidR="002D6292" w:rsidTr="002D6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single" w:sz="4" w:space="0" w:color="auto"/>
              <w:right w:val="nil"/>
              <w:tl2br w:val="nil"/>
              <w:tr2bl w:val="nil"/>
            </w:tcBorders>
            <w:shd w:val="clear" w:color="FFFFFF" w:fill="FFFFFF"/>
            <w:tcMar>
              <w:left w:w="101" w:type="dxa"/>
              <w:right w:w="101" w:type="dxa"/>
            </w:tcMar>
          </w:tcPr>
          <w:p w:rsidR="002D6292" w:rsidRDefault="002D6292">
            <w:pPr>
              <w:spacing w:before="0" w:after="0"/>
              <w:jc w:val="right"/>
              <w:rPr>
                <w:rFonts w:eastAsia="Calibri" w:cs="Calibri"/>
                <w:b/>
                <w:color w:val="000000"/>
                <w:sz w:val="18"/>
              </w:rPr>
            </w:pPr>
          </w:p>
        </w:tc>
        <w:tc>
          <w:tcPr>
            <w:tcW w:w="2385" w:type="dxa"/>
            <w:tcBorders>
              <w:top w:val="nil"/>
              <w:left w:val="nil"/>
              <w:bottom w:val="single" w:sz="4" w:space="0" w:color="auto"/>
              <w:right w:val="nil"/>
              <w:tl2br w:val="nil"/>
              <w:tr2bl w:val="nil"/>
            </w:tcBorders>
            <w:shd w:val="clear" w:color="FFFFFF" w:fill="FFFFFF"/>
            <w:noWrap/>
            <w:tcMar>
              <w:left w:w="101" w:type="dxa"/>
              <w:right w:w="101" w:type="dxa"/>
            </w:tcMar>
          </w:tcPr>
          <w:p w:rsidR="002D6292" w:rsidRDefault="002D6292">
            <w:pPr>
              <w:spacing w:before="0" w:after="0"/>
              <w:rPr>
                <w:rFonts w:eastAsia="Calibri" w:cs="Calibri"/>
                <w:b/>
                <w:color w:val="000000"/>
                <w:sz w:val="18"/>
              </w:rPr>
            </w:pPr>
          </w:p>
        </w:tc>
        <w:tc>
          <w:tcPr>
            <w:tcW w:w="1035" w:type="dxa"/>
            <w:tcBorders>
              <w:top w:val="nil"/>
              <w:left w:val="nil"/>
              <w:bottom w:val="single" w:sz="4" w:space="0" w:color="auto"/>
              <w:right w:val="nil"/>
              <w:tl2br w:val="nil"/>
              <w:tr2bl w:val="nil"/>
            </w:tcBorders>
            <w:shd w:val="clear" w:color="FFFFFF" w:fill="FFFFFF"/>
            <w:tcMar>
              <w:left w:w="101" w:type="dxa"/>
              <w:right w:w="101" w:type="dxa"/>
            </w:tcMar>
          </w:tcPr>
          <w:p w:rsidR="002D6292" w:rsidRDefault="002D6292">
            <w:pPr>
              <w:spacing w:before="0" w:after="0"/>
              <w:jc w:val="right"/>
              <w:rPr>
                <w:rFonts w:eastAsia="Calibri" w:cs="Calibri"/>
                <w:b/>
                <w:color w:val="000000"/>
                <w:sz w:val="18"/>
              </w:rPr>
            </w:pPr>
          </w:p>
        </w:tc>
        <w:tc>
          <w:tcPr>
            <w:tcW w:w="1035" w:type="dxa"/>
            <w:tcBorders>
              <w:top w:val="nil"/>
              <w:left w:val="nil"/>
              <w:bottom w:val="single" w:sz="4" w:space="0" w:color="auto"/>
              <w:right w:val="nil"/>
              <w:tl2br w:val="nil"/>
              <w:tr2bl w:val="nil"/>
            </w:tcBorders>
            <w:shd w:val="clear" w:color="FFFFFF" w:fill="FFFFFF"/>
            <w:tcMar>
              <w:left w:w="101" w:type="dxa"/>
              <w:right w:w="101" w:type="dxa"/>
            </w:tcMar>
          </w:tcPr>
          <w:p w:rsidR="002D6292" w:rsidRDefault="002D6292">
            <w:pPr>
              <w:spacing w:before="0" w:after="0"/>
              <w:jc w:val="right"/>
              <w:rPr>
                <w:rFonts w:eastAsia="Calibri" w:cs="Calibri"/>
                <w:b/>
                <w:color w:val="000000"/>
                <w:sz w:val="18"/>
              </w:rPr>
            </w:pPr>
          </w:p>
        </w:tc>
        <w:tc>
          <w:tcPr>
            <w:tcW w:w="600" w:type="dxa"/>
            <w:tcBorders>
              <w:top w:val="nil"/>
              <w:left w:val="nil"/>
              <w:bottom w:val="single" w:sz="4" w:space="0" w:color="auto"/>
              <w:right w:val="nil"/>
              <w:tl2br w:val="nil"/>
              <w:tr2bl w:val="nil"/>
            </w:tcBorders>
            <w:shd w:val="clear" w:color="FFFFFF" w:fill="FFFFFF"/>
            <w:tcMar>
              <w:left w:w="101" w:type="dxa"/>
              <w:right w:w="101" w:type="dxa"/>
            </w:tcMar>
          </w:tcPr>
          <w:p w:rsidR="002D6292" w:rsidRDefault="002D6292">
            <w:pPr>
              <w:spacing w:before="0" w:after="0"/>
              <w:jc w:val="right"/>
              <w:rPr>
                <w:rFonts w:eastAsia="Calibri" w:cs="Calibri"/>
                <w:b/>
                <w:color w:val="000000"/>
                <w:sz w:val="18"/>
              </w:rPr>
            </w:pPr>
          </w:p>
        </w:tc>
        <w:tc>
          <w:tcPr>
            <w:tcW w:w="1035" w:type="dxa"/>
            <w:tcBorders>
              <w:top w:val="nil"/>
              <w:left w:val="nil"/>
              <w:bottom w:val="single" w:sz="4" w:space="0" w:color="auto"/>
              <w:right w:val="nil"/>
              <w:tl2br w:val="nil"/>
              <w:tr2bl w:val="nil"/>
            </w:tcBorders>
            <w:shd w:val="clear" w:color="FFFFFF" w:fill="FFFFFF"/>
            <w:tcMar>
              <w:left w:w="101" w:type="dxa"/>
              <w:right w:w="101" w:type="dxa"/>
            </w:tcMar>
          </w:tcPr>
          <w:p w:rsidR="002D6292" w:rsidRDefault="002D6292">
            <w:pPr>
              <w:spacing w:before="0" w:after="0"/>
              <w:jc w:val="right"/>
              <w:rPr>
                <w:rFonts w:eastAsia="Calibri" w:cs="Calibri"/>
                <w:b/>
                <w:color w:val="000000"/>
                <w:sz w:val="18"/>
              </w:rPr>
            </w:pPr>
          </w:p>
        </w:tc>
        <w:tc>
          <w:tcPr>
            <w:tcW w:w="1035" w:type="dxa"/>
            <w:tcBorders>
              <w:top w:val="nil"/>
              <w:left w:val="nil"/>
              <w:bottom w:val="single" w:sz="4" w:space="0" w:color="auto"/>
              <w:right w:val="nil"/>
              <w:tl2br w:val="nil"/>
              <w:tr2bl w:val="nil"/>
            </w:tcBorders>
            <w:shd w:val="clear" w:color="FFFFFF" w:fill="FFFFFF"/>
            <w:tcMar>
              <w:left w:w="101" w:type="dxa"/>
              <w:right w:w="101" w:type="dxa"/>
            </w:tcMar>
          </w:tcPr>
          <w:p w:rsidR="002D6292" w:rsidRDefault="002D6292">
            <w:pPr>
              <w:spacing w:before="0" w:after="0"/>
              <w:jc w:val="right"/>
              <w:rPr>
                <w:rFonts w:eastAsia="Calibri" w:cs="Calibri"/>
                <w:b/>
                <w:color w:val="000000"/>
                <w:sz w:val="18"/>
              </w:rPr>
            </w:pPr>
          </w:p>
        </w:tc>
        <w:tc>
          <w:tcPr>
            <w:tcW w:w="1035" w:type="dxa"/>
            <w:tcBorders>
              <w:top w:val="nil"/>
              <w:left w:val="nil"/>
              <w:bottom w:val="single" w:sz="4" w:space="0" w:color="auto"/>
              <w:right w:val="nil"/>
              <w:tl2br w:val="nil"/>
              <w:tr2bl w:val="nil"/>
            </w:tcBorders>
            <w:shd w:val="clear" w:color="FFFFFF" w:fill="FFFFFF"/>
            <w:tcMar>
              <w:left w:w="101" w:type="dxa"/>
              <w:right w:w="101" w:type="dxa"/>
            </w:tcMar>
          </w:tcPr>
          <w:p w:rsidR="002D6292" w:rsidRDefault="002D6292">
            <w:pPr>
              <w:spacing w:before="0" w:after="0"/>
              <w:jc w:val="right"/>
              <w:rPr>
                <w:rFonts w:eastAsia="Calibri" w:cs="Calibri"/>
                <w:b/>
                <w:color w:val="000000"/>
                <w:sz w:val="18"/>
              </w:rPr>
            </w:pPr>
          </w:p>
        </w:tc>
      </w:tr>
    </w:tbl>
    <w:p w:rsidR="00281F97" w:rsidRDefault="00765F6E" w:rsidP="00281F97">
      <w:pPr>
        <w:pStyle w:val="Caption"/>
        <w:pageBreakBefore/>
        <w:pBdr>
          <w:top w:val="nil"/>
          <w:left w:val="nil"/>
          <w:bottom w:val="nil"/>
          <w:right w:val="nil"/>
          <w:between w:val="nil"/>
          <w:bar w:val="nil"/>
        </w:pBdr>
        <w:outlineLvl w:val="0"/>
        <w:rPr>
          <w:bdr w:val="nil"/>
        </w:rPr>
      </w:pPr>
      <w:bookmarkStart w:id="145" w:name="_Toc514764133"/>
      <w:bookmarkStart w:id="146" w:name="_Toc514765759"/>
      <w:bookmarkStart w:id="147" w:name="_Toc514832383"/>
      <w:bookmarkStart w:id="148" w:name="_Toc514832566"/>
      <w:r>
        <w:rPr>
          <w:bdr w:val="nil"/>
        </w:rPr>
        <w:lastRenderedPageBreak/>
        <w:t>Table 3</w:t>
      </w:r>
      <w:r w:rsidR="00141A32">
        <w:rPr>
          <w:bdr w:val="nil"/>
        </w:rPr>
        <w:t>5</w:t>
      </w:r>
      <w:r>
        <w:rPr>
          <w:bdr w:val="nil"/>
        </w:rPr>
        <w:t>: Health Directorate: Cash Flow Statement (continued)</w:t>
      </w:r>
      <w:bookmarkEnd w:id="145"/>
      <w:bookmarkEnd w:id="146"/>
      <w:bookmarkEnd w:id="147"/>
      <w:bookmarkEnd w:id="148"/>
    </w:p>
    <w:tbl>
      <w:tblPr>
        <w:tblStyle w:val="CDMRange1"/>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35"/>
        <w:gridCol w:w="2385"/>
        <w:gridCol w:w="1035"/>
        <w:gridCol w:w="1035"/>
        <w:gridCol w:w="600"/>
        <w:gridCol w:w="1035"/>
        <w:gridCol w:w="1035"/>
        <w:gridCol w:w="1035"/>
      </w:tblGrid>
      <w:tr w:rsidR="00237D6F">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2017-18 Budget            </w:t>
            </w:r>
          </w:p>
          <w:p w:rsidR="00237D6F" w:rsidRDefault="00237D6F">
            <w:pPr>
              <w:spacing w:before="0" w:after="0"/>
              <w:jc w:val="right"/>
              <w:rPr>
                <w:rFonts w:eastAsia="Calibri" w:cs="Calibri"/>
                <w:b/>
                <w:color w:val="000000"/>
                <w:sz w:val="18"/>
              </w:rPr>
            </w:pPr>
          </w:p>
          <w:p w:rsidR="00237D6F" w:rsidRDefault="00765F6E">
            <w:pPr>
              <w:spacing w:before="0" w:after="0"/>
              <w:jc w:val="right"/>
              <w:rPr>
                <w:rFonts w:eastAsia="Calibri" w:cs="Calibri"/>
                <w:b/>
                <w:color w:val="000000"/>
                <w:sz w:val="18"/>
              </w:rPr>
            </w:pPr>
            <w:r>
              <w:rPr>
                <w:rFonts w:eastAsia="Calibri" w:cs="Calibri"/>
                <w:b/>
                <w:color w:val="000000"/>
                <w:sz w:val="18"/>
              </w:rPr>
              <w:t xml:space="preserve"> $'000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2018-19 Budget            </w:t>
            </w:r>
          </w:p>
          <w:p w:rsidR="00237D6F" w:rsidRDefault="00237D6F">
            <w:pPr>
              <w:spacing w:before="0" w:after="0"/>
              <w:jc w:val="right"/>
              <w:rPr>
                <w:rFonts w:eastAsia="Calibri" w:cs="Calibri"/>
                <w:b/>
                <w:color w:val="000000"/>
                <w:sz w:val="18"/>
              </w:rPr>
            </w:pPr>
          </w:p>
          <w:p w:rsidR="00237D6F" w:rsidRDefault="00765F6E">
            <w:pPr>
              <w:spacing w:before="0" w:after="0"/>
              <w:jc w:val="right"/>
              <w:rPr>
                <w:rFonts w:eastAsia="Calibri" w:cs="Calibri"/>
                <w:b/>
                <w:color w:val="000000"/>
                <w:sz w:val="18"/>
              </w:rPr>
            </w:pPr>
            <w:r>
              <w:rPr>
                <w:rFonts w:eastAsia="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proofErr w:type="spellStart"/>
            <w:r>
              <w:rPr>
                <w:rFonts w:eastAsia="Calibri" w:cs="Calibri"/>
                <w:b/>
                <w:color w:val="000000"/>
                <w:sz w:val="18"/>
              </w:rPr>
              <w:t>Var</w:t>
            </w:r>
            <w:proofErr w:type="spellEnd"/>
            <w:r>
              <w:rPr>
                <w:rFonts w:eastAsia="Calibri" w:cs="Calibri"/>
                <w:b/>
                <w:color w:val="000000"/>
                <w:sz w:val="18"/>
              </w:rPr>
              <w:t xml:space="preserve"> </w:t>
            </w:r>
          </w:p>
          <w:p w:rsidR="00237D6F" w:rsidRDefault="00765F6E">
            <w:pPr>
              <w:spacing w:before="0" w:after="0"/>
              <w:jc w:val="right"/>
              <w:rPr>
                <w:rFonts w:eastAsia="Calibri" w:cs="Calibri"/>
                <w:b/>
                <w:color w:val="000000"/>
                <w:sz w:val="18"/>
              </w:rPr>
            </w:pPr>
            <w:r>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2019-20 Estimate            </w:t>
            </w:r>
          </w:p>
          <w:p w:rsidR="00237D6F" w:rsidRDefault="00237D6F">
            <w:pPr>
              <w:spacing w:before="0" w:after="0"/>
              <w:jc w:val="right"/>
              <w:rPr>
                <w:rFonts w:eastAsia="Calibri" w:cs="Calibri"/>
                <w:b/>
                <w:color w:val="000000"/>
                <w:sz w:val="18"/>
              </w:rPr>
            </w:pPr>
          </w:p>
          <w:p w:rsidR="00237D6F" w:rsidRDefault="00765F6E">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2020-21 Estimate            </w:t>
            </w:r>
          </w:p>
          <w:p w:rsidR="00237D6F" w:rsidRDefault="00237D6F">
            <w:pPr>
              <w:spacing w:before="0" w:after="0"/>
              <w:jc w:val="right"/>
              <w:rPr>
                <w:rFonts w:eastAsia="Calibri" w:cs="Calibri"/>
                <w:b/>
                <w:color w:val="000000"/>
                <w:sz w:val="18"/>
              </w:rPr>
            </w:pPr>
          </w:p>
          <w:p w:rsidR="00237D6F" w:rsidRDefault="00765F6E">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2021-22 Estimate            </w:t>
            </w:r>
          </w:p>
          <w:p w:rsidR="00237D6F" w:rsidRDefault="00237D6F">
            <w:pPr>
              <w:spacing w:before="0" w:after="0"/>
              <w:jc w:val="right"/>
              <w:rPr>
                <w:rFonts w:eastAsia="Calibri" w:cs="Calibri"/>
                <w:b/>
                <w:color w:val="000000"/>
                <w:sz w:val="18"/>
              </w:rPr>
            </w:pPr>
          </w:p>
          <w:p w:rsidR="00237D6F" w:rsidRDefault="00765F6E">
            <w:pPr>
              <w:spacing w:before="0" w:after="0"/>
              <w:jc w:val="right"/>
              <w:rPr>
                <w:rFonts w:eastAsia="Calibri" w:cs="Calibri"/>
                <w:b/>
                <w:color w:val="000000"/>
                <w:sz w:val="18"/>
              </w:rPr>
            </w:pPr>
            <w:r>
              <w:rPr>
                <w:rFonts w:eastAsia="Calibri" w:cs="Calibri"/>
                <w:b/>
                <w:color w:val="000000"/>
                <w:sz w:val="18"/>
              </w:rPr>
              <w:t xml:space="preserve"> $'000</w:t>
            </w:r>
          </w:p>
        </w:tc>
      </w:tr>
      <w:tr w:rsidR="00237D6F">
        <w:trPr>
          <w:trHeight w:val="48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8160" w:type="dxa"/>
            <w:gridSpan w:val="7"/>
            <w:tcBorders>
              <w:top w:val="single" w:sz="4" w:space="0" w:color="000000"/>
              <w:left w:val="nil"/>
              <w:bottom w:val="nil"/>
              <w:right w:val="nil"/>
              <w:tl2br w:val="nil"/>
              <w:tr2bl w:val="nil"/>
            </w:tcBorders>
            <w:shd w:val="clear" w:color="auto" w:fill="auto"/>
            <w:tcMar>
              <w:left w:w="101" w:type="dxa"/>
              <w:right w:w="101" w:type="dxa"/>
            </w:tcMar>
            <w:vAlign w:val="bottom"/>
          </w:tcPr>
          <w:p w:rsidR="00237D6F" w:rsidRDefault="00765F6E">
            <w:pPr>
              <w:spacing w:before="0" w:after="0"/>
              <w:rPr>
                <w:rFonts w:eastAsia="Calibri" w:cs="Calibri"/>
                <w:b/>
                <w:color w:val="000000"/>
                <w:sz w:val="18"/>
              </w:rPr>
            </w:pPr>
            <w:r>
              <w:rPr>
                <w:rFonts w:eastAsia="Calibri" w:cs="Calibri"/>
                <w:b/>
                <w:color w:val="000000"/>
                <w:sz w:val="18"/>
              </w:rPr>
              <w:t>CASH FLOWS FROM FINANCING ACTIVITIES</w:t>
            </w:r>
          </w:p>
        </w:tc>
      </w:tr>
      <w:tr w:rsidR="00237D6F">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Receipts</w:t>
            </w: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157</w:t>
            </w:r>
            <w:r w:rsidR="00904EBD">
              <w:rPr>
                <w:rFonts w:eastAsia="Calibri" w:cs="Calibri"/>
                <w:color w:val="000000"/>
                <w:sz w:val="18"/>
              </w:rPr>
              <w:t>,</w:t>
            </w:r>
            <w:r>
              <w:rPr>
                <w:rFonts w:eastAsia="Calibri" w:cs="Calibri"/>
                <w:color w:val="000000"/>
                <w:sz w:val="18"/>
              </w:rPr>
              <w:t>393</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Capital Injections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99</w:t>
            </w:r>
            <w:r w:rsidR="00904EBD">
              <w:rPr>
                <w:rFonts w:eastAsia="Calibri" w:cs="Calibri"/>
                <w:color w:val="000000"/>
                <w:sz w:val="18"/>
              </w:rPr>
              <w:t>,</w:t>
            </w:r>
            <w:r>
              <w:rPr>
                <w:rFonts w:eastAsia="Calibri" w:cs="Calibri"/>
                <w:color w:val="000000"/>
                <w:sz w:val="18"/>
              </w:rPr>
              <w:t>146</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123</w:t>
            </w:r>
            <w:r w:rsidR="00904EBD">
              <w:rPr>
                <w:rFonts w:eastAsia="Calibri" w:cs="Calibri"/>
                <w:color w:val="000000"/>
                <w:sz w:val="18"/>
              </w:rPr>
              <w:t>,</w:t>
            </w:r>
            <w:r>
              <w:rPr>
                <w:rFonts w:eastAsia="Calibri" w:cs="Calibri"/>
                <w:color w:val="000000"/>
                <w:sz w:val="18"/>
              </w:rPr>
              <w:t>012</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24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105</w:t>
            </w:r>
            <w:r w:rsidR="00904EBD">
              <w:rPr>
                <w:rFonts w:eastAsia="Calibri" w:cs="Calibri"/>
                <w:color w:val="000000"/>
                <w:sz w:val="18"/>
              </w:rPr>
              <w:t>,</w:t>
            </w:r>
            <w:r>
              <w:rPr>
                <w:rFonts w:eastAsia="Calibri" w:cs="Calibri"/>
                <w:color w:val="000000"/>
                <w:sz w:val="18"/>
              </w:rPr>
              <w:t>465</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11</w:t>
            </w:r>
            <w:r w:rsidR="00904EBD">
              <w:rPr>
                <w:rFonts w:eastAsia="Calibri" w:cs="Calibri"/>
                <w:color w:val="000000"/>
                <w:sz w:val="18"/>
              </w:rPr>
              <w:t>,</w:t>
            </w:r>
            <w:r>
              <w:rPr>
                <w:rFonts w:eastAsia="Calibri" w:cs="Calibri"/>
                <w:color w:val="000000"/>
                <w:sz w:val="18"/>
              </w:rPr>
              <w:t>017</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w:t>
            </w:r>
            <w:r w:rsidR="00904EBD">
              <w:rPr>
                <w:rFonts w:eastAsia="Calibri" w:cs="Calibri"/>
                <w:color w:val="000000"/>
                <w:sz w:val="18"/>
              </w:rPr>
              <w:t>,</w:t>
            </w:r>
            <w:r>
              <w:rPr>
                <w:rFonts w:eastAsia="Calibri" w:cs="Calibri"/>
                <w:color w:val="000000"/>
                <w:sz w:val="18"/>
              </w:rPr>
              <w:t>981</w:t>
            </w:r>
          </w:p>
        </w:tc>
      </w:tr>
      <w:tr w:rsidR="00237D6F">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157</w:t>
            </w:r>
            <w:r w:rsidR="00904EBD">
              <w:rPr>
                <w:rFonts w:eastAsia="Calibri" w:cs="Calibri"/>
                <w:b/>
                <w:color w:val="000000"/>
                <w:sz w:val="18"/>
              </w:rPr>
              <w:t>,</w:t>
            </w:r>
            <w:r>
              <w:rPr>
                <w:rFonts w:eastAsia="Calibri" w:cs="Calibri"/>
                <w:b/>
                <w:color w:val="000000"/>
                <w:sz w:val="18"/>
              </w:rPr>
              <w:t>393</w:t>
            </w:r>
          </w:p>
        </w:tc>
        <w:tc>
          <w:tcPr>
            <w:tcW w:w="238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Financing Receipts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99</w:t>
            </w:r>
            <w:r w:rsidR="00904EBD">
              <w:rPr>
                <w:rFonts w:eastAsia="Calibri" w:cs="Calibri"/>
                <w:b/>
                <w:color w:val="000000"/>
                <w:sz w:val="18"/>
              </w:rPr>
              <w:t>,</w:t>
            </w:r>
            <w:r>
              <w:rPr>
                <w:rFonts w:eastAsia="Calibri" w:cs="Calibri"/>
                <w:b/>
                <w:color w:val="000000"/>
                <w:sz w:val="18"/>
              </w:rPr>
              <w:t>146</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123</w:t>
            </w:r>
            <w:r w:rsidR="00904EBD">
              <w:rPr>
                <w:rFonts w:eastAsia="Calibri" w:cs="Calibri"/>
                <w:b/>
                <w:color w:val="000000"/>
                <w:sz w:val="18"/>
              </w:rPr>
              <w:t>,</w:t>
            </w:r>
            <w:r>
              <w:rPr>
                <w:rFonts w:eastAsia="Calibri" w:cs="Calibri"/>
                <w:b/>
                <w:color w:val="000000"/>
                <w:sz w:val="18"/>
              </w:rPr>
              <w:t>012</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24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105</w:t>
            </w:r>
            <w:r w:rsidR="00904EBD">
              <w:rPr>
                <w:rFonts w:eastAsia="Calibri" w:cs="Calibri"/>
                <w:b/>
                <w:color w:val="000000"/>
                <w:sz w:val="18"/>
              </w:rPr>
              <w:t>,</w:t>
            </w:r>
            <w:r>
              <w:rPr>
                <w:rFonts w:eastAsia="Calibri" w:cs="Calibri"/>
                <w:b/>
                <w:color w:val="000000"/>
                <w:sz w:val="18"/>
              </w:rPr>
              <w:t>465</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11</w:t>
            </w:r>
            <w:r w:rsidR="00904EBD">
              <w:rPr>
                <w:rFonts w:eastAsia="Calibri" w:cs="Calibri"/>
                <w:b/>
                <w:color w:val="000000"/>
                <w:sz w:val="18"/>
              </w:rPr>
              <w:t>,</w:t>
            </w:r>
            <w:r>
              <w:rPr>
                <w:rFonts w:eastAsia="Calibri" w:cs="Calibri"/>
                <w:b/>
                <w:color w:val="000000"/>
                <w:sz w:val="18"/>
              </w:rPr>
              <w:t>017</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4</w:t>
            </w:r>
            <w:r w:rsidR="00904EBD">
              <w:rPr>
                <w:rFonts w:eastAsia="Calibri" w:cs="Calibri"/>
                <w:b/>
                <w:color w:val="000000"/>
                <w:sz w:val="18"/>
              </w:rPr>
              <w:t>,</w:t>
            </w:r>
            <w:r>
              <w:rPr>
                <w:rFonts w:eastAsia="Calibri" w:cs="Calibri"/>
                <w:b/>
                <w:color w:val="000000"/>
                <w:sz w:val="18"/>
              </w:rPr>
              <w:t>981</w:t>
            </w:r>
          </w:p>
        </w:tc>
      </w:tr>
      <w:tr w:rsidR="00237D6F">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Payments</w:t>
            </w: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157</w:t>
            </w:r>
            <w:r w:rsidR="00904EBD">
              <w:rPr>
                <w:rFonts w:eastAsia="Calibri" w:cs="Calibri"/>
                <w:b/>
                <w:color w:val="000000"/>
                <w:sz w:val="18"/>
              </w:rPr>
              <w:t>,</w:t>
            </w:r>
            <w:r>
              <w:rPr>
                <w:rFonts w:eastAsia="Calibri" w:cs="Calibri"/>
                <w:b/>
                <w:color w:val="000000"/>
                <w:sz w:val="18"/>
              </w:rPr>
              <w:t>393</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NET CASH INFLOW/(OUTFLOW) FROM FINANCING ACTIVITIES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99</w:t>
            </w:r>
            <w:r w:rsidR="00904EBD">
              <w:rPr>
                <w:rFonts w:eastAsia="Calibri" w:cs="Calibri"/>
                <w:b/>
                <w:color w:val="000000"/>
                <w:sz w:val="18"/>
              </w:rPr>
              <w:t>,</w:t>
            </w:r>
            <w:r>
              <w:rPr>
                <w:rFonts w:eastAsia="Calibri" w:cs="Calibri"/>
                <w:b/>
                <w:color w:val="000000"/>
                <w:sz w:val="18"/>
              </w:rPr>
              <w:t>146</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123</w:t>
            </w:r>
            <w:r w:rsidR="00904EBD">
              <w:rPr>
                <w:rFonts w:eastAsia="Calibri" w:cs="Calibri"/>
                <w:b/>
                <w:color w:val="000000"/>
                <w:sz w:val="18"/>
              </w:rPr>
              <w:t>,</w:t>
            </w:r>
            <w:r>
              <w:rPr>
                <w:rFonts w:eastAsia="Calibri" w:cs="Calibri"/>
                <w:b/>
                <w:color w:val="000000"/>
                <w:sz w:val="18"/>
              </w:rPr>
              <w:t>012</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24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105</w:t>
            </w:r>
            <w:r w:rsidR="00904EBD">
              <w:rPr>
                <w:rFonts w:eastAsia="Calibri" w:cs="Calibri"/>
                <w:b/>
                <w:color w:val="000000"/>
                <w:sz w:val="18"/>
              </w:rPr>
              <w:t>,</w:t>
            </w:r>
            <w:r>
              <w:rPr>
                <w:rFonts w:eastAsia="Calibri" w:cs="Calibri"/>
                <w:b/>
                <w:color w:val="000000"/>
                <w:sz w:val="18"/>
              </w:rPr>
              <w:t>465</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11</w:t>
            </w:r>
            <w:r w:rsidR="00904EBD">
              <w:rPr>
                <w:rFonts w:eastAsia="Calibri" w:cs="Calibri"/>
                <w:b/>
                <w:color w:val="000000"/>
                <w:sz w:val="18"/>
              </w:rPr>
              <w:t>,</w:t>
            </w:r>
            <w:r>
              <w:rPr>
                <w:rFonts w:eastAsia="Calibri" w:cs="Calibri"/>
                <w:b/>
                <w:color w:val="000000"/>
                <w:sz w:val="18"/>
              </w:rPr>
              <w:t>017</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4</w:t>
            </w:r>
            <w:r w:rsidR="00904EBD">
              <w:rPr>
                <w:rFonts w:eastAsia="Calibri" w:cs="Calibri"/>
                <w:b/>
                <w:color w:val="000000"/>
                <w:sz w:val="18"/>
              </w:rPr>
              <w:t>,</w:t>
            </w:r>
            <w:r>
              <w:rPr>
                <w:rFonts w:eastAsia="Calibri" w:cs="Calibri"/>
                <w:b/>
                <w:color w:val="000000"/>
                <w:sz w:val="18"/>
              </w:rPr>
              <w:t>981</w:t>
            </w:r>
          </w:p>
        </w:tc>
      </w:tr>
      <w:tr w:rsidR="00237D6F">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212</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NET INCREASE/(DECREASE) IN CASH AND CASH EQUIVALENTS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-27</w:t>
            </w:r>
            <w:r w:rsidR="00904EBD">
              <w:rPr>
                <w:rFonts w:eastAsia="Calibri" w:cs="Calibri"/>
                <w:b/>
                <w:color w:val="000000"/>
                <w:sz w:val="18"/>
              </w:rPr>
              <w:t>,</w:t>
            </w:r>
            <w:r>
              <w:rPr>
                <w:rFonts w:eastAsia="Calibri" w:cs="Calibri"/>
                <w:b/>
                <w:color w:val="000000"/>
                <w:sz w:val="18"/>
              </w:rPr>
              <w:t>521</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47</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100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223</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-6</w:t>
            </w:r>
            <w:r w:rsidR="00904EBD">
              <w:rPr>
                <w:rFonts w:eastAsia="Calibri" w:cs="Calibri"/>
                <w:b/>
                <w:color w:val="000000"/>
                <w:sz w:val="18"/>
              </w:rPr>
              <w:t>,</w:t>
            </w:r>
            <w:r>
              <w:rPr>
                <w:rFonts w:eastAsia="Calibri" w:cs="Calibri"/>
                <w:b/>
                <w:color w:val="000000"/>
                <w:sz w:val="18"/>
              </w:rPr>
              <w:t>488</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w:t>
            </w:r>
            <w:r w:rsidR="00904EBD">
              <w:rPr>
                <w:rFonts w:eastAsia="Calibri" w:cs="Calibri"/>
                <w:b/>
                <w:color w:val="000000"/>
                <w:sz w:val="18"/>
              </w:rPr>
              <w:t>,</w:t>
            </w:r>
            <w:r>
              <w:rPr>
                <w:rFonts w:eastAsia="Calibri" w:cs="Calibri"/>
                <w:b/>
                <w:color w:val="000000"/>
                <w:sz w:val="18"/>
              </w:rPr>
              <w:t>212</w:t>
            </w:r>
          </w:p>
        </w:tc>
      </w:tr>
      <w:tr w:rsidR="00237D6F">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58</w:t>
            </w:r>
            <w:r w:rsidR="00904EBD">
              <w:rPr>
                <w:rFonts w:eastAsia="Calibri" w:cs="Calibri"/>
                <w:b/>
                <w:color w:val="000000"/>
                <w:sz w:val="18"/>
              </w:rPr>
              <w:t>,</w:t>
            </w:r>
            <w:r>
              <w:rPr>
                <w:rFonts w:eastAsia="Calibri" w:cs="Calibri"/>
                <w:b/>
                <w:color w:val="000000"/>
                <w:sz w:val="18"/>
              </w:rPr>
              <w:t>242</w:t>
            </w:r>
          </w:p>
        </w:tc>
        <w:tc>
          <w:tcPr>
            <w:tcW w:w="238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CASH AT THE BEGINNING OF REPORTING PERIOD</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109</w:t>
            </w:r>
            <w:r w:rsidR="00904EBD">
              <w:rPr>
                <w:rFonts w:eastAsia="Calibri" w:cs="Calibri"/>
                <w:b/>
                <w:color w:val="000000"/>
                <w:sz w:val="18"/>
              </w:rPr>
              <w:t>,</w:t>
            </w:r>
            <w:r>
              <w:rPr>
                <w:rFonts w:eastAsia="Calibri" w:cs="Calibri"/>
                <w:b/>
                <w:color w:val="000000"/>
                <w:sz w:val="18"/>
              </w:rPr>
              <w:t>219</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81</w:t>
            </w:r>
            <w:r w:rsidR="00904EBD">
              <w:rPr>
                <w:rFonts w:eastAsia="Calibri" w:cs="Calibri"/>
                <w:b/>
                <w:color w:val="000000"/>
                <w:sz w:val="18"/>
              </w:rPr>
              <w:t>,</w:t>
            </w:r>
            <w:r>
              <w:rPr>
                <w:rFonts w:eastAsia="Calibri" w:cs="Calibri"/>
                <w:b/>
                <w:color w:val="000000"/>
                <w:sz w:val="18"/>
              </w:rPr>
              <w:t>698</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-25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81</w:t>
            </w:r>
            <w:r w:rsidR="00904EBD">
              <w:rPr>
                <w:rFonts w:eastAsia="Calibri" w:cs="Calibri"/>
                <w:b/>
                <w:color w:val="000000"/>
                <w:sz w:val="18"/>
              </w:rPr>
              <w:t>,</w:t>
            </w:r>
            <w:r>
              <w:rPr>
                <w:rFonts w:eastAsia="Calibri" w:cs="Calibri"/>
                <w:b/>
                <w:color w:val="000000"/>
                <w:sz w:val="18"/>
              </w:rPr>
              <w:t>745</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80</w:t>
            </w:r>
            <w:r w:rsidR="00904EBD">
              <w:rPr>
                <w:rFonts w:eastAsia="Calibri" w:cs="Calibri"/>
                <w:b/>
                <w:color w:val="000000"/>
                <w:sz w:val="18"/>
              </w:rPr>
              <w:t>,</w:t>
            </w:r>
            <w:r>
              <w:rPr>
                <w:rFonts w:eastAsia="Calibri" w:cs="Calibri"/>
                <w:b/>
                <w:color w:val="000000"/>
                <w:sz w:val="18"/>
              </w:rPr>
              <w:t>522</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74</w:t>
            </w:r>
            <w:r w:rsidR="00904EBD">
              <w:rPr>
                <w:rFonts w:eastAsia="Calibri" w:cs="Calibri"/>
                <w:b/>
                <w:color w:val="000000"/>
                <w:sz w:val="18"/>
              </w:rPr>
              <w:t>,</w:t>
            </w:r>
            <w:r>
              <w:rPr>
                <w:rFonts w:eastAsia="Calibri" w:cs="Calibri"/>
                <w:b/>
                <w:color w:val="000000"/>
                <w:sz w:val="18"/>
              </w:rPr>
              <w:t>034</w:t>
            </w:r>
          </w:p>
        </w:tc>
      </w:tr>
      <w:tr w:rsidR="00237D6F">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59</w:t>
            </w:r>
            <w:r w:rsidR="00904EBD">
              <w:rPr>
                <w:rFonts w:eastAsia="Calibri" w:cs="Calibri"/>
                <w:b/>
                <w:color w:val="000000"/>
                <w:sz w:val="18"/>
              </w:rPr>
              <w:t>,</w:t>
            </w:r>
            <w:r>
              <w:rPr>
                <w:rFonts w:eastAsia="Calibri" w:cs="Calibri"/>
                <w:b/>
                <w:color w:val="000000"/>
                <w:sz w:val="18"/>
              </w:rPr>
              <w:t>454</w:t>
            </w:r>
          </w:p>
        </w:tc>
        <w:tc>
          <w:tcPr>
            <w:tcW w:w="238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CASH AT THE END OF REPORTING PERIOD</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81</w:t>
            </w:r>
            <w:r w:rsidR="00904EBD">
              <w:rPr>
                <w:rFonts w:eastAsia="Calibri" w:cs="Calibri"/>
                <w:b/>
                <w:color w:val="000000"/>
                <w:sz w:val="18"/>
              </w:rPr>
              <w:t>,</w:t>
            </w:r>
            <w:r>
              <w:rPr>
                <w:rFonts w:eastAsia="Calibri" w:cs="Calibri"/>
                <w:b/>
                <w:color w:val="000000"/>
                <w:sz w:val="18"/>
              </w:rPr>
              <w:t>698</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81</w:t>
            </w:r>
            <w:r w:rsidR="00904EBD">
              <w:rPr>
                <w:rFonts w:eastAsia="Calibri" w:cs="Calibri"/>
                <w:b/>
                <w:color w:val="000000"/>
                <w:sz w:val="18"/>
              </w:rPr>
              <w:t>,</w:t>
            </w:r>
            <w:r>
              <w:rPr>
                <w:rFonts w:eastAsia="Calibri" w:cs="Calibri"/>
                <w:b/>
                <w:color w:val="000000"/>
                <w:sz w:val="18"/>
              </w:rPr>
              <w:t>745</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80</w:t>
            </w:r>
            <w:r w:rsidR="00904EBD">
              <w:rPr>
                <w:rFonts w:eastAsia="Calibri" w:cs="Calibri"/>
                <w:b/>
                <w:color w:val="000000"/>
                <w:sz w:val="18"/>
              </w:rPr>
              <w:t>,</w:t>
            </w:r>
            <w:r>
              <w:rPr>
                <w:rFonts w:eastAsia="Calibri" w:cs="Calibri"/>
                <w:b/>
                <w:color w:val="000000"/>
                <w:sz w:val="18"/>
              </w:rPr>
              <w:t>522</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74</w:t>
            </w:r>
            <w:r w:rsidR="00904EBD">
              <w:rPr>
                <w:rFonts w:eastAsia="Calibri" w:cs="Calibri"/>
                <w:b/>
                <w:color w:val="000000"/>
                <w:sz w:val="18"/>
              </w:rPr>
              <w:t>,</w:t>
            </w:r>
            <w:r>
              <w:rPr>
                <w:rFonts w:eastAsia="Calibri" w:cs="Calibri"/>
                <w:b/>
                <w:color w:val="000000"/>
                <w:sz w:val="18"/>
              </w:rPr>
              <w:t>034</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75</w:t>
            </w:r>
            <w:r w:rsidR="00904EBD">
              <w:rPr>
                <w:rFonts w:eastAsia="Calibri" w:cs="Calibri"/>
                <w:b/>
                <w:color w:val="000000"/>
                <w:sz w:val="18"/>
              </w:rPr>
              <w:t>,</w:t>
            </w:r>
            <w:r>
              <w:rPr>
                <w:rFonts w:eastAsia="Calibri" w:cs="Calibri"/>
                <w:b/>
                <w:color w:val="000000"/>
                <w:sz w:val="18"/>
              </w:rPr>
              <w:t>246</w:t>
            </w:r>
          </w:p>
        </w:tc>
      </w:tr>
      <w:tr w:rsidR="00237D6F">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bl>
    <w:p w:rsidR="00FA5652" w:rsidRDefault="00FA5652" w:rsidP="00FA5652">
      <w:pPr>
        <w:pStyle w:val="Heading3"/>
        <w:pageBreakBefore/>
      </w:pPr>
      <w:bookmarkStart w:id="149" w:name="_Toc514764134"/>
      <w:bookmarkStart w:id="150" w:name="_Toc514765760"/>
      <w:bookmarkStart w:id="151" w:name="_Toc514832384"/>
      <w:bookmarkStart w:id="152" w:name="_Toc514832567"/>
      <w:r>
        <w:lastRenderedPageBreak/>
        <w:t>Notes to the Controlled Budget Statements</w:t>
      </w:r>
      <w:bookmarkEnd w:id="149"/>
      <w:bookmarkEnd w:id="150"/>
      <w:bookmarkEnd w:id="151"/>
      <w:bookmarkEnd w:id="152"/>
    </w:p>
    <w:p w:rsidR="00FA5652" w:rsidRDefault="00FA5652" w:rsidP="00FA5652">
      <w:pPr>
        <w:pStyle w:val="Normal0"/>
      </w:pPr>
      <w:r>
        <w:t>Significant variations are as follows:</w:t>
      </w:r>
    </w:p>
    <w:p w:rsidR="00FA5652" w:rsidRDefault="00FA5652" w:rsidP="00FA5652">
      <w:pPr>
        <w:pStyle w:val="Normal0"/>
        <w:rPr>
          <w:b/>
          <w:i/>
        </w:rPr>
      </w:pPr>
      <w:r>
        <w:rPr>
          <w:b/>
          <w:i/>
        </w:rPr>
        <w:t>Operating Statement</w:t>
      </w:r>
    </w:p>
    <w:p w:rsidR="00FA5652" w:rsidRDefault="00FA5652" w:rsidP="00CA0839">
      <w:pPr>
        <w:pStyle w:val="BSbullet1"/>
        <w:numPr>
          <w:ilvl w:val="0"/>
          <w:numId w:val="42"/>
        </w:numPr>
      </w:pPr>
      <w:r>
        <w:t xml:space="preserve">controlled recurrent payments:  </w:t>
      </w:r>
    </w:p>
    <w:p w:rsidR="00FA5652" w:rsidRPr="00287CA8" w:rsidRDefault="00FA5652" w:rsidP="00472E73">
      <w:pPr>
        <w:pStyle w:val="BSbullet20"/>
      </w:pPr>
      <w:r w:rsidRPr="00287CA8">
        <w:t>the decrease of $15.520 m</w:t>
      </w:r>
      <w:r>
        <w:t>illion (5 per cent</w:t>
      </w:r>
      <w:r w:rsidR="000E4DA3">
        <w:t>) in</w:t>
      </w:r>
      <w:r>
        <w:t xml:space="preserve"> the 2017-18</w:t>
      </w:r>
      <w:r w:rsidRPr="00287CA8">
        <w:t xml:space="preserve"> estimated outcome from the original budget is mainly due to the transfer of appropriation to Territorial for capital grants to Calvary Hospital and </w:t>
      </w:r>
      <w:proofErr w:type="spellStart"/>
      <w:r w:rsidRPr="00287CA8">
        <w:t>Winnunga</w:t>
      </w:r>
      <w:proofErr w:type="spellEnd"/>
      <w:r w:rsidRPr="00287CA8">
        <w:t xml:space="preserve"> </w:t>
      </w:r>
      <w:proofErr w:type="spellStart"/>
      <w:r w:rsidRPr="00287CA8">
        <w:t>Nimmit</w:t>
      </w:r>
      <w:r w:rsidR="00BC45E1">
        <w:t>yjah</w:t>
      </w:r>
      <w:proofErr w:type="spellEnd"/>
      <w:r w:rsidR="00BC45E1">
        <w:t xml:space="preserve"> Aboriginal Health</w:t>
      </w:r>
      <w:r w:rsidRPr="00287CA8">
        <w:t xml:space="preserve"> Service and workers compensation premium savings.  These are offset by appropriation provided through the 2017-18 Budget Review; and</w:t>
      </w:r>
    </w:p>
    <w:p w:rsidR="00FA5652" w:rsidRPr="00287CA8" w:rsidRDefault="00FA5652" w:rsidP="00472E73">
      <w:pPr>
        <w:pStyle w:val="BSbullet20"/>
      </w:pPr>
      <w:r w:rsidRPr="00287CA8">
        <w:t>the increase of $12.803 million (4 per cent</w:t>
      </w:r>
      <w:r w:rsidR="000E4DA3" w:rsidRPr="00287CA8">
        <w:t>) in</w:t>
      </w:r>
      <w:r w:rsidRPr="00287CA8">
        <w:t xml:space="preserve"> the </w:t>
      </w:r>
      <w:r>
        <w:t>2018-19</w:t>
      </w:r>
      <w:r w:rsidRPr="00287CA8">
        <w:t xml:space="preserve"> Budget from the </w:t>
      </w:r>
      <w:r>
        <w:t>2017-18</w:t>
      </w:r>
      <w:r w:rsidRPr="00287CA8">
        <w:t xml:space="preserve"> estimated outcome is mainly due to indexation.</w:t>
      </w:r>
    </w:p>
    <w:p w:rsidR="00FA5652" w:rsidRPr="00287CA8" w:rsidRDefault="00FA5652" w:rsidP="00CA0839">
      <w:pPr>
        <w:pStyle w:val="BSbullet1"/>
        <w:numPr>
          <w:ilvl w:val="0"/>
          <w:numId w:val="42"/>
        </w:numPr>
      </w:pPr>
      <w:r w:rsidRPr="00287CA8">
        <w:t>user charges: the</w:t>
      </w:r>
      <w:r>
        <w:t xml:space="preserve"> increase of $47.798 million</w:t>
      </w:r>
      <w:r w:rsidRPr="00287CA8">
        <w:t xml:space="preserve"> in the </w:t>
      </w:r>
      <w:r>
        <w:t>2018-19</w:t>
      </w:r>
      <w:r w:rsidRPr="00287CA8">
        <w:t xml:space="preserve"> Budget from the </w:t>
      </w:r>
      <w:r>
        <w:t>2017-18</w:t>
      </w:r>
      <w:r w:rsidRPr="00287CA8">
        <w:t xml:space="preserve"> estimated outcome is mainly due to increased funding from the ACT Local Hospital Network for indexation and growth in activity. </w:t>
      </w:r>
    </w:p>
    <w:p w:rsidR="00FA5652" w:rsidRPr="00287CA8" w:rsidRDefault="00FA5652" w:rsidP="00CA0839">
      <w:pPr>
        <w:pStyle w:val="BSbullet1"/>
        <w:numPr>
          <w:ilvl w:val="0"/>
          <w:numId w:val="42"/>
        </w:numPr>
      </w:pPr>
      <w:r w:rsidRPr="00287CA8">
        <w:t xml:space="preserve">employee expenses:  the increase of $30.600 million in the </w:t>
      </w:r>
      <w:r>
        <w:t>2018-19</w:t>
      </w:r>
      <w:r w:rsidRPr="00287CA8">
        <w:t xml:space="preserve"> Budget from the </w:t>
      </w:r>
      <w:r>
        <w:t>2017-18</w:t>
      </w:r>
      <w:r w:rsidRPr="00287CA8">
        <w:t xml:space="preserve"> estimated outcome is due to wage rises and new initiatives.</w:t>
      </w:r>
    </w:p>
    <w:p w:rsidR="00FA5652" w:rsidRPr="00287CA8" w:rsidRDefault="00FA5652" w:rsidP="00CA0839">
      <w:pPr>
        <w:pStyle w:val="BSbullet1"/>
        <w:keepNext/>
        <w:numPr>
          <w:ilvl w:val="0"/>
          <w:numId w:val="42"/>
        </w:numPr>
      </w:pPr>
      <w:r w:rsidRPr="00287CA8">
        <w:t xml:space="preserve">superannuation expenses: the increase of $4.070 million in the </w:t>
      </w:r>
      <w:r>
        <w:t>2018-19</w:t>
      </w:r>
      <w:r w:rsidRPr="00287CA8">
        <w:t xml:space="preserve"> Budget from the </w:t>
      </w:r>
      <w:r>
        <w:t>2017-18</w:t>
      </w:r>
      <w:r w:rsidRPr="00287CA8">
        <w:t xml:space="preserve"> estimated outcome is due to wage rises, an increase in the superannuation contribution rate and new initiatives.</w:t>
      </w:r>
    </w:p>
    <w:p w:rsidR="00FA5652" w:rsidRPr="00287CA8" w:rsidRDefault="00FA5652" w:rsidP="00CA0839">
      <w:pPr>
        <w:pStyle w:val="BSbullet1"/>
        <w:keepNext/>
        <w:numPr>
          <w:ilvl w:val="0"/>
          <w:numId w:val="42"/>
        </w:numPr>
      </w:pPr>
      <w:r w:rsidRPr="00287CA8">
        <w:t xml:space="preserve">supplies and services: the increase of $10.799 million in the </w:t>
      </w:r>
      <w:r>
        <w:t>2018-19</w:t>
      </w:r>
      <w:r w:rsidRPr="00287CA8">
        <w:t xml:space="preserve"> Budget from the </w:t>
      </w:r>
      <w:r>
        <w:t>2017-18</w:t>
      </w:r>
      <w:r w:rsidRPr="00287CA8">
        <w:t xml:space="preserve"> estimated outcome is due to indexation and new initiatives.</w:t>
      </w:r>
    </w:p>
    <w:p w:rsidR="00FA5652" w:rsidRDefault="00FA5652" w:rsidP="00CA0839">
      <w:pPr>
        <w:pStyle w:val="BSbullet1"/>
        <w:numPr>
          <w:ilvl w:val="0"/>
          <w:numId w:val="42"/>
        </w:numPr>
      </w:pPr>
      <w:r w:rsidRPr="00287CA8">
        <w:t xml:space="preserve">depreciation and amortisation:  the increase of $5.216 million in the </w:t>
      </w:r>
      <w:r>
        <w:t>2018-19</w:t>
      </w:r>
      <w:r w:rsidRPr="00287CA8">
        <w:t xml:space="preserve"> Budget from the </w:t>
      </w:r>
      <w:r>
        <w:t>2017-18</w:t>
      </w:r>
      <w:r w:rsidRPr="00287CA8">
        <w:t xml:space="preserve"> estimated outcome is due to the completion of capital works projects including the University of Canberra Hospital.</w:t>
      </w:r>
    </w:p>
    <w:p w:rsidR="00374641" w:rsidRPr="00287CA8" w:rsidRDefault="00374641" w:rsidP="00CA0839">
      <w:pPr>
        <w:pStyle w:val="BSbullet1"/>
        <w:numPr>
          <w:ilvl w:val="0"/>
          <w:numId w:val="42"/>
        </w:numPr>
      </w:pPr>
      <w:r>
        <w:t>Other expenses: the increase of $3.681 million in the 2017-18 estimated outcome from the original budget and the decrease of $2.916 million in the 2018-19 Budget from the 2017-18 estimated outcome relates mainly to the transfer of the ol</w:t>
      </w:r>
      <w:r w:rsidR="00A244C9">
        <w:t xml:space="preserve">d Belconnen Health Centre to </w:t>
      </w:r>
      <w:r>
        <w:t>ACT Property Group.</w:t>
      </w:r>
    </w:p>
    <w:p w:rsidR="00FA5652" w:rsidRPr="00287CA8" w:rsidRDefault="00FA5652" w:rsidP="00FA5652">
      <w:pPr>
        <w:pStyle w:val="Heading4"/>
      </w:pPr>
      <w:r w:rsidRPr="00287CA8">
        <w:t>Balance Sheet</w:t>
      </w:r>
    </w:p>
    <w:p w:rsidR="00FA5652" w:rsidRPr="00287CA8" w:rsidRDefault="00FA5652" w:rsidP="00CA0839">
      <w:pPr>
        <w:pStyle w:val="BSbullet1"/>
        <w:numPr>
          <w:ilvl w:val="0"/>
          <w:numId w:val="42"/>
        </w:numPr>
      </w:pPr>
      <w:r w:rsidRPr="00287CA8">
        <w:t>cash and cash equivalents: the increase of $22.244 million in the 2017-18 estimated outcome from the original budget is mainly due to the flow on effect of the 2016-17 audited outcome.</w:t>
      </w:r>
    </w:p>
    <w:p w:rsidR="00FA5652" w:rsidRPr="00287CA8" w:rsidRDefault="00FA5652" w:rsidP="00CA0839">
      <w:pPr>
        <w:pStyle w:val="BSbullet1"/>
        <w:numPr>
          <w:ilvl w:val="0"/>
          <w:numId w:val="42"/>
        </w:numPr>
      </w:pPr>
      <w:r w:rsidRPr="00287CA8">
        <w:t xml:space="preserve">receivables:  the </w:t>
      </w:r>
      <w:r>
        <w:t>decrease</w:t>
      </w:r>
      <w:r w:rsidRPr="00287CA8">
        <w:t xml:space="preserve"> of $</w:t>
      </w:r>
      <w:r>
        <w:t>8.370</w:t>
      </w:r>
      <w:r w:rsidRPr="00287CA8">
        <w:t xml:space="preserve"> million in the </w:t>
      </w:r>
      <w:r>
        <w:t>2017-18</w:t>
      </w:r>
      <w:r w:rsidRPr="00287CA8">
        <w:t xml:space="preserve"> estimated outcome from the original budget is mainly due to the flow on effect of the 2016-17 audited outcome.</w:t>
      </w:r>
    </w:p>
    <w:p w:rsidR="00374641" w:rsidRDefault="00374641">
      <w:pPr>
        <w:spacing w:before="0" w:after="0"/>
        <w:rPr>
          <w:szCs w:val="24"/>
        </w:rPr>
      </w:pPr>
      <w:r>
        <w:br w:type="page"/>
      </w:r>
    </w:p>
    <w:p w:rsidR="00FA5652" w:rsidRPr="00287CA8" w:rsidRDefault="00FA5652" w:rsidP="00CA0839">
      <w:pPr>
        <w:pStyle w:val="BSbullet1"/>
        <w:numPr>
          <w:ilvl w:val="0"/>
          <w:numId w:val="42"/>
        </w:numPr>
      </w:pPr>
      <w:r w:rsidRPr="00287CA8">
        <w:lastRenderedPageBreak/>
        <w:t xml:space="preserve">property, plant and equipment: the </w:t>
      </w:r>
      <w:r>
        <w:t>decrease</w:t>
      </w:r>
      <w:r w:rsidRPr="00287CA8">
        <w:t xml:space="preserve"> of $</w:t>
      </w:r>
      <w:r>
        <w:t>105.035</w:t>
      </w:r>
      <w:r w:rsidRPr="00287CA8">
        <w:t xml:space="preserve"> million in the </w:t>
      </w:r>
      <w:r>
        <w:t xml:space="preserve">2017-18 </w:t>
      </w:r>
      <w:r w:rsidRPr="00287CA8">
        <w:t xml:space="preserve">estimated outcome from the original budget and the </w:t>
      </w:r>
      <w:r>
        <w:t>increase</w:t>
      </w:r>
      <w:r w:rsidRPr="00287CA8">
        <w:t xml:space="preserve"> of </w:t>
      </w:r>
      <w:r>
        <w:t>$66.290</w:t>
      </w:r>
      <w:r w:rsidRPr="00287CA8">
        <w:t xml:space="preserve"> million in the </w:t>
      </w:r>
      <w:r>
        <w:t>2018-19</w:t>
      </w:r>
      <w:r w:rsidRPr="00287CA8">
        <w:t xml:space="preserve"> </w:t>
      </w:r>
      <w:r>
        <w:t>B</w:t>
      </w:r>
      <w:r w:rsidRPr="00287CA8">
        <w:t xml:space="preserve">udget from the </w:t>
      </w:r>
      <w:r>
        <w:t>2017-18</w:t>
      </w:r>
      <w:r w:rsidRPr="00287CA8">
        <w:t xml:space="preserve"> estimated outcome is mainly due to the timing of capital works projects.</w:t>
      </w:r>
    </w:p>
    <w:p w:rsidR="00FA5652" w:rsidRPr="00287CA8" w:rsidRDefault="00FA5652" w:rsidP="00CA0839">
      <w:pPr>
        <w:pStyle w:val="BSbullet1"/>
        <w:numPr>
          <w:ilvl w:val="0"/>
          <w:numId w:val="42"/>
        </w:numPr>
      </w:pPr>
      <w:r w:rsidRPr="00287CA8">
        <w:t xml:space="preserve">intangible assets: the </w:t>
      </w:r>
      <w:r>
        <w:t>increase of $9.345 million</w:t>
      </w:r>
      <w:r w:rsidRPr="00287CA8">
        <w:t xml:space="preserve"> in the </w:t>
      </w:r>
      <w:r>
        <w:t>2017-18</w:t>
      </w:r>
      <w:r w:rsidRPr="00287CA8">
        <w:t xml:space="preserve"> estimated outcome from the original budget and the </w:t>
      </w:r>
      <w:r>
        <w:t>increase</w:t>
      </w:r>
      <w:r w:rsidRPr="00287CA8">
        <w:t xml:space="preserve"> of $</w:t>
      </w:r>
      <w:r>
        <w:t>8.973</w:t>
      </w:r>
      <w:r w:rsidRPr="00287CA8">
        <w:t xml:space="preserve"> million in the </w:t>
      </w:r>
      <w:r>
        <w:t>2018-19 B</w:t>
      </w:r>
      <w:r w:rsidRPr="00287CA8">
        <w:t xml:space="preserve">udget from the </w:t>
      </w:r>
      <w:r>
        <w:t>2017-18</w:t>
      </w:r>
      <w:r w:rsidRPr="00287CA8">
        <w:t xml:space="preserve"> estimated outcome is mainly due to the completion of ‘An E-Healthy Future’ projects.</w:t>
      </w:r>
    </w:p>
    <w:p w:rsidR="00FA5652" w:rsidRPr="00287CA8" w:rsidRDefault="00FA5652" w:rsidP="00CA0839">
      <w:pPr>
        <w:pStyle w:val="BSbullet1"/>
        <w:numPr>
          <w:ilvl w:val="0"/>
          <w:numId w:val="42"/>
        </w:numPr>
      </w:pPr>
      <w:r w:rsidRPr="00287CA8">
        <w:t xml:space="preserve">capital works in progress:  the </w:t>
      </w:r>
      <w:r>
        <w:t xml:space="preserve">increase </w:t>
      </w:r>
      <w:r w:rsidRPr="00287CA8">
        <w:t>of $</w:t>
      </w:r>
      <w:r>
        <w:t>7.862</w:t>
      </w:r>
      <w:r w:rsidRPr="00287CA8">
        <w:t xml:space="preserve"> million in the </w:t>
      </w:r>
      <w:r>
        <w:t>2018-19</w:t>
      </w:r>
      <w:r w:rsidRPr="00287CA8">
        <w:t xml:space="preserve"> </w:t>
      </w:r>
      <w:r>
        <w:t>B</w:t>
      </w:r>
      <w:r w:rsidRPr="00287CA8">
        <w:t xml:space="preserve">udget from the </w:t>
      </w:r>
      <w:r>
        <w:t xml:space="preserve">2017-18 </w:t>
      </w:r>
      <w:r w:rsidRPr="00287CA8">
        <w:t>estimated outcome is mainly due to new capital works projects including Surgical Procedures, Interventional Radiology and Emergency (SPIRE) Centre.</w:t>
      </w:r>
    </w:p>
    <w:p w:rsidR="00FA5652" w:rsidRPr="00287CA8" w:rsidRDefault="00FA5652" w:rsidP="00CA0839">
      <w:pPr>
        <w:pStyle w:val="BSbullet1"/>
        <w:numPr>
          <w:ilvl w:val="0"/>
          <w:numId w:val="42"/>
        </w:numPr>
      </w:pPr>
      <w:proofErr w:type="spellStart"/>
      <w:r w:rsidRPr="00287CA8">
        <w:t>non current</w:t>
      </w:r>
      <w:proofErr w:type="spellEnd"/>
      <w:r w:rsidRPr="00287CA8">
        <w:t xml:space="preserve"> other </w:t>
      </w:r>
      <w:r>
        <w:t>a</w:t>
      </w:r>
      <w:r w:rsidRPr="00287CA8">
        <w:t>ssets: the increase of $14.765 million in the 2017-18 estimated outcome from the original budget relates t</w:t>
      </w:r>
      <w:r w:rsidR="00B82C47">
        <w:t>o lease incentives for the multi</w:t>
      </w:r>
      <w:r w:rsidRPr="00287CA8">
        <w:t>-year lease on 2-6 Bowes Place Phillip.</w:t>
      </w:r>
    </w:p>
    <w:p w:rsidR="00FA5652" w:rsidRPr="00287CA8" w:rsidRDefault="00FA5652" w:rsidP="00CA0839">
      <w:pPr>
        <w:pStyle w:val="BSbullet1"/>
        <w:numPr>
          <w:ilvl w:val="0"/>
          <w:numId w:val="42"/>
        </w:numPr>
      </w:pPr>
      <w:r w:rsidRPr="00287CA8">
        <w:t xml:space="preserve">payables: the </w:t>
      </w:r>
      <w:r>
        <w:t>increase</w:t>
      </w:r>
      <w:r w:rsidRPr="00287CA8">
        <w:t xml:space="preserve"> of $</w:t>
      </w:r>
      <w:r>
        <w:t>38.345</w:t>
      </w:r>
      <w:r w:rsidRPr="00287CA8">
        <w:t xml:space="preserve"> million in the </w:t>
      </w:r>
      <w:r>
        <w:t>2017-18</w:t>
      </w:r>
      <w:r w:rsidRPr="00287CA8">
        <w:t xml:space="preserve"> estimated outcome from the original budget is mainly due to the flow on effect of the 2016-17 audited outcome.</w:t>
      </w:r>
    </w:p>
    <w:p w:rsidR="00FA5652" w:rsidRPr="00287CA8" w:rsidRDefault="00FA5652" w:rsidP="00CA0839">
      <w:pPr>
        <w:pStyle w:val="BSbullet1"/>
        <w:numPr>
          <w:ilvl w:val="0"/>
          <w:numId w:val="42"/>
        </w:numPr>
      </w:pPr>
      <w:r w:rsidRPr="00287CA8">
        <w:t xml:space="preserve">current and </w:t>
      </w:r>
      <w:proofErr w:type="spellStart"/>
      <w:r w:rsidRPr="00287CA8">
        <w:t>non current</w:t>
      </w:r>
      <w:proofErr w:type="spellEnd"/>
      <w:r w:rsidRPr="00287CA8">
        <w:t xml:space="preserve"> employee benefits: the </w:t>
      </w:r>
      <w:r>
        <w:t xml:space="preserve">increase </w:t>
      </w:r>
      <w:r w:rsidRPr="00287CA8">
        <w:t xml:space="preserve">of </w:t>
      </w:r>
      <w:r>
        <w:t>$19.956 million</w:t>
      </w:r>
      <w:r w:rsidRPr="00287CA8">
        <w:t xml:space="preserve"> in the </w:t>
      </w:r>
      <w:r>
        <w:t>2018</w:t>
      </w:r>
      <w:r>
        <w:noBreakHyphen/>
        <w:t>19</w:t>
      </w:r>
      <w:r w:rsidRPr="00287CA8">
        <w:t xml:space="preserve"> Budget from the </w:t>
      </w:r>
      <w:r>
        <w:t>2017-18</w:t>
      </w:r>
      <w:r w:rsidRPr="00287CA8">
        <w:t xml:space="preserve"> estimated outcome is mainly due to wage rises.</w:t>
      </w:r>
    </w:p>
    <w:p w:rsidR="00FA5652" w:rsidRPr="00287CA8" w:rsidRDefault="00FA5652" w:rsidP="00CA0839">
      <w:pPr>
        <w:pStyle w:val="BSbullet1"/>
        <w:numPr>
          <w:ilvl w:val="0"/>
          <w:numId w:val="42"/>
        </w:numPr>
      </w:pPr>
      <w:r w:rsidRPr="00287CA8">
        <w:t xml:space="preserve">current and </w:t>
      </w:r>
      <w:proofErr w:type="spellStart"/>
      <w:r w:rsidRPr="00287CA8">
        <w:t>non current</w:t>
      </w:r>
      <w:proofErr w:type="spellEnd"/>
      <w:r w:rsidRPr="00287CA8">
        <w:t xml:space="preserve"> other liabilities:  the </w:t>
      </w:r>
      <w:r>
        <w:t>increase</w:t>
      </w:r>
      <w:r w:rsidRPr="00287CA8">
        <w:t xml:space="preserve"> of </w:t>
      </w:r>
      <w:r>
        <w:t>$24.050</w:t>
      </w:r>
      <w:r w:rsidRPr="00287CA8">
        <w:t xml:space="preserve"> million in the </w:t>
      </w:r>
      <w:r>
        <w:t>2017-18</w:t>
      </w:r>
      <w:r w:rsidRPr="00287CA8">
        <w:t xml:space="preserve"> estimated outcome from the orig</w:t>
      </w:r>
      <w:r w:rsidR="00B82C47">
        <w:t>inal budget relates to the multi</w:t>
      </w:r>
      <w:r w:rsidRPr="00287CA8">
        <w:t>-year lease on 2-6 Bowes Place Phillip.</w:t>
      </w:r>
    </w:p>
    <w:p w:rsidR="00FA5652" w:rsidRDefault="00FA5652" w:rsidP="00FA5652">
      <w:pPr>
        <w:pStyle w:val="Heading4"/>
      </w:pPr>
      <w:r>
        <w:t xml:space="preserve">Statement of Changes in Equity </w:t>
      </w:r>
    </w:p>
    <w:p w:rsidR="00FA5652" w:rsidRDefault="00FA5652" w:rsidP="00CA0839">
      <w:pPr>
        <w:pStyle w:val="BSbullet1"/>
        <w:numPr>
          <w:ilvl w:val="0"/>
          <w:numId w:val="42"/>
        </w:numPr>
      </w:pPr>
      <w:r>
        <w:t xml:space="preserve">capital injections:  </w:t>
      </w:r>
    </w:p>
    <w:p w:rsidR="00FA5652" w:rsidRPr="00287CA8" w:rsidRDefault="00FA5652" w:rsidP="004900B3">
      <w:pPr>
        <w:pStyle w:val="BSbullet20"/>
      </w:pPr>
      <w:r w:rsidRPr="00287CA8">
        <w:t xml:space="preserve">the </w:t>
      </w:r>
      <w:r>
        <w:t>decrease</w:t>
      </w:r>
      <w:r w:rsidRPr="00287CA8">
        <w:t xml:space="preserve"> of $</w:t>
      </w:r>
      <w:r>
        <w:t>58.247</w:t>
      </w:r>
      <w:r w:rsidRPr="00287CA8">
        <w:t xml:space="preserve"> million in the </w:t>
      </w:r>
      <w:r>
        <w:t>2017-18</w:t>
      </w:r>
      <w:r w:rsidRPr="00287CA8">
        <w:t xml:space="preserve"> estimated outcome from the original budget is mainly due to roll overs of capital works projects into 2018-19</w:t>
      </w:r>
      <w:r>
        <w:t>; and</w:t>
      </w:r>
    </w:p>
    <w:p w:rsidR="00FA5652" w:rsidRDefault="00FA5652" w:rsidP="004900B3">
      <w:pPr>
        <w:pStyle w:val="BSbullet20"/>
      </w:pPr>
      <w:r w:rsidRPr="00287CA8">
        <w:t xml:space="preserve">the </w:t>
      </w:r>
      <w:r>
        <w:t>increase</w:t>
      </w:r>
      <w:r w:rsidRPr="00287CA8">
        <w:t xml:space="preserve"> of $</w:t>
      </w:r>
      <w:r>
        <w:t>23.866</w:t>
      </w:r>
      <w:r w:rsidRPr="00287CA8">
        <w:t xml:space="preserve"> million in the </w:t>
      </w:r>
      <w:r>
        <w:t>2018-19</w:t>
      </w:r>
      <w:r w:rsidRPr="00287CA8">
        <w:t xml:space="preserve"> Budget from the </w:t>
      </w:r>
      <w:r>
        <w:t>2017-18</w:t>
      </w:r>
      <w:r w:rsidRPr="00287CA8">
        <w:t xml:space="preserve"> estimated outcome is mainly due</w:t>
      </w:r>
      <w:r>
        <w:t xml:space="preserve"> to roll overs from 2017-18 and </w:t>
      </w:r>
      <w:r w:rsidR="00A244C9">
        <w:t xml:space="preserve">new </w:t>
      </w:r>
      <w:r>
        <w:t>capital works projects.</w:t>
      </w:r>
    </w:p>
    <w:p w:rsidR="00FA5652" w:rsidRDefault="00FA5652" w:rsidP="00FA5652">
      <w:pPr>
        <w:pStyle w:val="Heading4"/>
      </w:pPr>
      <w:r>
        <w:t>Cash Flow Statement</w:t>
      </w:r>
    </w:p>
    <w:p w:rsidR="00FA5652" w:rsidRPr="0004555B" w:rsidRDefault="00FA5652" w:rsidP="00FA5652">
      <w:pPr>
        <w:pStyle w:val="Normal0"/>
        <w:rPr>
          <w:rFonts w:eastAsia="TimesNewRomanPS-ItalicMT"/>
        </w:rPr>
      </w:pPr>
      <w:r>
        <w:t>Variations in the Statement are explained in the notes above.</w:t>
      </w:r>
    </w:p>
    <w:p w:rsidR="00281F97" w:rsidRPr="0004555B" w:rsidRDefault="00765F6E" w:rsidP="00281F97">
      <w:pPr>
        <w:pStyle w:val="Normal6"/>
        <w:rPr>
          <w:rFonts w:eastAsia="TimesNewRomanPS-ItalicMT"/>
        </w:rPr>
      </w:pPr>
      <w:r>
        <w:t xml:space="preserve"> </w:t>
      </w:r>
    </w:p>
    <w:p w:rsidR="00281F97" w:rsidRDefault="00765F6E" w:rsidP="00281F97">
      <w:pPr>
        <w:pStyle w:val="Heading2"/>
        <w:pageBreakBefore/>
        <w:pBdr>
          <w:top w:val="nil"/>
          <w:left w:val="nil"/>
          <w:bottom w:val="nil"/>
          <w:right w:val="nil"/>
          <w:between w:val="nil"/>
          <w:bar w:val="nil"/>
        </w:pBdr>
        <w:ind w:left="-426" w:firstLine="426"/>
        <w:rPr>
          <w:bdr w:val="nil"/>
        </w:rPr>
      </w:pPr>
      <w:bookmarkStart w:id="153" w:name="_Toc452467803_0"/>
      <w:bookmarkStart w:id="154" w:name="_Toc514764135"/>
      <w:bookmarkStart w:id="155" w:name="_Toc514765761"/>
      <w:bookmarkStart w:id="156" w:name="_Toc514832385"/>
      <w:bookmarkStart w:id="157" w:name="_Toc514832568"/>
      <w:r>
        <w:rPr>
          <w:bdr w:val="nil"/>
        </w:rPr>
        <w:lastRenderedPageBreak/>
        <w:t>Financial Statements</w:t>
      </w:r>
      <w:bookmarkEnd w:id="153"/>
      <w:r>
        <w:rPr>
          <w:bdr w:val="nil"/>
        </w:rPr>
        <w:t xml:space="preserve"> – Territorial</w:t>
      </w:r>
      <w:bookmarkEnd w:id="154"/>
      <w:bookmarkEnd w:id="155"/>
      <w:bookmarkEnd w:id="156"/>
      <w:bookmarkEnd w:id="157"/>
    </w:p>
    <w:p w:rsidR="00281F97" w:rsidRPr="00383761" w:rsidRDefault="00765F6E" w:rsidP="00281F97">
      <w:pPr>
        <w:pStyle w:val="Caption"/>
        <w:pBdr>
          <w:top w:val="nil"/>
          <w:left w:val="nil"/>
          <w:bottom w:val="nil"/>
          <w:right w:val="nil"/>
          <w:between w:val="nil"/>
          <w:bar w:val="nil"/>
        </w:pBdr>
        <w:rPr>
          <w:bdr w:val="nil"/>
        </w:rPr>
      </w:pPr>
      <w:r w:rsidRPr="00383761">
        <w:rPr>
          <w:bdr w:val="nil"/>
        </w:rPr>
        <w:t xml:space="preserve">Table </w:t>
      </w:r>
      <w:r>
        <w:rPr>
          <w:bdr w:val="nil"/>
        </w:rPr>
        <w:t>3</w:t>
      </w:r>
      <w:r w:rsidR="00141A32">
        <w:rPr>
          <w:bdr w:val="nil"/>
        </w:rPr>
        <w:t>6</w:t>
      </w:r>
      <w:r w:rsidRPr="00383761">
        <w:rPr>
          <w:bdr w:val="nil"/>
        </w:rPr>
        <w:t>: Health Directorate: State</w:t>
      </w:r>
      <w:r w:rsidR="00A244C9">
        <w:rPr>
          <w:bdr w:val="nil"/>
        </w:rPr>
        <w:t>ment of Income and Expenses on B</w:t>
      </w:r>
      <w:r w:rsidRPr="00383761">
        <w:rPr>
          <w:bdr w:val="nil"/>
        </w:rPr>
        <w:t>ehalf of the Territory</w:t>
      </w:r>
      <w:r>
        <w:rPr>
          <w:bdr w:val="nil"/>
        </w:rPr>
        <w:t xml:space="preserve"> </w:t>
      </w:r>
    </w:p>
    <w:tbl>
      <w:tblPr>
        <w:tblStyle w:val="CDMRange2"/>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237D6F">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2017-18 Budget            </w:t>
            </w:r>
          </w:p>
          <w:p w:rsidR="00237D6F" w:rsidRDefault="00237D6F">
            <w:pPr>
              <w:spacing w:before="0" w:after="0"/>
              <w:jc w:val="right"/>
              <w:rPr>
                <w:rFonts w:eastAsia="Calibri" w:cs="Calibri"/>
                <w:b/>
                <w:color w:val="000000"/>
                <w:sz w:val="18"/>
              </w:rPr>
            </w:pPr>
          </w:p>
          <w:p w:rsidR="00237D6F" w:rsidRDefault="00765F6E">
            <w:pPr>
              <w:spacing w:before="0" w:after="0"/>
              <w:jc w:val="right"/>
              <w:rPr>
                <w:rFonts w:eastAsia="Calibri" w:cs="Calibri"/>
                <w:b/>
                <w:color w:val="000000"/>
                <w:sz w:val="18"/>
              </w:rPr>
            </w:pPr>
            <w:r>
              <w:rPr>
                <w:rFonts w:eastAsia="Calibri" w:cs="Calibri"/>
                <w:b/>
                <w:color w:val="000000"/>
                <w:sz w:val="18"/>
              </w:rPr>
              <w:t xml:space="preserve"> $'000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2018-19 Budget            </w:t>
            </w:r>
          </w:p>
          <w:p w:rsidR="00237D6F" w:rsidRDefault="00237D6F">
            <w:pPr>
              <w:spacing w:before="0" w:after="0"/>
              <w:jc w:val="right"/>
              <w:rPr>
                <w:rFonts w:eastAsia="Calibri" w:cs="Calibri"/>
                <w:b/>
                <w:color w:val="000000"/>
                <w:sz w:val="18"/>
              </w:rPr>
            </w:pPr>
          </w:p>
          <w:p w:rsidR="00237D6F" w:rsidRDefault="00765F6E">
            <w:pPr>
              <w:spacing w:before="0" w:after="0"/>
              <w:jc w:val="right"/>
              <w:rPr>
                <w:rFonts w:eastAsia="Calibri" w:cs="Calibri"/>
                <w:b/>
                <w:color w:val="000000"/>
                <w:sz w:val="18"/>
              </w:rPr>
            </w:pPr>
            <w:r>
              <w:rPr>
                <w:rFonts w:eastAsia="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proofErr w:type="spellStart"/>
            <w:r>
              <w:rPr>
                <w:rFonts w:eastAsia="Calibri" w:cs="Calibri"/>
                <w:b/>
                <w:color w:val="000000"/>
                <w:sz w:val="18"/>
              </w:rPr>
              <w:t>Var</w:t>
            </w:r>
            <w:proofErr w:type="spellEnd"/>
          </w:p>
          <w:p w:rsidR="00237D6F" w:rsidRDefault="00765F6E">
            <w:pPr>
              <w:spacing w:before="0" w:after="0"/>
              <w:jc w:val="right"/>
              <w:rPr>
                <w:rFonts w:eastAsia="Calibri" w:cs="Calibri"/>
                <w:b/>
                <w:color w:val="000000"/>
                <w:sz w:val="18"/>
              </w:rPr>
            </w:pPr>
            <w:r>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2019-20 Estimate            </w:t>
            </w:r>
          </w:p>
          <w:p w:rsidR="00237D6F" w:rsidRDefault="00237D6F">
            <w:pPr>
              <w:spacing w:before="0" w:after="0"/>
              <w:jc w:val="right"/>
              <w:rPr>
                <w:rFonts w:eastAsia="Calibri" w:cs="Calibri"/>
                <w:b/>
                <w:color w:val="000000"/>
                <w:sz w:val="18"/>
              </w:rPr>
            </w:pPr>
          </w:p>
          <w:p w:rsidR="00237D6F" w:rsidRDefault="00765F6E">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2020-21 Estimate            </w:t>
            </w:r>
          </w:p>
          <w:p w:rsidR="00237D6F" w:rsidRDefault="00237D6F">
            <w:pPr>
              <w:spacing w:before="0" w:after="0"/>
              <w:jc w:val="right"/>
              <w:rPr>
                <w:rFonts w:eastAsia="Calibri" w:cs="Calibri"/>
                <w:b/>
                <w:color w:val="000000"/>
                <w:sz w:val="18"/>
              </w:rPr>
            </w:pPr>
          </w:p>
          <w:p w:rsidR="00237D6F" w:rsidRDefault="00765F6E">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2021-22 Estimate            </w:t>
            </w:r>
          </w:p>
          <w:p w:rsidR="00237D6F" w:rsidRDefault="00237D6F">
            <w:pPr>
              <w:spacing w:before="0" w:after="0"/>
              <w:jc w:val="right"/>
              <w:rPr>
                <w:rFonts w:eastAsia="Calibri" w:cs="Calibri"/>
                <w:b/>
                <w:color w:val="000000"/>
                <w:sz w:val="18"/>
              </w:rPr>
            </w:pPr>
          </w:p>
          <w:p w:rsidR="00237D6F" w:rsidRDefault="00765F6E">
            <w:pPr>
              <w:spacing w:before="0" w:after="0"/>
              <w:jc w:val="right"/>
              <w:rPr>
                <w:rFonts w:eastAsia="Calibri" w:cs="Calibri"/>
                <w:b/>
                <w:color w:val="000000"/>
                <w:sz w:val="18"/>
              </w:rPr>
            </w:pPr>
            <w:r>
              <w:rPr>
                <w:rFonts w:eastAsia="Calibri" w:cs="Calibri"/>
                <w:b/>
                <w:color w:val="000000"/>
                <w:sz w:val="18"/>
              </w:rPr>
              <w:t xml:space="preserve"> $'000</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Revenue</w:t>
            </w: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18</w:t>
            </w:r>
            <w:r w:rsidR="00904EBD">
              <w:rPr>
                <w:rFonts w:eastAsia="Calibri" w:cs="Calibri"/>
                <w:color w:val="000000"/>
                <w:sz w:val="18"/>
              </w:rPr>
              <w:t>,</w:t>
            </w:r>
            <w:r>
              <w:rPr>
                <w:rFonts w:eastAsia="Calibri" w:cs="Calibri"/>
                <w:color w:val="000000"/>
                <w:sz w:val="18"/>
              </w:rPr>
              <w:t>593</w:t>
            </w:r>
          </w:p>
        </w:tc>
        <w:tc>
          <w:tcPr>
            <w:tcW w:w="238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Payment for Expenses on Behalf of the Territory</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28</w:t>
            </w:r>
            <w:r w:rsidR="00904EBD">
              <w:rPr>
                <w:rFonts w:eastAsia="Calibri" w:cs="Calibri"/>
                <w:color w:val="000000"/>
                <w:sz w:val="18"/>
              </w:rPr>
              <w:t>,</w:t>
            </w:r>
            <w:r>
              <w:rPr>
                <w:rFonts w:eastAsia="Calibri" w:cs="Calibri"/>
                <w:color w:val="000000"/>
                <w:sz w:val="18"/>
              </w:rPr>
              <w:t>065</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w:t>
            </w:r>
            <w:r w:rsidR="00904EBD">
              <w:rPr>
                <w:rFonts w:eastAsia="Calibri" w:cs="Calibri"/>
                <w:color w:val="000000"/>
                <w:sz w:val="18"/>
              </w:rPr>
              <w:t>,</w:t>
            </w:r>
            <w:r>
              <w:rPr>
                <w:rFonts w:eastAsia="Calibri" w:cs="Calibri"/>
                <w:color w:val="000000"/>
                <w:sz w:val="18"/>
              </w:rPr>
              <w:t>620</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-91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5</w:t>
            </w:r>
            <w:r w:rsidR="00904EBD">
              <w:rPr>
                <w:rFonts w:eastAsia="Calibri" w:cs="Calibri"/>
                <w:color w:val="000000"/>
                <w:sz w:val="18"/>
              </w:rPr>
              <w:t>,</w:t>
            </w:r>
            <w:r>
              <w:rPr>
                <w:rFonts w:eastAsia="Calibri" w:cs="Calibri"/>
                <w:color w:val="000000"/>
                <w:sz w:val="18"/>
              </w:rPr>
              <w:t>692</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8</w:t>
            </w:r>
            <w:r w:rsidR="00904EBD">
              <w:rPr>
                <w:rFonts w:eastAsia="Calibri" w:cs="Calibri"/>
                <w:color w:val="000000"/>
                <w:sz w:val="18"/>
              </w:rPr>
              <w:t>,</w:t>
            </w:r>
            <w:r>
              <w:rPr>
                <w:rFonts w:eastAsia="Calibri" w:cs="Calibri"/>
                <w:color w:val="000000"/>
                <w:sz w:val="18"/>
              </w:rPr>
              <w:t>609</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932</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376</w:t>
            </w:r>
          </w:p>
        </w:tc>
        <w:tc>
          <w:tcPr>
            <w:tcW w:w="238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Taxes, Fees and Fines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376</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410</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474</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532</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578</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19</w:t>
            </w:r>
            <w:r w:rsidR="00904EBD">
              <w:rPr>
                <w:rFonts w:eastAsia="Calibri" w:cs="Calibri"/>
                <w:b/>
                <w:color w:val="000000"/>
                <w:sz w:val="18"/>
              </w:rPr>
              <w:t>,</w:t>
            </w:r>
            <w:r>
              <w:rPr>
                <w:rFonts w:eastAsia="Calibri" w:cs="Calibri"/>
                <w:b/>
                <w:color w:val="000000"/>
                <w:sz w:val="18"/>
              </w:rPr>
              <w:t>969</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Total Revenue</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29</w:t>
            </w:r>
            <w:r w:rsidR="00904EBD">
              <w:rPr>
                <w:rFonts w:eastAsia="Calibri" w:cs="Calibri"/>
                <w:b/>
                <w:color w:val="000000"/>
                <w:sz w:val="18"/>
              </w:rPr>
              <w:t>,</w:t>
            </w:r>
            <w:r>
              <w:rPr>
                <w:rFonts w:eastAsia="Calibri" w:cs="Calibri"/>
                <w:b/>
                <w:color w:val="000000"/>
                <w:sz w:val="18"/>
              </w:rPr>
              <w:t>441</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4</w:t>
            </w:r>
            <w:r w:rsidR="00904EBD">
              <w:rPr>
                <w:rFonts w:eastAsia="Calibri" w:cs="Calibri"/>
                <w:b/>
                <w:color w:val="000000"/>
                <w:sz w:val="18"/>
              </w:rPr>
              <w:t>,</w:t>
            </w:r>
            <w:r>
              <w:rPr>
                <w:rFonts w:eastAsia="Calibri" w:cs="Calibri"/>
                <w:b/>
                <w:color w:val="000000"/>
                <w:sz w:val="18"/>
              </w:rPr>
              <w:t>030</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-86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7</w:t>
            </w:r>
            <w:r w:rsidR="00904EBD">
              <w:rPr>
                <w:rFonts w:eastAsia="Calibri" w:cs="Calibri"/>
                <w:b/>
                <w:color w:val="000000"/>
                <w:sz w:val="18"/>
              </w:rPr>
              <w:t>,</w:t>
            </w:r>
            <w:r>
              <w:rPr>
                <w:rFonts w:eastAsia="Calibri" w:cs="Calibri"/>
                <w:b/>
                <w:color w:val="000000"/>
                <w:sz w:val="18"/>
              </w:rPr>
              <w:t>166</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10</w:t>
            </w:r>
            <w:r w:rsidR="00904EBD">
              <w:rPr>
                <w:rFonts w:eastAsia="Calibri" w:cs="Calibri"/>
                <w:b/>
                <w:color w:val="000000"/>
                <w:sz w:val="18"/>
              </w:rPr>
              <w:t>,</w:t>
            </w:r>
            <w:r>
              <w:rPr>
                <w:rFonts w:eastAsia="Calibri" w:cs="Calibri"/>
                <w:b/>
                <w:color w:val="000000"/>
                <w:sz w:val="18"/>
              </w:rPr>
              <w:t>141</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w:t>
            </w:r>
            <w:r w:rsidR="00904EBD">
              <w:rPr>
                <w:rFonts w:eastAsia="Calibri" w:cs="Calibri"/>
                <w:b/>
                <w:color w:val="000000"/>
                <w:sz w:val="18"/>
              </w:rPr>
              <w:t>,</w:t>
            </w:r>
            <w:r>
              <w:rPr>
                <w:rFonts w:eastAsia="Calibri" w:cs="Calibri"/>
                <w:b/>
                <w:color w:val="000000"/>
                <w:sz w:val="18"/>
              </w:rPr>
              <w:t>510</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19</w:t>
            </w:r>
            <w:r w:rsidR="00904EBD">
              <w:rPr>
                <w:rFonts w:eastAsia="Calibri" w:cs="Calibri"/>
                <w:b/>
                <w:color w:val="000000"/>
                <w:sz w:val="18"/>
              </w:rPr>
              <w:t>,</w:t>
            </w:r>
            <w:r>
              <w:rPr>
                <w:rFonts w:eastAsia="Calibri" w:cs="Calibri"/>
                <w:b/>
                <w:color w:val="000000"/>
                <w:sz w:val="18"/>
              </w:rPr>
              <w:t>969</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Total Income</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29</w:t>
            </w:r>
            <w:r w:rsidR="00904EBD">
              <w:rPr>
                <w:rFonts w:eastAsia="Calibri" w:cs="Calibri"/>
                <w:b/>
                <w:color w:val="000000"/>
                <w:sz w:val="18"/>
              </w:rPr>
              <w:t>,</w:t>
            </w:r>
            <w:r>
              <w:rPr>
                <w:rFonts w:eastAsia="Calibri" w:cs="Calibri"/>
                <w:b/>
                <w:color w:val="000000"/>
                <w:sz w:val="18"/>
              </w:rPr>
              <w:t>441</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4</w:t>
            </w:r>
            <w:r w:rsidR="00904EBD">
              <w:rPr>
                <w:rFonts w:eastAsia="Calibri" w:cs="Calibri"/>
                <w:b/>
                <w:color w:val="000000"/>
                <w:sz w:val="18"/>
              </w:rPr>
              <w:t>,</w:t>
            </w:r>
            <w:r>
              <w:rPr>
                <w:rFonts w:eastAsia="Calibri" w:cs="Calibri"/>
                <w:b/>
                <w:color w:val="000000"/>
                <w:sz w:val="18"/>
              </w:rPr>
              <w:t>030</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-86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7</w:t>
            </w:r>
            <w:r w:rsidR="00904EBD">
              <w:rPr>
                <w:rFonts w:eastAsia="Calibri" w:cs="Calibri"/>
                <w:b/>
                <w:color w:val="000000"/>
                <w:sz w:val="18"/>
              </w:rPr>
              <w:t>,</w:t>
            </w:r>
            <w:r>
              <w:rPr>
                <w:rFonts w:eastAsia="Calibri" w:cs="Calibri"/>
                <w:b/>
                <w:color w:val="000000"/>
                <w:sz w:val="18"/>
              </w:rPr>
              <w:t>166</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10</w:t>
            </w:r>
            <w:r w:rsidR="00904EBD">
              <w:rPr>
                <w:rFonts w:eastAsia="Calibri" w:cs="Calibri"/>
                <w:b/>
                <w:color w:val="000000"/>
                <w:sz w:val="18"/>
              </w:rPr>
              <w:t>,</w:t>
            </w:r>
            <w:r>
              <w:rPr>
                <w:rFonts w:eastAsia="Calibri" w:cs="Calibri"/>
                <w:b/>
                <w:color w:val="000000"/>
                <w:sz w:val="18"/>
              </w:rPr>
              <w:t>141</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w:t>
            </w:r>
            <w:r w:rsidR="00904EBD">
              <w:rPr>
                <w:rFonts w:eastAsia="Calibri" w:cs="Calibri"/>
                <w:b/>
                <w:color w:val="000000"/>
                <w:sz w:val="18"/>
              </w:rPr>
              <w:t>,</w:t>
            </w:r>
            <w:r>
              <w:rPr>
                <w:rFonts w:eastAsia="Calibri" w:cs="Calibri"/>
                <w:b/>
                <w:color w:val="000000"/>
                <w:sz w:val="18"/>
              </w:rPr>
              <w:t>510</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 xml:space="preserve">Expenses  </w:t>
            </w: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18</w:t>
            </w:r>
            <w:r w:rsidR="00904EBD">
              <w:rPr>
                <w:rFonts w:eastAsia="Calibri" w:cs="Calibri"/>
                <w:color w:val="000000"/>
                <w:sz w:val="18"/>
              </w:rPr>
              <w:t>,</w:t>
            </w:r>
            <w:r>
              <w:rPr>
                <w:rFonts w:eastAsia="Calibri" w:cs="Calibri"/>
                <w:color w:val="000000"/>
                <w:sz w:val="18"/>
              </w:rPr>
              <w:t>593</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Grants and Purchased Services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28</w:t>
            </w:r>
            <w:r w:rsidR="00904EBD">
              <w:rPr>
                <w:rFonts w:eastAsia="Calibri" w:cs="Calibri"/>
                <w:color w:val="000000"/>
                <w:sz w:val="18"/>
              </w:rPr>
              <w:t>,</w:t>
            </w:r>
            <w:r>
              <w:rPr>
                <w:rFonts w:eastAsia="Calibri" w:cs="Calibri"/>
                <w:color w:val="000000"/>
                <w:sz w:val="18"/>
              </w:rPr>
              <w:t>065</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w:t>
            </w:r>
            <w:r w:rsidR="00904EBD">
              <w:rPr>
                <w:rFonts w:eastAsia="Calibri" w:cs="Calibri"/>
                <w:color w:val="000000"/>
                <w:sz w:val="18"/>
              </w:rPr>
              <w:t>,</w:t>
            </w:r>
            <w:r>
              <w:rPr>
                <w:rFonts w:eastAsia="Calibri" w:cs="Calibri"/>
                <w:color w:val="000000"/>
                <w:sz w:val="18"/>
              </w:rPr>
              <w:t>620</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-91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5</w:t>
            </w:r>
            <w:r w:rsidR="00904EBD">
              <w:rPr>
                <w:rFonts w:eastAsia="Calibri" w:cs="Calibri"/>
                <w:color w:val="000000"/>
                <w:sz w:val="18"/>
              </w:rPr>
              <w:t>,</w:t>
            </w:r>
            <w:r>
              <w:rPr>
                <w:rFonts w:eastAsia="Calibri" w:cs="Calibri"/>
                <w:color w:val="000000"/>
                <w:sz w:val="18"/>
              </w:rPr>
              <w:t>692</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8</w:t>
            </w:r>
            <w:r w:rsidR="00904EBD">
              <w:rPr>
                <w:rFonts w:eastAsia="Calibri" w:cs="Calibri"/>
                <w:color w:val="000000"/>
                <w:sz w:val="18"/>
              </w:rPr>
              <w:t>,</w:t>
            </w:r>
            <w:r>
              <w:rPr>
                <w:rFonts w:eastAsia="Calibri" w:cs="Calibri"/>
                <w:color w:val="000000"/>
                <w:sz w:val="18"/>
              </w:rPr>
              <w:t>609</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932</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376</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Transfer Expenses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376</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410</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474</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532</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578</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19</w:t>
            </w:r>
            <w:r w:rsidR="00904EBD">
              <w:rPr>
                <w:rFonts w:eastAsia="Calibri" w:cs="Calibri"/>
                <w:b/>
                <w:color w:val="000000"/>
                <w:sz w:val="18"/>
              </w:rPr>
              <w:t>,</w:t>
            </w:r>
            <w:r>
              <w:rPr>
                <w:rFonts w:eastAsia="Calibri" w:cs="Calibri"/>
                <w:b/>
                <w:color w:val="000000"/>
                <w:sz w:val="18"/>
              </w:rPr>
              <w:t>969</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Total Expenses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29</w:t>
            </w:r>
            <w:r w:rsidR="00904EBD">
              <w:rPr>
                <w:rFonts w:eastAsia="Calibri" w:cs="Calibri"/>
                <w:b/>
                <w:color w:val="000000"/>
                <w:sz w:val="18"/>
              </w:rPr>
              <w:t>,</w:t>
            </w:r>
            <w:r>
              <w:rPr>
                <w:rFonts w:eastAsia="Calibri" w:cs="Calibri"/>
                <w:b/>
                <w:color w:val="000000"/>
                <w:sz w:val="18"/>
              </w:rPr>
              <w:t>441</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4</w:t>
            </w:r>
            <w:r w:rsidR="00904EBD">
              <w:rPr>
                <w:rFonts w:eastAsia="Calibri" w:cs="Calibri"/>
                <w:b/>
                <w:color w:val="000000"/>
                <w:sz w:val="18"/>
              </w:rPr>
              <w:t>,</w:t>
            </w:r>
            <w:r>
              <w:rPr>
                <w:rFonts w:eastAsia="Calibri" w:cs="Calibri"/>
                <w:b/>
                <w:color w:val="000000"/>
                <w:sz w:val="18"/>
              </w:rPr>
              <w:t>030</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-86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7</w:t>
            </w:r>
            <w:r w:rsidR="00904EBD">
              <w:rPr>
                <w:rFonts w:eastAsia="Calibri" w:cs="Calibri"/>
                <w:b/>
                <w:color w:val="000000"/>
                <w:sz w:val="18"/>
              </w:rPr>
              <w:t>,</w:t>
            </w:r>
            <w:r>
              <w:rPr>
                <w:rFonts w:eastAsia="Calibri" w:cs="Calibri"/>
                <w:b/>
                <w:color w:val="000000"/>
                <w:sz w:val="18"/>
              </w:rPr>
              <w:t>166</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10</w:t>
            </w:r>
            <w:r w:rsidR="00904EBD">
              <w:rPr>
                <w:rFonts w:eastAsia="Calibri" w:cs="Calibri"/>
                <w:b/>
                <w:color w:val="000000"/>
                <w:sz w:val="18"/>
              </w:rPr>
              <w:t>,</w:t>
            </w:r>
            <w:r>
              <w:rPr>
                <w:rFonts w:eastAsia="Calibri" w:cs="Calibri"/>
                <w:b/>
                <w:color w:val="000000"/>
                <w:sz w:val="18"/>
              </w:rPr>
              <w:t>141</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w:t>
            </w:r>
            <w:r w:rsidR="00904EBD">
              <w:rPr>
                <w:rFonts w:eastAsia="Calibri" w:cs="Calibri"/>
                <w:b/>
                <w:color w:val="000000"/>
                <w:sz w:val="18"/>
              </w:rPr>
              <w:t>,</w:t>
            </w:r>
            <w:r>
              <w:rPr>
                <w:rFonts w:eastAsia="Calibri" w:cs="Calibri"/>
                <w:b/>
                <w:color w:val="000000"/>
                <w:sz w:val="18"/>
              </w:rPr>
              <w:t>510</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Operating Result</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 -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Total Comprehensive Income</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bl>
    <w:p w:rsidR="00281F97" w:rsidRPr="004A3EED" w:rsidRDefault="00765F6E" w:rsidP="00281F97">
      <w:pPr>
        <w:pStyle w:val="Caption"/>
        <w:pageBreakBefore/>
        <w:pBdr>
          <w:top w:val="nil"/>
          <w:left w:val="nil"/>
          <w:bottom w:val="nil"/>
          <w:right w:val="nil"/>
          <w:between w:val="nil"/>
          <w:bar w:val="nil"/>
        </w:pBdr>
        <w:outlineLvl w:val="0"/>
        <w:rPr>
          <w:rFonts w:eastAsia="TimesNewRomanPS-ItalicMT"/>
          <w:bdr w:val="nil"/>
        </w:rPr>
      </w:pPr>
      <w:bookmarkStart w:id="158" w:name="_Toc514764136"/>
      <w:bookmarkStart w:id="159" w:name="_Toc514765762"/>
      <w:bookmarkStart w:id="160" w:name="_Toc514832386"/>
      <w:bookmarkStart w:id="161" w:name="_Toc514832569"/>
      <w:r w:rsidRPr="004A3EED">
        <w:rPr>
          <w:bdr w:val="nil"/>
        </w:rPr>
        <w:lastRenderedPageBreak/>
        <w:t xml:space="preserve">Table </w:t>
      </w:r>
      <w:r>
        <w:rPr>
          <w:bdr w:val="nil"/>
        </w:rPr>
        <w:t>3</w:t>
      </w:r>
      <w:r w:rsidR="00141A32">
        <w:rPr>
          <w:bdr w:val="nil"/>
        </w:rPr>
        <w:t>7</w:t>
      </w:r>
      <w:r w:rsidRPr="004A3EED">
        <w:rPr>
          <w:bdr w:val="nil"/>
        </w:rPr>
        <w:t>: Health Directorate: Statemen</w:t>
      </w:r>
      <w:r w:rsidR="00A244C9">
        <w:rPr>
          <w:bdr w:val="nil"/>
        </w:rPr>
        <w:t>t of Assets and Liabilities on B</w:t>
      </w:r>
      <w:r w:rsidRPr="004A3EED">
        <w:rPr>
          <w:bdr w:val="nil"/>
        </w:rPr>
        <w:t>ehalf of the Territory</w:t>
      </w:r>
      <w:bookmarkEnd w:id="158"/>
      <w:bookmarkEnd w:id="159"/>
      <w:bookmarkEnd w:id="160"/>
      <w:bookmarkEnd w:id="161"/>
    </w:p>
    <w:tbl>
      <w:tblPr>
        <w:tblStyle w:val="CDMRange1"/>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237D6F">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Budget</w:t>
            </w:r>
          </w:p>
          <w:p w:rsidR="00237D6F" w:rsidRDefault="00765F6E">
            <w:pPr>
              <w:spacing w:before="0" w:after="0"/>
              <w:jc w:val="right"/>
              <w:rPr>
                <w:rFonts w:eastAsia="Calibri" w:cs="Calibri"/>
                <w:b/>
                <w:color w:val="000000"/>
                <w:sz w:val="18"/>
              </w:rPr>
            </w:pPr>
            <w:r>
              <w:rPr>
                <w:rFonts w:eastAsia="Calibri" w:cs="Calibri"/>
                <w:b/>
                <w:color w:val="000000"/>
                <w:sz w:val="18"/>
              </w:rPr>
              <w:t>at</w:t>
            </w:r>
          </w:p>
          <w:p w:rsidR="00237D6F" w:rsidRDefault="00765F6E">
            <w:pPr>
              <w:spacing w:before="0" w:after="0"/>
              <w:jc w:val="right"/>
              <w:rPr>
                <w:rFonts w:eastAsia="Calibri" w:cs="Calibri"/>
                <w:b/>
                <w:color w:val="000000"/>
                <w:sz w:val="18"/>
              </w:rPr>
            </w:pPr>
            <w:r>
              <w:rPr>
                <w:rFonts w:eastAsia="Calibri" w:cs="Calibri"/>
                <w:b/>
                <w:color w:val="000000"/>
                <w:sz w:val="18"/>
              </w:rPr>
              <w:t xml:space="preserve">30/6/18 </w:t>
            </w:r>
          </w:p>
          <w:p w:rsidR="00237D6F" w:rsidRDefault="00765F6E">
            <w:pPr>
              <w:spacing w:before="0" w:after="0"/>
              <w:jc w:val="right"/>
              <w:rPr>
                <w:rFonts w:eastAsia="Calibri" w:cs="Calibri"/>
                <w:b/>
                <w:color w:val="000000"/>
                <w:sz w:val="18"/>
              </w:rPr>
            </w:pPr>
            <w:r>
              <w:rPr>
                <w:rFonts w:eastAsia="Calibri" w:cs="Calibri"/>
                <w:b/>
                <w:color w:val="000000"/>
                <w:sz w:val="18"/>
              </w:rPr>
              <w:t>$'000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2017-18 Estimated Outcome</w:t>
            </w:r>
          </w:p>
          <w:p w:rsidR="00237D6F" w:rsidRDefault="00765F6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Budget</w:t>
            </w:r>
          </w:p>
          <w:p w:rsidR="00237D6F" w:rsidRDefault="00765F6E">
            <w:pPr>
              <w:spacing w:before="0" w:after="0"/>
              <w:jc w:val="right"/>
              <w:rPr>
                <w:rFonts w:eastAsia="Calibri" w:cs="Calibri"/>
                <w:b/>
                <w:color w:val="000000"/>
                <w:sz w:val="18"/>
              </w:rPr>
            </w:pPr>
            <w:r>
              <w:rPr>
                <w:rFonts w:eastAsia="Calibri" w:cs="Calibri"/>
                <w:b/>
                <w:color w:val="000000"/>
                <w:sz w:val="18"/>
              </w:rPr>
              <w:t>at</w:t>
            </w:r>
          </w:p>
          <w:p w:rsidR="00237D6F" w:rsidRDefault="00765F6E">
            <w:pPr>
              <w:spacing w:before="0" w:after="0"/>
              <w:jc w:val="right"/>
              <w:rPr>
                <w:rFonts w:eastAsia="Calibri" w:cs="Calibri"/>
                <w:b/>
                <w:color w:val="000000"/>
                <w:sz w:val="18"/>
              </w:rPr>
            </w:pPr>
            <w:r>
              <w:rPr>
                <w:rFonts w:eastAsia="Calibri" w:cs="Calibri"/>
                <w:b/>
                <w:color w:val="000000"/>
                <w:sz w:val="18"/>
              </w:rPr>
              <w:t xml:space="preserve">30/6/19 </w:t>
            </w:r>
          </w:p>
          <w:p w:rsidR="00237D6F" w:rsidRDefault="00765F6E">
            <w:pPr>
              <w:spacing w:before="0" w:after="0"/>
              <w:jc w:val="right"/>
              <w:rPr>
                <w:rFonts w:eastAsia="Calibri" w:cs="Calibri"/>
                <w:b/>
                <w:color w:val="000000"/>
                <w:sz w:val="18"/>
              </w:rPr>
            </w:pPr>
            <w:r>
              <w:rPr>
                <w:rFonts w:eastAsia="Calibri" w:cs="Calibri"/>
                <w:b/>
                <w:color w:val="000000"/>
                <w:sz w:val="18"/>
              </w:rPr>
              <w:t>$'000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proofErr w:type="spellStart"/>
            <w:r>
              <w:rPr>
                <w:rFonts w:eastAsia="Calibri" w:cs="Calibri"/>
                <w:b/>
                <w:color w:val="000000"/>
                <w:sz w:val="18"/>
              </w:rPr>
              <w:t>Var</w:t>
            </w:r>
            <w:proofErr w:type="spellEnd"/>
          </w:p>
          <w:p w:rsidR="00237D6F" w:rsidRDefault="00765F6E">
            <w:pPr>
              <w:spacing w:before="0" w:after="0"/>
              <w:jc w:val="right"/>
              <w:rPr>
                <w:rFonts w:eastAsia="Calibri" w:cs="Calibri"/>
                <w:b/>
                <w:color w:val="000000"/>
                <w:sz w:val="18"/>
              </w:rPr>
            </w:pPr>
            <w:r>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Estimate</w:t>
            </w:r>
          </w:p>
          <w:p w:rsidR="00237D6F" w:rsidRDefault="00765F6E">
            <w:pPr>
              <w:spacing w:before="0" w:after="0"/>
              <w:jc w:val="right"/>
              <w:rPr>
                <w:rFonts w:eastAsia="Calibri" w:cs="Calibri"/>
                <w:b/>
                <w:color w:val="000000"/>
                <w:sz w:val="18"/>
              </w:rPr>
            </w:pPr>
            <w:r>
              <w:rPr>
                <w:rFonts w:eastAsia="Calibri" w:cs="Calibri"/>
                <w:b/>
                <w:color w:val="000000"/>
                <w:sz w:val="18"/>
              </w:rPr>
              <w:t>at</w:t>
            </w:r>
          </w:p>
          <w:p w:rsidR="00237D6F" w:rsidRDefault="00765F6E">
            <w:pPr>
              <w:spacing w:before="0" w:after="0"/>
              <w:jc w:val="right"/>
              <w:rPr>
                <w:rFonts w:eastAsia="Calibri" w:cs="Calibri"/>
                <w:b/>
                <w:color w:val="000000"/>
                <w:sz w:val="18"/>
              </w:rPr>
            </w:pPr>
            <w:r>
              <w:rPr>
                <w:rFonts w:eastAsia="Calibri" w:cs="Calibri"/>
                <w:b/>
                <w:color w:val="000000"/>
                <w:sz w:val="18"/>
              </w:rPr>
              <w:t xml:space="preserve">30/6/20 </w:t>
            </w:r>
          </w:p>
          <w:p w:rsidR="00237D6F" w:rsidRDefault="00765F6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Estimate</w:t>
            </w:r>
          </w:p>
          <w:p w:rsidR="00237D6F" w:rsidRDefault="00765F6E">
            <w:pPr>
              <w:spacing w:before="0" w:after="0"/>
              <w:jc w:val="right"/>
              <w:rPr>
                <w:rFonts w:eastAsia="Calibri" w:cs="Calibri"/>
                <w:b/>
                <w:color w:val="000000"/>
                <w:sz w:val="18"/>
              </w:rPr>
            </w:pPr>
            <w:r>
              <w:rPr>
                <w:rFonts w:eastAsia="Calibri" w:cs="Calibri"/>
                <w:b/>
                <w:color w:val="000000"/>
                <w:sz w:val="18"/>
              </w:rPr>
              <w:t>at</w:t>
            </w:r>
          </w:p>
          <w:p w:rsidR="00237D6F" w:rsidRDefault="00765F6E">
            <w:pPr>
              <w:spacing w:before="0" w:after="0"/>
              <w:jc w:val="right"/>
              <w:rPr>
                <w:rFonts w:eastAsia="Calibri" w:cs="Calibri"/>
                <w:b/>
                <w:color w:val="000000"/>
                <w:sz w:val="18"/>
              </w:rPr>
            </w:pPr>
            <w:r>
              <w:rPr>
                <w:rFonts w:eastAsia="Calibri" w:cs="Calibri"/>
                <w:b/>
                <w:color w:val="000000"/>
                <w:sz w:val="18"/>
              </w:rPr>
              <w:t xml:space="preserve">30/6/21 </w:t>
            </w:r>
          </w:p>
          <w:p w:rsidR="00237D6F" w:rsidRDefault="00765F6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Estimate</w:t>
            </w:r>
          </w:p>
          <w:p w:rsidR="00237D6F" w:rsidRDefault="00765F6E">
            <w:pPr>
              <w:spacing w:before="0" w:after="0"/>
              <w:jc w:val="right"/>
              <w:rPr>
                <w:rFonts w:eastAsia="Calibri" w:cs="Calibri"/>
                <w:b/>
                <w:color w:val="000000"/>
                <w:sz w:val="18"/>
              </w:rPr>
            </w:pPr>
            <w:r>
              <w:rPr>
                <w:rFonts w:eastAsia="Calibri" w:cs="Calibri"/>
                <w:b/>
                <w:color w:val="000000"/>
                <w:sz w:val="18"/>
              </w:rPr>
              <w:t>at</w:t>
            </w:r>
          </w:p>
          <w:p w:rsidR="00237D6F" w:rsidRDefault="00765F6E">
            <w:pPr>
              <w:spacing w:before="0" w:after="0"/>
              <w:jc w:val="right"/>
              <w:rPr>
                <w:rFonts w:eastAsia="Calibri" w:cs="Calibri"/>
                <w:b/>
                <w:color w:val="000000"/>
                <w:sz w:val="18"/>
              </w:rPr>
            </w:pPr>
            <w:r>
              <w:rPr>
                <w:rFonts w:eastAsia="Calibri" w:cs="Calibri"/>
                <w:b/>
                <w:color w:val="000000"/>
                <w:sz w:val="18"/>
              </w:rPr>
              <w:t xml:space="preserve">30/6/22 </w:t>
            </w:r>
          </w:p>
          <w:p w:rsidR="00237D6F" w:rsidRDefault="00765F6E">
            <w:pPr>
              <w:spacing w:before="0" w:after="0"/>
              <w:jc w:val="right"/>
              <w:rPr>
                <w:rFonts w:eastAsia="Calibri" w:cs="Calibri"/>
                <w:b/>
                <w:color w:val="000000"/>
                <w:sz w:val="18"/>
              </w:rPr>
            </w:pPr>
            <w:r>
              <w:rPr>
                <w:rFonts w:eastAsia="Calibri" w:cs="Calibri"/>
                <w:b/>
                <w:color w:val="000000"/>
                <w:sz w:val="18"/>
              </w:rPr>
              <w:t>$'000</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Current Assets</w:t>
            </w: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349</w:t>
            </w:r>
          </w:p>
        </w:tc>
        <w:tc>
          <w:tcPr>
            <w:tcW w:w="238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Cash and Cash Equivalents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674</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674</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674</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674</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674</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Receivables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51</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51</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51</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51</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51</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349</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Total Current Assets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725</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725</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725</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725</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725</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b/>
                <w:color w:val="000000"/>
                <w:sz w:val="18"/>
              </w:rPr>
            </w:pPr>
            <w:proofErr w:type="spellStart"/>
            <w:r>
              <w:rPr>
                <w:rFonts w:eastAsia="Calibri" w:cs="Calibri"/>
                <w:b/>
                <w:color w:val="000000"/>
                <w:sz w:val="18"/>
              </w:rPr>
              <w:t>Non Current</w:t>
            </w:r>
            <w:proofErr w:type="spellEnd"/>
            <w:r>
              <w:rPr>
                <w:rFonts w:eastAsia="Calibri" w:cs="Calibri"/>
                <w:b/>
                <w:color w:val="000000"/>
                <w:sz w:val="18"/>
              </w:rPr>
              <w:t xml:space="preserve"> Assets</w:t>
            </w: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 xml:space="preserve">Total </w:t>
            </w:r>
            <w:proofErr w:type="spellStart"/>
            <w:r>
              <w:rPr>
                <w:rFonts w:eastAsia="Calibri" w:cs="Calibri"/>
                <w:b/>
                <w:color w:val="000000"/>
                <w:sz w:val="18"/>
              </w:rPr>
              <w:t>Non Current</w:t>
            </w:r>
            <w:proofErr w:type="spellEnd"/>
            <w:r>
              <w:rPr>
                <w:rFonts w:eastAsia="Calibri" w:cs="Calibri"/>
                <w:b/>
                <w:color w:val="000000"/>
                <w:sz w:val="18"/>
              </w:rPr>
              <w:t xml:space="preserve"> Assets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349</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TOTAL ASSETS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725</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725</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725</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725</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725</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Current Liabilities</w:t>
            </w: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301</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Payables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300</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300</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300</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300</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300</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Other Liabilities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261</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261</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261</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261</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261</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301</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Total Current Liabilities</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561</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561</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561</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561</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561</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b/>
                <w:color w:val="000000"/>
                <w:sz w:val="18"/>
              </w:rPr>
            </w:pPr>
            <w:proofErr w:type="spellStart"/>
            <w:r>
              <w:rPr>
                <w:rFonts w:eastAsia="Calibri" w:cs="Calibri"/>
                <w:b/>
                <w:color w:val="000000"/>
                <w:sz w:val="18"/>
              </w:rPr>
              <w:t>Non Current</w:t>
            </w:r>
            <w:proofErr w:type="spellEnd"/>
            <w:r>
              <w:rPr>
                <w:rFonts w:eastAsia="Calibri" w:cs="Calibri"/>
                <w:b/>
                <w:color w:val="000000"/>
                <w:sz w:val="18"/>
              </w:rPr>
              <w:t xml:space="preserve"> Liabilities</w:t>
            </w: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 xml:space="preserve">Total </w:t>
            </w:r>
            <w:proofErr w:type="spellStart"/>
            <w:r>
              <w:rPr>
                <w:rFonts w:eastAsia="Calibri" w:cs="Calibri"/>
                <w:b/>
                <w:color w:val="000000"/>
                <w:sz w:val="18"/>
              </w:rPr>
              <w:t>Non Current</w:t>
            </w:r>
            <w:proofErr w:type="spellEnd"/>
            <w:r>
              <w:rPr>
                <w:rFonts w:eastAsia="Calibri" w:cs="Calibri"/>
                <w:b/>
                <w:color w:val="000000"/>
                <w:sz w:val="18"/>
              </w:rPr>
              <w:t xml:space="preserve"> Liabilities</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301</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TOTAL LIABILITIES</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561</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561</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561</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561</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561</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48</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NET ASSETS</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164</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164</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164</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164</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164</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8160" w:type="dxa"/>
            <w:gridSpan w:val="7"/>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REPRESENTED BY FUNDS EMPLOYED</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48</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Accumulated Funds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164</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164</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164</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164</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164</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48</w:t>
            </w:r>
          </w:p>
        </w:tc>
        <w:tc>
          <w:tcPr>
            <w:tcW w:w="238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TOTAL FUNDS EMPLOYED</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164</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164</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 - </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164</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164</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164</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bl>
    <w:p w:rsidR="00281F97" w:rsidRPr="0004555B" w:rsidRDefault="00765F6E" w:rsidP="00281F97">
      <w:pPr>
        <w:pStyle w:val="Caption"/>
        <w:pageBreakBefore/>
        <w:pBdr>
          <w:top w:val="nil"/>
          <w:left w:val="nil"/>
          <w:bottom w:val="nil"/>
          <w:right w:val="nil"/>
          <w:between w:val="nil"/>
          <w:bar w:val="nil"/>
        </w:pBdr>
        <w:outlineLvl w:val="0"/>
        <w:rPr>
          <w:rFonts w:eastAsia="TimesNewRomanPS-ItalicMT"/>
          <w:bdr w:val="nil"/>
        </w:rPr>
      </w:pPr>
      <w:bookmarkStart w:id="162" w:name="_Toc514764137"/>
      <w:bookmarkStart w:id="163" w:name="_Toc514765763"/>
      <w:bookmarkStart w:id="164" w:name="_Toc514832387"/>
      <w:bookmarkStart w:id="165" w:name="_Toc514832570"/>
      <w:r>
        <w:rPr>
          <w:bdr w:val="nil"/>
        </w:rPr>
        <w:lastRenderedPageBreak/>
        <w:t xml:space="preserve">Table </w:t>
      </w:r>
      <w:r w:rsidR="00141A32">
        <w:rPr>
          <w:bdr w:val="nil"/>
        </w:rPr>
        <w:t>38</w:t>
      </w:r>
      <w:r>
        <w:rPr>
          <w:bdr w:val="nil"/>
        </w:rPr>
        <w:t>: Health Directorate: Statement of Changes in Equity</w:t>
      </w:r>
      <w:r w:rsidR="00A244C9">
        <w:rPr>
          <w:bdr w:val="nil"/>
        </w:rPr>
        <w:t xml:space="preserve"> on B</w:t>
      </w:r>
      <w:r>
        <w:rPr>
          <w:bdr w:val="nil"/>
        </w:rPr>
        <w:t>ehalf of the Territory</w:t>
      </w:r>
      <w:bookmarkEnd w:id="162"/>
      <w:bookmarkEnd w:id="163"/>
      <w:bookmarkEnd w:id="164"/>
      <w:bookmarkEnd w:id="165"/>
    </w:p>
    <w:tbl>
      <w:tblPr>
        <w:tblStyle w:val="CDMRange2"/>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237D6F">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Budget</w:t>
            </w:r>
          </w:p>
          <w:p w:rsidR="00237D6F" w:rsidRDefault="00765F6E">
            <w:pPr>
              <w:spacing w:before="0" w:after="0"/>
              <w:jc w:val="right"/>
              <w:rPr>
                <w:rFonts w:eastAsia="Calibri" w:cs="Calibri"/>
                <w:b/>
                <w:color w:val="000000"/>
                <w:sz w:val="18"/>
              </w:rPr>
            </w:pPr>
            <w:r>
              <w:rPr>
                <w:rFonts w:eastAsia="Calibri" w:cs="Calibri"/>
                <w:b/>
                <w:color w:val="000000"/>
                <w:sz w:val="18"/>
              </w:rPr>
              <w:t>at</w:t>
            </w:r>
          </w:p>
          <w:p w:rsidR="00237D6F" w:rsidRDefault="00765F6E">
            <w:pPr>
              <w:spacing w:before="0" w:after="0"/>
              <w:jc w:val="right"/>
              <w:rPr>
                <w:rFonts w:eastAsia="Calibri" w:cs="Calibri"/>
                <w:b/>
                <w:color w:val="000000"/>
                <w:sz w:val="18"/>
              </w:rPr>
            </w:pPr>
            <w:r>
              <w:rPr>
                <w:rFonts w:eastAsia="Calibri" w:cs="Calibri"/>
                <w:b/>
                <w:color w:val="000000"/>
                <w:sz w:val="18"/>
              </w:rPr>
              <w:t xml:space="preserve">30/6/18 </w:t>
            </w:r>
          </w:p>
          <w:p w:rsidR="00237D6F" w:rsidRDefault="00765F6E">
            <w:pPr>
              <w:spacing w:before="0" w:after="0"/>
              <w:jc w:val="right"/>
              <w:rPr>
                <w:rFonts w:eastAsia="Calibri" w:cs="Calibri"/>
                <w:b/>
                <w:color w:val="000000"/>
                <w:sz w:val="18"/>
              </w:rPr>
            </w:pPr>
            <w:r>
              <w:rPr>
                <w:rFonts w:eastAsia="Calibri" w:cs="Calibri"/>
                <w:b/>
                <w:color w:val="000000"/>
                <w:sz w:val="18"/>
              </w:rPr>
              <w:t>$'000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2017-18 Estimated Outcome</w:t>
            </w:r>
          </w:p>
          <w:p w:rsidR="00237D6F" w:rsidRDefault="00765F6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Budget</w:t>
            </w:r>
          </w:p>
          <w:p w:rsidR="00237D6F" w:rsidRDefault="00765F6E">
            <w:pPr>
              <w:spacing w:before="0" w:after="0"/>
              <w:jc w:val="right"/>
              <w:rPr>
                <w:rFonts w:eastAsia="Calibri" w:cs="Calibri"/>
                <w:b/>
                <w:color w:val="000000"/>
                <w:sz w:val="18"/>
              </w:rPr>
            </w:pPr>
            <w:r>
              <w:rPr>
                <w:rFonts w:eastAsia="Calibri" w:cs="Calibri"/>
                <w:b/>
                <w:color w:val="000000"/>
                <w:sz w:val="18"/>
              </w:rPr>
              <w:t>at</w:t>
            </w:r>
          </w:p>
          <w:p w:rsidR="00237D6F" w:rsidRDefault="00765F6E">
            <w:pPr>
              <w:spacing w:before="0" w:after="0"/>
              <w:jc w:val="right"/>
              <w:rPr>
                <w:rFonts w:eastAsia="Calibri" w:cs="Calibri"/>
                <w:b/>
                <w:color w:val="000000"/>
                <w:sz w:val="18"/>
              </w:rPr>
            </w:pPr>
            <w:r>
              <w:rPr>
                <w:rFonts w:eastAsia="Calibri" w:cs="Calibri"/>
                <w:b/>
                <w:color w:val="000000"/>
                <w:sz w:val="18"/>
              </w:rPr>
              <w:t xml:space="preserve">30/6/19 </w:t>
            </w:r>
          </w:p>
          <w:p w:rsidR="00237D6F" w:rsidRDefault="00765F6E">
            <w:pPr>
              <w:spacing w:before="0" w:after="0"/>
              <w:jc w:val="right"/>
              <w:rPr>
                <w:rFonts w:eastAsia="Calibri" w:cs="Calibri"/>
                <w:b/>
                <w:color w:val="000000"/>
                <w:sz w:val="18"/>
              </w:rPr>
            </w:pPr>
            <w:r>
              <w:rPr>
                <w:rFonts w:eastAsia="Calibri" w:cs="Calibri"/>
                <w:b/>
                <w:color w:val="000000"/>
                <w:sz w:val="18"/>
              </w:rPr>
              <w:t>$'000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proofErr w:type="spellStart"/>
            <w:r>
              <w:rPr>
                <w:rFonts w:eastAsia="Calibri" w:cs="Calibri"/>
                <w:b/>
                <w:color w:val="000000"/>
                <w:sz w:val="18"/>
              </w:rPr>
              <w:t>Var</w:t>
            </w:r>
            <w:proofErr w:type="spellEnd"/>
          </w:p>
          <w:p w:rsidR="00237D6F" w:rsidRDefault="00765F6E">
            <w:pPr>
              <w:spacing w:before="0" w:after="0"/>
              <w:jc w:val="right"/>
              <w:rPr>
                <w:rFonts w:eastAsia="Calibri" w:cs="Calibri"/>
                <w:b/>
                <w:color w:val="000000"/>
                <w:sz w:val="18"/>
              </w:rPr>
            </w:pPr>
            <w:r>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Estimate</w:t>
            </w:r>
          </w:p>
          <w:p w:rsidR="00237D6F" w:rsidRDefault="00765F6E">
            <w:pPr>
              <w:spacing w:before="0" w:after="0"/>
              <w:jc w:val="right"/>
              <w:rPr>
                <w:rFonts w:eastAsia="Calibri" w:cs="Calibri"/>
                <w:b/>
                <w:color w:val="000000"/>
                <w:sz w:val="18"/>
              </w:rPr>
            </w:pPr>
            <w:r>
              <w:rPr>
                <w:rFonts w:eastAsia="Calibri" w:cs="Calibri"/>
                <w:b/>
                <w:color w:val="000000"/>
                <w:sz w:val="18"/>
              </w:rPr>
              <w:t>at</w:t>
            </w:r>
          </w:p>
          <w:p w:rsidR="00237D6F" w:rsidRDefault="00765F6E">
            <w:pPr>
              <w:spacing w:before="0" w:after="0"/>
              <w:jc w:val="right"/>
              <w:rPr>
                <w:rFonts w:eastAsia="Calibri" w:cs="Calibri"/>
                <w:b/>
                <w:color w:val="000000"/>
                <w:sz w:val="18"/>
              </w:rPr>
            </w:pPr>
            <w:r>
              <w:rPr>
                <w:rFonts w:eastAsia="Calibri" w:cs="Calibri"/>
                <w:b/>
                <w:color w:val="000000"/>
                <w:sz w:val="18"/>
              </w:rPr>
              <w:t xml:space="preserve">30/6/20 </w:t>
            </w:r>
          </w:p>
          <w:p w:rsidR="00237D6F" w:rsidRDefault="00765F6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Estimate</w:t>
            </w:r>
          </w:p>
          <w:p w:rsidR="00237D6F" w:rsidRDefault="00765F6E">
            <w:pPr>
              <w:spacing w:before="0" w:after="0"/>
              <w:jc w:val="right"/>
              <w:rPr>
                <w:rFonts w:eastAsia="Calibri" w:cs="Calibri"/>
                <w:b/>
                <w:color w:val="000000"/>
                <w:sz w:val="18"/>
              </w:rPr>
            </w:pPr>
            <w:r>
              <w:rPr>
                <w:rFonts w:eastAsia="Calibri" w:cs="Calibri"/>
                <w:b/>
                <w:color w:val="000000"/>
                <w:sz w:val="18"/>
              </w:rPr>
              <w:t>at</w:t>
            </w:r>
          </w:p>
          <w:p w:rsidR="00237D6F" w:rsidRDefault="00765F6E">
            <w:pPr>
              <w:spacing w:before="0" w:after="0"/>
              <w:jc w:val="right"/>
              <w:rPr>
                <w:rFonts w:eastAsia="Calibri" w:cs="Calibri"/>
                <w:b/>
                <w:color w:val="000000"/>
                <w:sz w:val="18"/>
              </w:rPr>
            </w:pPr>
            <w:r>
              <w:rPr>
                <w:rFonts w:eastAsia="Calibri" w:cs="Calibri"/>
                <w:b/>
                <w:color w:val="000000"/>
                <w:sz w:val="18"/>
              </w:rPr>
              <w:t xml:space="preserve">30/6/21 </w:t>
            </w:r>
          </w:p>
          <w:p w:rsidR="00237D6F" w:rsidRDefault="00765F6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Estimate</w:t>
            </w:r>
          </w:p>
          <w:p w:rsidR="00237D6F" w:rsidRDefault="00765F6E">
            <w:pPr>
              <w:spacing w:before="0" w:after="0"/>
              <w:jc w:val="right"/>
              <w:rPr>
                <w:rFonts w:eastAsia="Calibri" w:cs="Calibri"/>
                <w:b/>
                <w:color w:val="000000"/>
                <w:sz w:val="18"/>
              </w:rPr>
            </w:pPr>
            <w:r>
              <w:rPr>
                <w:rFonts w:eastAsia="Calibri" w:cs="Calibri"/>
                <w:b/>
                <w:color w:val="000000"/>
                <w:sz w:val="18"/>
              </w:rPr>
              <w:t>at</w:t>
            </w:r>
          </w:p>
          <w:p w:rsidR="00237D6F" w:rsidRDefault="00765F6E">
            <w:pPr>
              <w:spacing w:before="0" w:after="0"/>
              <w:jc w:val="right"/>
              <w:rPr>
                <w:rFonts w:eastAsia="Calibri" w:cs="Calibri"/>
                <w:b/>
                <w:color w:val="000000"/>
                <w:sz w:val="18"/>
              </w:rPr>
            </w:pPr>
            <w:r>
              <w:rPr>
                <w:rFonts w:eastAsia="Calibri" w:cs="Calibri"/>
                <w:b/>
                <w:color w:val="000000"/>
                <w:sz w:val="18"/>
              </w:rPr>
              <w:t xml:space="preserve">30/6/22 </w:t>
            </w:r>
          </w:p>
          <w:p w:rsidR="00237D6F" w:rsidRDefault="00765F6E">
            <w:pPr>
              <w:spacing w:before="0" w:after="0"/>
              <w:jc w:val="right"/>
              <w:rPr>
                <w:rFonts w:eastAsia="Calibri" w:cs="Calibri"/>
                <w:b/>
                <w:color w:val="000000"/>
                <w:sz w:val="18"/>
              </w:rPr>
            </w:pPr>
            <w:r>
              <w:rPr>
                <w:rFonts w:eastAsia="Calibri" w:cs="Calibri"/>
                <w:b/>
                <w:color w:val="000000"/>
                <w:sz w:val="18"/>
              </w:rPr>
              <w:t>$'000</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b/>
                <w:i/>
                <w:color w:val="000000"/>
                <w:sz w:val="18"/>
              </w:rPr>
            </w:pPr>
          </w:p>
        </w:tc>
        <w:tc>
          <w:tcPr>
            <w:tcW w:w="2385" w:type="dxa"/>
            <w:tcBorders>
              <w:top w:val="nil"/>
              <w:left w:val="nil"/>
              <w:bottom w:val="nil"/>
              <w:right w:val="nil"/>
              <w:tl2br w:val="nil"/>
              <w:tr2bl w:val="nil"/>
            </w:tcBorders>
            <w:shd w:val="clear" w:color="auto" w:fill="auto"/>
            <w:tcMar>
              <w:left w:w="101" w:type="dxa"/>
              <w:right w:w="101" w:type="dxa"/>
            </w:tcMar>
            <w:vAlign w:val="bottom"/>
          </w:tcPr>
          <w:p w:rsidR="00237D6F" w:rsidRDefault="00765F6E">
            <w:pPr>
              <w:spacing w:before="0" w:after="0"/>
              <w:rPr>
                <w:rFonts w:eastAsia="Calibri" w:cs="Calibri"/>
                <w:b/>
                <w:color w:val="000000"/>
                <w:sz w:val="18"/>
              </w:rPr>
            </w:pPr>
            <w:r>
              <w:rPr>
                <w:rFonts w:eastAsia="Calibri" w:cs="Calibri"/>
                <w:b/>
                <w:color w:val="000000"/>
                <w:sz w:val="18"/>
              </w:rPr>
              <w:t>Opening Equity</w:t>
            </w: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b/>
                <w: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b/>
                <w: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48</w:t>
            </w:r>
          </w:p>
        </w:tc>
        <w:tc>
          <w:tcPr>
            <w:tcW w:w="2385" w:type="dxa"/>
            <w:tcBorders>
              <w:top w:val="nil"/>
              <w:left w:val="nil"/>
              <w:bottom w:val="nil"/>
              <w:right w:val="nil"/>
              <w:tl2br w:val="nil"/>
              <w:tr2bl w:val="nil"/>
            </w:tcBorders>
            <w:shd w:val="clear" w:color="auto" w:fill="auto"/>
            <w:noWrap/>
            <w:tcMar>
              <w:left w:w="101" w:type="dxa"/>
              <w:right w:w="101" w:type="dxa"/>
            </w:tcMar>
            <w:vAlign w:val="bottom"/>
          </w:tcPr>
          <w:p w:rsidR="00237D6F" w:rsidRDefault="00765F6E">
            <w:pPr>
              <w:spacing w:before="0" w:after="0"/>
              <w:rPr>
                <w:rFonts w:eastAsia="Calibri" w:cs="Calibri"/>
                <w:color w:val="000000"/>
                <w:sz w:val="18"/>
              </w:rPr>
            </w:pPr>
            <w:r>
              <w:rPr>
                <w:rFonts w:eastAsia="Calibri" w:cs="Calibri"/>
                <w:color w:val="000000"/>
                <w:sz w:val="18"/>
              </w:rPr>
              <w:t>Opening Accumulated Funds</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164</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164</w:t>
            </w:r>
          </w:p>
        </w:tc>
        <w:tc>
          <w:tcPr>
            <w:tcW w:w="600"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164</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164</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164</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b/>
                <w:color w:val="000000"/>
                <w:sz w:val="18"/>
              </w:rPr>
            </w:pPr>
          </w:p>
        </w:tc>
        <w:tc>
          <w:tcPr>
            <w:tcW w:w="2385" w:type="dxa"/>
            <w:tcBorders>
              <w:top w:val="nil"/>
              <w:left w:val="nil"/>
              <w:bottom w:val="nil"/>
              <w:right w:val="nil"/>
              <w:tl2br w:val="nil"/>
              <w:tr2bl w:val="nil"/>
            </w:tcBorders>
            <w:shd w:val="clear" w:color="auto" w:fill="auto"/>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b/>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b/>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48</w:t>
            </w:r>
          </w:p>
        </w:tc>
        <w:tc>
          <w:tcPr>
            <w:tcW w:w="2385" w:type="dxa"/>
            <w:tcBorders>
              <w:top w:val="nil"/>
              <w:left w:val="nil"/>
              <w:bottom w:val="nil"/>
              <w:right w:val="nil"/>
              <w:tl2br w:val="nil"/>
              <w:tr2bl w:val="nil"/>
            </w:tcBorders>
            <w:shd w:val="clear" w:color="auto" w:fill="auto"/>
            <w:tcMar>
              <w:left w:w="101" w:type="dxa"/>
              <w:right w:w="101" w:type="dxa"/>
            </w:tcMar>
            <w:vAlign w:val="bottom"/>
          </w:tcPr>
          <w:p w:rsidR="00237D6F" w:rsidRDefault="00765F6E">
            <w:pPr>
              <w:spacing w:before="0" w:after="0"/>
              <w:rPr>
                <w:rFonts w:eastAsia="Calibri" w:cs="Calibri"/>
                <w:b/>
                <w:color w:val="000000"/>
                <w:sz w:val="18"/>
              </w:rPr>
            </w:pPr>
            <w:r>
              <w:rPr>
                <w:rFonts w:eastAsia="Calibri" w:cs="Calibri"/>
                <w:b/>
                <w:color w:val="000000"/>
                <w:sz w:val="18"/>
              </w:rPr>
              <w:t>Balance at the Start of the Reporting Period</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164</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164</w:t>
            </w:r>
          </w:p>
        </w:tc>
        <w:tc>
          <w:tcPr>
            <w:tcW w:w="600"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164</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164</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164</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w:t>
            </w:r>
          </w:p>
        </w:tc>
        <w:tc>
          <w:tcPr>
            <w:tcW w:w="2385" w:type="dxa"/>
            <w:tcBorders>
              <w:top w:val="nil"/>
              <w:left w:val="nil"/>
              <w:bottom w:val="nil"/>
              <w:right w:val="nil"/>
              <w:tl2br w:val="nil"/>
              <w:tr2bl w:val="nil"/>
            </w:tcBorders>
            <w:shd w:val="clear" w:color="auto" w:fill="auto"/>
            <w:tcMar>
              <w:left w:w="101" w:type="dxa"/>
              <w:right w:w="101" w:type="dxa"/>
            </w:tcMar>
            <w:vAlign w:val="bottom"/>
          </w:tcPr>
          <w:p w:rsidR="00237D6F" w:rsidRDefault="00765F6E">
            <w:pPr>
              <w:spacing w:before="0" w:after="0"/>
              <w:rPr>
                <w:rFonts w:eastAsia="Calibri" w:cs="Calibri"/>
                <w:b/>
                <w:color w:val="000000"/>
                <w:sz w:val="18"/>
              </w:rPr>
            </w:pPr>
            <w:r>
              <w:rPr>
                <w:rFonts w:eastAsia="Calibri" w:cs="Calibri"/>
                <w:b/>
                <w:color w:val="000000"/>
                <w:sz w:val="18"/>
              </w:rPr>
              <w:t>Total Movement in Reserves</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w:t>
            </w:r>
          </w:p>
        </w:tc>
        <w:tc>
          <w:tcPr>
            <w:tcW w:w="600"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auto" w:fill="auto"/>
            <w:tcMar>
              <w:left w:w="101" w:type="dxa"/>
              <w:right w:w="101" w:type="dxa"/>
            </w:tcMar>
            <w:vAlign w:val="bottom"/>
          </w:tcPr>
          <w:p w:rsidR="00237D6F" w:rsidRDefault="00765F6E">
            <w:pPr>
              <w:spacing w:before="0" w:after="0"/>
              <w:rPr>
                <w:rFonts w:eastAsia="Calibri" w:cs="Calibri"/>
                <w:b/>
                <w:color w:val="000000"/>
                <w:sz w:val="18"/>
              </w:rPr>
            </w:pPr>
            <w:r>
              <w:rPr>
                <w:rFonts w:eastAsia="Calibri" w:cs="Calibri"/>
                <w:b/>
                <w:color w:val="000000"/>
                <w:sz w:val="18"/>
              </w:rPr>
              <w:t>Closing Equity</w:t>
            </w: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48</w:t>
            </w:r>
          </w:p>
        </w:tc>
        <w:tc>
          <w:tcPr>
            <w:tcW w:w="2385" w:type="dxa"/>
            <w:tcBorders>
              <w:top w:val="nil"/>
              <w:left w:val="nil"/>
              <w:bottom w:val="nil"/>
              <w:right w:val="nil"/>
              <w:tl2br w:val="nil"/>
              <w:tr2bl w:val="nil"/>
            </w:tcBorders>
            <w:shd w:val="clear" w:color="auto" w:fill="auto"/>
            <w:tcMar>
              <w:left w:w="101" w:type="dxa"/>
              <w:right w:w="101" w:type="dxa"/>
            </w:tcMar>
            <w:vAlign w:val="bottom"/>
          </w:tcPr>
          <w:p w:rsidR="00237D6F" w:rsidRDefault="00765F6E">
            <w:pPr>
              <w:spacing w:before="0" w:after="0"/>
              <w:rPr>
                <w:rFonts w:eastAsia="Calibri" w:cs="Calibri"/>
                <w:color w:val="000000"/>
                <w:sz w:val="18"/>
              </w:rPr>
            </w:pPr>
            <w:r>
              <w:rPr>
                <w:rFonts w:eastAsia="Calibri" w:cs="Calibri"/>
                <w:color w:val="000000"/>
                <w:sz w:val="18"/>
              </w:rPr>
              <w:t>Closing Accumulated Funds</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164</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164</w:t>
            </w:r>
          </w:p>
        </w:tc>
        <w:tc>
          <w:tcPr>
            <w:tcW w:w="600"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164</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164</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164</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48</w:t>
            </w:r>
          </w:p>
        </w:tc>
        <w:tc>
          <w:tcPr>
            <w:tcW w:w="2385" w:type="dxa"/>
            <w:tcBorders>
              <w:top w:val="nil"/>
              <w:left w:val="nil"/>
              <w:bottom w:val="nil"/>
              <w:right w:val="nil"/>
              <w:tl2br w:val="nil"/>
              <w:tr2bl w:val="nil"/>
            </w:tcBorders>
            <w:shd w:val="clear" w:color="FFFFFF" w:fill="FFFFFF"/>
            <w:tcMar>
              <w:left w:w="101" w:type="dxa"/>
              <w:right w:w="101" w:type="dxa"/>
            </w:tcMar>
            <w:vAlign w:val="bottom"/>
          </w:tcPr>
          <w:p w:rsidR="00237D6F" w:rsidRDefault="00765F6E">
            <w:pPr>
              <w:spacing w:before="0" w:after="0"/>
              <w:rPr>
                <w:rFonts w:eastAsia="Calibri" w:cs="Calibri"/>
                <w:b/>
                <w:color w:val="000000"/>
                <w:sz w:val="18"/>
              </w:rPr>
            </w:pPr>
            <w:r>
              <w:rPr>
                <w:rFonts w:eastAsia="Calibri" w:cs="Calibri"/>
                <w:b/>
                <w:color w:val="000000"/>
                <w:sz w:val="18"/>
              </w:rPr>
              <w:t>Balance at the end of the Reporting Period</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164</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164</w:t>
            </w:r>
          </w:p>
        </w:tc>
        <w:tc>
          <w:tcPr>
            <w:tcW w:w="600"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 - </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164</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164</w:t>
            </w:r>
          </w:p>
        </w:tc>
        <w:tc>
          <w:tcPr>
            <w:tcW w:w="1035"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164</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bl>
    <w:p w:rsidR="00281F97" w:rsidRPr="00147CFD" w:rsidRDefault="00765F6E" w:rsidP="00281F97">
      <w:pPr>
        <w:pStyle w:val="Caption"/>
        <w:pageBreakBefore/>
        <w:pBdr>
          <w:top w:val="nil"/>
          <w:left w:val="nil"/>
          <w:bottom w:val="nil"/>
          <w:right w:val="nil"/>
          <w:between w:val="nil"/>
          <w:bar w:val="nil"/>
        </w:pBdr>
        <w:outlineLvl w:val="0"/>
        <w:rPr>
          <w:bdr w:val="nil"/>
        </w:rPr>
      </w:pPr>
      <w:bookmarkStart w:id="166" w:name="_Toc514764138"/>
      <w:bookmarkStart w:id="167" w:name="_Toc514765764"/>
      <w:bookmarkStart w:id="168" w:name="_Toc514832388"/>
      <w:bookmarkStart w:id="169" w:name="_Toc514832571"/>
      <w:r w:rsidRPr="00147CFD">
        <w:rPr>
          <w:bdr w:val="nil"/>
        </w:rPr>
        <w:lastRenderedPageBreak/>
        <w:t xml:space="preserve">Table </w:t>
      </w:r>
      <w:r w:rsidR="00141A32">
        <w:rPr>
          <w:bdr w:val="nil"/>
        </w:rPr>
        <w:t>39</w:t>
      </w:r>
      <w:r w:rsidRPr="00147CFD">
        <w:rPr>
          <w:bdr w:val="nil"/>
        </w:rPr>
        <w:t>: Health Directorate: Cash Flow Statement on behalf of the Territory</w:t>
      </w:r>
      <w:bookmarkEnd w:id="166"/>
      <w:bookmarkEnd w:id="167"/>
      <w:bookmarkEnd w:id="168"/>
      <w:bookmarkEnd w:id="169"/>
    </w:p>
    <w:tbl>
      <w:tblPr>
        <w:tblStyle w:val="CDMRange1"/>
        <w:tblW w:w="9990" w:type="dxa"/>
        <w:tblLayout w:type="fixed"/>
        <w:tblLook w:val="0600" w:firstRow="0" w:lastRow="0" w:firstColumn="0" w:lastColumn="0" w:noHBand="1" w:noVBand="1"/>
      </w:tblPr>
      <w:tblGrid>
        <w:gridCol w:w="1035"/>
        <w:gridCol w:w="3180"/>
        <w:gridCol w:w="1035"/>
        <w:gridCol w:w="1035"/>
        <w:gridCol w:w="600"/>
        <w:gridCol w:w="1035"/>
        <w:gridCol w:w="1035"/>
        <w:gridCol w:w="1035"/>
      </w:tblGrid>
      <w:tr w:rsidR="00237D6F">
        <w:trPr>
          <w:trHeight w:val="240"/>
        </w:trPr>
        <w:tc>
          <w:tcPr>
            <w:tcW w:w="1035" w:type="dxa"/>
            <w:tcBorders>
              <w:top w:val="single" w:sz="4" w:space="0" w:color="000000"/>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2017-18</w:t>
            </w:r>
          </w:p>
        </w:tc>
        <w:tc>
          <w:tcPr>
            <w:tcW w:w="3180" w:type="dxa"/>
            <w:tcBorders>
              <w:top w:val="single" w:sz="4" w:space="0" w:color="000000"/>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2017-18</w:t>
            </w:r>
          </w:p>
        </w:tc>
        <w:tc>
          <w:tcPr>
            <w:tcW w:w="1035" w:type="dxa"/>
            <w:tcBorders>
              <w:top w:val="single" w:sz="4" w:space="0" w:color="000000"/>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2018-19</w:t>
            </w:r>
          </w:p>
        </w:tc>
        <w:tc>
          <w:tcPr>
            <w:tcW w:w="600" w:type="dxa"/>
            <w:tcBorders>
              <w:top w:val="single" w:sz="4" w:space="0" w:color="000000"/>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proofErr w:type="spellStart"/>
            <w:r>
              <w:rPr>
                <w:rFonts w:eastAsia="Calibri" w:cs="Calibri"/>
                <w:b/>
                <w:color w:val="000000"/>
                <w:sz w:val="18"/>
              </w:rPr>
              <w:t>Var</w:t>
            </w:r>
            <w:proofErr w:type="spellEnd"/>
          </w:p>
        </w:tc>
        <w:tc>
          <w:tcPr>
            <w:tcW w:w="1035" w:type="dxa"/>
            <w:tcBorders>
              <w:top w:val="single" w:sz="4" w:space="0" w:color="000000"/>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2019-20</w:t>
            </w:r>
          </w:p>
        </w:tc>
        <w:tc>
          <w:tcPr>
            <w:tcW w:w="1035" w:type="dxa"/>
            <w:tcBorders>
              <w:top w:val="single" w:sz="4" w:space="0" w:color="000000"/>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2020-21</w:t>
            </w:r>
          </w:p>
        </w:tc>
        <w:tc>
          <w:tcPr>
            <w:tcW w:w="1035" w:type="dxa"/>
            <w:tcBorders>
              <w:top w:val="single" w:sz="4" w:space="0" w:color="000000"/>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2021-22</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Budget</w:t>
            </w:r>
          </w:p>
        </w:tc>
        <w:tc>
          <w:tcPr>
            <w:tcW w:w="318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Estimated Outcome</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Budget</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Estimate</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Estimate</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Estimate</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$'000</w:t>
            </w:r>
          </w:p>
        </w:tc>
        <w:tc>
          <w:tcPr>
            <w:tcW w:w="3180"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nil"/>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$'000</w:t>
            </w: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color w:val="000000"/>
                <w:sz w:val="18"/>
              </w:rPr>
            </w:pPr>
          </w:p>
        </w:tc>
        <w:tc>
          <w:tcPr>
            <w:tcW w:w="1035" w:type="dxa"/>
            <w:tcBorders>
              <w:top w:val="nil"/>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nil"/>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nil"/>
              <w:left w:val="nil"/>
              <w:bottom w:val="single" w:sz="4" w:space="0" w:color="000000"/>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$'000</w:t>
            </w:r>
          </w:p>
        </w:tc>
      </w:tr>
      <w:tr w:rsidR="00A244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auto" w:fill="auto"/>
            <w:noWrap/>
            <w:tcMar>
              <w:left w:w="0" w:type="dxa"/>
              <w:right w:w="0" w:type="dxa"/>
            </w:tcMar>
          </w:tcPr>
          <w:p w:rsidR="00A244C9" w:rsidRDefault="00A244C9">
            <w:pPr>
              <w:spacing w:before="0" w:after="0"/>
              <w:rPr>
                <w:rFonts w:eastAsia="Calibri" w:cs="Calibri"/>
                <w:color w:val="000000"/>
                <w:sz w:val="18"/>
              </w:rPr>
            </w:pPr>
          </w:p>
        </w:tc>
        <w:tc>
          <w:tcPr>
            <w:tcW w:w="8955" w:type="dxa"/>
            <w:gridSpan w:val="7"/>
            <w:tcBorders>
              <w:top w:val="nil"/>
              <w:left w:val="nil"/>
              <w:bottom w:val="nil"/>
              <w:right w:val="nil"/>
              <w:tl2br w:val="nil"/>
              <w:tr2bl w:val="nil"/>
            </w:tcBorders>
            <w:shd w:val="clear" w:color="auto" w:fill="auto"/>
            <w:tcMar>
              <w:left w:w="101" w:type="dxa"/>
              <w:right w:w="101" w:type="dxa"/>
            </w:tcMar>
            <w:vAlign w:val="bottom"/>
          </w:tcPr>
          <w:p w:rsidR="00A244C9" w:rsidRDefault="00A244C9">
            <w:pPr>
              <w:spacing w:before="0" w:after="0"/>
              <w:rPr>
                <w:rFonts w:eastAsia="Calibri" w:cs="Calibri"/>
                <w:b/>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auto" w:fill="auto"/>
            <w:noWrap/>
            <w:tcMar>
              <w:left w:w="0" w:type="dxa"/>
              <w:right w:w="0" w:type="dxa"/>
            </w:tcMar>
          </w:tcPr>
          <w:p w:rsidR="00237D6F" w:rsidRDefault="00237D6F">
            <w:pPr>
              <w:spacing w:before="0" w:after="0"/>
              <w:rPr>
                <w:rFonts w:eastAsia="Calibri" w:cs="Calibri"/>
                <w:color w:val="000000"/>
                <w:sz w:val="18"/>
              </w:rPr>
            </w:pPr>
          </w:p>
        </w:tc>
        <w:tc>
          <w:tcPr>
            <w:tcW w:w="8955" w:type="dxa"/>
            <w:gridSpan w:val="7"/>
            <w:tcBorders>
              <w:top w:val="nil"/>
              <w:left w:val="nil"/>
              <w:bottom w:val="nil"/>
              <w:right w:val="nil"/>
              <w:tl2br w:val="nil"/>
              <w:tr2bl w:val="nil"/>
            </w:tcBorders>
            <w:shd w:val="clear" w:color="auto" w:fill="auto"/>
            <w:tcMar>
              <w:left w:w="101" w:type="dxa"/>
              <w:right w:w="101" w:type="dxa"/>
            </w:tcMar>
            <w:vAlign w:val="bottom"/>
          </w:tcPr>
          <w:p w:rsidR="00237D6F" w:rsidRDefault="00765F6E">
            <w:pPr>
              <w:spacing w:before="0" w:after="0"/>
              <w:rPr>
                <w:rFonts w:eastAsia="Calibri" w:cs="Calibri"/>
                <w:b/>
                <w:color w:val="000000"/>
                <w:sz w:val="18"/>
              </w:rPr>
            </w:pPr>
            <w:r>
              <w:rPr>
                <w:rFonts w:eastAsia="Calibri" w:cs="Calibri"/>
                <w:b/>
                <w:color w:val="000000"/>
                <w:sz w:val="18"/>
              </w:rPr>
              <w:t>CASH FLOWS FROM OPERATING ACTIVITIES</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3180"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Receipts</w:t>
            </w: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18</w:t>
            </w:r>
            <w:r w:rsidR="00904EBD">
              <w:rPr>
                <w:rFonts w:eastAsia="Calibri" w:cs="Calibri"/>
                <w:color w:val="000000"/>
                <w:sz w:val="18"/>
              </w:rPr>
              <w:t>,</w:t>
            </w:r>
            <w:r>
              <w:rPr>
                <w:rFonts w:eastAsia="Calibri" w:cs="Calibri"/>
                <w:color w:val="000000"/>
                <w:sz w:val="18"/>
              </w:rPr>
              <w:t>593</w:t>
            </w:r>
          </w:p>
        </w:tc>
        <w:tc>
          <w:tcPr>
            <w:tcW w:w="3180"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Payment for Expenses on Behalf of the Territory</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28</w:t>
            </w:r>
            <w:r w:rsidR="00904EBD">
              <w:rPr>
                <w:rFonts w:eastAsia="Calibri" w:cs="Calibri"/>
                <w:color w:val="000000"/>
                <w:sz w:val="18"/>
              </w:rPr>
              <w:t>,</w:t>
            </w:r>
            <w:r>
              <w:rPr>
                <w:rFonts w:eastAsia="Calibri" w:cs="Calibri"/>
                <w:color w:val="000000"/>
                <w:sz w:val="18"/>
              </w:rPr>
              <w:t>065</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w:t>
            </w:r>
            <w:r w:rsidR="00904EBD">
              <w:rPr>
                <w:rFonts w:eastAsia="Calibri" w:cs="Calibri"/>
                <w:color w:val="000000"/>
                <w:sz w:val="18"/>
              </w:rPr>
              <w:t>,</w:t>
            </w:r>
            <w:r>
              <w:rPr>
                <w:rFonts w:eastAsia="Calibri" w:cs="Calibri"/>
                <w:color w:val="000000"/>
                <w:sz w:val="18"/>
              </w:rPr>
              <w:t>620</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-91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5</w:t>
            </w:r>
            <w:r w:rsidR="00904EBD">
              <w:rPr>
                <w:rFonts w:eastAsia="Calibri" w:cs="Calibri"/>
                <w:color w:val="000000"/>
                <w:sz w:val="18"/>
              </w:rPr>
              <w:t>,</w:t>
            </w:r>
            <w:r>
              <w:rPr>
                <w:rFonts w:eastAsia="Calibri" w:cs="Calibri"/>
                <w:color w:val="000000"/>
                <w:sz w:val="18"/>
              </w:rPr>
              <w:t>692</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8</w:t>
            </w:r>
            <w:r w:rsidR="00904EBD">
              <w:rPr>
                <w:rFonts w:eastAsia="Calibri" w:cs="Calibri"/>
                <w:color w:val="000000"/>
                <w:sz w:val="18"/>
              </w:rPr>
              <w:t>,</w:t>
            </w:r>
            <w:r>
              <w:rPr>
                <w:rFonts w:eastAsia="Calibri" w:cs="Calibri"/>
                <w:color w:val="000000"/>
                <w:sz w:val="18"/>
              </w:rPr>
              <w:t>609</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932</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376</w:t>
            </w:r>
          </w:p>
        </w:tc>
        <w:tc>
          <w:tcPr>
            <w:tcW w:w="3180"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Taxes, Fees and Fines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376</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410</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474</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532</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578</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859</w:t>
            </w:r>
          </w:p>
        </w:tc>
        <w:tc>
          <w:tcPr>
            <w:tcW w:w="3180"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Other</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w:t>
            </w:r>
            <w:r w:rsidR="00904EBD">
              <w:rPr>
                <w:rFonts w:eastAsia="Calibri" w:cs="Calibri"/>
                <w:color w:val="000000"/>
                <w:sz w:val="18"/>
              </w:rPr>
              <w:t>,</w:t>
            </w:r>
            <w:r>
              <w:rPr>
                <w:rFonts w:eastAsia="Calibri" w:cs="Calibri"/>
                <w:color w:val="000000"/>
                <w:sz w:val="18"/>
              </w:rPr>
              <w:t>806</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261</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-91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568</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860</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92</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21</w:t>
            </w:r>
            <w:r w:rsidR="00904EBD">
              <w:rPr>
                <w:rFonts w:eastAsia="Calibri" w:cs="Calibri"/>
                <w:b/>
                <w:color w:val="000000"/>
                <w:sz w:val="18"/>
              </w:rPr>
              <w:t>,</w:t>
            </w:r>
            <w:r>
              <w:rPr>
                <w:rFonts w:eastAsia="Calibri" w:cs="Calibri"/>
                <w:b/>
                <w:color w:val="000000"/>
                <w:sz w:val="18"/>
              </w:rPr>
              <w:t>828</w:t>
            </w:r>
          </w:p>
        </w:tc>
        <w:tc>
          <w:tcPr>
            <w:tcW w:w="3180"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Operating Receipts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32</w:t>
            </w:r>
            <w:r w:rsidR="00904EBD">
              <w:rPr>
                <w:rFonts w:eastAsia="Calibri" w:cs="Calibri"/>
                <w:b/>
                <w:color w:val="000000"/>
                <w:sz w:val="18"/>
              </w:rPr>
              <w:t>,</w:t>
            </w:r>
            <w:r>
              <w:rPr>
                <w:rFonts w:eastAsia="Calibri" w:cs="Calibri"/>
                <w:b/>
                <w:color w:val="000000"/>
                <w:sz w:val="18"/>
              </w:rPr>
              <w:t>247</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4</w:t>
            </w:r>
            <w:r w:rsidR="00904EBD">
              <w:rPr>
                <w:rFonts w:eastAsia="Calibri" w:cs="Calibri"/>
                <w:b/>
                <w:color w:val="000000"/>
                <w:sz w:val="18"/>
              </w:rPr>
              <w:t>,</w:t>
            </w:r>
            <w:r>
              <w:rPr>
                <w:rFonts w:eastAsia="Calibri" w:cs="Calibri"/>
                <w:b/>
                <w:color w:val="000000"/>
                <w:sz w:val="18"/>
              </w:rPr>
              <w:t>291</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-87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7</w:t>
            </w:r>
            <w:r w:rsidR="00904EBD">
              <w:rPr>
                <w:rFonts w:eastAsia="Calibri" w:cs="Calibri"/>
                <w:b/>
                <w:color w:val="000000"/>
                <w:sz w:val="18"/>
              </w:rPr>
              <w:t>,</w:t>
            </w:r>
            <w:r>
              <w:rPr>
                <w:rFonts w:eastAsia="Calibri" w:cs="Calibri"/>
                <w:b/>
                <w:color w:val="000000"/>
                <w:sz w:val="18"/>
              </w:rPr>
              <w:t>734</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11</w:t>
            </w:r>
            <w:r w:rsidR="00904EBD">
              <w:rPr>
                <w:rFonts w:eastAsia="Calibri" w:cs="Calibri"/>
                <w:b/>
                <w:color w:val="000000"/>
                <w:sz w:val="18"/>
              </w:rPr>
              <w:t>,</w:t>
            </w:r>
            <w:r>
              <w:rPr>
                <w:rFonts w:eastAsia="Calibri" w:cs="Calibri"/>
                <w:b/>
                <w:color w:val="000000"/>
                <w:sz w:val="18"/>
              </w:rPr>
              <w:t>001</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w:t>
            </w:r>
            <w:r w:rsidR="00904EBD">
              <w:rPr>
                <w:rFonts w:eastAsia="Calibri" w:cs="Calibri"/>
                <w:b/>
                <w:color w:val="000000"/>
                <w:sz w:val="18"/>
              </w:rPr>
              <w:t>,</w:t>
            </w:r>
            <w:r>
              <w:rPr>
                <w:rFonts w:eastAsia="Calibri" w:cs="Calibri"/>
                <w:b/>
                <w:color w:val="000000"/>
                <w:sz w:val="18"/>
              </w:rPr>
              <w:t>602</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3180" w:type="dxa"/>
            <w:tcBorders>
              <w:top w:val="nil"/>
              <w:left w:val="nil"/>
              <w:bottom w:val="nil"/>
              <w:right w:val="nil"/>
              <w:tl2br w:val="nil"/>
              <w:tr2bl w:val="nil"/>
            </w:tcBorders>
            <w:shd w:val="clear" w:color="FFFFFF" w:fill="FFFFFF"/>
            <w:noWrap/>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jc w:val="right"/>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b/>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3180"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Payments</w:t>
            </w: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18</w:t>
            </w:r>
            <w:r w:rsidR="00904EBD">
              <w:rPr>
                <w:rFonts w:eastAsia="Calibri" w:cs="Calibri"/>
                <w:color w:val="000000"/>
                <w:sz w:val="18"/>
              </w:rPr>
              <w:t>,</w:t>
            </w:r>
            <w:r>
              <w:rPr>
                <w:rFonts w:eastAsia="Calibri" w:cs="Calibri"/>
                <w:color w:val="000000"/>
                <w:sz w:val="18"/>
              </w:rPr>
              <w:t>593</w:t>
            </w:r>
          </w:p>
        </w:tc>
        <w:tc>
          <w:tcPr>
            <w:tcW w:w="3180"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Grants and Purchased Services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28</w:t>
            </w:r>
            <w:r w:rsidR="00904EBD">
              <w:rPr>
                <w:rFonts w:eastAsia="Calibri" w:cs="Calibri"/>
                <w:color w:val="000000"/>
                <w:sz w:val="18"/>
              </w:rPr>
              <w:t>,</w:t>
            </w:r>
            <w:r>
              <w:rPr>
                <w:rFonts w:eastAsia="Calibri" w:cs="Calibri"/>
                <w:color w:val="000000"/>
                <w:sz w:val="18"/>
              </w:rPr>
              <w:t>065</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w:t>
            </w:r>
            <w:r w:rsidR="00904EBD">
              <w:rPr>
                <w:rFonts w:eastAsia="Calibri" w:cs="Calibri"/>
                <w:color w:val="000000"/>
                <w:sz w:val="18"/>
              </w:rPr>
              <w:t>,</w:t>
            </w:r>
            <w:r>
              <w:rPr>
                <w:rFonts w:eastAsia="Calibri" w:cs="Calibri"/>
                <w:color w:val="000000"/>
                <w:sz w:val="18"/>
              </w:rPr>
              <w:t>620</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-91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5</w:t>
            </w:r>
            <w:r w:rsidR="00904EBD">
              <w:rPr>
                <w:rFonts w:eastAsia="Calibri" w:cs="Calibri"/>
                <w:color w:val="000000"/>
                <w:sz w:val="18"/>
              </w:rPr>
              <w:t>,</w:t>
            </w:r>
            <w:r>
              <w:rPr>
                <w:rFonts w:eastAsia="Calibri" w:cs="Calibri"/>
                <w:color w:val="000000"/>
                <w:sz w:val="18"/>
              </w:rPr>
              <w:t>692</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8</w:t>
            </w:r>
            <w:r w:rsidR="00904EBD">
              <w:rPr>
                <w:rFonts w:eastAsia="Calibri" w:cs="Calibri"/>
                <w:color w:val="000000"/>
                <w:sz w:val="18"/>
              </w:rPr>
              <w:t>,</w:t>
            </w:r>
            <w:r>
              <w:rPr>
                <w:rFonts w:eastAsia="Calibri" w:cs="Calibri"/>
                <w:color w:val="000000"/>
                <w:sz w:val="18"/>
              </w:rPr>
              <w:t>609</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932</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376</w:t>
            </w:r>
          </w:p>
        </w:tc>
        <w:tc>
          <w:tcPr>
            <w:tcW w:w="3180"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Transfer of Territory Receipts to the ACT Government</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376</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410</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474</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532</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578</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1</w:t>
            </w:r>
            <w:r w:rsidR="00904EBD">
              <w:rPr>
                <w:rFonts w:eastAsia="Calibri" w:cs="Calibri"/>
                <w:color w:val="000000"/>
                <w:sz w:val="18"/>
              </w:rPr>
              <w:t>,</w:t>
            </w:r>
            <w:r>
              <w:rPr>
                <w:rFonts w:eastAsia="Calibri" w:cs="Calibri"/>
                <w:color w:val="000000"/>
                <w:sz w:val="18"/>
              </w:rPr>
              <w:t>859</w:t>
            </w:r>
          </w:p>
        </w:tc>
        <w:tc>
          <w:tcPr>
            <w:tcW w:w="3180"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color w:val="000000"/>
                <w:sz w:val="18"/>
              </w:rPr>
            </w:pPr>
            <w:r>
              <w:rPr>
                <w:rFonts w:eastAsia="Calibri" w:cs="Calibri"/>
                <w:color w:val="000000"/>
                <w:sz w:val="18"/>
              </w:rPr>
              <w:t>Other</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w:t>
            </w:r>
            <w:r w:rsidR="00904EBD">
              <w:rPr>
                <w:rFonts w:eastAsia="Calibri" w:cs="Calibri"/>
                <w:color w:val="000000"/>
                <w:sz w:val="18"/>
              </w:rPr>
              <w:t>,</w:t>
            </w:r>
            <w:r>
              <w:rPr>
                <w:rFonts w:eastAsia="Calibri" w:cs="Calibri"/>
                <w:color w:val="000000"/>
                <w:sz w:val="18"/>
              </w:rPr>
              <w:t>806</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261</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 xml:space="preserve">-91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568</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860</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color w:val="000000"/>
                <w:sz w:val="18"/>
              </w:rPr>
            </w:pPr>
            <w:r>
              <w:rPr>
                <w:rFonts w:eastAsia="Calibri" w:cs="Calibri"/>
                <w:color w:val="000000"/>
                <w:sz w:val="18"/>
              </w:rPr>
              <w:t>92</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21</w:t>
            </w:r>
            <w:r w:rsidR="00904EBD">
              <w:rPr>
                <w:rFonts w:eastAsia="Calibri" w:cs="Calibri"/>
                <w:b/>
                <w:color w:val="000000"/>
                <w:sz w:val="18"/>
              </w:rPr>
              <w:t>,</w:t>
            </w:r>
            <w:r>
              <w:rPr>
                <w:rFonts w:eastAsia="Calibri" w:cs="Calibri"/>
                <w:b/>
                <w:color w:val="000000"/>
                <w:sz w:val="18"/>
              </w:rPr>
              <w:t>828</w:t>
            </w:r>
          </w:p>
        </w:tc>
        <w:tc>
          <w:tcPr>
            <w:tcW w:w="3180" w:type="dxa"/>
            <w:tcBorders>
              <w:top w:val="nil"/>
              <w:left w:val="nil"/>
              <w:bottom w:val="nil"/>
              <w:right w:val="nil"/>
              <w:tl2br w:val="nil"/>
              <w:tr2bl w:val="nil"/>
            </w:tcBorders>
            <w:shd w:val="clear" w:color="FFFFFF" w:fill="FFFFFF"/>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Operating Payments</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32</w:t>
            </w:r>
            <w:r w:rsidR="00904EBD">
              <w:rPr>
                <w:rFonts w:eastAsia="Calibri" w:cs="Calibri"/>
                <w:b/>
                <w:color w:val="000000"/>
                <w:sz w:val="18"/>
              </w:rPr>
              <w:t>,</w:t>
            </w:r>
            <w:r>
              <w:rPr>
                <w:rFonts w:eastAsia="Calibri" w:cs="Calibri"/>
                <w:b/>
                <w:color w:val="000000"/>
                <w:sz w:val="18"/>
              </w:rPr>
              <w:t>247</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4</w:t>
            </w:r>
            <w:r w:rsidR="00904EBD">
              <w:rPr>
                <w:rFonts w:eastAsia="Calibri" w:cs="Calibri"/>
                <w:b/>
                <w:color w:val="000000"/>
                <w:sz w:val="18"/>
              </w:rPr>
              <w:t>,</w:t>
            </w:r>
            <w:r>
              <w:rPr>
                <w:rFonts w:eastAsia="Calibri" w:cs="Calibri"/>
                <w:b/>
                <w:color w:val="000000"/>
                <w:sz w:val="18"/>
              </w:rPr>
              <w:t>291</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-87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7</w:t>
            </w:r>
            <w:r w:rsidR="00904EBD">
              <w:rPr>
                <w:rFonts w:eastAsia="Calibri" w:cs="Calibri"/>
                <w:b/>
                <w:color w:val="000000"/>
                <w:sz w:val="18"/>
              </w:rPr>
              <w:t>,</w:t>
            </w:r>
            <w:r>
              <w:rPr>
                <w:rFonts w:eastAsia="Calibri" w:cs="Calibri"/>
                <w:b/>
                <w:color w:val="000000"/>
                <w:sz w:val="18"/>
              </w:rPr>
              <w:t>734</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11</w:t>
            </w:r>
            <w:r w:rsidR="00904EBD">
              <w:rPr>
                <w:rFonts w:eastAsia="Calibri" w:cs="Calibri"/>
                <w:b/>
                <w:color w:val="000000"/>
                <w:sz w:val="18"/>
              </w:rPr>
              <w:t>,</w:t>
            </w:r>
            <w:r>
              <w:rPr>
                <w:rFonts w:eastAsia="Calibri" w:cs="Calibri"/>
                <w:b/>
                <w:color w:val="000000"/>
                <w:sz w:val="18"/>
              </w:rPr>
              <w:t>001</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2</w:t>
            </w:r>
            <w:r w:rsidR="00904EBD">
              <w:rPr>
                <w:rFonts w:eastAsia="Calibri" w:cs="Calibri"/>
                <w:b/>
                <w:color w:val="000000"/>
                <w:sz w:val="18"/>
              </w:rPr>
              <w:t>,</w:t>
            </w:r>
            <w:r>
              <w:rPr>
                <w:rFonts w:eastAsia="Calibri" w:cs="Calibri"/>
                <w:b/>
                <w:color w:val="000000"/>
                <w:sz w:val="18"/>
              </w:rPr>
              <w:t>602</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318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349</w:t>
            </w:r>
          </w:p>
        </w:tc>
        <w:tc>
          <w:tcPr>
            <w:tcW w:w="3180"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CASH AT THE BEGINNING OF REPORTING PERIOD</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674</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674</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674</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674</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674</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3180" w:type="dxa"/>
            <w:tcBorders>
              <w:top w:val="nil"/>
              <w:left w:val="nil"/>
              <w:bottom w:val="nil"/>
              <w:right w:val="nil"/>
              <w:tl2br w:val="nil"/>
              <w:tr2bl w:val="nil"/>
            </w:tcBorders>
            <w:shd w:val="clear" w:color="auto" w:fill="auto"/>
            <w:noWrap/>
            <w:tcMar>
              <w:left w:w="0" w:type="dxa"/>
              <w:right w:w="0" w:type="dxa"/>
            </w:tcMar>
            <w:vAlign w:val="bottom"/>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349</w:t>
            </w:r>
          </w:p>
        </w:tc>
        <w:tc>
          <w:tcPr>
            <w:tcW w:w="3180" w:type="dxa"/>
            <w:tcBorders>
              <w:top w:val="nil"/>
              <w:left w:val="nil"/>
              <w:bottom w:val="nil"/>
              <w:right w:val="nil"/>
              <w:tl2br w:val="nil"/>
              <w:tr2bl w:val="nil"/>
            </w:tcBorders>
            <w:shd w:val="clear" w:color="auto" w:fill="auto"/>
            <w:noWrap/>
            <w:tcMar>
              <w:left w:w="101" w:type="dxa"/>
              <w:right w:w="101" w:type="dxa"/>
            </w:tcMar>
          </w:tcPr>
          <w:p w:rsidR="00237D6F" w:rsidRDefault="00765F6E">
            <w:pPr>
              <w:spacing w:before="0" w:after="0"/>
              <w:rPr>
                <w:rFonts w:eastAsia="Calibri" w:cs="Calibri"/>
                <w:b/>
                <w:color w:val="000000"/>
                <w:sz w:val="18"/>
              </w:rPr>
            </w:pPr>
            <w:r>
              <w:rPr>
                <w:rFonts w:eastAsia="Calibri" w:cs="Calibri"/>
                <w:b/>
                <w:color w:val="000000"/>
                <w:sz w:val="18"/>
              </w:rPr>
              <w:t>CASH AT THE END OF REPORTING PERIOD</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674</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674</w:t>
            </w:r>
          </w:p>
        </w:tc>
        <w:tc>
          <w:tcPr>
            <w:tcW w:w="600"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674</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674</w:t>
            </w:r>
          </w:p>
        </w:tc>
        <w:tc>
          <w:tcPr>
            <w:tcW w:w="1035" w:type="dxa"/>
            <w:tcBorders>
              <w:top w:val="nil"/>
              <w:left w:val="nil"/>
              <w:bottom w:val="nil"/>
              <w:right w:val="nil"/>
              <w:tl2br w:val="nil"/>
              <w:tr2bl w:val="nil"/>
            </w:tcBorders>
            <w:shd w:val="clear" w:color="FFFFFF" w:fill="FFFFFF"/>
            <w:tcMar>
              <w:left w:w="101" w:type="dxa"/>
              <w:right w:w="101" w:type="dxa"/>
            </w:tcMar>
          </w:tcPr>
          <w:p w:rsidR="00237D6F" w:rsidRDefault="00765F6E">
            <w:pPr>
              <w:spacing w:before="0" w:after="0"/>
              <w:jc w:val="right"/>
              <w:rPr>
                <w:rFonts w:eastAsia="Calibri" w:cs="Calibri"/>
                <w:b/>
                <w:color w:val="000000"/>
                <w:sz w:val="18"/>
              </w:rPr>
            </w:pPr>
            <w:r>
              <w:rPr>
                <w:rFonts w:eastAsia="Calibri" w:cs="Calibri"/>
                <w:b/>
                <w:color w:val="000000"/>
                <w:sz w:val="18"/>
              </w:rPr>
              <w:t>674</w:t>
            </w:r>
          </w:p>
        </w:tc>
      </w:tr>
      <w:tr w:rsidR="00237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3180"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237D6F" w:rsidRDefault="00237D6F">
            <w:pPr>
              <w:spacing w:before="0" w:after="0"/>
              <w:rPr>
                <w:rFonts w:eastAsia="Calibri" w:cs="Calibri"/>
                <w:color w:val="000000"/>
                <w:sz w:val="18"/>
              </w:rPr>
            </w:pPr>
          </w:p>
        </w:tc>
      </w:tr>
    </w:tbl>
    <w:p w:rsidR="00281F97" w:rsidRDefault="00765F6E" w:rsidP="00281F97">
      <w:pPr>
        <w:pStyle w:val="Heading33"/>
        <w:pageBreakBefore/>
      </w:pPr>
      <w:bookmarkStart w:id="170" w:name="_Toc514764139"/>
      <w:bookmarkStart w:id="171" w:name="_Toc514765765"/>
      <w:bookmarkStart w:id="172" w:name="_Toc514832389"/>
      <w:bookmarkStart w:id="173" w:name="_Toc514832572"/>
      <w:r>
        <w:lastRenderedPageBreak/>
        <w:t>Notes to the Territorial Budget Statements</w:t>
      </w:r>
      <w:bookmarkEnd w:id="170"/>
      <w:bookmarkEnd w:id="171"/>
      <w:bookmarkEnd w:id="172"/>
      <w:bookmarkEnd w:id="173"/>
    </w:p>
    <w:p w:rsidR="00281F97" w:rsidRDefault="00765F6E" w:rsidP="00281F97">
      <w:pPr>
        <w:pStyle w:val="Normal7"/>
      </w:pPr>
      <w:r>
        <w:t>Significant variations are as follows:</w:t>
      </w:r>
    </w:p>
    <w:p w:rsidR="00281F97" w:rsidRDefault="00765F6E" w:rsidP="00281F97">
      <w:pPr>
        <w:pStyle w:val="Normal7"/>
        <w:rPr>
          <w:b/>
          <w:i/>
        </w:rPr>
      </w:pPr>
      <w:r>
        <w:rPr>
          <w:b/>
          <w:i/>
        </w:rPr>
        <w:t>State</w:t>
      </w:r>
      <w:r w:rsidR="00CB3EB7">
        <w:rPr>
          <w:b/>
          <w:i/>
        </w:rPr>
        <w:t>ment of Income and Expenses on B</w:t>
      </w:r>
      <w:r>
        <w:rPr>
          <w:b/>
          <w:i/>
        </w:rPr>
        <w:t>ehalf of the Territory</w:t>
      </w:r>
    </w:p>
    <w:p w:rsidR="00281F97" w:rsidRDefault="00765F6E" w:rsidP="00CA0839">
      <w:pPr>
        <w:pStyle w:val="BSbullet12"/>
        <w:numPr>
          <w:ilvl w:val="0"/>
          <w:numId w:val="40"/>
        </w:numPr>
        <w:jc w:val="left"/>
      </w:pPr>
      <w:r>
        <w:t xml:space="preserve">payment for Expenses on Behalf of the Territory and grants and purchased services:  </w:t>
      </w:r>
    </w:p>
    <w:p w:rsidR="00281F97" w:rsidRPr="004E0396" w:rsidRDefault="00765F6E" w:rsidP="00281F97">
      <w:pPr>
        <w:pStyle w:val="BSbullet20"/>
      </w:pPr>
      <w:r w:rsidRPr="004E0396">
        <w:t xml:space="preserve">the increase of $9.472 </w:t>
      </w:r>
      <w:r w:rsidR="00CE461F" w:rsidRPr="004E0396">
        <w:t>million (</w:t>
      </w:r>
      <w:r w:rsidRPr="004E0396">
        <w:t xml:space="preserve">51 per cent) in the 2017-18 estimated outcome from the original budget is mainly due to the new capital grants to Calvary Hospital and </w:t>
      </w:r>
      <w:r w:rsidR="00CB3EB7">
        <w:br/>
      </w:r>
      <w:r w:rsidRPr="004E0396">
        <w:t>re</w:t>
      </w:r>
      <w:r w:rsidR="00B82C47">
        <w:t>-</w:t>
      </w:r>
      <w:r w:rsidRPr="004E0396">
        <w:t>profiling of grants.  These are offset by the transfer of the University of Canberra Hospit</w:t>
      </w:r>
      <w:r w:rsidR="00CB3EB7">
        <w:t>al Car Park from a Territorial G</w:t>
      </w:r>
      <w:r w:rsidR="00062176">
        <w:t>rant to a Departmental asset; and</w:t>
      </w:r>
      <w:r w:rsidRPr="004E0396">
        <w:t xml:space="preserve"> </w:t>
      </w:r>
    </w:p>
    <w:p w:rsidR="00281F97" w:rsidRPr="004E0396" w:rsidRDefault="00765F6E" w:rsidP="00281F97">
      <w:pPr>
        <w:pStyle w:val="BSbullet20"/>
      </w:pPr>
      <w:r w:rsidRPr="004E0396">
        <w:t>the decrease of $25.445 million (91 per cent) in the 2018-19 Budget from the 2017</w:t>
      </w:r>
      <w:r w:rsidRPr="004E0396">
        <w:noBreakHyphen/>
        <w:t xml:space="preserve">18 estimated outcome is due to higher capital grants to Calvary Hospital in 2017-18. </w:t>
      </w:r>
    </w:p>
    <w:p w:rsidR="00281F97" w:rsidRDefault="00281F97" w:rsidP="00281F97">
      <w:pPr>
        <w:pStyle w:val="BSbullet20"/>
        <w:numPr>
          <w:ilvl w:val="0"/>
          <w:numId w:val="0"/>
        </w:numPr>
        <w:ind w:left="714" w:hanging="357"/>
      </w:pPr>
    </w:p>
    <w:p w:rsidR="00281F97" w:rsidRDefault="00765F6E" w:rsidP="00281F97">
      <w:pPr>
        <w:pStyle w:val="Heading43"/>
      </w:pPr>
      <w:r>
        <w:t>Cash Flow Statement</w:t>
      </w:r>
    </w:p>
    <w:p w:rsidR="00A67E34" w:rsidRDefault="004C46E3" w:rsidP="00A67E34">
      <w:pPr>
        <w:pBdr>
          <w:top w:val="nil"/>
          <w:left w:val="nil"/>
          <w:bottom w:val="nil"/>
          <w:right w:val="nil"/>
          <w:between w:val="nil"/>
          <w:bar w:val="nil"/>
        </w:pBdr>
        <w:rPr>
          <w:bdr w:val="nil"/>
        </w:rPr>
      </w:pPr>
      <w:r>
        <w:t>Variations in the Statement are explained in the notes above</w:t>
      </w:r>
      <w:r>
        <w:rPr>
          <w:bdr w:val="nil"/>
        </w:rPr>
        <w:t>.</w:t>
      </w:r>
    </w:p>
    <w:p w:rsidR="004C46E3" w:rsidRDefault="004C46E3" w:rsidP="00A67E34">
      <w:pPr>
        <w:pBdr>
          <w:top w:val="nil"/>
          <w:left w:val="nil"/>
          <w:bottom w:val="nil"/>
          <w:right w:val="nil"/>
          <w:between w:val="nil"/>
          <w:bar w:val="nil"/>
        </w:pBdr>
        <w:rPr>
          <w:bdr w:val="nil"/>
        </w:rPr>
      </w:pPr>
    </w:p>
    <w:p w:rsidR="004C46E3" w:rsidRDefault="004C46E3" w:rsidP="00A67E34">
      <w:pPr>
        <w:pBdr>
          <w:top w:val="nil"/>
          <w:left w:val="nil"/>
          <w:bottom w:val="nil"/>
          <w:right w:val="nil"/>
          <w:between w:val="nil"/>
          <w:bar w:val="nil"/>
        </w:pBdr>
        <w:rPr>
          <w:bdr w:val="nil"/>
        </w:rPr>
        <w:sectPr w:rsidR="004C46E3" w:rsidSect="00281F97">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151" w:right="1440" w:bottom="1729" w:left="1440" w:header="720" w:footer="720" w:gutter="0"/>
          <w:pgBorders>
            <w:top w:val="nil"/>
            <w:left w:val="nil"/>
            <w:bottom w:val="nil"/>
            <w:right w:val="nil"/>
          </w:pgBorders>
          <w:pgNumType w:start="1"/>
          <w:cols w:space="720"/>
        </w:sectPr>
      </w:pPr>
    </w:p>
    <w:p w:rsidR="00A67E34" w:rsidRPr="00AB5AA0" w:rsidRDefault="00A67E34" w:rsidP="00A67E34">
      <w:pPr>
        <w:pStyle w:val="Heading10"/>
        <w:pageBreakBefore/>
      </w:pPr>
      <w:bookmarkStart w:id="174" w:name="_Toc514832573"/>
      <w:r w:rsidRPr="00AB5AA0">
        <w:lastRenderedPageBreak/>
        <w:t>ACT LOCAL HOSPITAL NETWORK</w:t>
      </w:r>
      <w:bookmarkEnd w:id="174"/>
    </w:p>
    <w:p w:rsidR="00A67E34" w:rsidRDefault="00A67E34" w:rsidP="00A67E34">
      <w:pPr>
        <w:pStyle w:val="Heading2"/>
      </w:pPr>
      <w:bookmarkStart w:id="175" w:name="_Toc514832574"/>
      <w:r>
        <w:t>Purpose</w:t>
      </w:r>
      <w:bookmarkEnd w:id="175"/>
    </w:p>
    <w:p w:rsidR="00A67E34" w:rsidRDefault="00A67E34" w:rsidP="00A67E34">
      <w:pPr>
        <w:pStyle w:val="Normal00"/>
      </w:pPr>
      <w:r>
        <w:t xml:space="preserve">The ACT Local Hospital Network was established under the </w:t>
      </w:r>
      <w:r>
        <w:rPr>
          <w:i/>
        </w:rPr>
        <w:t>Health Act 1953</w:t>
      </w:r>
      <w:r>
        <w:t>, and is administered by the Director-General of the Health Directorate and supported by staff from the Health Directorate.</w:t>
      </w:r>
    </w:p>
    <w:p w:rsidR="00A67E34" w:rsidRDefault="00A67E34" w:rsidP="00A67E34">
      <w:pPr>
        <w:pStyle w:val="Normal00"/>
      </w:pPr>
      <w:r>
        <w:t>The ACT Local Hospital Network receives Activity Based Funding (ABF) from both the Commonwealth and the ACT Governments, and block funding for teaching, training and research.  It purchases public hospital services from f</w:t>
      </w:r>
      <w:r w:rsidR="00450FB3">
        <w:t>ive</w:t>
      </w:r>
      <w:r>
        <w:t xml:space="preserve"> ACT public hospital providers:</w:t>
      </w:r>
    </w:p>
    <w:p w:rsidR="00A67E34" w:rsidRDefault="00A67E34" w:rsidP="000915B5">
      <w:pPr>
        <w:pStyle w:val="BSbullet1"/>
      </w:pPr>
      <w:r>
        <w:t>Canberra Hospital;</w:t>
      </w:r>
    </w:p>
    <w:p w:rsidR="00A67E34" w:rsidRDefault="00A67E34" w:rsidP="000915B5">
      <w:pPr>
        <w:pStyle w:val="BSbullet1"/>
      </w:pPr>
      <w:r>
        <w:t>University of Canberra Hospital;</w:t>
      </w:r>
    </w:p>
    <w:p w:rsidR="00A67E34" w:rsidRDefault="00A67E34" w:rsidP="000915B5">
      <w:pPr>
        <w:pStyle w:val="BSbullet1"/>
      </w:pPr>
      <w:r>
        <w:t>Calvary Public Hospital;</w:t>
      </w:r>
    </w:p>
    <w:p w:rsidR="00A67E34" w:rsidRDefault="00A67E34" w:rsidP="000915B5">
      <w:pPr>
        <w:pStyle w:val="BSbullet1"/>
      </w:pPr>
      <w:r>
        <w:t>Clare Holland House; and</w:t>
      </w:r>
    </w:p>
    <w:p w:rsidR="00A67E34" w:rsidRDefault="00A67E34" w:rsidP="000915B5">
      <w:pPr>
        <w:pStyle w:val="BSbullet1"/>
      </w:pPr>
      <w:r>
        <w:t>Queen Elizabeth II Family Centre.</w:t>
      </w:r>
    </w:p>
    <w:p w:rsidR="00A67E34" w:rsidRDefault="00A67E34" w:rsidP="00A67E34">
      <w:pPr>
        <w:pStyle w:val="Normal01"/>
        <w:rPr>
          <w:vanish/>
        </w:rPr>
      </w:pPr>
      <w:r>
        <w:t xml:space="preserve"> </w:t>
      </w:r>
    </w:p>
    <w:p w:rsidR="00A67E34" w:rsidRDefault="00A67E34" w:rsidP="00A67E34">
      <w:pPr>
        <w:pStyle w:val="Heading20"/>
        <w:spacing w:before="120"/>
      </w:pPr>
      <w:bookmarkStart w:id="176" w:name="_Toc514832575"/>
      <w:r>
        <w:t>2018-19 Priorities</w:t>
      </w:r>
      <w:bookmarkEnd w:id="176"/>
    </w:p>
    <w:p w:rsidR="00A67E34" w:rsidRDefault="00A67E34" w:rsidP="00A67E34">
      <w:pPr>
        <w:pStyle w:val="Normal010"/>
      </w:pPr>
      <w:r>
        <w:t>Operational initiatives to be pursued in 2018-19 include:</w:t>
      </w:r>
    </w:p>
    <w:p w:rsidR="00A67E34" w:rsidRDefault="00A67E34" w:rsidP="00A67E34">
      <w:pPr>
        <w:pStyle w:val="BSbullet1"/>
      </w:pPr>
      <w:r>
        <w:t xml:space="preserve">receiving and distributing funding for public hospital services under the </w:t>
      </w:r>
      <w:r>
        <w:rPr>
          <w:i/>
        </w:rPr>
        <w:t xml:space="preserve">National Health Reform Agreement </w:t>
      </w:r>
      <w:r>
        <w:t>(NHRA); and</w:t>
      </w:r>
    </w:p>
    <w:p w:rsidR="00A67E34" w:rsidRDefault="00A67E34" w:rsidP="00A67E34">
      <w:pPr>
        <w:pStyle w:val="BSbullet1"/>
      </w:pPr>
      <w:r>
        <w:t>purchasing public hospital services from five ACT public hospital providers.</w:t>
      </w:r>
    </w:p>
    <w:p w:rsidR="00A67E34" w:rsidRDefault="00A67E34" w:rsidP="00A67E34">
      <w:pPr>
        <w:pStyle w:val="Normal1"/>
      </w:pPr>
      <w:r>
        <w:t xml:space="preserve"> </w:t>
      </w:r>
    </w:p>
    <w:p w:rsidR="00A67E34" w:rsidRDefault="00A67E34" w:rsidP="00A67E34">
      <w:pPr>
        <w:pStyle w:val="Heading2"/>
        <w:pBdr>
          <w:top w:val="nil"/>
          <w:left w:val="nil"/>
          <w:bottom w:val="nil"/>
          <w:right w:val="nil"/>
          <w:between w:val="nil"/>
          <w:bar w:val="nil"/>
        </w:pBdr>
        <w:rPr>
          <w:bdr w:val="nil"/>
        </w:rPr>
      </w:pPr>
      <w:bookmarkStart w:id="177" w:name="_Toc514832576"/>
      <w:r>
        <w:rPr>
          <w:bdr w:val="nil"/>
        </w:rPr>
        <w:t>Estimated Employment Level</w:t>
      </w:r>
      <w:bookmarkEnd w:id="177"/>
    </w:p>
    <w:p w:rsidR="00A67E34" w:rsidRDefault="00A67E34" w:rsidP="00A67E34">
      <w:pPr>
        <w:pStyle w:val="BodyText"/>
        <w:pBdr>
          <w:top w:val="nil"/>
          <w:left w:val="nil"/>
          <w:bottom w:val="nil"/>
          <w:right w:val="nil"/>
          <w:between w:val="nil"/>
          <w:bar w:val="nil"/>
        </w:pBdr>
        <w:rPr>
          <w:bdr w:val="nil"/>
        </w:rPr>
      </w:pPr>
      <w:r>
        <w:rPr>
          <w:bdr w:val="nil"/>
        </w:rPr>
        <w:t>The ACT Local Hospital Network does not employ any staff. All staff providing administrative support for the ACT Local Hospital Network are employed by the Health Directorate.</w:t>
      </w:r>
      <w:bookmarkStart w:id="178" w:name="RANGE!A1:F145"/>
      <w:bookmarkStart w:id="179" w:name="803029294"/>
      <w:bookmarkEnd w:id="178"/>
      <w:bookmarkEnd w:id="179"/>
    </w:p>
    <w:p w:rsidR="00A67E34" w:rsidRPr="00974444" w:rsidRDefault="00A67E34" w:rsidP="00A67E34">
      <w:pPr>
        <w:pBdr>
          <w:top w:val="nil"/>
          <w:left w:val="nil"/>
          <w:bottom w:val="nil"/>
          <w:right w:val="nil"/>
          <w:between w:val="nil"/>
          <w:bar w:val="nil"/>
        </w:pBdr>
        <w:rPr>
          <w:bdr w:val="nil"/>
        </w:rPr>
      </w:pPr>
      <w:r>
        <w:t xml:space="preserve"> </w:t>
      </w:r>
    </w:p>
    <w:p w:rsidR="00A67E34" w:rsidRDefault="00D23CE9" w:rsidP="00A67E34">
      <w:pPr>
        <w:pStyle w:val="Heading21"/>
        <w:pageBreakBefore/>
      </w:pPr>
      <w:bookmarkStart w:id="180" w:name="_Toc514832577"/>
      <w:bookmarkStart w:id="181" w:name="_Toc484069700"/>
      <w:bookmarkStart w:id="182" w:name="_Toc483919453"/>
      <w:bookmarkStart w:id="183" w:name="_Toc483560958"/>
      <w:bookmarkStart w:id="184" w:name="_Toc483492176"/>
      <w:r>
        <w:lastRenderedPageBreak/>
        <w:t>Strategic Objectives and I</w:t>
      </w:r>
      <w:r w:rsidR="00A67E34">
        <w:t>ndicators</w:t>
      </w:r>
      <w:bookmarkEnd w:id="180"/>
      <w:r w:rsidR="00A67E34">
        <w:t xml:space="preserve"> </w:t>
      </w:r>
    </w:p>
    <w:p w:rsidR="00A67E34" w:rsidRDefault="00A67E34" w:rsidP="00A67E34">
      <w:pPr>
        <w:pStyle w:val="Heading3"/>
      </w:pPr>
      <w:bookmarkStart w:id="185" w:name="_Toc514764145"/>
      <w:bookmarkStart w:id="186" w:name="_Toc514765771"/>
      <w:bookmarkStart w:id="187" w:name="_Toc514832395"/>
      <w:bookmarkStart w:id="188" w:name="_Toc514832578"/>
      <w:r>
        <w:t xml:space="preserve">Strategic </w:t>
      </w:r>
      <w:r w:rsidR="00526CBB">
        <w:t>O</w:t>
      </w:r>
      <w:r>
        <w:t>bjective 1</w:t>
      </w:r>
      <w:bookmarkEnd w:id="181"/>
      <w:bookmarkEnd w:id="182"/>
      <w:bookmarkEnd w:id="183"/>
      <w:bookmarkEnd w:id="184"/>
      <w:bookmarkEnd w:id="185"/>
      <w:bookmarkEnd w:id="186"/>
      <w:bookmarkEnd w:id="187"/>
      <w:bookmarkEnd w:id="188"/>
      <w:r>
        <w:t xml:space="preserve"> </w:t>
      </w:r>
    </w:p>
    <w:p w:rsidR="00A67E34" w:rsidRDefault="00A67E34" w:rsidP="00A67E34">
      <w:pPr>
        <w:pStyle w:val="Heading4"/>
      </w:pPr>
      <w:r>
        <w:t xml:space="preserve">Percentage of </w:t>
      </w:r>
      <w:r w:rsidR="00526CBB">
        <w:t>E</w:t>
      </w:r>
      <w:r>
        <w:t xml:space="preserve">lective </w:t>
      </w:r>
      <w:r w:rsidR="00526CBB">
        <w:t>S</w:t>
      </w:r>
      <w:r>
        <w:t xml:space="preserve">urgery </w:t>
      </w:r>
      <w:r w:rsidR="00526CBB">
        <w:t>C</w:t>
      </w:r>
      <w:r>
        <w:t xml:space="preserve">ases </w:t>
      </w:r>
      <w:r w:rsidR="00526CBB">
        <w:t>A</w:t>
      </w:r>
      <w:r w:rsidR="00483A0D">
        <w:t>dmitted on Time by Clinical U</w:t>
      </w:r>
      <w:r>
        <w:t>rgency</w:t>
      </w:r>
    </w:p>
    <w:p w:rsidR="00A67E34" w:rsidRDefault="00483A0D" w:rsidP="00A67E34">
      <w:pPr>
        <w:pStyle w:val="Normal02"/>
        <w:rPr>
          <w:b/>
        </w:rPr>
      </w:pPr>
      <w:r>
        <w:rPr>
          <w:b/>
        </w:rPr>
        <w:t>Strategic I</w:t>
      </w:r>
      <w:r w:rsidR="00A67E34">
        <w:rPr>
          <w:b/>
        </w:rPr>
        <w:t xml:space="preserve">ndicator 1: </w:t>
      </w:r>
      <w:r w:rsidR="00A6692D">
        <w:t>Percentage of Elective Surgery Cases A</w:t>
      </w:r>
      <w:r w:rsidR="00A67E34">
        <w:t xml:space="preserve">dmitted on </w:t>
      </w:r>
      <w:r w:rsidR="00A6692D">
        <w:t>Time by Clinical U</w:t>
      </w:r>
      <w:r w:rsidR="00A67E34">
        <w:t>rgency</w:t>
      </w:r>
    </w:p>
    <w:p w:rsidR="00A67E34" w:rsidRDefault="00A67E34" w:rsidP="00A67E34">
      <w:pPr>
        <w:pStyle w:val="Caption"/>
        <w:rPr>
          <w:color w:val="auto"/>
        </w:rPr>
      </w:pPr>
      <w:r>
        <w:t xml:space="preserve">Table 1: </w:t>
      </w:r>
      <w:r>
        <w:rPr>
          <w:color w:val="auto"/>
        </w:rPr>
        <w:t>Percentage of elective surgery cases admitted on time by clinical urgency</w:t>
      </w:r>
    </w:p>
    <w:tbl>
      <w:tblPr>
        <w:tblW w:w="0" w:type="dxa"/>
        <w:tblInd w:w="108" w:type="dxa"/>
        <w:tblLayout w:type="fixed"/>
        <w:tblLook w:val="04A0" w:firstRow="1" w:lastRow="0" w:firstColumn="1" w:lastColumn="0" w:noHBand="0" w:noVBand="1"/>
      </w:tblPr>
      <w:tblGrid>
        <w:gridCol w:w="4848"/>
        <w:gridCol w:w="1424"/>
        <w:gridCol w:w="1424"/>
        <w:gridCol w:w="1424"/>
      </w:tblGrid>
      <w:tr w:rsidR="00A67E34" w:rsidTr="00483A0D">
        <w:trPr>
          <w:trHeight w:val="147"/>
        </w:trPr>
        <w:tc>
          <w:tcPr>
            <w:tcW w:w="4848" w:type="dxa"/>
            <w:vMerge w:val="restart"/>
            <w:tcBorders>
              <w:top w:val="single" w:sz="4" w:space="0" w:color="auto"/>
              <w:left w:val="nil"/>
              <w:bottom w:val="single" w:sz="4" w:space="0" w:color="auto"/>
              <w:right w:val="nil"/>
            </w:tcBorders>
            <w:vAlign w:val="center"/>
            <w:hideMark/>
          </w:tcPr>
          <w:p w:rsidR="00A67E34" w:rsidRDefault="00A67E34" w:rsidP="00FC362F">
            <w:pPr>
              <w:pStyle w:val="BStabletext"/>
            </w:pPr>
            <w:r>
              <w:t>Clinically recommended time by urgency category</w:t>
            </w:r>
          </w:p>
        </w:tc>
        <w:tc>
          <w:tcPr>
            <w:tcW w:w="1424" w:type="dxa"/>
            <w:tcBorders>
              <w:top w:val="single" w:sz="4" w:space="0" w:color="auto"/>
              <w:left w:val="nil"/>
              <w:bottom w:val="nil"/>
              <w:right w:val="nil"/>
            </w:tcBorders>
            <w:vAlign w:val="bottom"/>
            <w:hideMark/>
          </w:tcPr>
          <w:p w:rsidR="00A67E34" w:rsidRDefault="00A67E34" w:rsidP="00062176">
            <w:pPr>
              <w:pStyle w:val="BStableheading"/>
              <w:framePr w:wrap="around"/>
            </w:pPr>
            <w:r>
              <w:t>2017–18</w:t>
            </w:r>
            <w:r w:rsidR="00062176">
              <w:t xml:space="preserve"> </w:t>
            </w:r>
          </w:p>
        </w:tc>
        <w:tc>
          <w:tcPr>
            <w:tcW w:w="1424" w:type="dxa"/>
            <w:tcBorders>
              <w:top w:val="single" w:sz="4" w:space="0" w:color="auto"/>
              <w:left w:val="nil"/>
              <w:bottom w:val="nil"/>
              <w:right w:val="nil"/>
            </w:tcBorders>
            <w:vAlign w:val="bottom"/>
            <w:hideMark/>
          </w:tcPr>
          <w:p w:rsidR="00A67E34" w:rsidRDefault="00A67E34" w:rsidP="00FC362F">
            <w:pPr>
              <w:pStyle w:val="BStableheading"/>
              <w:framePr w:wrap="around"/>
            </w:pPr>
            <w:r>
              <w:t>2017–18</w:t>
            </w:r>
          </w:p>
        </w:tc>
        <w:tc>
          <w:tcPr>
            <w:tcW w:w="1424" w:type="dxa"/>
            <w:tcBorders>
              <w:top w:val="single" w:sz="4" w:space="0" w:color="auto"/>
              <w:left w:val="nil"/>
              <w:bottom w:val="nil"/>
              <w:right w:val="nil"/>
            </w:tcBorders>
            <w:vAlign w:val="bottom"/>
            <w:hideMark/>
          </w:tcPr>
          <w:p w:rsidR="00A67E34" w:rsidRDefault="00A67E34" w:rsidP="00FC362F">
            <w:pPr>
              <w:pStyle w:val="BStableheading"/>
              <w:framePr w:wrap="around"/>
            </w:pPr>
            <w:r>
              <w:t>2018–19</w:t>
            </w:r>
          </w:p>
        </w:tc>
      </w:tr>
      <w:tr w:rsidR="00A67E34" w:rsidTr="00062176">
        <w:trPr>
          <w:trHeight w:val="263"/>
        </w:trPr>
        <w:tc>
          <w:tcPr>
            <w:tcW w:w="4848" w:type="dxa"/>
            <w:vMerge/>
            <w:tcBorders>
              <w:top w:val="single" w:sz="4" w:space="0" w:color="auto"/>
              <w:left w:val="nil"/>
              <w:bottom w:val="single" w:sz="4" w:space="0" w:color="auto"/>
              <w:right w:val="nil"/>
            </w:tcBorders>
            <w:vAlign w:val="center"/>
            <w:hideMark/>
          </w:tcPr>
          <w:p w:rsidR="00A67E34" w:rsidRDefault="00A67E34" w:rsidP="00FC362F">
            <w:pPr>
              <w:pStyle w:val="Normal2"/>
              <w:spacing w:before="0" w:after="0"/>
              <w:rPr>
                <w:b/>
                <w:bCs/>
                <w:sz w:val="20"/>
                <w:lang w:eastAsia="en-AU"/>
              </w:rPr>
            </w:pPr>
          </w:p>
        </w:tc>
        <w:tc>
          <w:tcPr>
            <w:tcW w:w="1424" w:type="dxa"/>
            <w:tcBorders>
              <w:top w:val="nil"/>
              <w:left w:val="nil"/>
              <w:bottom w:val="single" w:sz="4" w:space="0" w:color="auto"/>
              <w:right w:val="nil"/>
            </w:tcBorders>
            <w:hideMark/>
          </w:tcPr>
          <w:p w:rsidR="00A67E34" w:rsidRDefault="00062176" w:rsidP="00FC362F">
            <w:pPr>
              <w:pStyle w:val="BStableheading"/>
              <w:framePr w:wrap="around"/>
            </w:pPr>
            <w:r>
              <w:t>Target</w:t>
            </w:r>
          </w:p>
        </w:tc>
        <w:tc>
          <w:tcPr>
            <w:tcW w:w="1424" w:type="dxa"/>
            <w:tcBorders>
              <w:top w:val="nil"/>
              <w:left w:val="nil"/>
              <w:bottom w:val="single" w:sz="4" w:space="0" w:color="auto"/>
              <w:right w:val="nil"/>
            </w:tcBorders>
            <w:hideMark/>
          </w:tcPr>
          <w:p w:rsidR="009C1757" w:rsidRDefault="009C1757" w:rsidP="009C1757">
            <w:pPr>
              <w:pStyle w:val="BStableheading"/>
              <w:framePr w:wrap="around"/>
            </w:pPr>
            <w:r>
              <w:t>Estimated</w:t>
            </w:r>
          </w:p>
          <w:p w:rsidR="00A67E34" w:rsidRDefault="009C1757" w:rsidP="009C1757">
            <w:pPr>
              <w:pStyle w:val="BStableheading"/>
              <w:framePr w:wrap="around"/>
            </w:pPr>
            <w:r>
              <w:t>Out</w:t>
            </w:r>
            <w:r w:rsidR="00A67E34">
              <w:t>come</w:t>
            </w:r>
          </w:p>
        </w:tc>
        <w:tc>
          <w:tcPr>
            <w:tcW w:w="1424" w:type="dxa"/>
            <w:tcBorders>
              <w:top w:val="nil"/>
              <w:left w:val="nil"/>
              <w:bottom w:val="single" w:sz="4" w:space="0" w:color="auto"/>
              <w:right w:val="nil"/>
            </w:tcBorders>
            <w:hideMark/>
          </w:tcPr>
          <w:p w:rsidR="00A67E34" w:rsidRDefault="009C1757" w:rsidP="00FC362F">
            <w:pPr>
              <w:pStyle w:val="BStableheading"/>
              <w:framePr w:wrap="around"/>
            </w:pPr>
            <w:r>
              <w:t>T</w:t>
            </w:r>
            <w:r w:rsidR="00A67E34">
              <w:t>arget</w:t>
            </w:r>
            <w:r w:rsidR="00A67E34">
              <w:rPr>
                <w:vertAlign w:val="superscript"/>
              </w:rPr>
              <w:t>1</w:t>
            </w:r>
          </w:p>
        </w:tc>
      </w:tr>
      <w:tr w:rsidR="00A67E34" w:rsidTr="00526CBB">
        <w:trPr>
          <w:trHeight w:val="233"/>
        </w:trPr>
        <w:tc>
          <w:tcPr>
            <w:tcW w:w="4848" w:type="dxa"/>
            <w:hideMark/>
          </w:tcPr>
          <w:p w:rsidR="00A67E34" w:rsidRDefault="00A67E34" w:rsidP="00FC362F">
            <w:pPr>
              <w:pStyle w:val="BStabletextbold"/>
              <w:rPr>
                <w:b w:val="0"/>
              </w:rPr>
            </w:pPr>
            <w:r>
              <w:rPr>
                <w:b w:val="0"/>
              </w:rPr>
              <w:t>Urgent—admission within 30 days is desirable for a condition that has the potential to deteriorate quickly to the point that it may become an emergency</w:t>
            </w:r>
          </w:p>
        </w:tc>
        <w:tc>
          <w:tcPr>
            <w:tcW w:w="1424" w:type="dxa"/>
            <w:hideMark/>
          </w:tcPr>
          <w:p w:rsidR="00A67E34" w:rsidRPr="00FA5CEF" w:rsidRDefault="00A67E34" w:rsidP="00FC362F">
            <w:pPr>
              <w:pStyle w:val="BStablefigures"/>
            </w:pPr>
            <w:r w:rsidRPr="00FA5CEF">
              <w:t>100%</w:t>
            </w:r>
          </w:p>
        </w:tc>
        <w:tc>
          <w:tcPr>
            <w:tcW w:w="1424" w:type="dxa"/>
            <w:hideMark/>
          </w:tcPr>
          <w:p w:rsidR="00A67E34" w:rsidRPr="00FA5CEF" w:rsidRDefault="00A67E34" w:rsidP="00FC362F">
            <w:pPr>
              <w:pStyle w:val="BStablefigures"/>
            </w:pPr>
            <w:r w:rsidRPr="00FA5CEF">
              <w:t>92%</w:t>
            </w:r>
          </w:p>
        </w:tc>
        <w:tc>
          <w:tcPr>
            <w:tcW w:w="1424" w:type="dxa"/>
            <w:hideMark/>
          </w:tcPr>
          <w:p w:rsidR="00A67E34" w:rsidRPr="00FA5CEF" w:rsidRDefault="00A67E34" w:rsidP="00FC362F">
            <w:pPr>
              <w:pStyle w:val="BStablefigures"/>
            </w:pPr>
            <w:r w:rsidRPr="00FA5CEF">
              <w:t>100%</w:t>
            </w:r>
          </w:p>
        </w:tc>
      </w:tr>
      <w:tr w:rsidR="00A67E34" w:rsidTr="00526CBB">
        <w:trPr>
          <w:trHeight w:val="233"/>
        </w:trPr>
        <w:tc>
          <w:tcPr>
            <w:tcW w:w="4848" w:type="dxa"/>
            <w:hideMark/>
          </w:tcPr>
          <w:p w:rsidR="00A67E34" w:rsidRDefault="00A67E34" w:rsidP="00FC362F">
            <w:pPr>
              <w:pStyle w:val="BStabletextbold"/>
              <w:rPr>
                <w:b w:val="0"/>
              </w:rPr>
            </w:pPr>
            <w:r>
              <w:rPr>
                <w:b w:val="0"/>
              </w:rPr>
              <w:t>Semi urgent—admission within 90 days is desirable for a condition causing some pain, dysfunction or disability which is not likely to deteriorate quickly or become an emergency</w:t>
            </w:r>
          </w:p>
        </w:tc>
        <w:tc>
          <w:tcPr>
            <w:tcW w:w="1424" w:type="dxa"/>
            <w:hideMark/>
          </w:tcPr>
          <w:p w:rsidR="00A67E34" w:rsidRPr="00FA5CEF" w:rsidRDefault="00A67E34" w:rsidP="00FC362F">
            <w:pPr>
              <w:pStyle w:val="BStablefigures"/>
            </w:pPr>
            <w:r w:rsidRPr="00FA5CEF">
              <w:t>78%</w:t>
            </w:r>
          </w:p>
        </w:tc>
        <w:tc>
          <w:tcPr>
            <w:tcW w:w="1424" w:type="dxa"/>
            <w:hideMark/>
          </w:tcPr>
          <w:p w:rsidR="00A67E34" w:rsidRPr="00FA5CEF" w:rsidRDefault="00A67E34" w:rsidP="00FC362F">
            <w:pPr>
              <w:pStyle w:val="BStablefigures"/>
            </w:pPr>
            <w:r w:rsidRPr="00FA5CEF">
              <w:t>69%</w:t>
            </w:r>
          </w:p>
        </w:tc>
        <w:tc>
          <w:tcPr>
            <w:tcW w:w="1424" w:type="dxa"/>
            <w:hideMark/>
          </w:tcPr>
          <w:p w:rsidR="00A67E34" w:rsidRPr="00FA5CEF" w:rsidRDefault="00A67E34" w:rsidP="00FC362F">
            <w:pPr>
              <w:pStyle w:val="BStablefigures"/>
            </w:pPr>
            <w:r w:rsidRPr="00FA5CEF">
              <w:t>78%</w:t>
            </w:r>
          </w:p>
        </w:tc>
      </w:tr>
      <w:tr w:rsidR="00A67E34" w:rsidTr="00526CBB">
        <w:trPr>
          <w:trHeight w:val="233"/>
        </w:trPr>
        <w:tc>
          <w:tcPr>
            <w:tcW w:w="4848" w:type="dxa"/>
            <w:tcBorders>
              <w:top w:val="nil"/>
              <w:left w:val="nil"/>
              <w:bottom w:val="single" w:sz="4" w:space="0" w:color="auto"/>
              <w:right w:val="nil"/>
            </w:tcBorders>
            <w:hideMark/>
          </w:tcPr>
          <w:p w:rsidR="00A67E34" w:rsidRDefault="00A67E34" w:rsidP="00FC362F">
            <w:pPr>
              <w:pStyle w:val="BStabletextbold"/>
              <w:rPr>
                <w:b w:val="0"/>
              </w:rPr>
            </w:pPr>
            <w:r>
              <w:rPr>
                <w:b w:val="0"/>
              </w:rPr>
              <w:t>Non urgent—admission at some time in the future acceptable for a condition causing minimal or no pain, dysfunction or disability, which is not likely to deteriorate quickly and which does not have the potential to become an emergency</w:t>
            </w:r>
          </w:p>
        </w:tc>
        <w:tc>
          <w:tcPr>
            <w:tcW w:w="1424" w:type="dxa"/>
            <w:tcBorders>
              <w:top w:val="nil"/>
              <w:left w:val="nil"/>
              <w:bottom w:val="single" w:sz="4" w:space="0" w:color="auto"/>
              <w:right w:val="nil"/>
            </w:tcBorders>
            <w:hideMark/>
          </w:tcPr>
          <w:p w:rsidR="00A67E34" w:rsidRPr="00FA5CEF" w:rsidRDefault="00A67E34" w:rsidP="00FC362F">
            <w:pPr>
              <w:pStyle w:val="BStablefigures"/>
            </w:pPr>
            <w:r w:rsidRPr="00FA5CEF">
              <w:t>91%</w:t>
            </w:r>
          </w:p>
        </w:tc>
        <w:tc>
          <w:tcPr>
            <w:tcW w:w="1424" w:type="dxa"/>
            <w:tcBorders>
              <w:top w:val="nil"/>
              <w:left w:val="nil"/>
              <w:bottom w:val="single" w:sz="4" w:space="0" w:color="auto"/>
              <w:right w:val="nil"/>
            </w:tcBorders>
            <w:hideMark/>
          </w:tcPr>
          <w:p w:rsidR="00A67E34" w:rsidRPr="00FA5CEF" w:rsidRDefault="00A67E34" w:rsidP="00FC362F">
            <w:pPr>
              <w:pStyle w:val="BStablefigures"/>
            </w:pPr>
            <w:r w:rsidRPr="00FA5CEF">
              <w:t>75%</w:t>
            </w:r>
          </w:p>
        </w:tc>
        <w:tc>
          <w:tcPr>
            <w:tcW w:w="1424" w:type="dxa"/>
            <w:tcBorders>
              <w:top w:val="nil"/>
              <w:left w:val="nil"/>
              <w:bottom w:val="single" w:sz="4" w:space="0" w:color="auto"/>
              <w:right w:val="nil"/>
            </w:tcBorders>
            <w:hideMark/>
          </w:tcPr>
          <w:p w:rsidR="00A67E34" w:rsidRPr="00FA5CEF" w:rsidRDefault="00A67E34" w:rsidP="00FC362F">
            <w:pPr>
              <w:pStyle w:val="BStablefigures"/>
            </w:pPr>
            <w:r w:rsidRPr="00FA5CEF">
              <w:t>91%</w:t>
            </w:r>
          </w:p>
        </w:tc>
      </w:tr>
    </w:tbl>
    <w:p w:rsidR="00A67E34" w:rsidRDefault="00A67E34" w:rsidP="00A67E34">
      <w:pPr>
        <w:pStyle w:val="BSnote0"/>
        <w:ind w:firstLine="142"/>
        <w:rPr>
          <w:sz w:val="16"/>
        </w:rPr>
      </w:pPr>
      <w:bookmarkStart w:id="189" w:name="_Toc483919454"/>
      <w:bookmarkStart w:id="190" w:name="_Toc483560959"/>
      <w:bookmarkStart w:id="191" w:name="_Toc483492177"/>
      <w:r>
        <w:rPr>
          <w:sz w:val="16"/>
        </w:rPr>
        <w:t>Note:</w:t>
      </w:r>
    </w:p>
    <w:p w:rsidR="00A67E34" w:rsidRDefault="00A67E34" w:rsidP="00CA0839">
      <w:pPr>
        <w:pStyle w:val="BSnoteslist1"/>
        <w:numPr>
          <w:ilvl w:val="0"/>
          <w:numId w:val="48"/>
        </w:numPr>
        <w:rPr>
          <w:sz w:val="16"/>
          <w:szCs w:val="16"/>
        </w:rPr>
      </w:pPr>
      <w:r>
        <w:rPr>
          <w:sz w:val="16"/>
          <w:szCs w:val="16"/>
        </w:rPr>
        <w:t>In the 2014–15 Federal Budget, the Commonwealth discontinued the National Partnership Agreement for which elective surgery performance targets were agreed.  The ACT continues to monitor and report on these performance measures both publicly and internally.</w:t>
      </w:r>
    </w:p>
    <w:p w:rsidR="00A67E34" w:rsidRDefault="00A67E34" w:rsidP="00A67E34">
      <w:pPr>
        <w:pStyle w:val="Heading3"/>
      </w:pPr>
      <w:bookmarkStart w:id="192" w:name="_Toc484069701"/>
      <w:bookmarkStart w:id="193" w:name="_Toc514764146"/>
      <w:bookmarkStart w:id="194" w:name="_Toc514765772"/>
      <w:bookmarkStart w:id="195" w:name="_Toc514832396"/>
      <w:bookmarkStart w:id="196" w:name="_Toc514832579"/>
      <w:r>
        <w:t xml:space="preserve">Strategic </w:t>
      </w:r>
      <w:r w:rsidR="00731184">
        <w:t>O</w:t>
      </w:r>
      <w:r>
        <w:t>bjective 2</w:t>
      </w:r>
      <w:bookmarkEnd w:id="189"/>
      <w:bookmarkEnd w:id="190"/>
      <w:bookmarkEnd w:id="191"/>
      <w:bookmarkEnd w:id="192"/>
      <w:bookmarkEnd w:id="193"/>
      <w:bookmarkEnd w:id="194"/>
      <w:bookmarkEnd w:id="195"/>
      <w:bookmarkEnd w:id="196"/>
      <w:r>
        <w:t xml:space="preserve"> </w:t>
      </w:r>
    </w:p>
    <w:p w:rsidR="00A67E34" w:rsidRDefault="00A67E34" w:rsidP="00A67E34">
      <w:pPr>
        <w:pStyle w:val="Heading4"/>
      </w:pPr>
      <w:r>
        <w:t xml:space="preserve">Improved </w:t>
      </w:r>
      <w:r w:rsidR="00731184">
        <w:t>E</w:t>
      </w:r>
      <w:r>
        <w:t xml:space="preserve">mergency </w:t>
      </w:r>
      <w:r w:rsidR="00731184">
        <w:t>D</w:t>
      </w:r>
      <w:r>
        <w:t xml:space="preserve">epartment </w:t>
      </w:r>
      <w:r w:rsidR="00731184">
        <w:t>T</w:t>
      </w:r>
      <w:r>
        <w:t>imeliness</w:t>
      </w:r>
    </w:p>
    <w:p w:rsidR="00A67E34" w:rsidRDefault="00731184" w:rsidP="00A67E34">
      <w:pPr>
        <w:pStyle w:val="SILabel"/>
        <w:rPr>
          <w:rFonts w:ascii="Calibri" w:hAnsi="Calibri"/>
          <w:b w:val="0"/>
          <w:sz w:val="24"/>
          <w:szCs w:val="24"/>
        </w:rPr>
      </w:pPr>
      <w:bookmarkStart w:id="197" w:name="_Toc484069702"/>
      <w:bookmarkStart w:id="198" w:name="_Toc483919455"/>
      <w:bookmarkStart w:id="199" w:name="_Toc483560960"/>
      <w:bookmarkStart w:id="200" w:name="_Toc483492178"/>
      <w:bookmarkStart w:id="201" w:name="_Toc514764147"/>
      <w:bookmarkStart w:id="202" w:name="_Toc514765773"/>
      <w:bookmarkStart w:id="203" w:name="_Toc514832397"/>
      <w:bookmarkStart w:id="204" w:name="_Toc514832580"/>
      <w:r>
        <w:rPr>
          <w:rFonts w:ascii="Calibri" w:hAnsi="Calibri"/>
          <w:sz w:val="24"/>
          <w:szCs w:val="24"/>
        </w:rPr>
        <w:t>Strategic I</w:t>
      </w:r>
      <w:r w:rsidR="00A67E34">
        <w:rPr>
          <w:rFonts w:ascii="Calibri" w:hAnsi="Calibri"/>
          <w:sz w:val="24"/>
          <w:szCs w:val="24"/>
        </w:rPr>
        <w:t xml:space="preserve">ndicator 2.1:  </w:t>
      </w:r>
      <w:r w:rsidR="00A67E34">
        <w:rPr>
          <w:rFonts w:ascii="Calibri" w:hAnsi="Calibri"/>
          <w:b w:val="0"/>
          <w:sz w:val="24"/>
          <w:szCs w:val="24"/>
        </w:rPr>
        <w:t xml:space="preserve">The </w:t>
      </w:r>
      <w:r w:rsidR="00A6692D">
        <w:rPr>
          <w:rFonts w:ascii="Calibri" w:hAnsi="Calibri"/>
          <w:b w:val="0"/>
          <w:sz w:val="24"/>
          <w:szCs w:val="24"/>
        </w:rPr>
        <w:t>P</w:t>
      </w:r>
      <w:r w:rsidR="00A67E34">
        <w:rPr>
          <w:rFonts w:ascii="Calibri" w:hAnsi="Calibri"/>
          <w:b w:val="0"/>
          <w:sz w:val="24"/>
          <w:szCs w:val="24"/>
        </w:rPr>
        <w:t xml:space="preserve">roportion of </w:t>
      </w:r>
      <w:r w:rsidR="00A6692D">
        <w:rPr>
          <w:rFonts w:ascii="Calibri" w:hAnsi="Calibri"/>
          <w:b w:val="0"/>
          <w:sz w:val="24"/>
          <w:szCs w:val="24"/>
        </w:rPr>
        <w:t>Emergency D</w:t>
      </w:r>
      <w:r w:rsidR="00A67E34">
        <w:rPr>
          <w:rFonts w:ascii="Calibri" w:hAnsi="Calibri"/>
          <w:b w:val="0"/>
          <w:sz w:val="24"/>
          <w:szCs w:val="24"/>
        </w:rPr>
        <w:t xml:space="preserve">epartment </w:t>
      </w:r>
      <w:r w:rsidR="00A6692D">
        <w:rPr>
          <w:rFonts w:ascii="Calibri" w:hAnsi="Calibri"/>
          <w:b w:val="0"/>
          <w:sz w:val="24"/>
          <w:szCs w:val="24"/>
        </w:rPr>
        <w:t>P</w:t>
      </w:r>
      <w:r w:rsidR="00A67E34">
        <w:rPr>
          <w:rFonts w:ascii="Calibri" w:hAnsi="Calibri"/>
          <w:b w:val="0"/>
          <w:sz w:val="24"/>
          <w:szCs w:val="24"/>
        </w:rPr>
        <w:t xml:space="preserve">resentations that are </w:t>
      </w:r>
      <w:r w:rsidR="00A6692D">
        <w:rPr>
          <w:rFonts w:ascii="Calibri" w:hAnsi="Calibri"/>
          <w:b w:val="0"/>
          <w:sz w:val="24"/>
          <w:szCs w:val="24"/>
        </w:rPr>
        <w:t>T</w:t>
      </w:r>
      <w:r w:rsidR="00A67E34">
        <w:rPr>
          <w:rFonts w:ascii="Calibri" w:hAnsi="Calibri"/>
          <w:b w:val="0"/>
          <w:sz w:val="24"/>
          <w:szCs w:val="24"/>
        </w:rPr>
        <w:t xml:space="preserve">reated within </w:t>
      </w:r>
      <w:r w:rsidR="00A6692D">
        <w:rPr>
          <w:rFonts w:ascii="Calibri" w:hAnsi="Calibri"/>
          <w:b w:val="0"/>
          <w:sz w:val="24"/>
          <w:szCs w:val="24"/>
        </w:rPr>
        <w:t>C</w:t>
      </w:r>
      <w:r w:rsidR="00A67E34">
        <w:rPr>
          <w:rFonts w:ascii="Calibri" w:hAnsi="Calibri"/>
          <w:b w:val="0"/>
          <w:sz w:val="24"/>
          <w:szCs w:val="24"/>
        </w:rPr>
        <w:t xml:space="preserve">linically </w:t>
      </w:r>
      <w:r w:rsidR="00A6692D">
        <w:rPr>
          <w:rFonts w:ascii="Calibri" w:hAnsi="Calibri"/>
          <w:b w:val="0"/>
          <w:sz w:val="24"/>
          <w:szCs w:val="24"/>
        </w:rPr>
        <w:t>Appropriate T</w:t>
      </w:r>
      <w:r w:rsidR="00A67E34">
        <w:rPr>
          <w:rFonts w:ascii="Calibri" w:hAnsi="Calibri"/>
          <w:b w:val="0"/>
          <w:sz w:val="24"/>
          <w:szCs w:val="24"/>
        </w:rPr>
        <w:t>imeframes</w:t>
      </w:r>
      <w:bookmarkEnd w:id="197"/>
      <w:bookmarkEnd w:id="198"/>
      <w:bookmarkEnd w:id="199"/>
      <w:bookmarkEnd w:id="200"/>
      <w:bookmarkEnd w:id="201"/>
      <w:bookmarkEnd w:id="202"/>
      <w:bookmarkEnd w:id="203"/>
      <w:bookmarkEnd w:id="204"/>
      <w:r w:rsidR="00A67E34">
        <w:rPr>
          <w:rFonts w:ascii="Calibri" w:hAnsi="Calibri"/>
          <w:b w:val="0"/>
          <w:sz w:val="24"/>
          <w:szCs w:val="24"/>
        </w:rPr>
        <w:t xml:space="preserve"> </w:t>
      </w:r>
    </w:p>
    <w:p w:rsidR="00A67E34" w:rsidRDefault="00A67E34" w:rsidP="00A67E34">
      <w:pPr>
        <w:pStyle w:val="Caption"/>
        <w:rPr>
          <w:color w:val="auto"/>
        </w:rPr>
      </w:pPr>
      <w:r>
        <w:t xml:space="preserve">Table 2: </w:t>
      </w:r>
      <w:r w:rsidR="00CB3EB7">
        <w:rPr>
          <w:color w:val="auto"/>
        </w:rPr>
        <w:t>The proportion of Emergency D</w:t>
      </w:r>
      <w:r>
        <w:rPr>
          <w:color w:val="auto"/>
        </w:rPr>
        <w:t>epartment presentations that are treated within clinically appropriate timeframes</w:t>
      </w:r>
    </w:p>
    <w:tbl>
      <w:tblPr>
        <w:tblW w:w="0" w:type="dxa"/>
        <w:tblInd w:w="108" w:type="dxa"/>
        <w:tblLayout w:type="fixed"/>
        <w:tblLook w:val="04A0" w:firstRow="1" w:lastRow="0" w:firstColumn="1" w:lastColumn="0" w:noHBand="0" w:noVBand="1"/>
      </w:tblPr>
      <w:tblGrid>
        <w:gridCol w:w="4848"/>
        <w:gridCol w:w="1424"/>
        <w:gridCol w:w="1424"/>
        <w:gridCol w:w="1424"/>
      </w:tblGrid>
      <w:tr w:rsidR="00A67E34" w:rsidTr="00FC362F">
        <w:trPr>
          <w:trHeight w:val="147"/>
        </w:trPr>
        <w:tc>
          <w:tcPr>
            <w:tcW w:w="4848" w:type="dxa"/>
            <w:vMerge w:val="restart"/>
            <w:tcBorders>
              <w:top w:val="single" w:sz="4" w:space="0" w:color="auto"/>
              <w:left w:val="nil"/>
              <w:bottom w:val="single" w:sz="4" w:space="0" w:color="auto"/>
              <w:right w:val="nil"/>
            </w:tcBorders>
            <w:vAlign w:val="center"/>
          </w:tcPr>
          <w:p w:rsidR="00A67E34" w:rsidRDefault="00A67E34" w:rsidP="00FC362F">
            <w:pPr>
              <w:pStyle w:val="BStabletext"/>
            </w:pPr>
          </w:p>
        </w:tc>
        <w:tc>
          <w:tcPr>
            <w:tcW w:w="1424" w:type="dxa"/>
            <w:tcBorders>
              <w:top w:val="single" w:sz="4" w:space="0" w:color="auto"/>
              <w:left w:val="nil"/>
              <w:bottom w:val="nil"/>
              <w:right w:val="nil"/>
            </w:tcBorders>
            <w:hideMark/>
          </w:tcPr>
          <w:p w:rsidR="00A67E34" w:rsidRDefault="00A67E34" w:rsidP="00FC362F">
            <w:pPr>
              <w:pStyle w:val="BStableheading"/>
              <w:framePr w:wrap="around"/>
            </w:pPr>
            <w:r>
              <w:t>2017–18</w:t>
            </w:r>
          </w:p>
        </w:tc>
        <w:tc>
          <w:tcPr>
            <w:tcW w:w="1424" w:type="dxa"/>
            <w:tcBorders>
              <w:top w:val="single" w:sz="4" w:space="0" w:color="auto"/>
              <w:left w:val="nil"/>
              <w:bottom w:val="nil"/>
              <w:right w:val="nil"/>
            </w:tcBorders>
            <w:hideMark/>
          </w:tcPr>
          <w:p w:rsidR="00A67E34" w:rsidRDefault="00A67E34" w:rsidP="00FC362F">
            <w:pPr>
              <w:pStyle w:val="BStableheading"/>
              <w:framePr w:wrap="around"/>
            </w:pPr>
            <w:r>
              <w:t>2017–18</w:t>
            </w:r>
          </w:p>
        </w:tc>
        <w:tc>
          <w:tcPr>
            <w:tcW w:w="1424" w:type="dxa"/>
            <w:tcBorders>
              <w:top w:val="single" w:sz="4" w:space="0" w:color="auto"/>
              <w:left w:val="nil"/>
              <w:bottom w:val="nil"/>
              <w:right w:val="nil"/>
            </w:tcBorders>
            <w:hideMark/>
          </w:tcPr>
          <w:p w:rsidR="00A67E34" w:rsidRDefault="00A67E34" w:rsidP="00FC362F">
            <w:pPr>
              <w:pStyle w:val="BStableheading"/>
              <w:framePr w:wrap="around"/>
            </w:pPr>
            <w:r>
              <w:t>2018–19</w:t>
            </w:r>
          </w:p>
        </w:tc>
      </w:tr>
      <w:tr w:rsidR="00A67E34" w:rsidTr="00FC362F">
        <w:trPr>
          <w:trHeight w:val="263"/>
        </w:trPr>
        <w:tc>
          <w:tcPr>
            <w:tcW w:w="4848" w:type="dxa"/>
            <w:vMerge/>
            <w:tcBorders>
              <w:top w:val="single" w:sz="4" w:space="0" w:color="auto"/>
              <w:left w:val="nil"/>
              <w:bottom w:val="single" w:sz="4" w:space="0" w:color="auto"/>
              <w:right w:val="nil"/>
            </w:tcBorders>
            <w:vAlign w:val="center"/>
            <w:hideMark/>
          </w:tcPr>
          <w:p w:rsidR="00A67E34" w:rsidRDefault="00A67E34" w:rsidP="00FC362F">
            <w:pPr>
              <w:pStyle w:val="Normal2"/>
              <w:spacing w:before="0" w:after="0"/>
              <w:rPr>
                <w:b/>
                <w:bCs/>
                <w:sz w:val="20"/>
                <w:lang w:eastAsia="en-AU"/>
              </w:rPr>
            </w:pPr>
          </w:p>
        </w:tc>
        <w:tc>
          <w:tcPr>
            <w:tcW w:w="1424" w:type="dxa"/>
            <w:tcBorders>
              <w:top w:val="nil"/>
              <w:left w:val="nil"/>
              <w:bottom w:val="single" w:sz="4" w:space="0" w:color="auto"/>
              <w:right w:val="nil"/>
            </w:tcBorders>
            <w:hideMark/>
          </w:tcPr>
          <w:p w:rsidR="00A67E34" w:rsidRDefault="009C1757" w:rsidP="00FC362F">
            <w:pPr>
              <w:pStyle w:val="BStableheading"/>
              <w:framePr w:wrap="around"/>
            </w:pPr>
            <w:r>
              <w:t>T</w:t>
            </w:r>
            <w:r w:rsidR="00A67E34">
              <w:t>arget</w:t>
            </w:r>
          </w:p>
        </w:tc>
        <w:tc>
          <w:tcPr>
            <w:tcW w:w="1424" w:type="dxa"/>
            <w:tcBorders>
              <w:top w:val="nil"/>
              <w:left w:val="nil"/>
              <w:bottom w:val="single" w:sz="4" w:space="0" w:color="auto"/>
              <w:right w:val="nil"/>
            </w:tcBorders>
            <w:hideMark/>
          </w:tcPr>
          <w:p w:rsidR="009C1757" w:rsidRDefault="009C1757" w:rsidP="009C1757">
            <w:pPr>
              <w:pStyle w:val="BStableheading"/>
              <w:framePr w:wrap="auto" w:vAnchor="margin" w:yAlign="inline"/>
            </w:pPr>
            <w:r>
              <w:t>Estimated</w:t>
            </w:r>
          </w:p>
          <w:p w:rsidR="00A67E34" w:rsidRDefault="009C1757" w:rsidP="009C1757">
            <w:pPr>
              <w:pStyle w:val="BStableheading"/>
              <w:framePr w:wrap="around"/>
            </w:pPr>
            <w:r>
              <w:t>Outcome</w:t>
            </w:r>
          </w:p>
        </w:tc>
        <w:tc>
          <w:tcPr>
            <w:tcW w:w="1424" w:type="dxa"/>
            <w:tcBorders>
              <w:top w:val="nil"/>
              <w:left w:val="nil"/>
              <w:bottom w:val="single" w:sz="4" w:space="0" w:color="auto"/>
              <w:right w:val="nil"/>
            </w:tcBorders>
            <w:hideMark/>
          </w:tcPr>
          <w:p w:rsidR="00A67E34" w:rsidRDefault="009C1757" w:rsidP="00FC362F">
            <w:pPr>
              <w:pStyle w:val="BStableheading"/>
              <w:framePr w:wrap="around"/>
            </w:pPr>
            <w:r>
              <w:t>T</w:t>
            </w:r>
            <w:r w:rsidR="00A67E34">
              <w:t>arget</w:t>
            </w:r>
          </w:p>
        </w:tc>
      </w:tr>
      <w:tr w:rsidR="00A67E34" w:rsidTr="00FC362F">
        <w:trPr>
          <w:trHeight w:val="233"/>
        </w:trPr>
        <w:tc>
          <w:tcPr>
            <w:tcW w:w="4848" w:type="dxa"/>
            <w:hideMark/>
          </w:tcPr>
          <w:p w:rsidR="00A67E34" w:rsidRDefault="00A67E34" w:rsidP="00FC362F">
            <w:pPr>
              <w:pStyle w:val="BStabletextbold"/>
              <w:rPr>
                <w:b w:val="0"/>
              </w:rPr>
            </w:pPr>
            <w:r>
              <w:rPr>
                <w:b w:val="0"/>
              </w:rPr>
              <w:t>One (resuscitation seen immediately)</w:t>
            </w:r>
          </w:p>
        </w:tc>
        <w:tc>
          <w:tcPr>
            <w:tcW w:w="1424" w:type="dxa"/>
            <w:hideMark/>
          </w:tcPr>
          <w:p w:rsidR="00A67E34" w:rsidRPr="00FA5CEF" w:rsidRDefault="00A67E34" w:rsidP="00FC362F">
            <w:pPr>
              <w:pStyle w:val="BStablefigures"/>
            </w:pPr>
            <w:r w:rsidRPr="00FA5CEF">
              <w:t>100%</w:t>
            </w:r>
          </w:p>
        </w:tc>
        <w:tc>
          <w:tcPr>
            <w:tcW w:w="1424" w:type="dxa"/>
            <w:hideMark/>
          </w:tcPr>
          <w:p w:rsidR="00A67E34" w:rsidRPr="00FA5CEF" w:rsidRDefault="00A67E34" w:rsidP="00FC362F">
            <w:pPr>
              <w:pStyle w:val="BStablefigures"/>
            </w:pPr>
            <w:r w:rsidRPr="00FA5CEF">
              <w:t>100%</w:t>
            </w:r>
          </w:p>
        </w:tc>
        <w:tc>
          <w:tcPr>
            <w:tcW w:w="1424" w:type="dxa"/>
            <w:hideMark/>
          </w:tcPr>
          <w:p w:rsidR="00A67E34" w:rsidRPr="00FA5CEF" w:rsidRDefault="00A67E34" w:rsidP="00FC362F">
            <w:pPr>
              <w:pStyle w:val="BStablefigures"/>
            </w:pPr>
            <w:r w:rsidRPr="00FA5CEF">
              <w:t>100%</w:t>
            </w:r>
          </w:p>
        </w:tc>
      </w:tr>
      <w:tr w:rsidR="00A67E34" w:rsidTr="00FC362F">
        <w:trPr>
          <w:trHeight w:val="233"/>
        </w:trPr>
        <w:tc>
          <w:tcPr>
            <w:tcW w:w="4848" w:type="dxa"/>
            <w:hideMark/>
          </w:tcPr>
          <w:p w:rsidR="00A67E34" w:rsidRDefault="00A67E34" w:rsidP="00FC362F">
            <w:pPr>
              <w:pStyle w:val="BStabletextbold"/>
              <w:rPr>
                <w:b w:val="0"/>
              </w:rPr>
            </w:pPr>
            <w:r>
              <w:rPr>
                <w:b w:val="0"/>
              </w:rPr>
              <w:t>Two (emergency seen within 10 mins)</w:t>
            </w:r>
          </w:p>
        </w:tc>
        <w:tc>
          <w:tcPr>
            <w:tcW w:w="1424" w:type="dxa"/>
            <w:hideMark/>
          </w:tcPr>
          <w:p w:rsidR="00A67E34" w:rsidRPr="00FA5CEF" w:rsidRDefault="00A67E34" w:rsidP="00FC362F">
            <w:pPr>
              <w:pStyle w:val="BStablefigures"/>
            </w:pPr>
            <w:r w:rsidRPr="00FA5CEF">
              <w:t>80%</w:t>
            </w:r>
          </w:p>
        </w:tc>
        <w:tc>
          <w:tcPr>
            <w:tcW w:w="1424" w:type="dxa"/>
            <w:hideMark/>
          </w:tcPr>
          <w:p w:rsidR="00A67E34" w:rsidRPr="00FA5CEF" w:rsidRDefault="00A67E34" w:rsidP="00FC362F">
            <w:pPr>
              <w:pStyle w:val="BStablefigures"/>
            </w:pPr>
            <w:r w:rsidRPr="00FA5CEF">
              <w:t>77%</w:t>
            </w:r>
          </w:p>
        </w:tc>
        <w:tc>
          <w:tcPr>
            <w:tcW w:w="1424" w:type="dxa"/>
            <w:hideMark/>
          </w:tcPr>
          <w:p w:rsidR="00A67E34" w:rsidRPr="00FA5CEF" w:rsidRDefault="00A67E34" w:rsidP="00FC362F">
            <w:pPr>
              <w:pStyle w:val="BStablefigures"/>
            </w:pPr>
            <w:r w:rsidRPr="00FA5CEF">
              <w:t>80%</w:t>
            </w:r>
          </w:p>
        </w:tc>
      </w:tr>
      <w:tr w:rsidR="00A67E34" w:rsidTr="00FC362F">
        <w:trPr>
          <w:trHeight w:val="233"/>
        </w:trPr>
        <w:tc>
          <w:tcPr>
            <w:tcW w:w="4848" w:type="dxa"/>
            <w:hideMark/>
          </w:tcPr>
          <w:p w:rsidR="00A67E34" w:rsidRDefault="00A67E34" w:rsidP="00FC362F">
            <w:pPr>
              <w:pStyle w:val="BStabletextbold"/>
              <w:rPr>
                <w:b w:val="0"/>
              </w:rPr>
            </w:pPr>
            <w:r>
              <w:rPr>
                <w:b w:val="0"/>
              </w:rPr>
              <w:t>Three (urgent seen within 30 mins)</w:t>
            </w:r>
          </w:p>
        </w:tc>
        <w:tc>
          <w:tcPr>
            <w:tcW w:w="1424" w:type="dxa"/>
            <w:hideMark/>
          </w:tcPr>
          <w:p w:rsidR="00A67E34" w:rsidRPr="00FA5CEF" w:rsidRDefault="00A67E34" w:rsidP="00FC362F">
            <w:pPr>
              <w:pStyle w:val="BStablefigures"/>
            </w:pPr>
            <w:r w:rsidRPr="00FA5CEF">
              <w:t>75%</w:t>
            </w:r>
          </w:p>
        </w:tc>
        <w:tc>
          <w:tcPr>
            <w:tcW w:w="1424" w:type="dxa"/>
            <w:hideMark/>
          </w:tcPr>
          <w:p w:rsidR="00A67E34" w:rsidRPr="00FA5CEF" w:rsidRDefault="00A67E34" w:rsidP="00FC362F">
            <w:pPr>
              <w:pStyle w:val="BStablefigures"/>
            </w:pPr>
            <w:r w:rsidRPr="00FA5CEF">
              <w:t>37%</w:t>
            </w:r>
          </w:p>
        </w:tc>
        <w:tc>
          <w:tcPr>
            <w:tcW w:w="1424" w:type="dxa"/>
            <w:hideMark/>
          </w:tcPr>
          <w:p w:rsidR="00A67E34" w:rsidRPr="00FA5CEF" w:rsidRDefault="00A67E34" w:rsidP="00FC362F">
            <w:pPr>
              <w:pStyle w:val="BStablefigures"/>
            </w:pPr>
            <w:r w:rsidRPr="00FA5CEF">
              <w:t>75%</w:t>
            </w:r>
          </w:p>
        </w:tc>
      </w:tr>
      <w:tr w:rsidR="00A67E34" w:rsidTr="00FC362F">
        <w:trPr>
          <w:trHeight w:val="233"/>
        </w:trPr>
        <w:tc>
          <w:tcPr>
            <w:tcW w:w="4848" w:type="dxa"/>
            <w:hideMark/>
          </w:tcPr>
          <w:p w:rsidR="00A67E34" w:rsidRDefault="00A67E34" w:rsidP="00FC362F">
            <w:pPr>
              <w:pStyle w:val="BStabletextbold"/>
              <w:rPr>
                <w:b w:val="0"/>
              </w:rPr>
            </w:pPr>
            <w:r>
              <w:rPr>
                <w:b w:val="0"/>
              </w:rPr>
              <w:t>Four (semi urgent seen within 60 mins)</w:t>
            </w:r>
          </w:p>
        </w:tc>
        <w:tc>
          <w:tcPr>
            <w:tcW w:w="1424" w:type="dxa"/>
            <w:hideMark/>
          </w:tcPr>
          <w:p w:rsidR="00A67E34" w:rsidRPr="00FA5CEF" w:rsidRDefault="00A67E34" w:rsidP="00FC362F">
            <w:pPr>
              <w:pStyle w:val="BStablefigures"/>
            </w:pPr>
            <w:r w:rsidRPr="00FA5CEF">
              <w:t>70%</w:t>
            </w:r>
          </w:p>
        </w:tc>
        <w:tc>
          <w:tcPr>
            <w:tcW w:w="1424" w:type="dxa"/>
            <w:hideMark/>
          </w:tcPr>
          <w:p w:rsidR="00A67E34" w:rsidRPr="00FA5CEF" w:rsidRDefault="00A67E34" w:rsidP="00FC362F">
            <w:pPr>
              <w:pStyle w:val="BStablefigures"/>
            </w:pPr>
            <w:r w:rsidRPr="00FA5CEF">
              <w:t>50%</w:t>
            </w:r>
          </w:p>
        </w:tc>
        <w:tc>
          <w:tcPr>
            <w:tcW w:w="1424" w:type="dxa"/>
            <w:hideMark/>
          </w:tcPr>
          <w:p w:rsidR="00A67E34" w:rsidRPr="00FA5CEF" w:rsidRDefault="00A67E34" w:rsidP="00FC362F">
            <w:pPr>
              <w:pStyle w:val="BStablefigures"/>
            </w:pPr>
            <w:r w:rsidRPr="00FA5CEF">
              <w:t>70%</w:t>
            </w:r>
          </w:p>
        </w:tc>
      </w:tr>
      <w:tr w:rsidR="00A67E34" w:rsidTr="00FC362F">
        <w:trPr>
          <w:trHeight w:val="233"/>
        </w:trPr>
        <w:tc>
          <w:tcPr>
            <w:tcW w:w="4848" w:type="dxa"/>
            <w:hideMark/>
          </w:tcPr>
          <w:p w:rsidR="00A67E34" w:rsidRDefault="00A67E34" w:rsidP="00FC362F">
            <w:pPr>
              <w:pStyle w:val="BStabletextbold"/>
              <w:rPr>
                <w:b w:val="0"/>
              </w:rPr>
            </w:pPr>
            <w:r>
              <w:rPr>
                <w:b w:val="0"/>
              </w:rPr>
              <w:t>Five (non urgent seen within 120 mins)</w:t>
            </w:r>
          </w:p>
        </w:tc>
        <w:tc>
          <w:tcPr>
            <w:tcW w:w="1424" w:type="dxa"/>
            <w:hideMark/>
          </w:tcPr>
          <w:p w:rsidR="00A67E34" w:rsidRPr="00FA5CEF" w:rsidRDefault="00A67E34" w:rsidP="00FC362F">
            <w:pPr>
              <w:pStyle w:val="BStablefigures"/>
            </w:pPr>
            <w:r w:rsidRPr="00FA5CEF">
              <w:t>70%</w:t>
            </w:r>
          </w:p>
        </w:tc>
        <w:tc>
          <w:tcPr>
            <w:tcW w:w="1424" w:type="dxa"/>
            <w:hideMark/>
          </w:tcPr>
          <w:p w:rsidR="00A67E34" w:rsidRPr="00FA5CEF" w:rsidRDefault="00A67E34" w:rsidP="00FC362F">
            <w:pPr>
              <w:pStyle w:val="BStablefigures"/>
            </w:pPr>
            <w:r w:rsidRPr="00FA5CEF">
              <w:t>83%</w:t>
            </w:r>
          </w:p>
        </w:tc>
        <w:tc>
          <w:tcPr>
            <w:tcW w:w="1424" w:type="dxa"/>
            <w:hideMark/>
          </w:tcPr>
          <w:p w:rsidR="00A67E34" w:rsidRPr="00FA5CEF" w:rsidRDefault="00A67E34" w:rsidP="00FC362F">
            <w:pPr>
              <w:pStyle w:val="BStablefigures"/>
            </w:pPr>
            <w:r w:rsidRPr="00FA5CEF">
              <w:t>70%</w:t>
            </w:r>
          </w:p>
        </w:tc>
      </w:tr>
      <w:tr w:rsidR="00A67E34" w:rsidTr="00FC362F">
        <w:trPr>
          <w:trHeight w:val="233"/>
        </w:trPr>
        <w:tc>
          <w:tcPr>
            <w:tcW w:w="4848" w:type="dxa"/>
            <w:tcBorders>
              <w:top w:val="nil"/>
              <w:left w:val="nil"/>
              <w:bottom w:val="single" w:sz="4" w:space="0" w:color="auto"/>
              <w:right w:val="nil"/>
            </w:tcBorders>
            <w:hideMark/>
          </w:tcPr>
          <w:p w:rsidR="00A67E34" w:rsidRDefault="00A67E34" w:rsidP="00FC362F">
            <w:pPr>
              <w:pStyle w:val="BStabletextbold"/>
              <w:rPr>
                <w:b w:val="0"/>
              </w:rPr>
            </w:pPr>
            <w:r>
              <w:rPr>
                <w:b w:val="0"/>
              </w:rPr>
              <w:t>All presentations</w:t>
            </w:r>
          </w:p>
        </w:tc>
        <w:tc>
          <w:tcPr>
            <w:tcW w:w="1424" w:type="dxa"/>
            <w:tcBorders>
              <w:top w:val="nil"/>
              <w:left w:val="nil"/>
              <w:bottom w:val="single" w:sz="4" w:space="0" w:color="auto"/>
              <w:right w:val="nil"/>
            </w:tcBorders>
            <w:hideMark/>
          </w:tcPr>
          <w:p w:rsidR="00A67E34" w:rsidRPr="00FA5CEF" w:rsidRDefault="00A67E34" w:rsidP="00FC362F">
            <w:pPr>
              <w:pStyle w:val="BStablefigures"/>
            </w:pPr>
            <w:r w:rsidRPr="00FA5CEF">
              <w:t>70%</w:t>
            </w:r>
          </w:p>
        </w:tc>
        <w:tc>
          <w:tcPr>
            <w:tcW w:w="1424" w:type="dxa"/>
            <w:tcBorders>
              <w:top w:val="nil"/>
              <w:left w:val="nil"/>
              <w:bottom w:val="single" w:sz="4" w:space="0" w:color="auto"/>
              <w:right w:val="nil"/>
            </w:tcBorders>
            <w:hideMark/>
          </w:tcPr>
          <w:p w:rsidR="00A67E34" w:rsidRPr="00FA5CEF" w:rsidRDefault="00A67E34" w:rsidP="00FC362F">
            <w:pPr>
              <w:pStyle w:val="BStablefigures"/>
            </w:pPr>
            <w:r w:rsidRPr="00FA5CEF">
              <w:t>50%</w:t>
            </w:r>
          </w:p>
        </w:tc>
        <w:tc>
          <w:tcPr>
            <w:tcW w:w="1424" w:type="dxa"/>
            <w:tcBorders>
              <w:top w:val="nil"/>
              <w:left w:val="nil"/>
              <w:bottom w:val="single" w:sz="4" w:space="0" w:color="auto"/>
              <w:right w:val="nil"/>
            </w:tcBorders>
            <w:hideMark/>
          </w:tcPr>
          <w:p w:rsidR="00A67E34" w:rsidRPr="00FA5CEF" w:rsidRDefault="00A67E34" w:rsidP="00FC362F">
            <w:pPr>
              <w:pStyle w:val="BStablefigures"/>
            </w:pPr>
            <w:r w:rsidRPr="00FA5CEF">
              <w:t>70%</w:t>
            </w:r>
          </w:p>
        </w:tc>
      </w:tr>
    </w:tbl>
    <w:p w:rsidR="00A67E34" w:rsidRDefault="00A67E34" w:rsidP="00A67E34">
      <w:pPr>
        <w:pStyle w:val="Normal02"/>
        <w:spacing w:before="0" w:after="0"/>
        <w:rPr>
          <w:vanish/>
        </w:rPr>
      </w:pPr>
    </w:p>
    <w:p w:rsidR="00A67E34" w:rsidRDefault="00A67E34" w:rsidP="00A67E34">
      <w:pPr>
        <w:pStyle w:val="SILabel"/>
        <w:rPr>
          <w:rFonts w:ascii="Calibri" w:hAnsi="Calibri"/>
          <w:b w:val="0"/>
          <w:sz w:val="24"/>
          <w:szCs w:val="24"/>
        </w:rPr>
      </w:pPr>
      <w:bookmarkStart w:id="205" w:name="_Toc483919456"/>
      <w:bookmarkStart w:id="206" w:name="_Toc483560961"/>
      <w:bookmarkStart w:id="207" w:name="_Toc483492179"/>
      <w:bookmarkStart w:id="208" w:name="_Toc514764148"/>
      <w:bookmarkStart w:id="209" w:name="_Toc514765774"/>
      <w:bookmarkStart w:id="210" w:name="_Toc514832398"/>
      <w:bookmarkStart w:id="211" w:name="_Toc514832581"/>
      <w:r>
        <w:rPr>
          <w:rFonts w:ascii="Calibri" w:hAnsi="Calibri"/>
          <w:sz w:val="24"/>
          <w:szCs w:val="24"/>
        </w:rPr>
        <w:t xml:space="preserve">Strategic Indicator 2.2:  </w:t>
      </w:r>
      <w:r>
        <w:rPr>
          <w:rFonts w:ascii="Calibri" w:hAnsi="Calibri"/>
          <w:b w:val="0"/>
          <w:sz w:val="24"/>
          <w:szCs w:val="24"/>
        </w:rPr>
        <w:t>The proportion of Emergency Department presentations whose length of stay in the Emergency Department is four hours or less</w:t>
      </w:r>
      <w:bookmarkEnd w:id="205"/>
      <w:bookmarkEnd w:id="206"/>
      <w:bookmarkEnd w:id="207"/>
      <w:bookmarkEnd w:id="208"/>
      <w:bookmarkEnd w:id="209"/>
      <w:bookmarkEnd w:id="210"/>
      <w:bookmarkEnd w:id="211"/>
    </w:p>
    <w:p w:rsidR="00A67E34" w:rsidRDefault="00A67E34" w:rsidP="00A67E34">
      <w:pPr>
        <w:pStyle w:val="Caption"/>
        <w:rPr>
          <w:color w:val="auto"/>
        </w:rPr>
      </w:pPr>
      <w:r>
        <w:rPr>
          <w:color w:val="auto"/>
        </w:rPr>
        <w:t>Table 3: The proportion of Emergency Department presentations whose length of stay in the Emergency Department is four hours or less</w:t>
      </w:r>
    </w:p>
    <w:tbl>
      <w:tblPr>
        <w:tblW w:w="9120" w:type="dxa"/>
        <w:tblInd w:w="108" w:type="dxa"/>
        <w:tblLayout w:type="fixed"/>
        <w:tblLook w:val="04A0" w:firstRow="1" w:lastRow="0" w:firstColumn="1" w:lastColumn="0" w:noHBand="0" w:noVBand="1"/>
      </w:tblPr>
      <w:tblGrid>
        <w:gridCol w:w="4848"/>
        <w:gridCol w:w="1424"/>
        <w:gridCol w:w="1424"/>
        <w:gridCol w:w="1424"/>
      </w:tblGrid>
      <w:tr w:rsidR="009C1757" w:rsidTr="009C1757">
        <w:trPr>
          <w:trHeight w:val="147"/>
        </w:trPr>
        <w:tc>
          <w:tcPr>
            <w:tcW w:w="4848" w:type="dxa"/>
            <w:vMerge w:val="restart"/>
            <w:tcBorders>
              <w:top w:val="single" w:sz="4" w:space="0" w:color="auto"/>
              <w:left w:val="nil"/>
              <w:bottom w:val="single" w:sz="4" w:space="0" w:color="auto"/>
              <w:right w:val="nil"/>
            </w:tcBorders>
            <w:vAlign w:val="center"/>
          </w:tcPr>
          <w:p w:rsidR="009C1757" w:rsidRDefault="009C1757" w:rsidP="009C1757">
            <w:pPr>
              <w:pStyle w:val="BStabletext"/>
            </w:pPr>
          </w:p>
        </w:tc>
        <w:tc>
          <w:tcPr>
            <w:tcW w:w="1424" w:type="dxa"/>
            <w:tcBorders>
              <w:top w:val="single" w:sz="4" w:space="0" w:color="auto"/>
              <w:left w:val="nil"/>
              <w:bottom w:val="nil"/>
              <w:right w:val="nil"/>
            </w:tcBorders>
            <w:hideMark/>
          </w:tcPr>
          <w:p w:rsidR="009C1757" w:rsidRDefault="009C1757" w:rsidP="009C1757">
            <w:pPr>
              <w:pStyle w:val="BStableheading"/>
              <w:framePr w:wrap="auto" w:vAnchor="margin" w:yAlign="inline"/>
            </w:pPr>
            <w:r>
              <w:t>2017–18</w:t>
            </w:r>
          </w:p>
        </w:tc>
        <w:tc>
          <w:tcPr>
            <w:tcW w:w="1424" w:type="dxa"/>
            <w:tcBorders>
              <w:top w:val="single" w:sz="4" w:space="0" w:color="auto"/>
              <w:left w:val="nil"/>
              <w:bottom w:val="nil"/>
              <w:right w:val="nil"/>
            </w:tcBorders>
            <w:hideMark/>
          </w:tcPr>
          <w:p w:rsidR="009C1757" w:rsidRDefault="009C1757" w:rsidP="009C1757">
            <w:pPr>
              <w:pStyle w:val="BStableheading"/>
              <w:framePr w:wrap="auto" w:vAnchor="margin" w:yAlign="inline"/>
            </w:pPr>
            <w:r>
              <w:t>2017–18</w:t>
            </w:r>
          </w:p>
        </w:tc>
        <w:tc>
          <w:tcPr>
            <w:tcW w:w="1424" w:type="dxa"/>
            <w:tcBorders>
              <w:top w:val="single" w:sz="4" w:space="0" w:color="auto"/>
              <w:left w:val="nil"/>
              <w:bottom w:val="nil"/>
              <w:right w:val="nil"/>
            </w:tcBorders>
            <w:hideMark/>
          </w:tcPr>
          <w:p w:rsidR="009C1757" w:rsidRDefault="009C1757" w:rsidP="009C1757">
            <w:pPr>
              <w:pStyle w:val="BStableheading"/>
              <w:framePr w:wrap="auto" w:vAnchor="margin" w:yAlign="inline"/>
            </w:pPr>
            <w:r>
              <w:t>2018–19</w:t>
            </w:r>
          </w:p>
        </w:tc>
      </w:tr>
      <w:tr w:rsidR="009C1757" w:rsidTr="009C1757">
        <w:trPr>
          <w:trHeight w:val="263"/>
        </w:trPr>
        <w:tc>
          <w:tcPr>
            <w:tcW w:w="4848" w:type="dxa"/>
            <w:vMerge/>
            <w:tcBorders>
              <w:top w:val="single" w:sz="4" w:space="0" w:color="auto"/>
              <w:left w:val="nil"/>
              <w:bottom w:val="single" w:sz="4" w:space="0" w:color="auto"/>
              <w:right w:val="nil"/>
            </w:tcBorders>
            <w:vAlign w:val="center"/>
            <w:hideMark/>
          </w:tcPr>
          <w:p w:rsidR="009C1757" w:rsidRDefault="009C1757" w:rsidP="009C1757">
            <w:pPr>
              <w:pStyle w:val="Normal2"/>
              <w:spacing w:before="0" w:after="0"/>
              <w:rPr>
                <w:bCs/>
                <w:sz w:val="20"/>
                <w:lang w:eastAsia="en-AU"/>
              </w:rPr>
            </w:pPr>
          </w:p>
        </w:tc>
        <w:tc>
          <w:tcPr>
            <w:tcW w:w="1424" w:type="dxa"/>
            <w:tcBorders>
              <w:top w:val="nil"/>
              <w:left w:val="nil"/>
              <w:bottom w:val="single" w:sz="4" w:space="0" w:color="auto"/>
              <w:right w:val="nil"/>
            </w:tcBorders>
            <w:hideMark/>
          </w:tcPr>
          <w:p w:rsidR="009C1757" w:rsidRDefault="009C1757" w:rsidP="009C1757">
            <w:pPr>
              <w:pStyle w:val="BStableheading"/>
              <w:framePr w:wrap="auto" w:vAnchor="margin" w:yAlign="inline"/>
            </w:pPr>
            <w:r>
              <w:t>Target</w:t>
            </w:r>
          </w:p>
        </w:tc>
        <w:tc>
          <w:tcPr>
            <w:tcW w:w="1424" w:type="dxa"/>
            <w:tcBorders>
              <w:top w:val="nil"/>
              <w:left w:val="nil"/>
              <w:bottom w:val="single" w:sz="4" w:space="0" w:color="auto"/>
              <w:right w:val="nil"/>
            </w:tcBorders>
            <w:hideMark/>
          </w:tcPr>
          <w:p w:rsidR="009C1757" w:rsidRDefault="009C1757" w:rsidP="009C1757">
            <w:pPr>
              <w:pStyle w:val="BStableheading"/>
              <w:framePr w:wrap="auto" w:vAnchor="margin" w:yAlign="inline"/>
            </w:pPr>
            <w:r>
              <w:t>Estimated</w:t>
            </w:r>
          </w:p>
          <w:p w:rsidR="009C1757" w:rsidRDefault="009C1757" w:rsidP="009C1757">
            <w:pPr>
              <w:pStyle w:val="BStableheading"/>
              <w:framePr w:wrap="auto" w:vAnchor="margin" w:yAlign="inline"/>
            </w:pPr>
            <w:r>
              <w:t>Outcome</w:t>
            </w:r>
          </w:p>
        </w:tc>
        <w:tc>
          <w:tcPr>
            <w:tcW w:w="1424" w:type="dxa"/>
            <w:tcBorders>
              <w:top w:val="nil"/>
              <w:left w:val="nil"/>
              <w:bottom w:val="single" w:sz="4" w:space="0" w:color="auto"/>
              <w:right w:val="nil"/>
            </w:tcBorders>
            <w:hideMark/>
          </w:tcPr>
          <w:p w:rsidR="009C1757" w:rsidRDefault="009C1757" w:rsidP="009C1757">
            <w:pPr>
              <w:pStyle w:val="BStableheading"/>
              <w:framePr w:wrap="auto" w:vAnchor="margin" w:yAlign="inline"/>
            </w:pPr>
            <w:r>
              <w:t>Target</w:t>
            </w:r>
          </w:p>
        </w:tc>
      </w:tr>
      <w:tr w:rsidR="00A67E34" w:rsidTr="009C1757">
        <w:trPr>
          <w:trHeight w:val="233"/>
        </w:trPr>
        <w:tc>
          <w:tcPr>
            <w:tcW w:w="4848" w:type="dxa"/>
            <w:tcBorders>
              <w:top w:val="single" w:sz="4" w:space="0" w:color="auto"/>
              <w:left w:val="nil"/>
              <w:bottom w:val="single" w:sz="4" w:space="0" w:color="auto"/>
              <w:right w:val="nil"/>
            </w:tcBorders>
            <w:hideMark/>
          </w:tcPr>
          <w:p w:rsidR="00A67E34" w:rsidRDefault="00A67E34" w:rsidP="00FC362F">
            <w:pPr>
              <w:pStyle w:val="BStabletextbold"/>
              <w:rPr>
                <w:b w:val="0"/>
              </w:rPr>
            </w:pPr>
            <w:r>
              <w:rPr>
                <w:b w:val="0"/>
              </w:rPr>
              <w:t>The proportion of Emergency Department presentations who either physically leave the Emergency Department for admission to hospital, are referred for treatment or are discharged, whose total time in the Emergency Department is within four hours</w:t>
            </w:r>
          </w:p>
        </w:tc>
        <w:tc>
          <w:tcPr>
            <w:tcW w:w="1424" w:type="dxa"/>
            <w:tcBorders>
              <w:top w:val="single" w:sz="4" w:space="0" w:color="auto"/>
              <w:left w:val="nil"/>
              <w:bottom w:val="single" w:sz="4" w:space="0" w:color="auto"/>
              <w:right w:val="nil"/>
            </w:tcBorders>
            <w:hideMark/>
          </w:tcPr>
          <w:p w:rsidR="00A67E34" w:rsidRDefault="00A67E34" w:rsidP="00FC362F">
            <w:pPr>
              <w:pStyle w:val="BStablefigures"/>
            </w:pPr>
            <w:r>
              <w:t>90%</w:t>
            </w:r>
          </w:p>
        </w:tc>
        <w:tc>
          <w:tcPr>
            <w:tcW w:w="1424" w:type="dxa"/>
            <w:tcBorders>
              <w:top w:val="single" w:sz="4" w:space="0" w:color="auto"/>
              <w:left w:val="nil"/>
              <w:bottom w:val="single" w:sz="4" w:space="0" w:color="auto"/>
              <w:right w:val="nil"/>
            </w:tcBorders>
            <w:hideMark/>
          </w:tcPr>
          <w:p w:rsidR="00A67E34" w:rsidRDefault="00A67E34" w:rsidP="00FC362F">
            <w:pPr>
              <w:pStyle w:val="BStablefigures"/>
              <w:rPr>
                <w:rFonts w:ascii="Times New Roman" w:hAnsi="Times New Roman"/>
              </w:rPr>
            </w:pPr>
            <w:r>
              <w:t>64%</w:t>
            </w:r>
          </w:p>
        </w:tc>
        <w:tc>
          <w:tcPr>
            <w:tcW w:w="1424" w:type="dxa"/>
            <w:tcBorders>
              <w:top w:val="single" w:sz="4" w:space="0" w:color="auto"/>
              <w:left w:val="nil"/>
              <w:bottom w:val="single" w:sz="4" w:space="0" w:color="auto"/>
              <w:right w:val="nil"/>
            </w:tcBorders>
            <w:hideMark/>
          </w:tcPr>
          <w:p w:rsidR="00A67E34" w:rsidRDefault="00A67E34" w:rsidP="00FC362F">
            <w:pPr>
              <w:pStyle w:val="BStablefigures"/>
            </w:pPr>
            <w:r>
              <w:t>90%</w:t>
            </w:r>
          </w:p>
        </w:tc>
      </w:tr>
    </w:tbl>
    <w:p w:rsidR="00A67E34" w:rsidRDefault="00A67E34" w:rsidP="00A67E34">
      <w:pPr>
        <w:pStyle w:val="Normal02"/>
        <w:spacing w:before="0" w:after="0"/>
        <w:rPr>
          <w:vanish/>
        </w:rPr>
      </w:pPr>
    </w:p>
    <w:p w:rsidR="00A67E34" w:rsidRDefault="00A6692D" w:rsidP="00A67E34">
      <w:pPr>
        <w:pStyle w:val="Heading3"/>
      </w:pPr>
      <w:bookmarkStart w:id="212" w:name="_Toc484069704"/>
      <w:bookmarkStart w:id="213" w:name="_Toc483919457"/>
      <w:bookmarkStart w:id="214" w:name="_Toc483560962"/>
      <w:bookmarkStart w:id="215" w:name="_Toc483492180"/>
      <w:bookmarkStart w:id="216" w:name="_Toc514764149"/>
      <w:bookmarkStart w:id="217" w:name="_Toc514765775"/>
      <w:bookmarkStart w:id="218" w:name="_Toc514832399"/>
      <w:bookmarkStart w:id="219" w:name="_Toc514832582"/>
      <w:r>
        <w:t>Strategic O</w:t>
      </w:r>
      <w:r w:rsidR="00A67E34">
        <w:t>bjective 3</w:t>
      </w:r>
      <w:bookmarkEnd w:id="212"/>
      <w:bookmarkEnd w:id="213"/>
      <w:bookmarkEnd w:id="214"/>
      <w:bookmarkEnd w:id="215"/>
      <w:bookmarkEnd w:id="216"/>
      <w:bookmarkEnd w:id="217"/>
      <w:bookmarkEnd w:id="218"/>
      <w:bookmarkEnd w:id="219"/>
    </w:p>
    <w:p w:rsidR="00A67E34" w:rsidRDefault="00A6692D" w:rsidP="00A67E34">
      <w:pPr>
        <w:pStyle w:val="Heading4"/>
      </w:pPr>
      <w:r>
        <w:t>Maximising the Q</w:t>
      </w:r>
      <w:r w:rsidR="00A67E34">
        <w:t xml:space="preserve">uality of </w:t>
      </w:r>
      <w:r>
        <w:t>H</w:t>
      </w:r>
      <w:r w:rsidR="00A67E34">
        <w:t xml:space="preserve">ospital </w:t>
      </w:r>
      <w:r>
        <w:t>S</w:t>
      </w:r>
      <w:r w:rsidR="00A67E34">
        <w:t>ervices</w:t>
      </w:r>
    </w:p>
    <w:p w:rsidR="00A67E34" w:rsidRDefault="00A67E34" w:rsidP="00A67E34">
      <w:pPr>
        <w:pStyle w:val="BodyText0"/>
      </w:pPr>
      <w:r>
        <w:t xml:space="preserve">The following four indicators are a selection of the patient safety and service quality indicators that are used to monitor ACT public hospital services.  The targets provide an indication of the desired outcomes over time.  Given the nature of the indicators, small fluctuations during a particular period </w:t>
      </w:r>
      <w:r w:rsidR="00A6692D">
        <w:t xml:space="preserve">may distort </w:t>
      </w:r>
      <w:r>
        <w:t>results.  The success in meeting these indicators requires a consideration of performance over time rather than for any given period.</w:t>
      </w:r>
    </w:p>
    <w:p w:rsidR="00A67E34" w:rsidRDefault="00A6692D" w:rsidP="00A67E34">
      <w:pPr>
        <w:pStyle w:val="SILabel"/>
        <w:rPr>
          <w:rFonts w:ascii="Calibri" w:hAnsi="Calibri"/>
          <w:b w:val="0"/>
          <w:sz w:val="24"/>
          <w:szCs w:val="24"/>
        </w:rPr>
      </w:pPr>
      <w:bookmarkStart w:id="220" w:name="_Toc484069705"/>
      <w:bookmarkStart w:id="221" w:name="_Toc483919458"/>
      <w:bookmarkStart w:id="222" w:name="_Toc483560963"/>
      <w:bookmarkStart w:id="223" w:name="_Toc483492181"/>
      <w:bookmarkStart w:id="224" w:name="_Toc514764150"/>
      <w:bookmarkStart w:id="225" w:name="_Toc514765776"/>
      <w:bookmarkStart w:id="226" w:name="_Toc514832400"/>
      <w:bookmarkStart w:id="227" w:name="_Toc514832583"/>
      <w:r>
        <w:rPr>
          <w:rFonts w:ascii="Calibri" w:hAnsi="Calibri"/>
          <w:sz w:val="24"/>
          <w:szCs w:val="24"/>
        </w:rPr>
        <w:t>Strategic I</w:t>
      </w:r>
      <w:r w:rsidR="00A67E34">
        <w:rPr>
          <w:rFonts w:ascii="Calibri" w:hAnsi="Calibri"/>
          <w:sz w:val="24"/>
          <w:szCs w:val="24"/>
        </w:rPr>
        <w:t xml:space="preserve">ndicator 3.1:  </w:t>
      </w:r>
      <w:r w:rsidR="00A67E34">
        <w:rPr>
          <w:rFonts w:ascii="Calibri" w:hAnsi="Calibri"/>
          <w:b w:val="0"/>
          <w:sz w:val="24"/>
          <w:szCs w:val="24"/>
        </w:rPr>
        <w:t>The proportion of people who undergo a surgical operation requiring an unplanned return to the operating theatre within a single episode of care due to complications of their primary condition</w:t>
      </w:r>
      <w:bookmarkEnd w:id="220"/>
      <w:bookmarkEnd w:id="221"/>
      <w:bookmarkEnd w:id="222"/>
      <w:bookmarkEnd w:id="223"/>
      <w:bookmarkEnd w:id="224"/>
      <w:bookmarkEnd w:id="225"/>
      <w:bookmarkEnd w:id="226"/>
      <w:bookmarkEnd w:id="227"/>
    </w:p>
    <w:p w:rsidR="00A67E34" w:rsidRDefault="00A67E34" w:rsidP="00A67E34">
      <w:pPr>
        <w:pStyle w:val="BodyText0"/>
        <w:rPr>
          <w:kern w:val="28"/>
        </w:rPr>
      </w:pPr>
      <w:r>
        <w:rPr>
          <w:kern w:val="28"/>
        </w:rPr>
        <w:t>This indicator represents the quality of theatre and post-operative care.</w:t>
      </w:r>
    </w:p>
    <w:p w:rsidR="00A67E34" w:rsidRDefault="00A67E34" w:rsidP="00A67E34">
      <w:pPr>
        <w:pStyle w:val="Caption"/>
      </w:pPr>
      <w:r>
        <w:rPr>
          <w:color w:val="auto"/>
        </w:rPr>
        <w:t xml:space="preserve">Table 4: </w:t>
      </w:r>
      <w:r>
        <w:t>The proportion of people who undergo a surgical operation requiring an unplanned return to the operating theatre within a single episode of care due to complications of their primary condition</w:t>
      </w:r>
    </w:p>
    <w:tbl>
      <w:tblPr>
        <w:tblW w:w="0" w:type="dxa"/>
        <w:tblInd w:w="108" w:type="dxa"/>
        <w:tblLayout w:type="fixed"/>
        <w:tblLook w:val="04A0" w:firstRow="1" w:lastRow="0" w:firstColumn="1" w:lastColumn="0" w:noHBand="0" w:noVBand="1"/>
      </w:tblPr>
      <w:tblGrid>
        <w:gridCol w:w="4848"/>
        <w:gridCol w:w="1424"/>
        <w:gridCol w:w="1424"/>
        <w:gridCol w:w="1424"/>
      </w:tblGrid>
      <w:tr w:rsidR="00A67E34" w:rsidTr="00FC362F">
        <w:trPr>
          <w:trHeight w:val="147"/>
        </w:trPr>
        <w:tc>
          <w:tcPr>
            <w:tcW w:w="4848" w:type="dxa"/>
            <w:vMerge w:val="restart"/>
            <w:tcBorders>
              <w:top w:val="single" w:sz="4" w:space="0" w:color="auto"/>
              <w:left w:val="nil"/>
              <w:bottom w:val="single" w:sz="4" w:space="0" w:color="auto"/>
              <w:right w:val="nil"/>
            </w:tcBorders>
            <w:vAlign w:val="center"/>
          </w:tcPr>
          <w:p w:rsidR="00A67E34" w:rsidRDefault="00A67E34" w:rsidP="00FC362F">
            <w:pPr>
              <w:pStyle w:val="BStabletext"/>
            </w:pPr>
          </w:p>
        </w:tc>
        <w:tc>
          <w:tcPr>
            <w:tcW w:w="1424" w:type="dxa"/>
            <w:tcBorders>
              <w:top w:val="single" w:sz="4" w:space="0" w:color="auto"/>
              <w:left w:val="nil"/>
              <w:bottom w:val="nil"/>
              <w:right w:val="nil"/>
            </w:tcBorders>
            <w:hideMark/>
          </w:tcPr>
          <w:p w:rsidR="00A67E34" w:rsidRDefault="00A67E34" w:rsidP="00FC362F">
            <w:pPr>
              <w:pStyle w:val="BStableheading"/>
              <w:framePr w:wrap="auto" w:vAnchor="margin" w:yAlign="inline"/>
            </w:pPr>
            <w:r>
              <w:t>2017–18</w:t>
            </w:r>
          </w:p>
        </w:tc>
        <w:tc>
          <w:tcPr>
            <w:tcW w:w="1424" w:type="dxa"/>
            <w:tcBorders>
              <w:top w:val="single" w:sz="4" w:space="0" w:color="auto"/>
              <w:left w:val="nil"/>
              <w:bottom w:val="nil"/>
              <w:right w:val="nil"/>
            </w:tcBorders>
            <w:hideMark/>
          </w:tcPr>
          <w:p w:rsidR="00A67E34" w:rsidRDefault="00A67E34" w:rsidP="00FC362F">
            <w:pPr>
              <w:pStyle w:val="BStableheading"/>
              <w:framePr w:wrap="auto" w:vAnchor="margin" w:yAlign="inline"/>
            </w:pPr>
            <w:r>
              <w:t>2017–18</w:t>
            </w:r>
          </w:p>
        </w:tc>
        <w:tc>
          <w:tcPr>
            <w:tcW w:w="1424" w:type="dxa"/>
            <w:tcBorders>
              <w:top w:val="single" w:sz="4" w:space="0" w:color="auto"/>
              <w:left w:val="nil"/>
              <w:bottom w:val="nil"/>
              <w:right w:val="nil"/>
            </w:tcBorders>
            <w:hideMark/>
          </w:tcPr>
          <w:p w:rsidR="00A67E34" w:rsidRDefault="00A67E34" w:rsidP="00FC362F">
            <w:pPr>
              <w:pStyle w:val="BStableheading"/>
              <w:framePr w:wrap="auto" w:vAnchor="margin" w:yAlign="inline"/>
            </w:pPr>
            <w:r>
              <w:t>2018–19</w:t>
            </w:r>
          </w:p>
        </w:tc>
      </w:tr>
      <w:tr w:rsidR="00A67E34" w:rsidTr="00FC362F">
        <w:trPr>
          <w:trHeight w:val="263"/>
        </w:trPr>
        <w:tc>
          <w:tcPr>
            <w:tcW w:w="4848" w:type="dxa"/>
            <w:vMerge/>
            <w:tcBorders>
              <w:top w:val="single" w:sz="4" w:space="0" w:color="auto"/>
              <w:left w:val="nil"/>
              <w:bottom w:val="single" w:sz="4" w:space="0" w:color="auto"/>
              <w:right w:val="nil"/>
            </w:tcBorders>
            <w:vAlign w:val="center"/>
            <w:hideMark/>
          </w:tcPr>
          <w:p w:rsidR="00A67E34" w:rsidRDefault="00A67E34" w:rsidP="00FC362F">
            <w:pPr>
              <w:pStyle w:val="Normal2"/>
              <w:spacing w:before="0" w:after="0"/>
              <w:rPr>
                <w:b/>
                <w:bCs/>
                <w:sz w:val="20"/>
                <w:lang w:eastAsia="en-AU"/>
              </w:rPr>
            </w:pPr>
          </w:p>
        </w:tc>
        <w:tc>
          <w:tcPr>
            <w:tcW w:w="1424" w:type="dxa"/>
            <w:tcBorders>
              <w:top w:val="nil"/>
              <w:left w:val="nil"/>
              <w:bottom w:val="single" w:sz="4" w:space="0" w:color="auto"/>
              <w:right w:val="nil"/>
            </w:tcBorders>
            <w:hideMark/>
          </w:tcPr>
          <w:p w:rsidR="00A67E34" w:rsidRDefault="009C1757" w:rsidP="00FC362F">
            <w:pPr>
              <w:pStyle w:val="BStableheading"/>
              <w:framePr w:wrap="around"/>
            </w:pPr>
            <w:r>
              <w:t>T</w:t>
            </w:r>
            <w:r w:rsidR="00A67E34">
              <w:t>arget</w:t>
            </w:r>
            <w:r w:rsidR="00A67E34">
              <w:rPr>
                <w:vertAlign w:val="superscript"/>
              </w:rPr>
              <w:t>1</w:t>
            </w:r>
          </w:p>
        </w:tc>
        <w:tc>
          <w:tcPr>
            <w:tcW w:w="1424" w:type="dxa"/>
            <w:tcBorders>
              <w:top w:val="nil"/>
              <w:left w:val="nil"/>
              <w:bottom w:val="single" w:sz="4" w:space="0" w:color="auto"/>
              <w:right w:val="nil"/>
            </w:tcBorders>
            <w:hideMark/>
          </w:tcPr>
          <w:p w:rsidR="009C1757" w:rsidRDefault="009C1757" w:rsidP="009C1757">
            <w:pPr>
              <w:pStyle w:val="BStableheading"/>
              <w:framePr w:wrap="around"/>
            </w:pPr>
            <w:r>
              <w:t>Estim</w:t>
            </w:r>
            <w:r w:rsidR="003B7110">
              <w:t>a</w:t>
            </w:r>
            <w:r>
              <w:t>ted</w:t>
            </w:r>
          </w:p>
          <w:p w:rsidR="00A67E34" w:rsidRDefault="009C1757" w:rsidP="009C1757">
            <w:pPr>
              <w:pStyle w:val="BStableheading"/>
              <w:framePr w:wrap="around"/>
            </w:pPr>
            <w:r>
              <w:t>O</w:t>
            </w:r>
            <w:r w:rsidR="00A67E34">
              <w:t>utcome</w:t>
            </w:r>
          </w:p>
        </w:tc>
        <w:tc>
          <w:tcPr>
            <w:tcW w:w="1424" w:type="dxa"/>
            <w:tcBorders>
              <w:top w:val="nil"/>
              <w:left w:val="nil"/>
              <w:bottom w:val="single" w:sz="4" w:space="0" w:color="auto"/>
              <w:right w:val="nil"/>
            </w:tcBorders>
            <w:hideMark/>
          </w:tcPr>
          <w:p w:rsidR="00A67E34" w:rsidRDefault="009C1757" w:rsidP="00FC362F">
            <w:pPr>
              <w:pStyle w:val="BStableheading"/>
              <w:framePr w:wrap="around"/>
            </w:pPr>
            <w:r>
              <w:t>T</w:t>
            </w:r>
            <w:r w:rsidR="00A67E34">
              <w:t>arget</w:t>
            </w:r>
            <w:r w:rsidR="00A67E34">
              <w:rPr>
                <w:vertAlign w:val="superscript"/>
              </w:rPr>
              <w:t>1</w:t>
            </w:r>
          </w:p>
        </w:tc>
      </w:tr>
      <w:tr w:rsidR="00A67E34" w:rsidTr="00FC362F">
        <w:trPr>
          <w:trHeight w:val="233"/>
        </w:trPr>
        <w:tc>
          <w:tcPr>
            <w:tcW w:w="4848" w:type="dxa"/>
            <w:hideMark/>
          </w:tcPr>
          <w:p w:rsidR="00A67E34" w:rsidRDefault="00A67E34" w:rsidP="00FC362F">
            <w:pPr>
              <w:pStyle w:val="BStabletextbold"/>
              <w:rPr>
                <w:b w:val="0"/>
                <w:shd w:val="clear" w:color="auto" w:fill="FFFF00"/>
              </w:rPr>
            </w:pPr>
            <w:r>
              <w:rPr>
                <w:b w:val="0"/>
              </w:rPr>
              <w:t>Canberra Hospital</w:t>
            </w:r>
          </w:p>
        </w:tc>
        <w:tc>
          <w:tcPr>
            <w:tcW w:w="1424" w:type="dxa"/>
            <w:vAlign w:val="bottom"/>
            <w:hideMark/>
          </w:tcPr>
          <w:p w:rsidR="00A67E34" w:rsidRPr="00C03469" w:rsidRDefault="00A67E34" w:rsidP="00FC362F">
            <w:pPr>
              <w:pStyle w:val="BStablefigures"/>
            </w:pPr>
            <w:r w:rsidRPr="00C03469">
              <w:t>&lt;1.0%</w:t>
            </w:r>
          </w:p>
        </w:tc>
        <w:tc>
          <w:tcPr>
            <w:tcW w:w="1424" w:type="dxa"/>
            <w:hideMark/>
          </w:tcPr>
          <w:p w:rsidR="00A67E34" w:rsidRPr="00C03469" w:rsidRDefault="00A67E34" w:rsidP="00FC362F">
            <w:pPr>
              <w:pStyle w:val="BStablefigures"/>
            </w:pPr>
            <w:r>
              <w:t>0.5</w:t>
            </w:r>
            <w:r w:rsidRPr="00C03469">
              <w:t>%</w:t>
            </w:r>
          </w:p>
        </w:tc>
        <w:tc>
          <w:tcPr>
            <w:tcW w:w="1424" w:type="dxa"/>
            <w:hideMark/>
          </w:tcPr>
          <w:p w:rsidR="00A67E34" w:rsidRPr="00C03469" w:rsidRDefault="00A67E34" w:rsidP="00FC362F">
            <w:pPr>
              <w:pStyle w:val="BStablefigures"/>
            </w:pPr>
            <w:r w:rsidRPr="00C03469">
              <w:t>&lt;1.0%</w:t>
            </w:r>
          </w:p>
        </w:tc>
      </w:tr>
      <w:tr w:rsidR="00A67E34" w:rsidTr="00FC362F">
        <w:trPr>
          <w:trHeight w:val="233"/>
        </w:trPr>
        <w:tc>
          <w:tcPr>
            <w:tcW w:w="4848" w:type="dxa"/>
            <w:tcBorders>
              <w:top w:val="nil"/>
              <w:left w:val="nil"/>
              <w:bottom w:val="single" w:sz="4" w:space="0" w:color="auto"/>
              <w:right w:val="nil"/>
            </w:tcBorders>
            <w:hideMark/>
          </w:tcPr>
          <w:p w:rsidR="00A67E34" w:rsidRDefault="00A67E34" w:rsidP="00FC362F">
            <w:pPr>
              <w:pStyle w:val="BStabletextbold"/>
              <w:rPr>
                <w:b w:val="0"/>
                <w:shd w:val="clear" w:color="auto" w:fill="FFFF00"/>
              </w:rPr>
            </w:pPr>
            <w:r>
              <w:rPr>
                <w:b w:val="0"/>
              </w:rPr>
              <w:t>Calvary Public Hospital</w:t>
            </w:r>
          </w:p>
        </w:tc>
        <w:tc>
          <w:tcPr>
            <w:tcW w:w="1424" w:type="dxa"/>
            <w:tcBorders>
              <w:top w:val="nil"/>
              <w:left w:val="nil"/>
              <w:bottom w:val="single" w:sz="4" w:space="0" w:color="auto"/>
              <w:right w:val="nil"/>
            </w:tcBorders>
            <w:vAlign w:val="bottom"/>
            <w:hideMark/>
          </w:tcPr>
          <w:p w:rsidR="00A67E34" w:rsidRPr="00C03469" w:rsidRDefault="00A67E34" w:rsidP="00FC362F">
            <w:pPr>
              <w:pStyle w:val="BStablefigures"/>
            </w:pPr>
            <w:r w:rsidRPr="00C03469">
              <w:t>&lt;0.5%</w:t>
            </w:r>
          </w:p>
        </w:tc>
        <w:tc>
          <w:tcPr>
            <w:tcW w:w="1424" w:type="dxa"/>
            <w:tcBorders>
              <w:top w:val="nil"/>
              <w:left w:val="nil"/>
              <w:bottom w:val="single" w:sz="4" w:space="0" w:color="auto"/>
              <w:right w:val="nil"/>
            </w:tcBorders>
            <w:hideMark/>
          </w:tcPr>
          <w:p w:rsidR="00A67E34" w:rsidRPr="00C03469" w:rsidRDefault="00A67E34" w:rsidP="00FC362F">
            <w:pPr>
              <w:pStyle w:val="BStablefigures"/>
            </w:pPr>
            <w:r>
              <w:t>0.4</w:t>
            </w:r>
            <w:r w:rsidRPr="00C03469">
              <w:t>%</w:t>
            </w:r>
          </w:p>
        </w:tc>
        <w:tc>
          <w:tcPr>
            <w:tcW w:w="1424" w:type="dxa"/>
            <w:tcBorders>
              <w:top w:val="nil"/>
              <w:left w:val="nil"/>
              <w:bottom w:val="single" w:sz="4" w:space="0" w:color="auto"/>
              <w:right w:val="nil"/>
            </w:tcBorders>
            <w:hideMark/>
          </w:tcPr>
          <w:p w:rsidR="00A67E34" w:rsidRPr="00C03469" w:rsidRDefault="00A67E34" w:rsidP="00FC362F">
            <w:pPr>
              <w:pStyle w:val="BStablefigures"/>
            </w:pPr>
            <w:r w:rsidRPr="00C03469">
              <w:t>&lt;0.5%</w:t>
            </w:r>
          </w:p>
        </w:tc>
      </w:tr>
    </w:tbl>
    <w:p w:rsidR="00A67E34" w:rsidRDefault="00A67E34" w:rsidP="00A67E34">
      <w:pPr>
        <w:pStyle w:val="BSnote0"/>
        <w:ind w:firstLine="142"/>
        <w:rPr>
          <w:sz w:val="16"/>
        </w:rPr>
      </w:pPr>
      <w:r>
        <w:rPr>
          <w:sz w:val="16"/>
        </w:rPr>
        <w:t>Note:</w:t>
      </w:r>
    </w:p>
    <w:p w:rsidR="00A67E34" w:rsidRDefault="00A67E34" w:rsidP="00CA0839">
      <w:pPr>
        <w:pStyle w:val="BSnoteslist1"/>
        <w:numPr>
          <w:ilvl w:val="0"/>
          <w:numId w:val="49"/>
        </w:numPr>
        <w:rPr>
          <w:sz w:val="16"/>
          <w:szCs w:val="16"/>
        </w:rPr>
      </w:pPr>
      <w:r>
        <w:rPr>
          <w:sz w:val="16"/>
          <w:szCs w:val="16"/>
        </w:rPr>
        <w:t>Hospital targets are based on similar rates for peer hospitals—based on the Australian Council of Healthcare Standards (ACHS).</w:t>
      </w:r>
    </w:p>
    <w:p w:rsidR="00A67E34" w:rsidRDefault="00A67E34" w:rsidP="00A67E34">
      <w:pPr>
        <w:pStyle w:val="Normal02"/>
        <w:spacing w:before="0" w:after="0"/>
        <w:rPr>
          <w:vanish/>
          <w:sz w:val="16"/>
          <w:szCs w:val="16"/>
        </w:rPr>
      </w:pPr>
    </w:p>
    <w:p w:rsidR="00A67E34" w:rsidRDefault="00A67E34" w:rsidP="00A67E34">
      <w:pPr>
        <w:pStyle w:val="SILabel"/>
        <w:rPr>
          <w:rFonts w:ascii="Calibri" w:hAnsi="Calibri"/>
          <w:b w:val="0"/>
          <w:sz w:val="24"/>
          <w:szCs w:val="24"/>
        </w:rPr>
      </w:pPr>
      <w:r>
        <w:rPr>
          <w:b w:val="0"/>
          <w:sz w:val="16"/>
          <w:szCs w:val="16"/>
        </w:rPr>
        <w:br w:type="column"/>
      </w:r>
      <w:bookmarkStart w:id="228" w:name="_Toc484069706"/>
      <w:bookmarkStart w:id="229" w:name="_Toc483919459"/>
      <w:bookmarkStart w:id="230" w:name="_Toc483560964"/>
      <w:bookmarkStart w:id="231" w:name="_Toc483492182"/>
      <w:bookmarkStart w:id="232" w:name="_Toc514764151"/>
      <w:bookmarkStart w:id="233" w:name="_Toc514765777"/>
      <w:bookmarkStart w:id="234" w:name="_Toc514832401"/>
      <w:bookmarkStart w:id="235" w:name="_Toc514832584"/>
      <w:r w:rsidR="00A6692D">
        <w:rPr>
          <w:rFonts w:ascii="Calibri" w:hAnsi="Calibri"/>
          <w:sz w:val="24"/>
          <w:szCs w:val="24"/>
        </w:rPr>
        <w:lastRenderedPageBreak/>
        <w:t>Strategic I</w:t>
      </w:r>
      <w:r>
        <w:rPr>
          <w:rFonts w:ascii="Calibri" w:hAnsi="Calibri"/>
          <w:sz w:val="24"/>
          <w:szCs w:val="24"/>
        </w:rPr>
        <w:t xml:space="preserve">ndicator 3.2:  </w:t>
      </w:r>
      <w:r>
        <w:rPr>
          <w:rFonts w:ascii="Calibri" w:hAnsi="Calibri"/>
          <w:b w:val="0"/>
          <w:sz w:val="24"/>
          <w:szCs w:val="24"/>
        </w:rPr>
        <w:t>The proportion of people separated from ACT public hospitals who are re</w:t>
      </w:r>
      <w:r>
        <w:rPr>
          <w:rFonts w:ascii="Calibri" w:hAnsi="Calibri"/>
          <w:b w:val="0"/>
          <w:sz w:val="24"/>
          <w:szCs w:val="24"/>
        </w:rPr>
        <w:noBreakHyphen/>
        <w:t>admitted to hospital within 28 days of their separation due to complications of their condition (where the re-admission was unforeseen at the time of separation)</w:t>
      </w:r>
      <w:bookmarkEnd w:id="228"/>
      <w:bookmarkEnd w:id="229"/>
      <w:bookmarkEnd w:id="230"/>
      <w:bookmarkEnd w:id="231"/>
      <w:bookmarkEnd w:id="232"/>
      <w:bookmarkEnd w:id="233"/>
      <w:bookmarkEnd w:id="234"/>
      <w:bookmarkEnd w:id="235"/>
    </w:p>
    <w:p w:rsidR="00A67E34" w:rsidRDefault="00A67E34" w:rsidP="00A67E34">
      <w:pPr>
        <w:pStyle w:val="BodyText0"/>
        <w:rPr>
          <w:kern w:val="28"/>
        </w:rPr>
      </w:pPr>
      <w:r>
        <w:rPr>
          <w:kern w:val="28"/>
        </w:rPr>
        <w:t xml:space="preserve">This </w:t>
      </w:r>
      <w:r>
        <w:t>indicator</w:t>
      </w:r>
      <w:r>
        <w:rPr>
          <w:b/>
        </w:rPr>
        <w:t xml:space="preserve"> </w:t>
      </w:r>
      <w:r>
        <w:rPr>
          <w:kern w:val="28"/>
        </w:rPr>
        <w:t>highlights the effectiveness of hospital based and community services in the ACT in the treatment of persons who receive hospital based care.</w:t>
      </w:r>
    </w:p>
    <w:p w:rsidR="00A67E34" w:rsidRDefault="00A67E34" w:rsidP="00A67E34">
      <w:pPr>
        <w:pStyle w:val="Caption"/>
      </w:pPr>
      <w:r>
        <w:rPr>
          <w:color w:val="auto"/>
        </w:rPr>
        <w:t xml:space="preserve">Table 5: </w:t>
      </w:r>
      <w:r>
        <w:t>The proportion of people separated from ACT public hospitals who are re</w:t>
      </w:r>
      <w:r>
        <w:noBreakHyphen/>
        <w:t xml:space="preserve">admitted to hospital within 28 days of their separation due to complications of their condition (where the </w:t>
      </w:r>
      <w:r w:rsidR="00CB3EB7">
        <w:br/>
      </w:r>
      <w:r>
        <w:t xml:space="preserve">re-admission was unforeseen at the time of separation) </w:t>
      </w:r>
    </w:p>
    <w:tbl>
      <w:tblPr>
        <w:tblW w:w="9120" w:type="dxa"/>
        <w:tblInd w:w="108" w:type="dxa"/>
        <w:tblLayout w:type="fixed"/>
        <w:tblLook w:val="04A0" w:firstRow="1" w:lastRow="0" w:firstColumn="1" w:lastColumn="0" w:noHBand="0" w:noVBand="1"/>
      </w:tblPr>
      <w:tblGrid>
        <w:gridCol w:w="3861"/>
        <w:gridCol w:w="1701"/>
        <w:gridCol w:w="2134"/>
        <w:gridCol w:w="1424"/>
      </w:tblGrid>
      <w:tr w:rsidR="00A67E34" w:rsidTr="003B7110">
        <w:trPr>
          <w:trHeight w:val="147"/>
        </w:trPr>
        <w:tc>
          <w:tcPr>
            <w:tcW w:w="3861" w:type="dxa"/>
            <w:vMerge w:val="restart"/>
            <w:tcBorders>
              <w:top w:val="single" w:sz="4" w:space="0" w:color="auto"/>
              <w:left w:val="nil"/>
              <w:bottom w:val="single" w:sz="4" w:space="0" w:color="auto"/>
              <w:right w:val="nil"/>
            </w:tcBorders>
            <w:vAlign w:val="center"/>
          </w:tcPr>
          <w:p w:rsidR="00A67E34" w:rsidRDefault="00A67E34" w:rsidP="00FC362F">
            <w:pPr>
              <w:pStyle w:val="BStabletext"/>
            </w:pPr>
          </w:p>
        </w:tc>
        <w:tc>
          <w:tcPr>
            <w:tcW w:w="1701" w:type="dxa"/>
            <w:tcBorders>
              <w:top w:val="single" w:sz="4" w:space="0" w:color="auto"/>
              <w:left w:val="nil"/>
              <w:bottom w:val="nil"/>
              <w:right w:val="nil"/>
            </w:tcBorders>
            <w:hideMark/>
          </w:tcPr>
          <w:p w:rsidR="00A67E34" w:rsidRDefault="00A67E34" w:rsidP="00FC362F">
            <w:pPr>
              <w:pStyle w:val="BStableheading"/>
              <w:framePr w:wrap="auto" w:vAnchor="margin" w:yAlign="inline"/>
            </w:pPr>
            <w:r>
              <w:t>2017–18</w:t>
            </w:r>
          </w:p>
        </w:tc>
        <w:tc>
          <w:tcPr>
            <w:tcW w:w="2134" w:type="dxa"/>
            <w:tcBorders>
              <w:top w:val="single" w:sz="4" w:space="0" w:color="auto"/>
              <w:left w:val="nil"/>
              <w:bottom w:val="nil"/>
              <w:right w:val="nil"/>
            </w:tcBorders>
            <w:hideMark/>
          </w:tcPr>
          <w:p w:rsidR="00A67E34" w:rsidRDefault="00A67E34" w:rsidP="00FC362F">
            <w:pPr>
              <w:pStyle w:val="BStableheading"/>
              <w:framePr w:wrap="auto" w:vAnchor="margin" w:yAlign="inline"/>
            </w:pPr>
            <w:r>
              <w:t>2017–18</w:t>
            </w:r>
          </w:p>
        </w:tc>
        <w:tc>
          <w:tcPr>
            <w:tcW w:w="1424" w:type="dxa"/>
            <w:tcBorders>
              <w:top w:val="single" w:sz="4" w:space="0" w:color="auto"/>
              <w:left w:val="nil"/>
              <w:bottom w:val="nil"/>
              <w:right w:val="nil"/>
            </w:tcBorders>
            <w:hideMark/>
          </w:tcPr>
          <w:p w:rsidR="00A67E34" w:rsidRDefault="00A67E34" w:rsidP="00FC362F">
            <w:pPr>
              <w:pStyle w:val="BStableheading"/>
              <w:framePr w:wrap="auto" w:vAnchor="margin" w:yAlign="inline"/>
            </w:pPr>
            <w:r>
              <w:t>2018–19</w:t>
            </w:r>
          </w:p>
        </w:tc>
      </w:tr>
      <w:tr w:rsidR="00A67E34" w:rsidTr="003B7110">
        <w:trPr>
          <w:trHeight w:val="263"/>
        </w:trPr>
        <w:tc>
          <w:tcPr>
            <w:tcW w:w="3861" w:type="dxa"/>
            <w:vMerge/>
            <w:tcBorders>
              <w:top w:val="single" w:sz="4" w:space="0" w:color="auto"/>
              <w:left w:val="nil"/>
              <w:bottom w:val="single" w:sz="4" w:space="0" w:color="auto"/>
              <w:right w:val="nil"/>
            </w:tcBorders>
            <w:vAlign w:val="center"/>
            <w:hideMark/>
          </w:tcPr>
          <w:p w:rsidR="00A67E34" w:rsidRDefault="00A67E34" w:rsidP="00FC362F">
            <w:pPr>
              <w:pStyle w:val="Normal2"/>
              <w:spacing w:before="0" w:after="0"/>
              <w:rPr>
                <w:b/>
                <w:bCs/>
                <w:sz w:val="20"/>
                <w:lang w:eastAsia="en-AU"/>
              </w:rPr>
            </w:pPr>
          </w:p>
        </w:tc>
        <w:tc>
          <w:tcPr>
            <w:tcW w:w="1701" w:type="dxa"/>
            <w:tcBorders>
              <w:top w:val="nil"/>
              <w:left w:val="nil"/>
              <w:bottom w:val="single" w:sz="4" w:space="0" w:color="auto"/>
              <w:right w:val="nil"/>
            </w:tcBorders>
            <w:hideMark/>
          </w:tcPr>
          <w:p w:rsidR="00A67E34" w:rsidRDefault="009C1757" w:rsidP="00FC362F">
            <w:pPr>
              <w:pStyle w:val="BStableheading"/>
              <w:framePr w:wrap="around"/>
            </w:pPr>
            <w:r>
              <w:t>T</w:t>
            </w:r>
            <w:r w:rsidR="00A67E34">
              <w:t>arget</w:t>
            </w:r>
            <w:r w:rsidR="00A67E34">
              <w:rPr>
                <w:vertAlign w:val="superscript"/>
              </w:rPr>
              <w:t>1</w:t>
            </w:r>
          </w:p>
        </w:tc>
        <w:tc>
          <w:tcPr>
            <w:tcW w:w="2134" w:type="dxa"/>
            <w:tcBorders>
              <w:top w:val="nil"/>
              <w:left w:val="nil"/>
              <w:bottom w:val="single" w:sz="4" w:space="0" w:color="auto"/>
              <w:right w:val="nil"/>
            </w:tcBorders>
            <w:hideMark/>
          </w:tcPr>
          <w:p w:rsidR="00A67E34" w:rsidRDefault="009C1757" w:rsidP="003B7110">
            <w:pPr>
              <w:pStyle w:val="BStableheading"/>
              <w:framePr w:wrap="around"/>
            </w:pPr>
            <w:r>
              <w:t>Estimated</w:t>
            </w:r>
            <w:r w:rsidR="003B7110">
              <w:t xml:space="preserve"> </w:t>
            </w:r>
            <w:r>
              <w:t>O</w:t>
            </w:r>
            <w:r w:rsidR="00A67E34">
              <w:t>utcome</w:t>
            </w:r>
          </w:p>
        </w:tc>
        <w:tc>
          <w:tcPr>
            <w:tcW w:w="1424" w:type="dxa"/>
            <w:tcBorders>
              <w:top w:val="nil"/>
              <w:left w:val="nil"/>
              <w:bottom w:val="single" w:sz="4" w:space="0" w:color="auto"/>
              <w:right w:val="nil"/>
            </w:tcBorders>
            <w:hideMark/>
          </w:tcPr>
          <w:p w:rsidR="00A67E34" w:rsidRDefault="009C1757" w:rsidP="00FC362F">
            <w:pPr>
              <w:pStyle w:val="BStableheading"/>
              <w:framePr w:wrap="around"/>
            </w:pPr>
            <w:r>
              <w:t>T</w:t>
            </w:r>
            <w:r w:rsidR="00A67E34">
              <w:t>arget</w:t>
            </w:r>
            <w:r w:rsidR="00A67E34">
              <w:rPr>
                <w:vertAlign w:val="superscript"/>
              </w:rPr>
              <w:t>1</w:t>
            </w:r>
          </w:p>
        </w:tc>
      </w:tr>
      <w:tr w:rsidR="00A67E34" w:rsidTr="003B7110">
        <w:trPr>
          <w:trHeight w:val="233"/>
        </w:trPr>
        <w:tc>
          <w:tcPr>
            <w:tcW w:w="3861" w:type="dxa"/>
            <w:hideMark/>
          </w:tcPr>
          <w:p w:rsidR="00A67E34" w:rsidRDefault="00A67E34" w:rsidP="00FC362F">
            <w:pPr>
              <w:pStyle w:val="BStabletextbold"/>
              <w:rPr>
                <w:b w:val="0"/>
                <w:shd w:val="clear" w:color="auto" w:fill="FFFF00"/>
              </w:rPr>
            </w:pPr>
            <w:r>
              <w:rPr>
                <w:b w:val="0"/>
              </w:rPr>
              <w:t>Canberra Hospital</w:t>
            </w:r>
          </w:p>
        </w:tc>
        <w:tc>
          <w:tcPr>
            <w:tcW w:w="1701" w:type="dxa"/>
            <w:vAlign w:val="bottom"/>
            <w:hideMark/>
          </w:tcPr>
          <w:p w:rsidR="00A67E34" w:rsidRPr="00C03469" w:rsidRDefault="00A67E34" w:rsidP="00FC362F">
            <w:pPr>
              <w:pStyle w:val="BStablefigures"/>
            </w:pPr>
            <w:r w:rsidRPr="00C03469">
              <w:t>&lt;2.0%</w:t>
            </w:r>
          </w:p>
        </w:tc>
        <w:tc>
          <w:tcPr>
            <w:tcW w:w="2134" w:type="dxa"/>
            <w:hideMark/>
          </w:tcPr>
          <w:p w:rsidR="00A67E34" w:rsidRPr="00C03469" w:rsidRDefault="00A67E34" w:rsidP="00FC362F">
            <w:pPr>
              <w:pStyle w:val="BStablefigures"/>
            </w:pPr>
            <w:r>
              <w:t>1.3</w:t>
            </w:r>
            <w:r w:rsidRPr="00C03469">
              <w:t>%</w:t>
            </w:r>
          </w:p>
        </w:tc>
        <w:tc>
          <w:tcPr>
            <w:tcW w:w="1424" w:type="dxa"/>
            <w:hideMark/>
          </w:tcPr>
          <w:p w:rsidR="00A67E34" w:rsidRPr="00C03469" w:rsidRDefault="00A67E34" w:rsidP="00FC362F">
            <w:pPr>
              <w:pStyle w:val="BStablefigures"/>
            </w:pPr>
            <w:r w:rsidRPr="00C03469">
              <w:t>&lt;2.0%</w:t>
            </w:r>
          </w:p>
        </w:tc>
      </w:tr>
      <w:tr w:rsidR="00A67E34" w:rsidTr="003B7110">
        <w:trPr>
          <w:trHeight w:val="233"/>
        </w:trPr>
        <w:tc>
          <w:tcPr>
            <w:tcW w:w="3861" w:type="dxa"/>
            <w:tcBorders>
              <w:top w:val="nil"/>
              <w:left w:val="nil"/>
              <w:bottom w:val="single" w:sz="4" w:space="0" w:color="auto"/>
              <w:right w:val="nil"/>
            </w:tcBorders>
            <w:hideMark/>
          </w:tcPr>
          <w:p w:rsidR="00A67E34" w:rsidRDefault="00A67E34" w:rsidP="00FC362F">
            <w:pPr>
              <w:pStyle w:val="BStabletextbold"/>
              <w:rPr>
                <w:b w:val="0"/>
                <w:shd w:val="clear" w:color="auto" w:fill="FFFF00"/>
              </w:rPr>
            </w:pPr>
            <w:r>
              <w:rPr>
                <w:b w:val="0"/>
              </w:rPr>
              <w:t>Calvary Public Hospital</w:t>
            </w:r>
          </w:p>
        </w:tc>
        <w:tc>
          <w:tcPr>
            <w:tcW w:w="1701" w:type="dxa"/>
            <w:tcBorders>
              <w:top w:val="nil"/>
              <w:left w:val="nil"/>
              <w:bottom w:val="single" w:sz="4" w:space="0" w:color="auto"/>
              <w:right w:val="nil"/>
            </w:tcBorders>
            <w:vAlign w:val="bottom"/>
            <w:hideMark/>
          </w:tcPr>
          <w:p w:rsidR="00A67E34" w:rsidRPr="00C03469" w:rsidRDefault="00A67E34" w:rsidP="00FC362F">
            <w:pPr>
              <w:pStyle w:val="BStablefigures"/>
            </w:pPr>
            <w:r w:rsidRPr="00C03469">
              <w:t>&lt;1.0%</w:t>
            </w:r>
          </w:p>
        </w:tc>
        <w:tc>
          <w:tcPr>
            <w:tcW w:w="2134" w:type="dxa"/>
            <w:tcBorders>
              <w:top w:val="nil"/>
              <w:left w:val="nil"/>
              <w:bottom w:val="single" w:sz="4" w:space="0" w:color="auto"/>
              <w:right w:val="nil"/>
            </w:tcBorders>
            <w:hideMark/>
          </w:tcPr>
          <w:p w:rsidR="00A67E34" w:rsidRPr="00C03469" w:rsidRDefault="00A67E34" w:rsidP="00FC362F">
            <w:pPr>
              <w:pStyle w:val="BStablefigures"/>
            </w:pPr>
            <w:r>
              <w:t>0.5</w:t>
            </w:r>
            <w:r w:rsidRPr="00C03469">
              <w:t>%</w:t>
            </w:r>
          </w:p>
        </w:tc>
        <w:tc>
          <w:tcPr>
            <w:tcW w:w="1424" w:type="dxa"/>
            <w:tcBorders>
              <w:top w:val="nil"/>
              <w:left w:val="nil"/>
              <w:bottom w:val="single" w:sz="4" w:space="0" w:color="auto"/>
              <w:right w:val="nil"/>
            </w:tcBorders>
            <w:hideMark/>
          </w:tcPr>
          <w:p w:rsidR="00A67E34" w:rsidRPr="00C03469" w:rsidRDefault="00A67E34" w:rsidP="00FC362F">
            <w:pPr>
              <w:pStyle w:val="BStablefigures"/>
            </w:pPr>
            <w:r w:rsidRPr="00C03469">
              <w:t>&lt;1.0%</w:t>
            </w:r>
          </w:p>
        </w:tc>
      </w:tr>
    </w:tbl>
    <w:p w:rsidR="00A67E34" w:rsidRDefault="00A67E34" w:rsidP="00A67E34">
      <w:pPr>
        <w:pStyle w:val="BSnote0"/>
        <w:ind w:firstLine="142"/>
        <w:rPr>
          <w:sz w:val="16"/>
        </w:rPr>
      </w:pPr>
      <w:r>
        <w:rPr>
          <w:sz w:val="16"/>
        </w:rPr>
        <w:t>Note:</w:t>
      </w:r>
    </w:p>
    <w:p w:rsidR="00A67E34" w:rsidRDefault="00A67E34" w:rsidP="00CA0839">
      <w:pPr>
        <w:pStyle w:val="BSnoteslist1"/>
        <w:numPr>
          <w:ilvl w:val="0"/>
          <w:numId w:val="50"/>
        </w:numPr>
        <w:rPr>
          <w:sz w:val="16"/>
          <w:szCs w:val="16"/>
        </w:rPr>
      </w:pPr>
      <w:r>
        <w:rPr>
          <w:sz w:val="16"/>
          <w:szCs w:val="16"/>
        </w:rPr>
        <w:t>Hospital targets are based on similar rates for peer hospitals – based on the Australian Council of Healthcare Standards (ACHS).</w:t>
      </w:r>
    </w:p>
    <w:p w:rsidR="00A67E34" w:rsidRDefault="00A67E34" w:rsidP="00A67E34">
      <w:pPr>
        <w:pStyle w:val="Normal02"/>
        <w:spacing w:before="0" w:after="0"/>
      </w:pPr>
    </w:p>
    <w:p w:rsidR="00A67E34" w:rsidRDefault="00A67E34" w:rsidP="00A67E34">
      <w:pPr>
        <w:pStyle w:val="Normal02"/>
        <w:spacing w:after="0"/>
        <w:rPr>
          <w:vanish/>
        </w:rPr>
      </w:pPr>
    </w:p>
    <w:p w:rsidR="00A67E34" w:rsidRDefault="00A6692D" w:rsidP="00A67E34">
      <w:pPr>
        <w:pStyle w:val="Heading3TopofPage"/>
        <w:spacing w:before="200"/>
      </w:pPr>
      <w:bookmarkStart w:id="236" w:name="_Toc484069707"/>
      <w:bookmarkStart w:id="237" w:name="_Toc483919460"/>
      <w:bookmarkStart w:id="238" w:name="_Toc483560965"/>
      <w:bookmarkStart w:id="239" w:name="_Toc483492183"/>
      <w:bookmarkStart w:id="240" w:name="_Toc514764152"/>
      <w:bookmarkStart w:id="241" w:name="_Toc514765778"/>
      <w:bookmarkStart w:id="242" w:name="_Toc514832402"/>
      <w:bookmarkStart w:id="243" w:name="_Toc514832585"/>
      <w:r>
        <w:rPr>
          <w:rFonts w:ascii="Calibri" w:hAnsi="Calibri" w:cs="Arial"/>
          <w:kern w:val="28"/>
          <w:szCs w:val="24"/>
        </w:rPr>
        <w:t>Strategic I</w:t>
      </w:r>
      <w:r w:rsidR="00A67E34">
        <w:rPr>
          <w:rFonts w:ascii="Calibri" w:hAnsi="Calibri" w:cs="Arial"/>
          <w:kern w:val="28"/>
          <w:szCs w:val="24"/>
        </w:rPr>
        <w:t>ndicator 3.3:</w:t>
      </w:r>
      <w:r w:rsidR="00A67E34">
        <w:t xml:space="preserve">  </w:t>
      </w:r>
      <w:r w:rsidR="00A67E34">
        <w:rPr>
          <w:rFonts w:ascii="Calibri" w:hAnsi="Calibri" w:cs="Arial"/>
          <w:b w:val="0"/>
          <w:kern w:val="28"/>
          <w:szCs w:val="24"/>
        </w:rPr>
        <w:t>The number of people admitted to hospitals per 10,000 occupied bed days who acquire a Staphylococcus Aureus Bacteraemia infection (SAB infection) during their stay</w:t>
      </w:r>
      <w:bookmarkEnd w:id="236"/>
      <w:bookmarkEnd w:id="237"/>
      <w:bookmarkEnd w:id="238"/>
      <w:bookmarkEnd w:id="239"/>
      <w:bookmarkEnd w:id="240"/>
      <w:bookmarkEnd w:id="241"/>
      <w:bookmarkEnd w:id="242"/>
      <w:bookmarkEnd w:id="243"/>
    </w:p>
    <w:p w:rsidR="00A67E34" w:rsidRDefault="00A67E34" w:rsidP="00A67E34">
      <w:pPr>
        <w:pStyle w:val="BodyText0"/>
        <w:spacing w:before="200"/>
      </w:pPr>
      <w:r>
        <w:t>This provides an indication of the safety of hospital based services.</w:t>
      </w:r>
    </w:p>
    <w:p w:rsidR="00A67E34" w:rsidRDefault="00A67E34" w:rsidP="00A67E34">
      <w:pPr>
        <w:pStyle w:val="Caption"/>
      </w:pPr>
      <w:r>
        <w:rPr>
          <w:color w:val="auto"/>
        </w:rPr>
        <w:t>Table 6</w:t>
      </w:r>
      <w:r>
        <w:t>: The number of people admitted to hospitals per 10,000 occupied bed days who acquire a Staphylococcus Aureus Bacteraemia infection (SAB infection) during their stay</w:t>
      </w:r>
    </w:p>
    <w:tbl>
      <w:tblPr>
        <w:tblW w:w="9120" w:type="dxa"/>
        <w:tblInd w:w="108" w:type="dxa"/>
        <w:tblLayout w:type="fixed"/>
        <w:tblLook w:val="04A0" w:firstRow="1" w:lastRow="0" w:firstColumn="1" w:lastColumn="0" w:noHBand="0" w:noVBand="1"/>
      </w:tblPr>
      <w:tblGrid>
        <w:gridCol w:w="4003"/>
        <w:gridCol w:w="1559"/>
        <w:gridCol w:w="1951"/>
        <w:gridCol w:w="1607"/>
      </w:tblGrid>
      <w:tr w:rsidR="00A67E34" w:rsidTr="003B7110">
        <w:trPr>
          <w:trHeight w:val="147"/>
        </w:trPr>
        <w:tc>
          <w:tcPr>
            <w:tcW w:w="4003" w:type="dxa"/>
            <w:vMerge w:val="restart"/>
            <w:tcBorders>
              <w:top w:val="single" w:sz="4" w:space="0" w:color="auto"/>
              <w:left w:val="nil"/>
              <w:bottom w:val="single" w:sz="4" w:space="0" w:color="auto"/>
              <w:right w:val="nil"/>
            </w:tcBorders>
            <w:vAlign w:val="center"/>
          </w:tcPr>
          <w:p w:rsidR="00A67E34" w:rsidRDefault="00A67E34" w:rsidP="00FC362F">
            <w:pPr>
              <w:pStyle w:val="BStabletext"/>
            </w:pPr>
          </w:p>
        </w:tc>
        <w:tc>
          <w:tcPr>
            <w:tcW w:w="1559" w:type="dxa"/>
            <w:tcBorders>
              <w:top w:val="single" w:sz="4" w:space="0" w:color="auto"/>
              <w:left w:val="nil"/>
              <w:bottom w:val="nil"/>
              <w:right w:val="nil"/>
            </w:tcBorders>
            <w:vAlign w:val="bottom"/>
            <w:hideMark/>
          </w:tcPr>
          <w:p w:rsidR="00A67E34" w:rsidRDefault="00A67E34" w:rsidP="00FC362F">
            <w:pPr>
              <w:pStyle w:val="BStableheading"/>
              <w:framePr w:wrap="auto" w:vAnchor="margin" w:yAlign="inline"/>
            </w:pPr>
            <w:r>
              <w:t>2017–18</w:t>
            </w:r>
          </w:p>
        </w:tc>
        <w:tc>
          <w:tcPr>
            <w:tcW w:w="1951" w:type="dxa"/>
            <w:tcBorders>
              <w:top w:val="single" w:sz="4" w:space="0" w:color="auto"/>
              <w:left w:val="nil"/>
              <w:bottom w:val="nil"/>
              <w:right w:val="nil"/>
            </w:tcBorders>
            <w:vAlign w:val="bottom"/>
            <w:hideMark/>
          </w:tcPr>
          <w:p w:rsidR="00A67E34" w:rsidRDefault="00A67E34" w:rsidP="00FC362F">
            <w:pPr>
              <w:pStyle w:val="BStableheading"/>
              <w:framePr w:wrap="auto" w:vAnchor="margin" w:yAlign="inline"/>
            </w:pPr>
            <w:r>
              <w:t>2017–18</w:t>
            </w:r>
          </w:p>
        </w:tc>
        <w:tc>
          <w:tcPr>
            <w:tcW w:w="1607" w:type="dxa"/>
            <w:tcBorders>
              <w:top w:val="single" w:sz="4" w:space="0" w:color="auto"/>
              <w:left w:val="nil"/>
              <w:bottom w:val="nil"/>
              <w:right w:val="nil"/>
            </w:tcBorders>
            <w:vAlign w:val="bottom"/>
            <w:hideMark/>
          </w:tcPr>
          <w:p w:rsidR="00A67E34" w:rsidRDefault="00A67E34" w:rsidP="00FC362F">
            <w:pPr>
              <w:pStyle w:val="BStableheading"/>
              <w:framePr w:wrap="auto" w:vAnchor="margin" w:yAlign="inline"/>
            </w:pPr>
            <w:r>
              <w:t>2018–19</w:t>
            </w:r>
          </w:p>
        </w:tc>
      </w:tr>
      <w:tr w:rsidR="00A67E34" w:rsidTr="003B7110">
        <w:trPr>
          <w:trHeight w:val="263"/>
        </w:trPr>
        <w:tc>
          <w:tcPr>
            <w:tcW w:w="4003" w:type="dxa"/>
            <w:vMerge/>
            <w:tcBorders>
              <w:top w:val="single" w:sz="4" w:space="0" w:color="auto"/>
              <w:left w:val="nil"/>
              <w:bottom w:val="single" w:sz="4" w:space="0" w:color="auto"/>
              <w:right w:val="nil"/>
            </w:tcBorders>
            <w:vAlign w:val="center"/>
            <w:hideMark/>
          </w:tcPr>
          <w:p w:rsidR="00A67E34" w:rsidRDefault="00A67E34" w:rsidP="00FC362F">
            <w:pPr>
              <w:pStyle w:val="Normal2"/>
              <w:spacing w:before="0" w:after="0"/>
              <w:rPr>
                <w:b/>
                <w:bCs/>
                <w:sz w:val="20"/>
                <w:lang w:eastAsia="en-AU"/>
              </w:rPr>
            </w:pPr>
          </w:p>
        </w:tc>
        <w:tc>
          <w:tcPr>
            <w:tcW w:w="1559" w:type="dxa"/>
            <w:tcBorders>
              <w:top w:val="nil"/>
              <w:left w:val="nil"/>
              <w:bottom w:val="single" w:sz="4" w:space="0" w:color="auto"/>
              <w:right w:val="nil"/>
            </w:tcBorders>
            <w:vAlign w:val="bottom"/>
            <w:hideMark/>
          </w:tcPr>
          <w:p w:rsidR="00A67E34" w:rsidRDefault="009C1757" w:rsidP="00FC362F">
            <w:pPr>
              <w:pStyle w:val="BStableheading"/>
              <w:framePr w:wrap="around"/>
            </w:pPr>
            <w:r>
              <w:t>T</w:t>
            </w:r>
            <w:r w:rsidR="00A67E34">
              <w:t>arget</w:t>
            </w:r>
            <w:r w:rsidR="00A67E34">
              <w:rPr>
                <w:vertAlign w:val="superscript"/>
              </w:rPr>
              <w:t>1</w:t>
            </w:r>
          </w:p>
        </w:tc>
        <w:tc>
          <w:tcPr>
            <w:tcW w:w="1951" w:type="dxa"/>
            <w:tcBorders>
              <w:top w:val="nil"/>
              <w:left w:val="nil"/>
              <w:bottom w:val="single" w:sz="4" w:space="0" w:color="auto"/>
              <w:right w:val="nil"/>
            </w:tcBorders>
            <w:vAlign w:val="bottom"/>
            <w:hideMark/>
          </w:tcPr>
          <w:p w:rsidR="00A67E34" w:rsidRDefault="009C1757" w:rsidP="003B7110">
            <w:pPr>
              <w:pStyle w:val="BStableheading"/>
              <w:framePr w:wrap="around"/>
            </w:pPr>
            <w:r>
              <w:t xml:space="preserve"> Estimated</w:t>
            </w:r>
            <w:r w:rsidR="003B7110">
              <w:t xml:space="preserve"> </w:t>
            </w:r>
            <w:r>
              <w:t>O</w:t>
            </w:r>
            <w:r w:rsidR="00A67E34">
              <w:t>utcome</w:t>
            </w:r>
          </w:p>
        </w:tc>
        <w:tc>
          <w:tcPr>
            <w:tcW w:w="1607" w:type="dxa"/>
            <w:tcBorders>
              <w:top w:val="nil"/>
              <w:left w:val="nil"/>
              <w:bottom w:val="single" w:sz="4" w:space="0" w:color="auto"/>
              <w:right w:val="nil"/>
            </w:tcBorders>
            <w:vAlign w:val="bottom"/>
            <w:hideMark/>
          </w:tcPr>
          <w:p w:rsidR="00A67E34" w:rsidRDefault="009C1757" w:rsidP="00FC362F">
            <w:pPr>
              <w:pStyle w:val="BStableheading"/>
              <w:framePr w:wrap="around"/>
            </w:pPr>
            <w:r>
              <w:t>T</w:t>
            </w:r>
            <w:r w:rsidR="00A67E34">
              <w:t>arget</w:t>
            </w:r>
            <w:r w:rsidR="00A67E34">
              <w:rPr>
                <w:vertAlign w:val="superscript"/>
              </w:rPr>
              <w:t>1</w:t>
            </w:r>
          </w:p>
        </w:tc>
      </w:tr>
      <w:tr w:rsidR="00A67E34" w:rsidTr="003B7110">
        <w:trPr>
          <w:trHeight w:val="233"/>
        </w:trPr>
        <w:tc>
          <w:tcPr>
            <w:tcW w:w="4003" w:type="dxa"/>
            <w:vAlign w:val="bottom"/>
            <w:hideMark/>
          </w:tcPr>
          <w:p w:rsidR="00A67E34" w:rsidRDefault="00A67E34" w:rsidP="00FC362F">
            <w:pPr>
              <w:pStyle w:val="BStabletextbold"/>
              <w:rPr>
                <w:b w:val="0"/>
                <w:shd w:val="clear" w:color="auto" w:fill="FFFF00"/>
              </w:rPr>
            </w:pPr>
            <w:r>
              <w:rPr>
                <w:b w:val="0"/>
              </w:rPr>
              <w:t>Canberra Hospital</w:t>
            </w:r>
          </w:p>
        </w:tc>
        <w:tc>
          <w:tcPr>
            <w:tcW w:w="1559" w:type="dxa"/>
            <w:vAlign w:val="bottom"/>
            <w:hideMark/>
          </w:tcPr>
          <w:p w:rsidR="00A67E34" w:rsidRPr="00C03469" w:rsidRDefault="00A67E34" w:rsidP="00FC362F">
            <w:pPr>
              <w:pStyle w:val="BStablefigures"/>
            </w:pPr>
            <w:r w:rsidRPr="00C03469">
              <w:t>&lt;2</w:t>
            </w:r>
            <w:r>
              <w:t>.0</w:t>
            </w:r>
            <w:r w:rsidRPr="00C03469">
              <w:t xml:space="preserve"> per 10,000</w:t>
            </w:r>
          </w:p>
        </w:tc>
        <w:tc>
          <w:tcPr>
            <w:tcW w:w="1951" w:type="dxa"/>
            <w:vAlign w:val="bottom"/>
            <w:hideMark/>
          </w:tcPr>
          <w:p w:rsidR="00A67E34" w:rsidRPr="00C03469" w:rsidRDefault="00A67E34" w:rsidP="00FC362F">
            <w:pPr>
              <w:pStyle w:val="BStablefigures"/>
            </w:pPr>
            <w:r>
              <w:t>1.1</w:t>
            </w:r>
            <w:r w:rsidRPr="00C03469">
              <w:t xml:space="preserve"> per 10,000</w:t>
            </w:r>
          </w:p>
        </w:tc>
        <w:tc>
          <w:tcPr>
            <w:tcW w:w="1607" w:type="dxa"/>
            <w:vAlign w:val="bottom"/>
            <w:hideMark/>
          </w:tcPr>
          <w:p w:rsidR="00A67E34" w:rsidRPr="00C03469" w:rsidRDefault="00A67E34" w:rsidP="00FC362F">
            <w:pPr>
              <w:pStyle w:val="BStablefigures"/>
            </w:pPr>
            <w:r w:rsidRPr="00C03469">
              <w:t>&lt;2</w:t>
            </w:r>
            <w:r>
              <w:t>.0</w:t>
            </w:r>
            <w:r w:rsidRPr="00C03469">
              <w:t xml:space="preserve"> per 10,000</w:t>
            </w:r>
          </w:p>
        </w:tc>
      </w:tr>
      <w:tr w:rsidR="00A67E34" w:rsidTr="003B7110">
        <w:trPr>
          <w:trHeight w:val="233"/>
        </w:trPr>
        <w:tc>
          <w:tcPr>
            <w:tcW w:w="4003" w:type="dxa"/>
            <w:tcBorders>
              <w:top w:val="nil"/>
              <w:left w:val="nil"/>
              <w:bottom w:val="single" w:sz="4" w:space="0" w:color="auto"/>
              <w:right w:val="nil"/>
            </w:tcBorders>
            <w:vAlign w:val="bottom"/>
            <w:hideMark/>
          </w:tcPr>
          <w:p w:rsidR="00A67E34" w:rsidRDefault="00A67E34" w:rsidP="00FC362F">
            <w:pPr>
              <w:pStyle w:val="BStabletextbold"/>
              <w:rPr>
                <w:b w:val="0"/>
                <w:shd w:val="clear" w:color="auto" w:fill="FFFF00"/>
              </w:rPr>
            </w:pPr>
            <w:r>
              <w:rPr>
                <w:b w:val="0"/>
              </w:rPr>
              <w:t>Calvary Public Hospital</w:t>
            </w:r>
          </w:p>
        </w:tc>
        <w:tc>
          <w:tcPr>
            <w:tcW w:w="1559" w:type="dxa"/>
            <w:tcBorders>
              <w:top w:val="nil"/>
              <w:left w:val="nil"/>
              <w:bottom w:val="single" w:sz="4" w:space="0" w:color="auto"/>
              <w:right w:val="nil"/>
            </w:tcBorders>
            <w:vAlign w:val="bottom"/>
            <w:hideMark/>
          </w:tcPr>
          <w:p w:rsidR="00A67E34" w:rsidRPr="00C03469" w:rsidRDefault="00A67E34" w:rsidP="00FC362F">
            <w:pPr>
              <w:pStyle w:val="BStablefigures"/>
            </w:pPr>
            <w:r w:rsidRPr="00C03469">
              <w:t>&lt;2</w:t>
            </w:r>
            <w:r>
              <w:t>.0</w:t>
            </w:r>
            <w:r w:rsidRPr="00C03469">
              <w:t xml:space="preserve"> per 10,000</w:t>
            </w:r>
          </w:p>
        </w:tc>
        <w:tc>
          <w:tcPr>
            <w:tcW w:w="1951" w:type="dxa"/>
            <w:tcBorders>
              <w:top w:val="nil"/>
              <w:left w:val="nil"/>
              <w:bottom w:val="single" w:sz="4" w:space="0" w:color="auto"/>
              <w:right w:val="nil"/>
            </w:tcBorders>
            <w:vAlign w:val="bottom"/>
            <w:hideMark/>
          </w:tcPr>
          <w:p w:rsidR="00A67E34" w:rsidRPr="00C03469" w:rsidRDefault="00A67E34" w:rsidP="00FC362F">
            <w:pPr>
              <w:pStyle w:val="BStablefigures"/>
            </w:pPr>
            <w:r>
              <w:t>0.2</w:t>
            </w:r>
            <w:r w:rsidRPr="00C03469">
              <w:t xml:space="preserve"> per 10,000</w:t>
            </w:r>
          </w:p>
        </w:tc>
        <w:tc>
          <w:tcPr>
            <w:tcW w:w="1607" w:type="dxa"/>
            <w:tcBorders>
              <w:top w:val="nil"/>
              <w:left w:val="nil"/>
              <w:bottom w:val="single" w:sz="4" w:space="0" w:color="auto"/>
              <w:right w:val="nil"/>
            </w:tcBorders>
            <w:vAlign w:val="bottom"/>
            <w:hideMark/>
          </w:tcPr>
          <w:p w:rsidR="00A67E34" w:rsidRPr="00C03469" w:rsidRDefault="00A67E34" w:rsidP="00FC362F">
            <w:pPr>
              <w:pStyle w:val="BStablefigures"/>
            </w:pPr>
            <w:r w:rsidRPr="00C03469">
              <w:t>&lt;2</w:t>
            </w:r>
            <w:r>
              <w:t>.0</w:t>
            </w:r>
            <w:r w:rsidRPr="00C03469">
              <w:t xml:space="preserve"> per 10,000</w:t>
            </w:r>
          </w:p>
        </w:tc>
      </w:tr>
    </w:tbl>
    <w:p w:rsidR="00A67E34" w:rsidRDefault="00A67E34" w:rsidP="00A67E34">
      <w:pPr>
        <w:pStyle w:val="BSnote0"/>
        <w:ind w:firstLine="142"/>
        <w:rPr>
          <w:sz w:val="16"/>
        </w:rPr>
      </w:pPr>
      <w:r>
        <w:rPr>
          <w:sz w:val="16"/>
        </w:rPr>
        <w:t>Note:</w:t>
      </w:r>
    </w:p>
    <w:p w:rsidR="00A67E34" w:rsidRDefault="00A67E34" w:rsidP="00CA0839">
      <w:pPr>
        <w:pStyle w:val="BSnoteslist1"/>
        <w:numPr>
          <w:ilvl w:val="0"/>
          <w:numId w:val="51"/>
        </w:numPr>
        <w:rPr>
          <w:sz w:val="16"/>
          <w:szCs w:val="16"/>
        </w:rPr>
      </w:pPr>
      <w:r>
        <w:rPr>
          <w:sz w:val="16"/>
          <w:szCs w:val="16"/>
        </w:rPr>
        <w:t>Hospital targets are based on similar rates for peer hospitals – based on the Australian Council of Healthcare Standards (ACHS).</w:t>
      </w:r>
    </w:p>
    <w:p w:rsidR="00A67E34" w:rsidRDefault="00A67E34" w:rsidP="00A67E34">
      <w:pPr>
        <w:pStyle w:val="Normal02"/>
        <w:spacing w:before="0" w:after="0"/>
      </w:pPr>
    </w:p>
    <w:p w:rsidR="00A67E34" w:rsidRDefault="00A6692D" w:rsidP="00A67E34">
      <w:pPr>
        <w:pStyle w:val="SILabel"/>
        <w:spacing w:before="200"/>
        <w:rPr>
          <w:rFonts w:ascii="Calibri" w:hAnsi="Calibri"/>
          <w:sz w:val="24"/>
          <w:szCs w:val="24"/>
        </w:rPr>
      </w:pPr>
      <w:bookmarkStart w:id="244" w:name="_Toc484069708"/>
      <w:bookmarkStart w:id="245" w:name="_Toc483919461"/>
      <w:bookmarkStart w:id="246" w:name="_Toc483560966"/>
      <w:bookmarkStart w:id="247" w:name="_Toc483492184"/>
      <w:bookmarkStart w:id="248" w:name="_Toc514764153"/>
      <w:bookmarkStart w:id="249" w:name="_Toc514765779"/>
      <w:bookmarkStart w:id="250" w:name="_Toc514832403"/>
      <w:bookmarkStart w:id="251" w:name="_Toc514832586"/>
      <w:r>
        <w:rPr>
          <w:rFonts w:ascii="Calibri" w:hAnsi="Calibri"/>
          <w:sz w:val="24"/>
          <w:szCs w:val="24"/>
        </w:rPr>
        <w:t>Strategic I</w:t>
      </w:r>
      <w:r w:rsidR="00A67E34">
        <w:rPr>
          <w:rFonts w:ascii="Calibri" w:hAnsi="Calibri"/>
          <w:sz w:val="24"/>
          <w:szCs w:val="24"/>
        </w:rPr>
        <w:t xml:space="preserve">ndicator 3.4:  </w:t>
      </w:r>
      <w:r w:rsidR="00A67E34">
        <w:rPr>
          <w:rFonts w:ascii="Calibri" w:hAnsi="Calibri"/>
          <w:b w:val="0"/>
          <w:sz w:val="24"/>
          <w:szCs w:val="24"/>
        </w:rPr>
        <w:t>The estimated hand hygiene rate</w:t>
      </w:r>
      <w:bookmarkEnd w:id="244"/>
      <w:bookmarkEnd w:id="245"/>
      <w:bookmarkEnd w:id="246"/>
      <w:bookmarkEnd w:id="247"/>
      <w:bookmarkEnd w:id="248"/>
      <w:bookmarkEnd w:id="249"/>
      <w:bookmarkEnd w:id="250"/>
      <w:bookmarkEnd w:id="251"/>
    </w:p>
    <w:p w:rsidR="00A67E34" w:rsidRDefault="00A67E34" w:rsidP="00A67E34">
      <w:pPr>
        <w:pStyle w:val="BodyText0"/>
        <w:spacing w:before="200"/>
      </w:pPr>
      <w:r>
        <w:t>The estimated hand hygiene rate for a hospital is a measure of how often (as a percentage) hand hygiene is correctly performed.</w:t>
      </w:r>
    </w:p>
    <w:p w:rsidR="00A67E34" w:rsidRDefault="00A67E34" w:rsidP="00A67E34">
      <w:pPr>
        <w:pStyle w:val="BodyText0"/>
      </w:pPr>
      <w:r>
        <w:t>It is calculated by dividing the number of observed hand hygiene 'moments' where proper hand hygiene was practiced in a specified audit period, by the total number of observed hand hygiene 'moments' in the same audit period.</w:t>
      </w:r>
    </w:p>
    <w:p w:rsidR="00A67E34" w:rsidRDefault="00A67E34" w:rsidP="00A67E34">
      <w:pPr>
        <w:pStyle w:val="Caption"/>
      </w:pPr>
      <w:r>
        <w:rPr>
          <w:color w:val="auto"/>
        </w:rPr>
        <w:t>Table 7</w:t>
      </w:r>
      <w:r w:rsidR="00A6692D">
        <w:t>: Estimated H</w:t>
      </w:r>
      <w:r>
        <w:t>and</w:t>
      </w:r>
      <w:r w:rsidR="00A6692D">
        <w:t xml:space="preserve"> H</w:t>
      </w:r>
      <w:r>
        <w:t xml:space="preserve">ygiene </w:t>
      </w:r>
      <w:r w:rsidR="00A6692D">
        <w:t>R</w:t>
      </w:r>
      <w:r>
        <w:t>ate</w:t>
      </w:r>
    </w:p>
    <w:tbl>
      <w:tblPr>
        <w:tblW w:w="9120" w:type="dxa"/>
        <w:tblInd w:w="108" w:type="dxa"/>
        <w:tblLayout w:type="fixed"/>
        <w:tblLook w:val="04A0" w:firstRow="1" w:lastRow="0" w:firstColumn="1" w:lastColumn="0" w:noHBand="0" w:noVBand="1"/>
      </w:tblPr>
      <w:tblGrid>
        <w:gridCol w:w="4003"/>
        <w:gridCol w:w="1701"/>
        <w:gridCol w:w="1992"/>
        <w:gridCol w:w="1424"/>
      </w:tblGrid>
      <w:tr w:rsidR="00A67E34" w:rsidTr="003B7110">
        <w:trPr>
          <w:trHeight w:val="147"/>
        </w:trPr>
        <w:tc>
          <w:tcPr>
            <w:tcW w:w="4003" w:type="dxa"/>
            <w:vMerge w:val="restart"/>
            <w:tcBorders>
              <w:top w:val="single" w:sz="4" w:space="0" w:color="auto"/>
              <w:left w:val="nil"/>
              <w:bottom w:val="single" w:sz="4" w:space="0" w:color="auto"/>
              <w:right w:val="nil"/>
            </w:tcBorders>
            <w:vAlign w:val="center"/>
          </w:tcPr>
          <w:p w:rsidR="00A67E34" w:rsidRDefault="00A67E34" w:rsidP="00FC362F">
            <w:pPr>
              <w:pStyle w:val="BStabletext"/>
            </w:pPr>
          </w:p>
        </w:tc>
        <w:tc>
          <w:tcPr>
            <w:tcW w:w="1701" w:type="dxa"/>
            <w:tcBorders>
              <w:top w:val="single" w:sz="4" w:space="0" w:color="auto"/>
              <w:left w:val="nil"/>
              <w:bottom w:val="nil"/>
              <w:right w:val="nil"/>
            </w:tcBorders>
            <w:hideMark/>
          </w:tcPr>
          <w:p w:rsidR="00A67E34" w:rsidRDefault="00A67E34" w:rsidP="00FC362F">
            <w:pPr>
              <w:pStyle w:val="BStableheading"/>
              <w:framePr w:wrap="auto" w:vAnchor="margin" w:yAlign="inline"/>
            </w:pPr>
            <w:r>
              <w:t>2017–18</w:t>
            </w:r>
          </w:p>
        </w:tc>
        <w:tc>
          <w:tcPr>
            <w:tcW w:w="1992" w:type="dxa"/>
            <w:tcBorders>
              <w:top w:val="single" w:sz="4" w:space="0" w:color="auto"/>
              <w:left w:val="nil"/>
              <w:bottom w:val="nil"/>
              <w:right w:val="nil"/>
            </w:tcBorders>
            <w:hideMark/>
          </w:tcPr>
          <w:p w:rsidR="00A67E34" w:rsidRDefault="00A67E34" w:rsidP="00FC362F">
            <w:pPr>
              <w:pStyle w:val="BStableheading"/>
              <w:framePr w:wrap="auto" w:vAnchor="margin" w:yAlign="inline"/>
            </w:pPr>
            <w:r>
              <w:t>2017–18</w:t>
            </w:r>
          </w:p>
        </w:tc>
        <w:tc>
          <w:tcPr>
            <w:tcW w:w="1424" w:type="dxa"/>
            <w:tcBorders>
              <w:top w:val="single" w:sz="4" w:space="0" w:color="auto"/>
              <w:left w:val="nil"/>
              <w:bottom w:val="nil"/>
              <w:right w:val="nil"/>
            </w:tcBorders>
            <w:hideMark/>
          </w:tcPr>
          <w:p w:rsidR="00A67E34" w:rsidRDefault="00A67E34" w:rsidP="00FC362F">
            <w:pPr>
              <w:pStyle w:val="BStableheading"/>
              <w:framePr w:wrap="auto" w:vAnchor="margin" w:yAlign="inline"/>
            </w:pPr>
            <w:r>
              <w:t>2018–19</w:t>
            </w:r>
          </w:p>
        </w:tc>
      </w:tr>
      <w:tr w:rsidR="00A67E34" w:rsidTr="003B7110">
        <w:trPr>
          <w:trHeight w:val="263"/>
        </w:trPr>
        <w:tc>
          <w:tcPr>
            <w:tcW w:w="4003" w:type="dxa"/>
            <w:vMerge/>
            <w:tcBorders>
              <w:top w:val="single" w:sz="4" w:space="0" w:color="auto"/>
              <w:left w:val="nil"/>
              <w:bottom w:val="single" w:sz="4" w:space="0" w:color="auto"/>
              <w:right w:val="nil"/>
            </w:tcBorders>
            <w:vAlign w:val="center"/>
            <w:hideMark/>
          </w:tcPr>
          <w:p w:rsidR="00A67E34" w:rsidRDefault="00A67E34" w:rsidP="00FC362F">
            <w:pPr>
              <w:pStyle w:val="Normal2"/>
              <w:spacing w:before="0" w:after="0"/>
              <w:rPr>
                <w:b/>
                <w:bCs/>
                <w:sz w:val="20"/>
                <w:lang w:eastAsia="en-AU"/>
              </w:rPr>
            </w:pPr>
          </w:p>
        </w:tc>
        <w:tc>
          <w:tcPr>
            <w:tcW w:w="1701" w:type="dxa"/>
            <w:tcBorders>
              <w:top w:val="nil"/>
              <w:left w:val="nil"/>
              <w:bottom w:val="single" w:sz="4" w:space="0" w:color="auto"/>
              <w:right w:val="nil"/>
            </w:tcBorders>
            <w:hideMark/>
          </w:tcPr>
          <w:p w:rsidR="00A67E34" w:rsidRDefault="009C1757" w:rsidP="00FC362F">
            <w:pPr>
              <w:pStyle w:val="BStableheading"/>
              <w:framePr w:wrap="around"/>
            </w:pPr>
            <w:r>
              <w:t>T</w:t>
            </w:r>
            <w:r w:rsidR="00A67E34">
              <w:t>arget</w:t>
            </w:r>
            <w:r w:rsidR="00A67E34">
              <w:rPr>
                <w:vertAlign w:val="superscript"/>
              </w:rPr>
              <w:t>1</w:t>
            </w:r>
          </w:p>
        </w:tc>
        <w:tc>
          <w:tcPr>
            <w:tcW w:w="1992" w:type="dxa"/>
            <w:tcBorders>
              <w:top w:val="nil"/>
              <w:left w:val="nil"/>
              <w:bottom w:val="single" w:sz="4" w:space="0" w:color="auto"/>
              <w:right w:val="nil"/>
            </w:tcBorders>
            <w:hideMark/>
          </w:tcPr>
          <w:p w:rsidR="00A67E34" w:rsidRDefault="009C1757" w:rsidP="003B7110">
            <w:pPr>
              <w:pStyle w:val="BStableheading"/>
              <w:framePr w:wrap="around"/>
            </w:pPr>
            <w:r>
              <w:t>Estimated</w:t>
            </w:r>
            <w:r w:rsidR="003B7110">
              <w:t xml:space="preserve"> </w:t>
            </w:r>
            <w:r>
              <w:t>O</w:t>
            </w:r>
            <w:r w:rsidR="00A67E34">
              <w:t>utcome</w:t>
            </w:r>
          </w:p>
        </w:tc>
        <w:tc>
          <w:tcPr>
            <w:tcW w:w="1424" w:type="dxa"/>
            <w:tcBorders>
              <w:top w:val="nil"/>
              <w:left w:val="nil"/>
              <w:bottom w:val="single" w:sz="4" w:space="0" w:color="auto"/>
              <w:right w:val="nil"/>
            </w:tcBorders>
            <w:hideMark/>
          </w:tcPr>
          <w:p w:rsidR="00A67E34" w:rsidRDefault="009C1757" w:rsidP="00FC362F">
            <w:pPr>
              <w:pStyle w:val="BStableheading"/>
              <w:framePr w:wrap="around"/>
            </w:pPr>
            <w:r>
              <w:t>T</w:t>
            </w:r>
            <w:r w:rsidR="00A67E34">
              <w:t>arget</w:t>
            </w:r>
            <w:r w:rsidR="00A67E34">
              <w:rPr>
                <w:vertAlign w:val="superscript"/>
              </w:rPr>
              <w:t>1</w:t>
            </w:r>
          </w:p>
        </w:tc>
      </w:tr>
      <w:tr w:rsidR="00A67E34" w:rsidTr="003B7110">
        <w:trPr>
          <w:trHeight w:val="166"/>
        </w:trPr>
        <w:tc>
          <w:tcPr>
            <w:tcW w:w="4003" w:type="dxa"/>
            <w:hideMark/>
          </w:tcPr>
          <w:p w:rsidR="00A67E34" w:rsidRDefault="00A67E34" w:rsidP="00FC362F">
            <w:pPr>
              <w:pStyle w:val="BStabletextbold"/>
              <w:rPr>
                <w:b w:val="0"/>
                <w:shd w:val="clear" w:color="auto" w:fill="FFFF00"/>
              </w:rPr>
            </w:pPr>
            <w:r>
              <w:rPr>
                <w:b w:val="0"/>
              </w:rPr>
              <w:t>Canberra Hospital</w:t>
            </w:r>
          </w:p>
        </w:tc>
        <w:tc>
          <w:tcPr>
            <w:tcW w:w="1701" w:type="dxa"/>
            <w:vAlign w:val="bottom"/>
            <w:hideMark/>
          </w:tcPr>
          <w:p w:rsidR="00A67E34" w:rsidRPr="00C03469" w:rsidRDefault="00A67E34" w:rsidP="00FC362F">
            <w:pPr>
              <w:pStyle w:val="BStablefigures"/>
            </w:pPr>
            <w:r w:rsidRPr="00C03469">
              <w:t>75%</w:t>
            </w:r>
          </w:p>
        </w:tc>
        <w:tc>
          <w:tcPr>
            <w:tcW w:w="1992" w:type="dxa"/>
            <w:hideMark/>
          </w:tcPr>
          <w:p w:rsidR="00A67E34" w:rsidRPr="00C03469" w:rsidRDefault="00A67E34" w:rsidP="00FC362F">
            <w:pPr>
              <w:pStyle w:val="BStablefigures"/>
            </w:pPr>
            <w:r w:rsidRPr="00C03469">
              <w:t>86%</w:t>
            </w:r>
          </w:p>
        </w:tc>
        <w:tc>
          <w:tcPr>
            <w:tcW w:w="1424" w:type="dxa"/>
            <w:hideMark/>
          </w:tcPr>
          <w:p w:rsidR="00A67E34" w:rsidRPr="00C03469" w:rsidRDefault="008D7582" w:rsidP="008D7582">
            <w:pPr>
              <w:pStyle w:val="BStablefigures"/>
            </w:pPr>
            <w:r>
              <w:t>75</w:t>
            </w:r>
            <w:r w:rsidR="00A67E34" w:rsidRPr="00C03469">
              <w:t>%</w:t>
            </w:r>
          </w:p>
        </w:tc>
      </w:tr>
      <w:tr w:rsidR="00A67E34" w:rsidTr="003B7110">
        <w:trPr>
          <w:trHeight w:val="233"/>
        </w:trPr>
        <w:tc>
          <w:tcPr>
            <w:tcW w:w="4003" w:type="dxa"/>
            <w:tcBorders>
              <w:top w:val="nil"/>
              <w:left w:val="nil"/>
              <w:bottom w:val="single" w:sz="4" w:space="0" w:color="auto"/>
              <w:right w:val="nil"/>
            </w:tcBorders>
            <w:hideMark/>
          </w:tcPr>
          <w:p w:rsidR="00A67E34" w:rsidRDefault="00A67E34" w:rsidP="00FC362F">
            <w:pPr>
              <w:pStyle w:val="BStabletextbold"/>
              <w:rPr>
                <w:b w:val="0"/>
                <w:shd w:val="clear" w:color="auto" w:fill="FFFF00"/>
              </w:rPr>
            </w:pPr>
            <w:r>
              <w:rPr>
                <w:b w:val="0"/>
              </w:rPr>
              <w:t>Calvary Public Hospital</w:t>
            </w:r>
          </w:p>
        </w:tc>
        <w:tc>
          <w:tcPr>
            <w:tcW w:w="1701" w:type="dxa"/>
            <w:tcBorders>
              <w:top w:val="nil"/>
              <w:left w:val="nil"/>
              <w:bottom w:val="single" w:sz="4" w:space="0" w:color="auto"/>
              <w:right w:val="nil"/>
            </w:tcBorders>
            <w:vAlign w:val="bottom"/>
            <w:hideMark/>
          </w:tcPr>
          <w:p w:rsidR="00A67E34" w:rsidRPr="00C03469" w:rsidRDefault="00A67E34" w:rsidP="00FC362F">
            <w:pPr>
              <w:pStyle w:val="BStablefigures"/>
            </w:pPr>
            <w:r w:rsidRPr="00C03469">
              <w:t>75%</w:t>
            </w:r>
          </w:p>
        </w:tc>
        <w:tc>
          <w:tcPr>
            <w:tcW w:w="1992" w:type="dxa"/>
            <w:tcBorders>
              <w:top w:val="nil"/>
              <w:left w:val="nil"/>
              <w:bottom w:val="single" w:sz="4" w:space="0" w:color="auto"/>
              <w:right w:val="nil"/>
            </w:tcBorders>
            <w:hideMark/>
          </w:tcPr>
          <w:p w:rsidR="00A67E34" w:rsidRPr="00C03469" w:rsidRDefault="00A67E34" w:rsidP="00FC362F">
            <w:pPr>
              <w:pStyle w:val="BStablefigures"/>
            </w:pPr>
            <w:r w:rsidRPr="00C03469">
              <w:t>80%</w:t>
            </w:r>
          </w:p>
        </w:tc>
        <w:tc>
          <w:tcPr>
            <w:tcW w:w="1424" w:type="dxa"/>
            <w:tcBorders>
              <w:top w:val="nil"/>
              <w:left w:val="nil"/>
              <w:bottom w:val="single" w:sz="4" w:space="0" w:color="auto"/>
              <w:right w:val="nil"/>
            </w:tcBorders>
            <w:hideMark/>
          </w:tcPr>
          <w:p w:rsidR="00A67E34" w:rsidRPr="00C03469" w:rsidRDefault="008D7582" w:rsidP="00FC362F">
            <w:pPr>
              <w:pStyle w:val="BStablefigures"/>
            </w:pPr>
            <w:r>
              <w:t>75</w:t>
            </w:r>
            <w:r w:rsidR="00A67E34" w:rsidRPr="00C03469">
              <w:t>%</w:t>
            </w:r>
          </w:p>
        </w:tc>
      </w:tr>
    </w:tbl>
    <w:p w:rsidR="00A67E34" w:rsidRDefault="00A67E34" w:rsidP="00A67E34">
      <w:pPr>
        <w:pStyle w:val="BSnote0"/>
        <w:rPr>
          <w:sz w:val="16"/>
        </w:rPr>
      </w:pPr>
      <w:r>
        <w:rPr>
          <w:sz w:val="16"/>
        </w:rPr>
        <w:t>Note:</w:t>
      </w:r>
    </w:p>
    <w:p w:rsidR="00A67E34" w:rsidRPr="003C2C59" w:rsidRDefault="00A67E34" w:rsidP="00CA0839">
      <w:pPr>
        <w:pStyle w:val="BSnoteslist1"/>
        <w:numPr>
          <w:ilvl w:val="0"/>
          <w:numId w:val="45"/>
        </w:numPr>
        <w:rPr>
          <w:sz w:val="16"/>
          <w:szCs w:val="16"/>
        </w:rPr>
      </w:pPr>
      <w:r w:rsidRPr="001979F3">
        <w:rPr>
          <w:sz w:val="16"/>
          <w:szCs w:val="16"/>
        </w:rPr>
        <w:t>Hospital targets are based on similar rates for peer hospitals – based on the Australian Council of Healthcare Standards (ACHS).</w:t>
      </w:r>
    </w:p>
    <w:p w:rsidR="00A67E34" w:rsidRDefault="00A67E34" w:rsidP="00A67E34">
      <w:pPr>
        <w:pStyle w:val="Heading22"/>
        <w:pageBreakBefore/>
      </w:pPr>
      <w:bookmarkStart w:id="252" w:name="_Toc514832587"/>
      <w:r>
        <w:lastRenderedPageBreak/>
        <w:t>Output Classes</w:t>
      </w:r>
      <w:bookmarkEnd w:id="252"/>
    </w:p>
    <w:p w:rsidR="00A67E34" w:rsidRDefault="00A67E34" w:rsidP="00A67E34">
      <w:pPr>
        <w:pStyle w:val="Normal030"/>
      </w:pPr>
      <w:r>
        <w:t xml:space="preserve">The ACT Local Hospital Network will receive funding under the NHRA and purchase public hospital services from the Canberra Hospital, University of Canberra Hospital, Calvary Hospital, Clare Holland House and Queen Elizabeth II Family Centre.  </w:t>
      </w:r>
    </w:p>
    <w:p w:rsidR="00A67E34" w:rsidRPr="00933E98" w:rsidRDefault="00A67E34" w:rsidP="00A67E34">
      <w:pPr>
        <w:pStyle w:val="Normal030"/>
      </w:pPr>
      <w:r>
        <w:t xml:space="preserve">The NHRA commits to funding public hospitals using Activity Based Funding where practicable using the National Efficient Price (NEP) determined by the Independent Hospital Pricing Authority (IHPA).  </w:t>
      </w:r>
      <w:r w:rsidRPr="00933E98">
        <w:t xml:space="preserve">The </w:t>
      </w:r>
      <w:r w:rsidR="00CB3EB7" w:rsidRPr="00933E98">
        <w:t>NEP</w:t>
      </w:r>
      <w:r w:rsidRPr="00933E98">
        <w:t xml:space="preserve"> is based on the projected average cost of a National Weighted Activity Unit (NWAU).</w:t>
      </w:r>
    </w:p>
    <w:p w:rsidR="00A67E34" w:rsidRDefault="00A67E34" w:rsidP="00A67E34">
      <w:pPr>
        <w:pStyle w:val="Normal030"/>
      </w:pPr>
      <w:r>
        <w:t>An NWAU is a measure of health service activity expressed as a common unit, against which the NEP is paid.  It provides a way of comparing and valuing each public hospital service (whether it is an admission, emergency department presentations or outpatient episode), by weighing it for its clinical complexity.  The average hospital service is worth one NWAU – the most intensive and expensive activities are worth multiple NWAU’s, the simplest and least expensive are worth fractions of an NWAU.  NWAU’s are updated annually.</w:t>
      </w:r>
    </w:p>
    <w:p w:rsidR="00A67E34" w:rsidRDefault="00A67E34" w:rsidP="00A67E34">
      <w:pPr>
        <w:pStyle w:val="Normal030"/>
        <w:rPr>
          <w:rStyle w:val="y0nh2b"/>
        </w:rPr>
      </w:pPr>
      <w:r>
        <w:t>The 2018-19 National Efficient Price is $5,012 per NWAU.</w:t>
      </w:r>
    </w:p>
    <w:p w:rsidR="00A67E34" w:rsidRDefault="00A67E34" w:rsidP="00A67E34">
      <w:pPr>
        <w:pStyle w:val="Heading30"/>
      </w:pPr>
      <w:bookmarkStart w:id="253" w:name="_Toc514764155"/>
      <w:bookmarkStart w:id="254" w:name="_Toc514765781"/>
      <w:bookmarkStart w:id="255" w:name="_Toc514832405"/>
      <w:bookmarkStart w:id="256" w:name="_Toc514832588"/>
      <w:r>
        <w:t xml:space="preserve">Output Class 1: </w:t>
      </w:r>
      <w:r w:rsidRPr="00F53690">
        <w:t>ACT Local Hospital Network</w:t>
      </w:r>
      <w:bookmarkEnd w:id="253"/>
      <w:bookmarkEnd w:id="254"/>
      <w:bookmarkEnd w:id="255"/>
      <w:bookmarkEnd w:id="256"/>
    </w:p>
    <w:p w:rsidR="00A67E34" w:rsidRDefault="00A67E34" w:rsidP="00A67E34">
      <w:pPr>
        <w:pStyle w:val="Caption0"/>
      </w:pPr>
      <w:r>
        <w:t xml:space="preserve">Table 8: Output Class 1: </w:t>
      </w:r>
      <w:r w:rsidR="00CB3EB7">
        <w:t>ACT Local Hospital Network</w:t>
      </w:r>
    </w:p>
    <w:tbl>
      <w:tblPr>
        <w:tblW w:w="9060" w:type="dxa"/>
        <w:tblLayout w:type="fixed"/>
        <w:tblLook w:val="0600" w:firstRow="0" w:lastRow="0" w:firstColumn="0" w:lastColumn="0" w:noHBand="1" w:noVBand="1"/>
      </w:tblPr>
      <w:tblGrid>
        <w:gridCol w:w="4695"/>
        <w:gridCol w:w="540"/>
        <w:gridCol w:w="2175"/>
        <w:gridCol w:w="1650"/>
      </w:tblGrid>
      <w:tr w:rsidR="00A67E34" w:rsidTr="00FC362F">
        <w:trPr>
          <w:trHeight w:hRule="exact" w:val="240"/>
        </w:trPr>
        <w:tc>
          <w:tcPr>
            <w:tcW w:w="4695" w:type="dxa"/>
            <w:tcBorders>
              <w:top w:val="single" w:sz="4" w:space="0" w:color="000000"/>
              <w:left w:val="nil"/>
              <w:bottom w:val="nil"/>
              <w:right w:val="nil"/>
            </w:tcBorders>
            <w:noWrap/>
            <w:tcMar>
              <w:top w:w="0" w:type="dxa"/>
              <w:left w:w="40" w:type="dxa"/>
              <w:bottom w:w="0" w:type="dxa"/>
              <w:right w:w="40" w:type="dxa"/>
            </w:tcMar>
          </w:tcPr>
          <w:p w:rsidR="00A67E34" w:rsidRDefault="00A67E34" w:rsidP="00FC362F">
            <w:pPr>
              <w:pStyle w:val="Normal04"/>
              <w:spacing w:before="0" w:after="0"/>
              <w:rPr>
                <w:rFonts w:eastAsia="Calibri" w:cs="Calibri"/>
                <w:color w:val="000000"/>
                <w:sz w:val="18"/>
              </w:rPr>
            </w:pPr>
          </w:p>
        </w:tc>
        <w:tc>
          <w:tcPr>
            <w:tcW w:w="540" w:type="dxa"/>
            <w:tcBorders>
              <w:top w:val="single" w:sz="4" w:space="0" w:color="000000"/>
              <w:left w:val="nil"/>
              <w:bottom w:val="nil"/>
              <w:right w:val="nil"/>
            </w:tcBorders>
            <w:noWrap/>
            <w:tcMar>
              <w:top w:w="0" w:type="dxa"/>
              <w:left w:w="40" w:type="dxa"/>
              <w:bottom w:w="0" w:type="dxa"/>
              <w:right w:w="40" w:type="dxa"/>
            </w:tcMar>
          </w:tcPr>
          <w:p w:rsidR="00A67E34" w:rsidRDefault="00A67E34" w:rsidP="00FC362F">
            <w:pPr>
              <w:pStyle w:val="Normal04"/>
              <w:spacing w:before="0" w:after="0"/>
              <w:rPr>
                <w:rFonts w:eastAsia="Calibri" w:cs="Calibri"/>
                <w:color w:val="000000"/>
                <w:sz w:val="18"/>
              </w:rPr>
            </w:pPr>
          </w:p>
        </w:tc>
        <w:tc>
          <w:tcPr>
            <w:tcW w:w="2175" w:type="dxa"/>
            <w:tcBorders>
              <w:top w:val="single" w:sz="4" w:space="0" w:color="000000"/>
              <w:left w:val="nil"/>
              <w:bottom w:val="nil"/>
              <w:right w:val="nil"/>
            </w:tcBorders>
            <w:noWrap/>
            <w:tcMar>
              <w:top w:w="0" w:type="dxa"/>
              <w:left w:w="40" w:type="dxa"/>
              <w:bottom w:w="0" w:type="dxa"/>
              <w:right w:w="40" w:type="dxa"/>
            </w:tcMar>
            <w:hideMark/>
          </w:tcPr>
          <w:p w:rsidR="00A67E34" w:rsidRDefault="00A67E34" w:rsidP="00FC362F">
            <w:pPr>
              <w:pStyle w:val="Normal030"/>
              <w:spacing w:before="0" w:after="0"/>
              <w:jc w:val="right"/>
              <w:rPr>
                <w:rFonts w:eastAsia="Calibri" w:cs="Calibri"/>
                <w:b/>
                <w:color w:val="000000"/>
                <w:sz w:val="18"/>
              </w:rPr>
            </w:pPr>
            <w:r>
              <w:rPr>
                <w:rFonts w:eastAsia="Calibri" w:cs="Calibri"/>
                <w:b/>
                <w:color w:val="000000"/>
                <w:sz w:val="18"/>
              </w:rPr>
              <w:t>2017-18</w:t>
            </w:r>
          </w:p>
        </w:tc>
        <w:tc>
          <w:tcPr>
            <w:tcW w:w="1650" w:type="dxa"/>
            <w:tcBorders>
              <w:top w:val="single" w:sz="4" w:space="0" w:color="000000"/>
              <w:left w:val="nil"/>
              <w:bottom w:val="nil"/>
              <w:right w:val="nil"/>
            </w:tcBorders>
            <w:noWrap/>
            <w:tcMar>
              <w:top w:w="0" w:type="dxa"/>
              <w:left w:w="40" w:type="dxa"/>
              <w:bottom w:w="0" w:type="dxa"/>
              <w:right w:w="40" w:type="dxa"/>
            </w:tcMar>
            <w:hideMark/>
          </w:tcPr>
          <w:p w:rsidR="00A67E34" w:rsidRDefault="00A67E34" w:rsidP="00FC362F">
            <w:pPr>
              <w:pStyle w:val="Normal030"/>
              <w:spacing w:before="0" w:after="0"/>
              <w:jc w:val="right"/>
              <w:rPr>
                <w:rFonts w:eastAsia="Calibri" w:cs="Calibri"/>
                <w:b/>
                <w:color w:val="000000"/>
                <w:sz w:val="18"/>
              </w:rPr>
            </w:pPr>
            <w:r>
              <w:rPr>
                <w:rFonts w:eastAsia="Calibri" w:cs="Calibri"/>
                <w:b/>
                <w:color w:val="000000"/>
                <w:sz w:val="18"/>
              </w:rPr>
              <w:t>2018-19</w:t>
            </w:r>
          </w:p>
        </w:tc>
      </w:tr>
      <w:tr w:rsidR="00A67E34" w:rsidTr="00FC362F">
        <w:trPr>
          <w:trHeight w:hRule="exact" w:val="240"/>
        </w:trPr>
        <w:tc>
          <w:tcPr>
            <w:tcW w:w="4695" w:type="dxa"/>
            <w:noWrap/>
            <w:tcMar>
              <w:top w:w="0" w:type="dxa"/>
              <w:left w:w="40" w:type="dxa"/>
              <w:bottom w:w="0" w:type="dxa"/>
              <w:right w:w="40" w:type="dxa"/>
            </w:tcMar>
          </w:tcPr>
          <w:p w:rsidR="00A67E34" w:rsidRDefault="00A67E34" w:rsidP="00FC362F">
            <w:pPr>
              <w:pStyle w:val="Normal04"/>
              <w:spacing w:before="0" w:after="0"/>
              <w:rPr>
                <w:rFonts w:eastAsia="Calibri" w:cs="Calibri"/>
                <w:color w:val="000000"/>
                <w:sz w:val="18"/>
              </w:rPr>
            </w:pPr>
          </w:p>
        </w:tc>
        <w:tc>
          <w:tcPr>
            <w:tcW w:w="540" w:type="dxa"/>
            <w:noWrap/>
            <w:tcMar>
              <w:top w:w="0" w:type="dxa"/>
              <w:left w:w="40" w:type="dxa"/>
              <w:bottom w:w="0" w:type="dxa"/>
              <w:right w:w="40" w:type="dxa"/>
            </w:tcMar>
          </w:tcPr>
          <w:p w:rsidR="00A67E34" w:rsidRDefault="00A67E34" w:rsidP="00FC362F">
            <w:pPr>
              <w:pStyle w:val="Normal04"/>
              <w:spacing w:before="0" w:after="0"/>
              <w:rPr>
                <w:rFonts w:eastAsia="Calibri" w:cs="Calibri"/>
                <w:color w:val="000000"/>
                <w:sz w:val="18"/>
              </w:rPr>
            </w:pPr>
          </w:p>
        </w:tc>
        <w:tc>
          <w:tcPr>
            <w:tcW w:w="2175" w:type="dxa"/>
            <w:noWrap/>
            <w:tcMar>
              <w:top w:w="0" w:type="dxa"/>
              <w:left w:w="40" w:type="dxa"/>
              <w:bottom w:w="0" w:type="dxa"/>
              <w:right w:w="40" w:type="dxa"/>
            </w:tcMar>
            <w:hideMark/>
          </w:tcPr>
          <w:p w:rsidR="00A67E34" w:rsidRDefault="00A67E34" w:rsidP="00FC362F">
            <w:pPr>
              <w:pStyle w:val="Normal030"/>
              <w:spacing w:before="0" w:after="0"/>
              <w:jc w:val="right"/>
              <w:rPr>
                <w:rFonts w:eastAsia="Calibri" w:cs="Calibri"/>
                <w:b/>
                <w:color w:val="000000"/>
                <w:sz w:val="18"/>
              </w:rPr>
            </w:pPr>
            <w:r>
              <w:rPr>
                <w:rFonts w:eastAsia="Calibri" w:cs="Calibri"/>
                <w:b/>
                <w:color w:val="000000"/>
                <w:sz w:val="18"/>
              </w:rPr>
              <w:t>Estimated Outcome</w:t>
            </w:r>
          </w:p>
        </w:tc>
        <w:tc>
          <w:tcPr>
            <w:tcW w:w="1650" w:type="dxa"/>
            <w:noWrap/>
            <w:tcMar>
              <w:top w:w="0" w:type="dxa"/>
              <w:left w:w="40" w:type="dxa"/>
              <w:bottom w:w="0" w:type="dxa"/>
              <w:right w:w="40" w:type="dxa"/>
            </w:tcMar>
            <w:hideMark/>
          </w:tcPr>
          <w:p w:rsidR="00A67E34" w:rsidRDefault="00A67E34" w:rsidP="00FC362F">
            <w:pPr>
              <w:pStyle w:val="Normal030"/>
              <w:spacing w:before="0" w:after="0"/>
              <w:jc w:val="right"/>
              <w:rPr>
                <w:rFonts w:eastAsia="Calibri" w:cs="Calibri"/>
                <w:b/>
                <w:color w:val="000000"/>
                <w:sz w:val="18"/>
              </w:rPr>
            </w:pPr>
            <w:r>
              <w:rPr>
                <w:rFonts w:eastAsia="Calibri" w:cs="Calibri"/>
                <w:b/>
                <w:color w:val="000000"/>
                <w:sz w:val="18"/>
              </w:rPr>
              <w:t>Budget</w:t>
            </w:r>
          </w:p>
        </w:tc>
      </w:tr>
      <w:tr w:rsidR="00A67E34" w:rsidTr="00FC362F">
        <w:trPr>
          <w:trHeight w:hRule="exact" w:val="300"/>
        </w:trPr>
        <w:tc>
          <w:tcPr>
            <w:tcW w:w="4695" w:type="dxa"/>
            <w:tcBorders>
              <w:top w:val="nil"/>
              <w:left w:val="nil"/>
              <w:bottom w:val="single" w:sz="4" w:space="0" w:color="000000"/>
              <w:right w:val="nil"/>
            </w:tcBorders>
            <w:noWrap/>
            <w:tcMar>
              <w:top w:w="0" w:type="dxa"/>
              <w:left w:w="40" w:type="dxa"/>
              <w:bottom w:w="0" w:type="dxa"/>
              <w:right w:w="40" w:type="dxa"/>
            </w:tcMar>
          </w:tcPr>
          <w:p w:rsidR="00A67E34" w:rsidRDefault="00A67E34" w:rsidP="00FC362F">
            <w:pPr>
              <w:pStyle w:val="Normal04"/>
              <w:spacing w:before="0" w:after="0"/>
              <w:rPr>
                <w:rFonts w:eastAsia="Calibri" w:cs="Calibri"/>
                <w:color w:val="000000"/>
                <w:sz w:val="18"/>
              </w:rPr>
            </w:pPr>
          </w:p>
        </w:tc>
        <w:tc>
          <w:tcPr>
            <w:tcW w:w="540" w:type="dxa"/>
            <w:tcBorders>
              <w:top w:val="nil"/>
              <w:left w:val="nil"/>
              <w:bottom w:val="single" w:sz="4" w:space="0" w:color="000000"/>
              <w:right w:val="nil"/>
            </w:tcBorders>
            <w:noWrap/>
            <w:tcMar>
              <w:top w:w="0" w:type="dxa"/>
              <w:left w:w="40" w:type="dxa"/>
              <w:bottom w:w="0" w:type="dxa"/>
              <w:right w:w="40" w:type="dxa"/>
            </w:tcMar>
          </w:tcPr>
          <w:p w:rsidR="00A67E34" w:rsidRDefault="00A67E34" w:rsidP="00FC362F">
            <w:pPr>
              <w:pStyle w:val="Normal04"/>
              <w:spacing w:before="0" w:after="0"/>
              <w:rPr>
                <w:rFonts w:eastAsia="Calibri" w:cs="Calibri"/>
                <w:color w:val="000000"/>
                <w:sz w:val="18"/>
              </w:rPr>
            </w:pPr>
          </w:p>
        </w:tc>
        <w:tc>
          <w:tcPr>
            <w:tcW w:w="2175" w:type="dxa"/>
            <w:tcBorders>
              <w:top w:val="nil"/>
              <w:left w:val="nil"/>
              <w:bottom w:val="single" w:sz="4" w:space="0" w:color="000000"/>
              <w:right w:val="nil"/>
            </w:tcBorders>
            <w:noWrap/>
            <w:tcMar>
              <w:top w:w="0" w:type="dxa"/>
              <w:left w:w="40" w:type="dxa"/>
              <w:bottom w:w="0" w:type="dxa"/>
              <w:right w:w="40" w:type="dxa"/>
            </w:tcMar>
            <w:hideMark/>
          </w:tcPr>
          <w:p w:rsidR="00A67E34" w:rsidRDefault="00A67E34" w:rsidP="00FC362F">
            <w:pPr>
              <w:pStyle w:val="Normal030"/>
              <w:spacing w:before="0" w:after="0"/>
              <w:jc w:val="right"/>
              <w:rPr>
                <w:rFonts w:eastAsia="Calibri" w:cs="Calibri"/>
                <w:b/>
                <w:color w:val="000000"/>
                <w:sz w:val="18"/>
              </w:rPr>
            </w:pPr>
            <w:r>
              <w:rPr>
                <w:rFonts w:eastAsia="Calibri" w:cs="Calibri"/>
                <w:b/>
                <w:color w:val="000000"/>
                <w:sz w:val="18"/>
              </w:rPr>
              <w:t>$'000</w:t>
            </w:r>
          </w:p>
        </w:tc>
        <w:tc>
          <w:tcPr>
            <w:tcW w:w="1650" w:type="dxa"/>
            <w:tcBorders>
              <w:top w:val="nil"/>
              <w:left w:val="nil"/>
              <w:bottom w:val="single" w:sz="4" w:space="0" w:color="000000"/>
              <w:right w:val="nil"/>
            </w:tcBorders>
            <w:noWrap/>
            <w:tcMar>
              <w:top w:w="0" w:type="dxa"/>
              <w:left w:w="40" w:type="dxa"/>
              <w:bottom w:w="0" w:type="dxa"/>
              <w:right w:w="40" w:type="dxa"/>
            </w:tcMar>
            <w:hideMark/>
          </w:tcPr>
          <w:p w:rsidR="00A67E34" w:rsidRDefault="00A67E34" w:rsidP="00FC362F">
            <w:pPr>
              <w:pStyle w:val="Normal030"/>
              <w:spacing w:before="0" w:after="0"/>
              <w:jc w:val="right"/>
              <w:rPr>
                <w:rFonts w:eastAsia="Calibri" w:cs="Calibri"/>
                <w:b/>
                <w:color w:val="000000"/>
                <w:sz w:val="18"/>
              </w:rPr>
            </w:pPr>
            <w:r>
              <w:rPr>
                <w:rFonts w:eastAsia="Calibri" w:cs="Calibri"/>
                <w:b/>
                <w:color w:val="000000"/>
                <w:sz w:val="18"/>
              </w:rPr>
              <w:t>$'000</w:t>
            </w:r>
          </w:p>
        </w:tc>
      </w:tr>
      <w:tr w:rsidR="00A67E34" w:rsidTr="00FC362F">
        <w:trPr>
          <w:trHeight w:hRule="exact" w:val="240"/>
        </w:trPr>
        <w:tc>
          <w:tcPr>
            <w:tcW w:w="4695" w:type="dxa"/>
            <w:tcBorders>
              <w:top w:val="single" w:sz="4" w:space="0" w:color="000000"/>
              <w:left w:val="nil"/>
              <w:bottom w:val="nil"/>
              <w:right w:val="nil"/>
            </w:tcBorders>
            <w:noWrap/>
            <w:tcMar>
              <w:top w:w="0" w:type="dxa"/>
              <w:left w:w="40" w:type="dxa"/>
              <w:bottom w:w="0" w:type="dxa"/>
              <w:right w:w="40" w:type="dxa"/>
            </w:tcMar>
            <w:hideMark/>
          </w:tcPr>
          <w:p w:rsidR="00A67E34" w:rsidRPr="00AE3D68" w:rsidRDefault="00A67E34" w:rsidP="00FC362F">
            <w:pPr>
              <w:pStyle w:val="Normal04"/>
              <w:spacing w:before="0" w:after="0"/>
              <w:rPr>
                <w:rFonts w:eastAsia="Calibri" w:cs="Calibri"/>
                <w:color w:val="000000"/>
                <w:sz w:val="18"/>
              </w:rPr>
            </w:pPr>
            <w:r w:rsidRPr="00AE3D68">
              <w:rPr>
                <w:rFonts w:eastAsia="Calibri" w:cs="Calibri"/>
                <w:color w:val="000000"/>
                <w:sz w:val="18"/>
              </w:rPr>
              <w:t>Total Cost</w:t>
            </w:r>
          </w:p>
        </w:tc>
        <w:tc>
          <w:tcPr>
            <w:tcW w:w="540" w:type="dxa"/>
            <w:tcBorders>
              <w:top w:val="single" w:sz="4" w:space="0" w:color="000000"/>
              <w:left w:val="nil"/>
              <w:bottom w:val="nil"/>
              <w:right w:val="nil"/>
            </w:tcBorders>
            <w:noWrap/>
            <w:tcMar>
              <w:top w:w="0" w:type="dxa"/>
              <w:left w:w="40" w:type="dxa"/>
              <w:bottom w:w="0" w:type="dxa"/>
              <w:right w:w="40" w:type="dxa"/>
            </w:tcMar>
          </w:tcPr>
          <w:p w:rsidR="00A67E34" w:rsidRDefault="00A67E34" w:rsidP="00FC362F">
            <w:pPr>
              <w:pStyle w:val="Normal04"/>
              <w:spacing w:before="0" w:after="0"/>
              <w:rPr>
                <w:rFonts w:eastAsia="Calibri" w:cs="Calibri"/>
                <w:b/>
                <w:color w:val="000000"/>
                <w:sz w:val="18"/>
              </w:rPr>
            </w:pPr>
          </w:p>
        </w:tc>
        <w:tc>
          <w:tcPr>
            <w:tcW w:w="2175" w:type="dxa"/>
            <w:tcBorders>
              <w:top w:val="single" w:sz="4" w:space="0" w:color="000000"/>
              <w:left w:val="nil"/>
              <w:bottom w:val="nil"/>
              <w:right w:val="nil"/>
            </w:tcBorders>
            <w:noWrap/>
            <w:tcMar>
              <w:top w:w="0" w:type="dxa"/>
              <w:left w:w="40" w:type="dxa"/>
              <w:bottom w:w="0" w:type="dxa"/>
              <w:right w:w="40" w:type="dxa"/>
            </w:tcMar>
            <w:hideMark/>
          </w:tcPr>
          <w:p w:rsidR="00A67E34" w:rsidRDefault="00A67E34" w:rsidP="00FC362F">
            <w:pPr>
              <w:pStyle w:val="Normal030"/>
              <w:spacing w:before="0" w:after="0"/>
              <w:jc w:val="right"/>
              <w:rPr>
                <w:rFonts w:eastAsia="Calibri" w:cs="Calibri"/>
                <w:color w:val="000000"/>
                <w:sz w:val="18"/>
              </w:rPr>
            </w:pPr>
            <w:r>
              <w:rPr>
                <w:rFonts w:eastAsia="Calibri" w:cs="Calibri"/>
                <w:color w:val="000000"/>
                <w:sz w:val="18"/>
              </w:rPr>
              <w:t>1,120,407</w:t>
            </w:r>
          </w:p>
        </w:tc>
        <w:tc>
          <w:tcPr>
            <w:tcW w:w="1650" w:type="dxa"/>
            <w:tcBorders>
              <w:top w:val="single" w:sz="4" w:space="0" w:color="000000"/>
              <w:left w:val="nil"/>
              <w:bottom w:val="nil"/>
              <w:right w:val="nil"/>
            </w:tcBorders>
            <w:noWrap/>
            <w:tcMar>
              <w:top w:w="0" w:type="dxa"/>
              <w:left w:w="40" w:type="dxa"/>
              <w:bottom w:w="0" w:type="dxa"/>
              <w:right w:w="40" w:type="dxa"/>
            </w:tcMar>
            <w:hideMark/>
          </w:tcPr>
          <w:p w:rsidR="00A67E34" w:rsidRDefault="00A67E34" w:rsidP="00FC362F">
            <w:pPr>
              <w:pStyle w:val="Normal030"/>
              <w:spacing w:before="0" w:after="0"/>
              <w:jc w:val="right"/>
              <w:rPr>
                <w:rFonts w:eastAsia="Calibri" w:cs="Calibri"/>
                <w:color w:val="000000"/>
                <w:sz w:val="18"/>
              </w:rPr>
            </w:pPr>
            <w:r>
              <w:rPr>
                <w:rFonts w:eastAsia="Calibri" w:cs="Calibri"/>
                <w:color w:val="000000"/>
                <w:sz w:val="18"/>
              </w:rPr>
              <w:t>1,175,946</w:t>
            </w:r>
          </w:p>
        </w:tc>
      </w:tr>
      <w:tr w:rsidR="00A67E34" w:rsidTr="00FC362F">
        <w:trPr>
          <w:trHeight w:hRule="exact" w:val="300"/>
        </w:trPr>
        <w:tc>
          <w:tcPr>
            <w:tcW w:w="4695" w:type="dxa"/>
            <w:tcBorders>
              <w:top w:val="nil"/>
              <w:left w:val="nil"/>
              <w:bottom w:val="single" w:sz="4" w:space="0" w:color="000000"/>
              <w:right w:val="nil"/>
            </w:tcBorders>
            <w:noWrap/>
            <w:tcMar>
              <w:top w:w="0" w:type="dxa"/>
              <w:left w:w="40" w:type="dxa"/>
              <w:bottom w:w="0" w:type="dxa"/>
              <w:right w:w="40" w:type="dxa"/>
            </w:tcMar>
            <w:hideMark/>
          </w:tcPr>
          <w:p w:rsidR="00A67E34" w:rsidRPr="00AE3D68" w:rsidRDefault="00A67E34" w:rsidP="00FC362F">
            <w:pPr>
              <w:pStyle w:val="Normal04"/>
              <w:spacing w:before="0" w:after="0"/>
              <w:rPr>
                <w:rFonts w:eastAsia="Calibri" w:cs="Calibri"/>
                <w:color w:val="000000"/>
                <w:sz w:val="18"/>
              </w:rPr>
            </w:pPr>
            <w:r w:rsidRPr="00AE3D68">
              <w:rPr>
                <w:rFonts w:eastAsia="Calibri" w:cs="Calibri"/>
                <w:color w:val="000000"/>
                <w:sz w:val="18"/>
              </w:rPr>
              <w:t>Controlled Recurrent Payments</w:t>
            </w:r>
          </w:p>
        </w:tc>
        <w:tc>
          <w:tcPr>
            <w:tcW w:w="540" w:type="dxa"/>
            <w:tcBorders>
              <w:top w:val="nil"/>
              <w:left w:val="nil"/>
              <w:bottom w:val="single" w:sz="4" w:space="0" w:color="000000"/>
              <w:right w:val="nil"/>
            </w:tcBorders>
            <w:noWrap/>
            <w:tcMar>
              <w:top w:w="0" w:type="dxa"/>
              <w:left w:w="40" w:type="dxa"/>
              <w:bottom w:w="0" w:type="dxa"/>
              <w:right w:w="40" w:type="dxa"/>
            </w:tcMar>
          </w:tcPr>
          <w:p w:rsidR="00A67E34" w:rsidRDefault="00A67E34" w:rsidP="00FC362F">
            <w:pPr>
              <w:pStyle w:val="Normal04"/>
              <w:spacing w:before="0" w:after="0"/>
              <w:rPr>
                <w:rFonts w:eastAsia="Calibri" w:cs="Calibri"/>
                <w:b/>
                <w:color w:val="000000"/>
                <w:sz w:val="18"/>
              </w:rPr>
            </w:pPr>
          </w:p>
        </w:tc>
        <w:tc>
          <w:tcPr>
            <w:tcW w:w="2175" w:type="dxa"/>
            <w:tcBorders>
              <w:top w:val="nil"/>
              <w:left w:val="nil"/>
              <w:bottom w:val="single" w:sz="4" w:space="0" w:color="000000"/>
              <w:right w:val="nil"/>
            </w:tcBorders>
            <w:noWrap/>
            <w:tcMar>
              <w:top w:w="0" w:type="dxa"/>
              <w:left w:w="40" w:type="dxa"/>
              <w:bottom w:w="0" w:type="dxa"/>
              <w:right w:w="40" w:type="dxa"/>
            </w:tcMar>
            <w:hideMark/>
          </w:tcPr>
          <w:p w:rsidR="00A67E34" w:rsidRDefault="00A67E34" w:rsidP="00FC362F">
            <w:pPr>
              <w:pStyle w:val="Normal030"/>
              <w:spacing w:before="0" w:after="0"/>
              <w:jc w:val="right"/>
              <w:rPr>
                <w:rFonts w:eastAsia="Calibri" w:cs="Calibri"/>
                <w:color w:val="000000"/>
                <w:sz w:val="18"/>
              </w:rPr>
            </w:pPr>
            <w:r>
              <w:rPr>
                <w:rFonts w:eastAsia="Calibri" w:cs="Calibri"/>
                <w:color w:val="000000"/>
                <w:sz w:val="18"/>
              </w:rPr>
              <w:t>612,364</w:t>
            </w:r>
          </w:p>
        </w:tc>
        <w:tc>
          <w:tcPr>
            <w:tcW w:w="1650" w:type="dxa"/>
            <w:tcBorders>
              <w:top w:val="nil"/>
              <w:left w:val="nil"/>
              <w:bottom w:val="single" w:sz="4" w:space="0" w:color="000000"/>
              <w:right w:val="nil"/>
            </w:tcBorders>
            <w:noWrap/>
            <w:tcMar>
              <w:top w:w="0" w:type="dxa"/>
              <w:left w:w="40" w:type="dxa"/>
              <w:bottom w:w="0" w:type="dxa"/>
              <w:right w:w="40" w:type="dxa"/>
            </w:tcMar>
            <w:hideMark/>
          </w:tcPr>
          <w:p w:rsidR="00A67E34" w:rsidRDefault="00A67E34" w:rsidP="00FC362F">
            <w:pPr>
              <w:pStyle w:val="Normal030"/>
              <w:spacing w:before="0" w:after="0"/>
              <w:jc w:val="right"/>
              <w:rPr>
                <w:rFonts w:eastAsia="Calibri" w:cs="Calibri"/>
                <w:color w:val="000000"/>
                <w:sz w:val="18"/>
              </w:rPr>
            </w:pPr>
            <w:r>
              <w:rPr>
                <w:rFonts w:eastAsia="Calibri" w:cs="Calibri"/>
                <w:color w:val="000000"/>
                <w:sz w:val="18"/>
              </w:rPr>
              <w:t>669,990</w:t>
            </w:r>
          </w:p>
        </w:tc>
      </w:tr>
    </w:tbl>
    <w:p w:rsidR="00A67E34" w:rsidRDefault="00A67E34" w:rsidP="00A67E34">
      <w:pPr>
        <w:pStyle w:val="BSnoteslist"/>
        <w:numPr>
          <w:ilvl w:val="0"/>
          <w:numId w:val="0"/>
        </w:numPr>
        <w:ind w:left="360"/>
      </w:pPr>
    </w:p>
    <w:p w:rsidR="00A67E34" w:rsidRPr="000D7858" w:rsidRDefault="00A67E34" w:rsidP="00A67E34">
      <w:pPr>
        <w:pStyle w:val="Normal3"/>
      </w:pPr>
    </w:p>
    <w:p w:rsidR="00A67E34" w:rsidRDefault="00A67E34" w:rsidP="00A67E34">
      <w:pPr>
        <w:pStyle w:val="Heading23"/>
        <w:pageBreakBefore/>
      </w:pPr>
      <w:bookmarkStart w:id="257" w:name="_Toc514764156"/>
      <w:bookmarkStart w:id="258" w:name="_Toc514765782"/>
      <w:bookmarkStart w:id="259" w:name="_Toc514832589"/>
      <w:r>
        <w:lastRenderedPageBreak/>
        <w:t>Accountability Indicators</w:t>
      </w:r>
      <w:bookmarkEnd w:id="257"/>
      <w:bookmarkEnd w:id="258"/>
      <w:bookmarkEnd w:id="259"/>
    </w:p>
    <w:p w:rsidR="00A67E34" w:rsidRDefault="00A67E34" w:rsidP="00A67E34">
      <w:pPr>
        <w:pStyle w:val="Heading31"/>
      </w:pPr>
      <w:bookmarkStart w:id="260" w:name="_Toc514764157"/>
      <w:bookmarkStart w:id="261" w:name="_Toc514765783"/>
      <w:bookmarkStart w:id="262" w:name="_Toc514832407"/>
      <w:bookmarkStart w:id="263" w:name="_Toc514832590"/>
      <w:r>
        <w:t xml:space="preserve">Output Class 1: </w:t>
      </w:r>
      <w:r w:rsidRPr="00CD6E3C">
        <w:t>ACT Local Hospital Network</w:t>
      </w:r>
      <w:bookmarkEnd w:id="260"/>
      <w:bookmarkEnd w:id="261"/>
      <w:bookmarkEnd w:id="262"/>
      <w:bookmarkEnd w:id="263"/>
    </w:p>
    <w:p w:rsidR="00A67E34" w:rsidRDefault="00A67E34" w:rsidP="00A67E34">
      <w:pPr>
        <w:pStyle w:val="Caption1"/>
        <w:rPr>
          <w:noProof/>
        </w:rPr>
      </w:pPr>
      <w:r>
        <w:t>Table 9</w:t>
      </w:r>
      <w:r>
        <w:rPr>
          <w:noProof/>
        </w:rPr>
        <w:t>:</w:t>
      </w:r>
      <w:r>
        <w:t xml:space="preserve"> Accountability Indicators</w:t>
      </w:r>
      <w:r>
        <w:rPr>
          <w:noProof/>
        </w:rPr>
        <w:t xml:space="preserve"> Output 1.1</w:t>
      </w:r>
    </w:p>
    <w:tbl>
      <w:tblPr>
        <w:tblW w:w="5000" w:type="pct"/>
        <w:tblBorders>
          <w:top w:val="single" w:sz="12" w:space="0" w:color="000000"/>
          <w:bottom w:val="single" w:sz="12" w:space="0" w:color="000000"/>
        </w:tblBorders>
        <w:tblLook w:val="04A0" w:firstRow="1" w:lastRow="0" w:firstColumn="1" w:lastColumn="0" w:noHBand="0" w:noVBand="1"/>
      </w:tblPr>
      <w:tblGrid>
        <w:gridCol w:w="4892"/>
        <w:gridCol w:w="1379"/>
        <w:gridCol w:w="1379"/>
        <w:gridCol w:w="1376"/>
      </w:tblGrid>
      <w:tr w:rsidR="00A67E34" w:rsidTr="00FC362F">
        <w:trPr>
          <w:tblHeader/>
        </w:trPr>
        <w:tc>
          <w:tcPr>
            <w:tcW w:w="2710" w:type="pct"/>
            <w:tcBorders>
              <w:top w:val="single" w:sz="12" w:space="0" w:color="000000"/>
              <w:left w:val="nil"/>
              <w:bottom w:val="single" w:sz="12" w:space="0" w:color="000000"/>
              <w:right w:val="nil"/>
            </w:tcBorders>
          </w:tcPr>
          <w:p w:rsidR="00A67E34" w:rsidRDefault="00A67E34" w:rsidP="00FC362F">
            <w:pPr>
              <w:pStyle w:val="BStabletext0"/>
              <w:rPr>
                <w:lang w:eastAsia="en-US"/>
              </w:rPr>
            </w:pPr>
          </w:p>
        </w:tc>
        <w:tc>
          <w:tcPr>
            <w:tcW w:w="764" w:type="pct"/>
            <w:tcBorders>
              <w:top w:val="single" w:sz="12" w:space="0" w:color="000000"/>
              <w:left w:val="nil"/>
              <w:bottom w:val="single" w:sz="12" w:space="0" w:color="000000"/>
              <w:right w:val="nil"/>
            </w:tcBorders>
            <w:hideMark/>
          </w:tcPr>
          <w:p w:rsidR="00A67E34" w:rsidRDefault="00A67E34" w:rsidP="00FC362F">
            <w:pPr>
              <w:pStyle w:val="BStableheading10"/>
              <w:framePr w:wrap="around"/>
            </w:pPr>
            <w:r>
              <w:t>2017-18</w:t>
            </w:r>
          </w:p>
          <w:p w:rsidR="00A67E34" w:rsidRDefault="00A67E34" w:rsidP="00FC362F">
            <w:pPr>
              <w:pStyle w:val="BStableheading10"/>
              <w:framePr w:wrap="around"/>
            </w:pPr>
            <w:r>
              <w:t>Targets</w:t>
            </w:r>
          </w:p>
        </w:tc>
        <w:tc>
          <w:tcPr>
            <w:tcW w:w="764" w:type="pct"/>
            <w:tcBorders>
              <w:top w:val="single" w:sz="12" w:space="0" w:color="000000"/>
              <w:left w:val="nil"/>
              <w:bottom w:val="single" w:sz="12" w:space="0" w:color="000000"/>
              <w:right w:val="nil"/>
            </w:tcBorders>
            <w:hideMark/>
          </w:tcPr>
          <w:p w:rsidR="00A67E34" w:rsidRDefault="00A67E34" w:rsidP="00FC362F">
            <w:pPr>
              <w:pStyle w:val="BStableheading10"/>
              <w:framePr w:wrap="around"/>
            </w:pPr>
            <w:r>
              <w:t>2017-18</w:t>
            </w:r>
          </w:p>
          <w:p w:rsidR="00A67E34" w:rsidRDefault="00A67E34" w:rsidP="00FC362F">
            <w:pPr>
              <w:pStyle w:val="BStableheading10"/>
              <w:framePr w:wrap="around"/>
            </w:pPr>
            <w:r>
              <w:t>Estimated Outcome</w:t>
            </w:r>
          </w:p>
        </w:tc>
        <w:tc>
          <w:tcPr>
            <w:tcW w:w="762" w:type="pct"/>
            <w:tcBorders>
              <w:top w:val="single" w:sz="12" w:space="0" w:color="000000"/>
              <w:left w:val="nil"/>
              <w:bottom w:val="single" w:sz="12" w:space="0" w:color="000000"/>
              <w:right w:val="nil"/>
            </w:tcBorders>
            <w:hideMark/>
          </w:tcPr>
          <w:p w:rsidR="00A67E34" w:rsidRDefault="00A67E34" w:rsidP="00FC362F">
            <w:pPr>
              <w:pStyle w:val="BStableheading10"/>
              <w:framePr w:wrap="around"/>
            </w:pPr>
            <w:r>
              <w:t>2018-19</w:t>
            </w:r>
          </w:p>
          <w:p w:rsidR="00A67E34" w:rsidRDefault="00A67E34" w:rsidP="00FC362F">
            <w:pPr>
              <w:pStyle w:val="BStableheading10"/>
              <w:framePr w:wrap="around"/>
            </w:pPr>
            <w:r>
              <w:t>Targets</w:t>
            </w:r>
          </w:p>
        </w:tc>
      </w:tr>
      <w:tr w:rsidR="00A67E34" w:rsidTr="00FC362F">
        <w:tc>
          <w:tcPr>
            <w:tcW w:w="5000" w:type="pct"/>
            <w:gridSpan w:val="4"/>
            <w:tcBorders>
              <w:top w:val="single" w:sz="12" w:space="0" w:color="000000"/>
              <w:left w:val="nil"/>
              <w:bottom w:val="nil"/>
              <w:right w:val="nil"/>
            </w:tcBorders>
            <w:hideMark/>
          </w:tcPr>
          <w:p w:rsidR="00A67E34" w:rsidRDefault="00A67E34" w:rsidP="00FC362F">
            <w:pPr>
              <w:pStyle w:val="Normal4"/>
              <w:spacing w:before="0" w:after="0"/>
              <w:rPr>
                <w:rFonts w:ascii="Times New Roman" w:hAnsi="Times New Roman"/>
                <w:sz w:val="20"/>
                <w:lang w:eastAsia="en-AU"/>
              </w:rPr>
            </w:pPr>
          </w:p>
        </w:tc>
      </w:tr>
      <w:tr w:rsidR="00A67E34" w:rsidTr="00FC362F">
        <w:trPr>
          <w:trHeight w:val="283"/>
        </w:trPr>
        <w:tc>
          <w:tcPr>
            <w:tcW w:w="2710" w:type="pct"/>
            <w:tcBorders>
              <w:top w:val="nil"/>
              <w:left w:val="nil"/>
              <w:bottom w:val="nil"/>
              <w:right w:val="nil"/>
            </w:tcBorders>
            <w:hideMark/>
          </w:tcPr>
          <w:p w:rsidR="00A67E34" w:rsidRDefault="00A67E34" w:rsidP="00FC362F">
            <w:pPr>
              <w:pStyle w:val="Normal4"/>
              <w:spacing w:before="0" w:after="0"/>
              <w:rPr>
                <w:rFonts w:ascii="Times New Roman" w:hAnsi="Times New Roman"/>
                <w:sz w:val="20"/>
                <w:lang w:eastAsia="en-AU"/>
              </w:rPr>
            </w:pPr>
          </w:p>
        </w:tc>
        <w:tc>
          <w:tcPr>
            <w:tcW w:w="764" w:type="pct"/>
            <w:tcBorders>
              <w:top w:val="nil"/>
              <w:left w:val="nil"/>
              <w:bottom w:val="nil"/>
              <w:right w:val="nil"/>
            </w:tcBorders>
            <w:hideMark/>
          </w:tcPr>
          <w:p w:rsidR="00A67E34" w:rsidRDefault="00A67E34" w:rsidP="00FC362F">
            <w:pPr>
              <w:pStyle w:val="BStablefigures0"/>
              <w:rPr>
                <w:lang w:eastAsia="en-US"/>
              </w:rPr>
            </w:pPr>
            <w:r>
              <w:t>NWAU{17}</w:t>
            </w:r>
          </w:p>
        </w:tc>
        <w:tc>
          <w:tcPr>
            <w:tcW w:w="764" w:type="pct"/>
            <w:tcBorders>
              <w:top w:val="nil"/>
              <w:left w:val="nil"/>
              <w:bottom w:val="nil"/>
              <w:right w:val="nil"/>
            </w:tcBorders>
            <w:hideMark/>
          </w:tcPr>
          <w:p w:rsidR="00A67E34" w:rsidRDefault="00A67E34" w:rsidP="00FC362F">
            <w:pPr>
              <w:pStyle w:val="BStablefigures0"/>
              <w:rPr>
                <w:lang w:eastAsia="en-US"/>
              </w:rPr>
            </w:pPr>
            <w:r>
              <w:t>NWAU{17}</w:t>
            </w:r>
          </w:p>
        </w:tc>
        <w:tc>
          <w:tcPr>
            <w:tcW w:w="762" w:type="pct"/>
            <w:tcBorders>
              <w:top w:val="nil"/>
              <w:left w:val="nil"/>
              <w:bottom w:val="nil"/>
              <w:right w:val="nil"/>
            </w:tcBorders>
            <w:hideMark/>
          </w:tcPr>
          <w:p w:rsidR="00A67E34" w:rsidRDefault="00A67E34" w:rsidP="00FC362F">
            <w:pPr>
              <w:pStyle w:val="BStablefigures0"/>
              <w:rPr>
                <w:lang w:eastAsia="en-US"/>
              </w:rPr>
            </w:pPr>
            <w:r>
              <w:t>NWAU</w:t>
            </w:r>
            <w:r w:rsidRPr="007572CB">
              <w:t>{1</w:t>
            </w:r>
            <w:r>
              <w:t>8</w:t>
            </w:r>
            <w:r w:rsidRPr="007572CB">
              <w:t>}</w:t>
            </w:r>
          </w:p>
        </w:tc>
      </w:tr>
      <w:tr w:rsidR="00A67E34" w:rsidTr="00FC362F">
        <w:trPr>
          <w:trHeight w:val="283"/>
        </w:trPr>
        <w:tc>
          <w:tcPr>
            <w:tcW w:w="2710" w:type="pct"/>
            <w:tcBorders>
              <w:top w:val="nil"/>
              <w:left w:val="nil"/>
              <w:bottom w:val="nil"/>
              <w:right w:val="nil"/>
            </w:tcBorders>
            <w:hideMark/>
          </w:tcPr>
          <w:p w:rsidR="00A67E34" w:rsidRDefault="00A67E34" w:rsidP="00CA0839">
            <w:pPr>
              <w:pStyle w:val="BSnoteslist0"/>
              <w:numPr>
                <w:ilvl w:val="0"/>
                <w:numId w:val="53"/>
              </w:numPr>
            </w:pPr>
            <w:r>
              <w:t>Admitted Services – National Weighted Activity Units</w:t>
            </w:r>
            <w:r w:rsidRPr="00604B8C">
              <w:rPr>
                <w:vertAlign w:val="superscript"/>
              </w:rPr>
              <w:t>1</w:t>
            </w:r>
          </w:p>
        </w:tc>
        <w:tc>
          <w:tcPr>
            <w:tcW w:w="764" w:type="pct"/>
            <w:tcBorders>
              <w:top w:val="nil"/>
              <w:left w:val="nil"/>
              <w:bottom w:val="nil"/>
              <w:right w:val="nil"/>
            </w:tcBorders>
            <w:hideMark/>
          </w:tcPr>
          <w:p w:rsidR="00A67E34" w:rsidRDefault="00A67E34" w:rsidP="00FC362F">
            <w:pPr>
              <w:pStyle w:val="BStablefigures0"/>
              <w:rPr>
                <w:lang w:eastAsia="en-US"/>
              </w:rPr>
            </w:pPr>
            <w:r>
              <w:t>99,535</w:t>
            </w:r>
          </w:p>
        </w:tc>
        <w:tc>
          <w:tcPr>
            <w:tcW w:w="764" w:type="pct"/>
            <w:tcBorders>
              <w:top w:val="nil"/>
              <w:left w:val="nil"/>
              <w:bottom w:val="nil"/>
              <w:right w:val="nil"/>
            </w:tcBorders>
          </w:tcPr>
          <w:p w:rsidR="00A67E34" w:rsidRDefault="00A67E34" w:rsidP="00FC362F">
            <w:pPr>
              <w:pStyle w:val="BStablefigures0"/>
              <w:rPr>
                <w:lang w:eastAsia="en-US"/>
              </w:rPr>
            </w:pPr>
            <w:r>
              <w:rPr>
                <w:lang w:eastAsia="en-US"/>
              </w:rPr>
              <w:t>95,882</w:t>
            </w:r>
          </w:p>
        </w:tc>
        <w:tc>
          <w:tcPr>
            <w:tcW w:w="762" w:type="pct"/>
            <w:tcBorders>
              <w:top w:val="nil"/>
              <w:left w:val="nil"/>
              <w:bottom w:val="nil"/>
              <w:right w:val="nil"/>
            </w:tcBorders>
            <w:hideMark/>
          </w:tcPr>
          <w:p w:rsidR="00A67E34" w:rsidRDefault="00A67E34" w:rsidP="00FC362F">
            <w:pPr>
              <w:pStyle w:val="BStablefigures0"/>
              <w:rPr>
                <w:lang w:eastAsia="en-US"/>
              </w:rPr>
            </w:pPr>
            <w:r>
              <w:t>101,853</w:t>
            </w:r>
          </w:p>
        </w:tc>
      </w:tr>
      <w:tr w:rsidR="00A67E34" w:rsidTr="00FC362F">
        <w:trPr>
          <w:trHeight w:val="283"/>
        </w:trPr>
        <w:tc>
          <w:tcPr>
            <w:tcW w:w="2710" w:type="pct"/>
            <w:tcBorders>
              <w:top w:val="nil"/>
              <w:left w:val="nil"/>
              <w:bottom w:val="nil"/>
              <w:right w:val="nil"/>
            </w:tcBorders>
            <w:hideMark/>
          </w:tcPr>
          <w:p w:rsidR="00A67E34" w:rsidRDefault="00A67E34" w:rsidP="00933E98">
            <w:pPr>
              <w:pStyle w:val="BStablelist"/>
              <w:numPr>
                <w:ilvl w:val="0"/>
                <w:numId w:val="7"/>
              </w:numPr>
            </w:pPr>
            <w:r>
              <w:t>Non-admitted Services – National Weighted Activity Units</w:t>
            </w:r>
            <w:r>
              <w:rPr>
                <w:vertAlign w:val="superscript"/>
              </w:rPr>
              <w:t>1</w:t>
            </w:r>
          </w:p>
        </w:tc>
        <w:tc>
          <w:tcPr>
            <w:tcW w:w="764" w:type="pct"/>
            <w:tcBorders>
              <w:top w:val="nil"/>
              <w:left w:val="nil"/>
              <w:bottom w:val="nil"/>
              <w:right w:val="nil"/>
            </w:tcBorders>
            <w:hideMark/>
          </w:tcPr>
          <w:p w:rsidR="00A67E34" w:rsidRDefault="00A67E34" w:rsidP="00FC362F">
            <w:pPr>
              <w:pStyle w:val="BStablefigures0"/>
              <w:rPr>
                <w:lang w:eastAsia="en-US"/>
              </w:rPr>
            </w:pPr>
            <w:r>
              <w:t>18,411</w:t>
            </w:r>
          </w:p>
        </w:tc>
        <w:tc>
          <w:tcPr>
            <w:tcW w:w="764" w:type="pct"/>
            <w:tcBorders>
              <w:top w:val="nil"/>
              <w:left w:val="nil"/>
              <w:bottom w:val="nil"/>
              <w:right w:val="nil"/>
            </w:tcBorders>
          </w:tcPr>
          <w:p w:rsidR="00A67E34" w:rsidRDefault="00A67E34" w:rsidP="00FC362F">
            <w:pPr>
              <w:pStyle w:val="BStablefigures0"/>
              <w:rPr>
                <w:lang w:eastAsia="en-US"/>
              </w:rPr>
            </w:pPr>
            <w:r>
              <w:rPr>
                <w:lang w:eastAsia="en-US"/>
              </w:rPr>
              <w:t>17,186</w:t>
            </w:r>
          </w:p>
        </w:tc>
        <w:tc>
          <w:tcPr>
            <w:tcW w:w="762" w:type="pct"/>
            <w:tcBorders>
              <w:top w:val="nil"/>
              <w:left w:val="nil"/>
              <w:bottom w:val="nil"/>
              <w:right w:val="nil"/>
            </w:tcBorders>
            <w:hideMark/>
          </w:tcPr>
          <w:p w:rsidR="00A67E34" w:rsidRDefault="00A67E34" w:rsidP="00FC362F">
            <w:pPr>
              <w:pStyle w:val="BStablefigures0"/>
              <w:rPr>
                <w:lang w:eastAsia="en-US"/>
              </w:rPr>
            </w:pPr>
            <w:r>
              <w:t>18,897</w:t>
            </w:r>
          </w:p>
        </w:tc>
      </w:tr>
      <w:tr w:rsidR="00A67E34" w:rsidTr="00FC362F">
        <w:trPr>
          <w:trHeight w:val="283"/>
        </w:trPr>
        <w:tc>
          <w:tcPr>
            <w:tcW w:w="2710" w:type="pct"/>
            <w:tcBorders>
              <w:top w:val="nil"/>
              <w:left w:val="nil"/>
              <w:bottom w:val="nil"/>
              <w:right w:val="nil"/>
            </w:tcBorders>
            <w:hideMark/>
          </w:tcPr>
          <w:p w:rsidR="00A67E34" w:rsidRDefault="00A67E34" w:rsidP="00CA0839">
            <w:pPr>
              <w:pStyle w:val="BStablelist"/>
              <w:numPr>
                <w:ilvl w:val="0"/>
                <w:numId w:val="7"/>
              </w:numPr>
              <w:ind w:left="360" w:hanging="360"/>
            </w:pPr>
            <w:r>
              <w:t>Emergency Services – National Weighted Activity Units</w:t>
            </w:r>
            <w:r>
              <w:rPr>
                <w:vertAlign w:val="superscript"/>
              </w:rPr>
              <w:t>1</w:t>
            </w:r>
          </w:p>
        </w:tc>
        <w:tc>
          <w:tcPr>
            <w:tcW w:w="764" w:type="pct"/>
            <w:tcBorders>
              <w:top w:val="nil"/>
              <w:left w:val="nil"/>
              <w:bottom w:val="nil"/>
              <w:right w:val="nil"/>
            </w:tcBorders>
            <w:hideMark/>
          </w:tcPr>
          <w:p w:rsidR="00A67E34" w:rsidRDefault="00A67E34" w:rsidP="00FC362F">
            <w:pPr>
              <w:pStyle w:val="BStablefigures0"/>
              <w:rPr>
                <w:lang w:eastAsia="en-US"/>
              </w:rPr>
            </w:pPr>
            <w:r>
              <w:t>18,456</w:t>
            </w:r>
          </w:p>
        </w:tc>
        <w:tc>
          <w:tcPr>
            <w:tcW w:w="764" w:type="pct"/>
            <w:tcBorders>
              <w:top w:val="nil"/>
              <w:left w:val="nil"/>
              <w:bottom w:val="nil"/>
              <w:right w:val="nil"/>
            </w:tcBorders>
          </w:tcPr>
          <w:p w:rsidR="00A67E34" w:rsidRDefault="00A67E34" w:rsidP="00FC362F">
            <w:pPr>
              <w:pStyle w:val="BStablefigures0"/>
              <w:rPr>
                <w:lang w:eastAsia="en-US"/>
              </w:rPr>
            </w:pPr>
            <w:r>
              <w:rPr>
                <w:lang w:eastAsia="en-US"/>
              </w:rPr>
              <w:t>18,492</w:t>
            </w:r>
          </w:p>
        </w:tc>
        <w:tc>
          <w:tcPr>
            <w:tcW w:w="762" w:type="pct"/>
            <w:tcBorders>
              <w:top w:val="nil"/>
              <w:left w:val="nil"/>
              <w:bottom w:val="nil"/>
              <w:right w:val="nil"/>
            </w:tcBorders>
            <w:hideMark/>
          </w:tcPr>
          <w:p w:rsidR="00A67E34" w:rsidRDefault="00A67E34" w:rsidP="00FC362F">
            <w:pPr>
              <w:pStyle w:val="BStablefigures0"/>
              <w:rPr>
                <w:lang w:eastAsia="en-US"/>
              </w:rPr>
            </w:pPr>
            <w:r>
              <w:t>19,389</w:t>
            </w:r>
          </w:p>
        </w:tc>
      </w:tr>
      <w:tr w:rsidR="00A67E34" w:rsidTr="00FC362F">
        <w:trPr>
          <w:trHeight w:val="283"/>
        </w:trPr>
        <w:tc>
          <w:tcPr>
            <w:tcW w:w="2710" w:type="pct"/>
            <w:tcBorders>
              <w:top w:val="nil"/>
              <w:left w:val="nil"/>
              <w:bottom w:val="nil"/>
              <w:right w:val="nil"/>
            </w:tcBorders>
            <w:hideMark/>
          </w:tcPr>
          <w:p w:rsidR="00A67E34" w:rsidRDefault="00A67E34" w:rsidP="00CA0839">
            <w:pPr>
              <w:pStyle w:val="BStablelist"/>
              <w:numPr>
                <w:ilvl w:val="0"/>
                <w:numId w:val="7"/>
              </w:numPr>
              <w:ind w:left="360" w:hanging="360"/>
            </w:pPr>
            <w:r>
              <w:t>Acute Admitted Mental Health Services – National Weighted Activity Units</w:t>
            </w:r>
            <w:r>
              <w:rPr>
                <w:vertAlign w:val="superscript"/>
              </w:rPr>
              <w:t>1</w:t>
            </w:r>
          </w:p>
        </w:tc>
        <w:tc>
          <w:tcPr>
            <w:tcW w:w="764" w:type="pct"/>
            <w:tcBorders>
              <w:top w:val="nil"/>
              <w:left w:val="nil"/>
              <w:bottom w:val="nil"/>
              <w:right w:val="nil"/>
            </w:tcBorders>
            <w:hideMark/>
          </w:tcPr>
          <w:p w:rsidR="00A67E34" w:rsidRDefault="00A67E34" w:rsidP="00FC362F">
            <w:pPr>
              <w:pStyle w:val="BStablefigures0"/>
              <w:rPr>
                <w:lang w:eastAsia="en-US"/>
              </w:rPr>
            </w:pPr>
            <w:r>
              <w:t>7,956</w:t>
            </w:r>
          </w:p>
        </w:tc>
        <w:tc>
          <w:tcPr>
            <w:tcW w:w="764" w:type="pct"/>
            <w:tcBorders>
              <w:top w:val="nil"/>
              <w:left w:val="nil"/>
              <w:bottom w:val="nil"/>
              <w:right w:val="nil"/>
            </w:tcBorders>
          </w:tcPr>
          <w:p w:rsidR="00A67E34" w:rsidRDefault="00A67E34" w:rsidP="00FC362F">
            <w:pPr>
              <w:pStyle w:val="BStablefigures0"/>
              <w:rPr>
                <w:lang w:eastAsia="en-US"/>
              </w:rPr>
            </w:pPr>
            <w:r>
              <w:rPr>
                <w:lang w:eastAsia="en-US"/>
              </w:rPr>
              <w:t>8,338</w:t>
            </w:r>
          </w:p>
        </w:tc>
        <w:tc>
          <w:tcPr>
            <w:tcW w:w="762" w:type="pct"/>
            <w:tcBorders>
              <w:top w:val="nil"/>
              <w:left w:val="nil"/>
              <w:bottom w:val="nil"/>
              <w:right w:val="nil"/>
            </w:tcBorders>
            <w:hideMark/>
          </w:tcPr>
          <w:p w:rsidR="00A67E34" w:rsidRDefault="00A67E34" w:rsidP="00FC362F">
            <w:pPr>
              <w:pStyle w:val="BStablefigures0"/>
              <w:rPr>
                <w:lang w:eastAsia="en-US"/>
              </w:rPr>
            </w:pPr>
            <w:r>
              <w:t>8,433</w:t>
            </w:r>
          </w:p>
        </w:tc>
      </w:tr>
      <w:tr w:rsidR="00A67E34" w:rsidTr="00FC362F">
        <w:trPr>
          <w:trHeight w:val="283"/>
        </w:trPr>
        <w:tc>
          <w:tcPr>
            <w:tcW w:w="2710" w:type="pct"/>
            <w:tcBorders>
              <w:top w:val="nil"/>
              <w:left w:val="nil"/>
              <w:bottom w:val="nil"/>
              <w:right w:val="nil"/>
            </w:tcBorders>
            <w:hideMark/>
          </w:tcPr>
          <w:p w:rsidR="00A67E34" w:rsidRDefault="00B82C47" w:rsidP="00CA0839">
            <w:pPr>
              <w:pStyle w:val="BStablelist"/>
              <w:numPr>
                <w:ilvl w:val="0"/>
                <w:numId w:val="7"/>
              </w:numPr>
              <w:ind w:left="360" w:hanging="360"/>
            </w:pPr>
            <w:r>
              <w:t>Sub-Acute</w:t>
            </w:r>
            <w:r w:rsidR="00A67E34">
              <w:t xml:space="preserve"> Services – National Weighted Activity Units</w:t>
            </w:r>
            <w:r w:rsidR="00A67E34">
              <w:rPr>
                <w:vertAlign w:val="superscript"/>
              </w:rPr>
              <w:t>1</w:t>
            </w:r>
          </w:p>
        </w:tc>
        <w:tc>
          <w:tcPr>
            <w:tcW w:w="764" w:type="pct"/>
            <w:tcBorders>
              <w:top w:val="nil"/>
              <w:left w:val="nil"/>
              <w:bottom w:val="nil"/>
              <w:right w:val="nil"/>
            </w:tcBorders>
            <w:hideMark/>
          </w:tcPr>
          <w:p w:rsidR="00A67E34" w:rsidRDefault="00A67E34" w:rsidP="00FC362F">
            <w:pPr>
              <w:pStyle w:val="BStablefigures0"/>
              <w:rPr>
                <w:lang w:eastAsia="en-US"/>
              </w:rPr>
            </w:pPr>
            <w:r>
              <w:t>9,291</w:t>
            </w:r>
          </w:p>
        </w:tc>
        <w:tc>
          <w:tcPr>
            <w:tcW w:w="764" w:type="pct"/>
            <w:tcBorders>
              <w:top w:val="nil"/>
              <w:left w:val="nil"/>
              <w:bottom w:val="nil"/>
              <w:right w:val="nil"/>
            </w:tcBorders>
          </w:tcPr>
          <w:p w:rsidR="00A67E34" w:rsidRDefault="00A67E34" w:rsidP="00FC362F">
            <w:pPr>
              <w:pStyle w:val="BStablefigures0"/>
              <w:rPr>
                <w:lang w:eastAsia="en-US"/>
              </w:rPr>
            </w:pPr>
            <w:r>
              <w:rPr>
                <w:lang w:eastAsia="en-US"/>
              </w:rPr>
              <w:t>9,268</w:t>
            </w:r>
          </w:p>
        </w:tc>
        <w:tc>
          <w:tcPr>
            <w:tcW w:w="762" w:type="pct"/>
            <w:tcBorders>
              <w:top w:val="nil"/>
              <w:left w:val="nil"/>
              <w:bottom w:val="nil"/>
              <w:right w:val="nil"/>
            </w:tcBorders>
            <w:hideMark/>
          </w:tcPr>
          <w:p w:rsidR="00A67E34" w:rsidRDefault="00A67E34" w:rsidP="00FC362F">
            <w:pPr>
              <w:pStyle w:val="BStablefigures0"/>
              <w:rPr>
                <w:lang w:eastAsia="en-US"/>
              </w:rPr>
            </w:pPr>
            <w:r>
              <w:t>10,125</w:t>
            </w:r>
          </w:p>
        </w:tc>
      </w:tr>
      <w:tr w:rsidR="00A67E34" w:rsidTr="00FC362F">
        <w:trPr>
          <w:trHeight w:val="283"/>
        </w:trPr>
        <w:tc>
          <w:tcPr>
            <w:tcW w:w="2710" w:type="pct"/>
            <w:tcBorders>
              <w:top w:val="nil"/>
              <w:left w:val="nil"/>
              <w:bottom w:val="nil"/>
              <w:right w:val="nil"/>
            </w:tcBorders>
            <w:hideMark/>
          </w:tcPr>
          <w:p w:rsidR="00A67E34" w:rsidRDefault="00A67E34" w:rsidP="00CA0839">
            <w:pPr>
              <w:pStyle w:val="BStablelist"/>
              <w:numPr>
                <w:ilvl w:val="0"/>
                <w:numId w:val="7"/>
              </w:numPr>
              <w:ind w:left="360" w:hanging="360"/>
            </w:pPr>
            <w:r>
              <w:t>Total in Scope – National Weighted Activity Units</w:t>
            </w:r>
            <w:r>
              <w:rPr>
                <w:vertAlign w:val="superscript"/>
              </w:rPr>
              <w:t>1</w:t>
            </w:r>
          </w:p>
        </w:tc>
        <w:tc>
          <w:tcPr>
            <w:tcW w:w="764" w:type="pct"/>
            <w:tcBorders>
              <w:top w:val="nil"/>
              <w:left w:val="nil"/>
              <w:bottom w:val="nil"/>
              <w:right w:val="nil"/>
            </w:tcBorders>
            <w:hideMark/>
          </w:tcPr>
          <w:p w:rsidR="00A67E34" w:rsidRDefault="00A67E34" w:rsidP="00FC362F">
            <w:pPr>
              <w:pStyle w:val="BStablefigures0"/>
              <w:rPr>
                <w:lang w:eastAsia="en-US"/>
              </w:rPr>
            </w:pPr>
            <w:r>
              <w:t>153,649</w:t>
            </w:r>
          </w:p>
        </w:tc>
        <w:tc>
          <w:tcPr>
            <w:tcW w:w="764" w:type="pct"/>
            <w:tcBorders>
              <w:top w:val="nil"/>
              <w:left w:val="nil"/>
              <w:bottom w:val="nil"/>
              <w:right w:val="nil"/>
            </w:tcBorders>
          </w:tcPr>
          <w:p w:rsidR="00A67E34" w:rsidRPr="004B4F6B" w:rsidRDefault="00A67E34" w:rsidP="00FC362F">
            <w:pPr>
              <w:pStyle w:val="BStablefigures0"/>
              <w:rPr>
                <w:lang w:eastAsia="en-US"/>
              </w:rPr>
            </w:pPr>
            <w:r w:rsidRPr="004B4F6B">
              <w:rPr>
                <w:lang w:eastAsia="en-US"/>
              </w:rPr>
              <w:t>149,166</w:t>
            </w:r>
          </w:p>
        </w:tc>
        <w:tc>
          <w:tcPr>
            <w:tcW w:w="762" w:type="pct"/>
            <w:tcBorders>
              <w:top w:val="nil"/>
              <w:left w:val="nil"/>
              <w:bottom w:val="nil"/>
              <w:right w:val="nil"/>
            </w:tcBorders>
            <w:hideMark/>
          </w:tcPr>
          <w:p w:rsidR="00A67E34" w:rsidRPr="004B4F6B" w:rsidRDefault="00A67E34" w:rsidP="00FC362F">
            <w:pPr>
              <w:pStyle w:val="BStablefigures0"/>
              <w:rPr>
                <w:lang w:eastAsia="en-US"/>
              </w:rPr>
            </w:pPr>
            <w:r w:rsidRPr="004B4F6B">
              <w:t>158,697</w:t>
            </w:r>
          </w:p>
        </w:tc>
      </w:tr>
      <w:tr w:rsidR="00A67E34" w:rsidTr="00FC362F">
        <w:trPr>
          <w:trHeight w:val="283"/>
        </w:trPr>
        <w:tc>
          <w:tcPr>
            <w:tcW w:w="2710" w:type="pct"/>
            <w:tcBorders>
              <w:top w:val="nil"/>
              <w:left w:val="nil"/>
              <w:bottom w:val="nil"/>
              <w:right w:val="nil"/>
            </w:tcBorders>
            <w:hideMark/>
          </w:tcPr>
          <w:p w:rsidR="00A67E34" w:rsidRDefault="00A67E34" w:rsidP="00CA0839">
            <w:pPr>
              <w:pStyle w:val="BStablelist"/>
              <w:numPr>
                <w:ilvl w:val="0"/>
                <w:numId w:val="7"/>
              </w:numPr>
              <w:ind w:left="360" w:hanging="360"/>
            </w:pPr>
            <w:r>
              <w:t>Percenta</w:t>
            </w:r>
            <w:bookmarkStart w:id="264" w:name="_GoBack"/>
            <w:bookmarkEnd w:id="264"/>
            <w:r>
              <w:t>ge of mental health clients with outcome measures completed</w:t>
            </w:r>
            <w:r>
              <w:rPr>
                <w:vertAlign w:val="superscript"/>
              </w:rPr>
              <w:t>2</w:t>
            </w:r>
          </w:p>
        </w:tc>
        <w:tc>
          <w:tcPr>
            <w:tcW w:w="764" w:type="pct"/>
            <w:tcBorders>
              <w:top w:val="nil"/>
              <w:left w:val="nil"/>
              <w:bottom w:val="nil"/>
              <w:right w:val="nil"/>
            </w:tcBorders>
            <w:hideMark/>
          </w:tcPr>
          <w:p w:rsidR="00A67E34" w:rsidRDefault="00A67E34" w:rsidP="00FC362F">
            <w:pPr>
              <w:pStyle w:val="BStablefigures0"/>
              <w:rPr>
                <w:lang w:eastAsia="en-US"/>
              </w:rPr>
            </w:pPr>
            <w:r>
              <w:t>65%</w:t>
            </w:r>
          </w:p>
        </w:tc>
        <w:tc>
          <w:tcPr>
            <w:tcW w:w="764" w:type="pct"/>
            <w:tcBorders>
              <w:top w:val="nil"/>
              <w:left w:val="nil"/>
              <w:bottom w:val="nil"/>
              <w:right w:val="nil"/>
            </w:tcBorders>
          </w:tcPr>
          <w:p w:rsidR="00A67E34" w:rsidRPr="004B4F6B" w:rsidRDefault="00A67E34" w:rsidP="00FC362F">
            <w:pPr>
              <w:pStyle w:val="BStablefigures0"/>
              <w:rPr>
                <w:lang w:eastAsia="en-US"/>
              </w:rPr>
            </w:pPr>
            <w:r w:rsidRPr="004B4F6B">
              <w:rPr>
                <w:lang w:eastAsia="en-US"/>
              </w:rPr>
              <w:t>70%</w:t>
            </w:r>
          </w:p>
        </w:tc>
        <w:tc>
          <w:tcPr>
            <w:tcW w:w="762" w:type="pct"/>
            <w:tcBorders>
              <w:top w:val="nil"/>
              <w:left w:val="nil"/>
              <w:bottom w:val="nil"/>
              <w:right w:val="nil"/>
            </w:tcBorders>
            <w:hideMark/>
          </w:tcPr>
          <w:p w:rsidR="00A67E34" w:rsidRPr="004B4F6B" w:rsidRDefault="00A67E34" w:rsidP="00FC362F">
            <w:pPr>
              <w:pStyle w:val="BStablefigures0"/>
              <w:rPr>
                <w:lang w:eastAsia="en-US"/>
              </w:rPr>
            </w:pPr>
            <w:r w:rsidRPr="004B4F6B">
              <w:t>65%</w:t>
            </w:r>
          </w:p>
        </w:tc>
      </w:tr>
      <w:tr w:rsidR="00A67E34" w:rsidTr="00FC362F">
        <w:trPr>
          <w:trHeight w:val="283"/>
        </w:trPr>
        <w:tc>
          <w:tcPr>
            <w:tcW w:w="2710" w:type="pct"/>
            <w:tcBorders>
              <w:top w:val="nil"/>
              <w:left w:val="nil"/>
              <w:bottom w:val="single" w:sz="12" w:space="0" w:color="000000"/>
              <w:right w:val="nil"/>
            </w:tcBorders>
            <w:hideMark/>
          </w:tcPr>
          <w:p w:rsidR="00A67E34" w:rsidRDefault="00A67E34" w:rsidP="00CA0839">
            <w:pPr>
              <w:pStyle w:val="BStablelist"/>
              <w:numPr>
                <w:ilvl w:val="0"/>
                <w:numId w:val="7"/>
              </w:numPr>
              <w:ind w:left="360" w:hanging="360"/>
            </w:pPr>
            <w:r>
              <w:t>Proportion of mental health clients contacted by a Health Directorate community facility within 7 days post discharge from inpatient services</w:t>
            </w:r>
          </w:p>
        </w:tc>
        <w:tc>
          <w:tcPr>
            <w:tcW w:w="764" w:type="pct"/>
            <w:tcBorders>
              <w:top w:val="nil"/>
              <w:left w:val="nil"/>
              <w:bottom w:val="single" w:sz="12" w:space="0" w:color="000000"/>
              <w:right w:val="nil"/>
            </w:tcBorders>
            <w:hideMark/>
          </w:tcPr>
          <w:p w:rsidR="00A67E34" w:rsidRDefault="00A67E34" w:rsidP="00FC362F">
            <w:pPr>
              <w:pStyle w:val="BStablefigures0"/>
              <w:rPr>
                <w:lang w:eastAsia="en-US"/>
              </w:rPr>
            </w:pPr>
            <w:r>
              <w:t>75%</w:t>
            </w:r>
          </w:p>
        </w:tc>
        <w:tc>
          <w:tcPr>
            <w:tcW w:w="764" w:type="pct"/>
            <w:tcBorders>
              <w:top w:val="nil"/>
              <w:left w:val="nil"/>
              <w:bottom w:val="single" w:sz="12" w:space="0" w:color="000000"/>
              <w:right w:val="nil"/>
            </w:tcBorders>
          </w:tcPr>
          <w:p w:rsidR="00A67E34" w:rsidRPr="004B4F6B" w:rsidRDefault="00A67E34" w:rsidP="00FC362F">
            <w:pPr>
              <w:pStyle w:val="BStablefigures0"/>
              <w:rPr>
                <w:lang w:eastAsia="en-US"/>
              </w:rPr>
            </w:pPr>
            <w:r w:rsidRPr="004B4F6B">
              <w:rPr>
                <w:lang w:eastAsia="en-US"/>
              </w:rPr>
              <w:t>80%</w:t>
            </w:r>
          </w:p>
        </w:tc>
        <w:tc>
          <w:tcPr>
            <w:tcW w:w="762" w:type="pct"/>
            <w:tcBorders>
              <w:top w:val="nil"/>
              <w:left w:val="nil"/>
              <w:bottom w:val="single" w:sz="12" w:space="0" w:color="000000"/>
              <w:right w:val="nil"/>
            </w:tcBorders>
            <w:hideMark/>
          </w:tcPr>
          <w:p w:rsidR="00A67E34" w:rsidRPr="004B4F6B" w:rsidRDefault="00A67E34" w:rsidP="00FC362F">
            <w:pPr>
              <w:pStyle w:val="BStablefigures0"/>
              <w:rPr>
                <w:lang w:eastAsia="en-US"/>
              </w:rPr>
            </w:pPr>
            <w:r w:rsidRPr="004B4F6B">
              <w:t>75%</w:t>
            </w:r>
          </w:p>
        </w:tc>
      </w:tr>
    </w:tbl>
    <w:p w:rsidR="00A67E34" w:rsidRDefault="00A67E34" w:rsidP="00A67E34">
      <w:pPr>
        <w:pStyle w:val="BSnote00"/>
        <w:rPr>
          <w:sz w:val="16"/>
        </w:rPr>
      </w:pPr>
      <w:r>
        <w:rPr>
          <w:sz w:val="16"/>
        </w:rPr>
        <w:t>Notes:</w:t>
      </w:r>
    </w:p>
    <w:p w:rsidR="00A67E34" w:rsidRDefault="00A67E34" w:rsidP="00CA0839">
      <w:pPr>
        <w:pStyle w:val="BSnoteslist10"/>
        <w:numPr>
          <w:ilvl w:val="0"/>
          <w:numId w:val="46"/>
        </w:numPr>
        <w:rPr>
          <w:sz w:val="16"/>
          <w:szCs w:val="16"/>
        </w:rPr>
      </w:pPr>
      <w:r>
        <w:rPr>
          <w:sz w:val="16"/>
          <w:szCs w:val="16"/>
        </w:rPr>
        <w:t>National Weighted Activity Unit (NWAU) is the ‘currency’ that is used to express the price weights for all services that are funded on an activity basis. NWAU {17} is the currency as defined by the Independent Hospital Pricing Authority in the National Price Determination 2017–18, while NWAU {18} is the currency for 2018–19. These measures combine the results for Canberra Hospital and Calvary Public Hospital in-scope activity.</w:t>
      </w:r>
    </w:p>
    <w:p w:rsidR="00A67E34" w:rsidRDefault="00A67E34" w:rsidP="00CA0839">
      <w:pPr>
        <w:pStyle w:val="BSnoteslist10"/>
        <w:numPr>
          <w:ilvl w:val="0"/>
          <w:numId w:val="46"/>
        </w:numPr>
        <w:rPr>
          <w:sz w:val="16"/>
          <w:szCs w:val="16"/>
        </w:rPr>
      </w:pPr>
      <w:r>
        <w:rPr>
          <w:sz w:val="16"/>
          <w:szCs w:val="16"/>
        </w:rPr>
        <w:t>The estimated outcome of 70 per cent indicates better outcomes for mental health clients.</w:t>
      </w:r>
    </w:p>
    <w:p w:rsidR="00A67E34" w:rsidRDefault="00A67E34" w:rsidP="00A67E34">
      <w:pPr>
        <w:pStyle w:val="BSnoteslist0"/>
        <w:ind w:left="360"/>
      </w:pPr>
    </w:p>
    <w:p w:rsidR="00A67E34" w:rsidRDefault="00A67E34" w:rsidP="00A67E34">
      <w:pPr>
        <w:pStyle w:val="Heading2"/>
        <w:pageBreakBefore/>
        <w:pBdr>
          <w:top w:val="nil"/>
          <w:left w:val="nil"/>
          <w:bottom w:val="nil"/>
          <w:right w:val="nil"/>
          <w:between w:val="nil"/>
          <w:bar w:val="nil"/>
        </w:pBdr>
        <w:rPr>
          <w:bdr w:val="nil"/>
        </w:rPr>
      </w:pPr>
      <w:bookmarkStart w:id="265" w:name="_Toc514765784"/>
      <w:bookmarkStart w:id="266" w:name="_Toc514832591"/>
      <w:r>
        <w:rPr>
          <w:bdr w:val="nil"/>
        </w:rPr>
        <w:lastRenderedPageBreak/>
        <w:t>Changes to Appropriation</w:t>
      </w:r>
      <w:bookmarkEnd w:id="265"/>
      <w:bookmarkEnd w:id="266"/>
    </w:p>
    <w:p w:rsidR="00A67E34" w:rsidRPr="00F0682D" w:rsidRDefault="00A67E34" w:rsidP="00A67E34">
      <w:pPr>
        <w:pStyle w:val="Caption"/>
        <w:pBdr>
          <w:top w:val="nil"/>
          <w:left w:val="nil"/>
          <w:bottom w:val="nil"/>
          <w:right w:val="nil"/>
          <w:between w:val="nil"/>
          <w:bar w:val="nil"/>
        </w:pBdr>
        <w:rPr>
          <w:bdr w:val="nil"/>
        </w:rPr>
      </w:pPr>
      <w:r w:rsidRPr="00F0682D">
        <w:rPr>
          <w:bdr w:val="nil"/>
        </w:rPr>
        <w:t xml:space="preserve">Table </w:t>
      </w:r>
      <w:r>
        <w:rPr>
          <w:bdr w:val="nil"/>
        </w:rPr>
        <w:t>10</w:t>
      </w:r>
      <w:r w:rsidRPr="00F0682D">
        <w:rPr>
          <w:bdr w:val="nil"/>
        </w:rPr>
        <w:t>: Changes to appropriation –</w:t>
      </w:r>
      <w:r w:rsidRPr="00F0682D">
        <w:rPr>
          <w:szCs w:val="20"/>
          <w:bdr w:val="nil"/>
        </w:rPr>
        <w:t xml:space="preserve"> </w:t>
      </w:r>
      <w:r w:rsidRPr="00F0682D">
        <w:rPr>
          <w:bdr w:val="nil"/>
        </w:rPr>
        <w:t>Controlled Recurrent Payments</w:t>
      </w:r>
    </w:p>
    <w:p w:rsidR="00A67E34" w:rsidRDefault="00A67E34" w:rsidP="00A67E34"/>
    <w:tbl>
      <w:tblPr>
        <w:tblStyle w:val="CDMRange1"/>
        <w:tblW w:w="9975" w:type="dxa"/>
        <w:tblLayout w:type="fixed"/>
        <w:tblLook w:val="0600" w:firstRow="0" w:lastRow="0" w:firstColumn="0" w:lastColumn="0" w:noHBand="1" w:noVBand="1"/>
      </w:tblPr>
      <w:tblGrid>
        <w:gridCol w:w="4800"/>
        <w:gridCol w:w="1035"/>
        <w:gridCol w:w="1035"/>
        <w:gridCol w:w="1035"/>
        <w:gridCol w:w="1035"/>
        <w:gridCol w:w="1035"/>
      </w:tblGrid>
      <w:tr w:rsidR="00A67E34" w:rsidTr="00FC362F">
        <w:trPr>
          <w:trHeight w:val="990"/>
        </w:trPr>
        <w:tc>
          <w:tcPr>
            <w:tcW w:w="4800" w:type="dxa"/>
            <w:tcBorders>
              <w:top w:val="single" w:sz="12" w:space="0" w:color="000000"/>
              <w:left w:val="nil"/>
              <w:bottom w:val="single" w:sz="12" w:space="0" w:color="000000"/>
              <w:right w:val="nil"/>
              <w:tl2br w:val="nil"/>
              <w:tr2bl w:val="nil"/>
            </w:tcBorders>
            <w:shd w:val="clear" w:color="auto" w:fill="auto"/>
            <w:noWrap/>
            <w:tcMar>
              <w:left w:w="0" w:type="dxa"/>
              <w:right w:w="0" w:type="dxa"/>
            </w:tcMar>
            <w:vAlign w:val="bottom"/>
          </w:tcPr>
          <w:p w:rsidR="00A67E34" w:rsidRDefault="00A67E34" w:rsidP="00FC362F">
            <w:pPr>
              <w:spacing w:before="0" w:after="0"/>
              <w:rPr>
                <w:rFonts w:eastAsia="Calibri" w:cs="Calibri"/>
                <w:color w:val="000000"/>
                <w:sz w:val="18"/>
              </w:rPr>
            </w:pP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2017-18 Estimated Outcome</w:t>
            </w:r>
          </w:p>
          <w:p w:rsidR="00A67E34" w:rsidRDefault="00A67E34" w:rsidP="00FC362F">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2018-19 Budget</w:t>
            </w:r>
          </w:p>
          <w:p w:rsidR="00A67E34" w:rsidRDefault="00A67E34" w:rsidP="00FC362F">
            <w:pPr>
              <w:spacing w:before="0" w:after="0"/>
              <w:jc w:val="right"/>
              <w:rPr>
                <w:rFonts w:eastAsia="Calibri" w:cs="Calibri"/>
                <w:b/>
                <w:color w:val="000000"/>
                <w:sz w:val="18"/>
              </w:rPr>
            </w:pPr>
          </w:p>
          <w:p w:rsidR="00A67E34" w:rsidRDefault="00A67E34" w:rsidP="00FC362F">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2019-20 Estimate</w:t>
            </w:r>
          </w:p>
          <w:p w:rsidR="00A67E34" w:rsidRDefault="00A67E34" w:rsidP="00FC362F">
            <w:pPr>
              <w:spacing w:before="0" w:after="0"/>
              <w:jc w:val="right"/>
              <w:rPr>
                <w:rFonts w:eastAsia="Calibri" w:cs="Calibri"/>
                <w:b/>
                <w:color w:val="000000"/>
                <w:sz w:val="18"/>
              </w:rPr>
            </w:pPr>
          </w:p>
          <w:p w:rsidR="00A67E34" w:rsidRDefault="00A67E34" w:rsidP="00FC362F">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2020-21 Estimate</w:t>
            </w:r>
          </w:p>
          <w:p w:rsidR="00A67E34" w:rsidRDefault="00A67E34" w:rsidP="00FC362F">
            <w:pPr>
              <w:spacing w:before="0" w:after="0"/>
              <w:jc w:val="right"/>
              <w:rPr>
                <w:rFonts w:eastAsia="Calibri" w:cs="Calibri"/>
                <w:b/>
                <w:color w:val="000000"/>
                <w:sz w:val="18"/>
              </w:rPr>
            </w:pPr>
          </w:p>
          <w:p w:rsidR="00A67E34" w:rsidRDefault="00A67E34" w:rsidP="00FC362F">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2021-22 Estimate</w:t>
            </w:r>
          </w:p>
          <w:p w:rsidR="00A67E34" w:rsidRDefault="00A67E34" w:rsidP="00FC362F">
            <w:pPr>
              <w:spacing w:before="0" w:after="0"/>
              <w:jc w:val="right"/>
              <w:rPr>
                <w:rFonts w:eastAsia="Calibri" w:cs="Calibri"/>
                <w:b/>
                <w:color w:val="000000"/>
                <w:sz w:val="18"/>
              </w:rPr>
            </w:pPr>
          </w:p>
          <w:p w:rsidR="00A67E34" w:rsidRDefault="00A67E34" w:rsidP="00FC362F">
            <w:pPr>
              <w:spacing w:before="0" w:after="0"/>
              <w:jc w:val="right"/>
              <w:rPr>
                <w:rFonts w:eastAsia="Calibri" w:cs="Calibri"/>
                <w:b/>
                <w:color w:val="000000"/>
                <w:sz w:val="18"/>
              </w:rPr>
            </w:pPr>
            <w:r>
              <w:rPr>
                <w:rFonts w:eastAsia="Calibri" w:cs="Calibri"/>
                <w:b/>
                <w:color w:val="000000"/>
                <w:sz w:val="18"/>
              </w:rPr>
              <w:t>$'000</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A67E34" w:rsidRDefault="00A67E34" w:rsidP="00FC362F">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A67E34" w:rsidRDefault="00A67E34" w:rsidP="00FC362F">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A67E34" w:rsidRDefault="00A67E34" w:rsidP="00FC362F">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A67E34" w:rsidRDefault="00A67E34" w:rsidP="00FC362F">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A67E34" w:rsidRDefault="00A67E34" w:rsidP="00FC362F">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A67E34" w:rsidRDefault="00A67E34" w:rsidP="00FC362F">
            <w:pPr>
              <w:spacing w:before="0" w:after="0"/>
              <w:rPr>
                <w:rFonts w:eastAsia="Calibri" w:cs="Calibr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101" w:type="dxa"/>
              <w:right w:w="101" w:type="dxa"/>
            </w:tcMar>
            <w:vAlign w:val="bottom"/>
          </w:tcPr>
          <w:p w:rsidR="00A67E34" w:rsidRDefault="00A67E34" w:rsidP="00FC362F">
            <w:pPr>
              <w:spacing w:before="0" w:after="0"/>
              <w:rPr>
                <w:rFonts w:eastAsia="Calibri" w:cs="Calibri"/>
                <w:b/>
                <w:color w:val="000000"/>
                <w:sz w:val="18"/>
              </w:rPr>
            </w:pPr>
            <w:r>
              <w:rPr>
                <w:rFonts w:eastAsia="Calibri" w:cs="Calibri"/>
                <w:b/>
                <w:color w:val="000000"/>
                <w:sz w:val="18"/>
              </w:rPr>
              <w:t>2017-18 Budget</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A67E34" w:rsidRDefault="00A67E34" w:rsidP="00FC362F">
            <w:pPr>
              <w:spacing w:before="0" w:after="0"/>
              <w:jc w:val="right"/>
              <w:rPr>
                <w:rFonts w:eastAsia="Calibri" w:cs="Calibri"/>
                <w:color w:val="000000"/>
                <w:sz w:val="18"/>
              </w:rPr>
            </w:pPr>
            <w:r>
              <w:rPr>
                <w:rFonts w:eastAsia="Calibri" w:cs="Calibri"/>
                <w:color w:val="000000"/>
                <w:sz w:val="18"/>
              </w:rPr>
              <w:t>656,143</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A67E34" w:rsidRDefault="00A67E34" w:rsidP="00FC362F">
            <w:pPr>
              <w:spacing w:before="0" w:after="0"/>
              <w:jc w:val="right"/>
              <w:rPr>
                <w:rFonts w:eastAsia="Calibri" w:cs="Calibri"/>
                <w:color w:val="000000"/>
                <w:sz w:val="18"/>
              </w:rPr>
            </w:pPr>
            <w:r>
              <w:rPr>
                <w:rFonts w:eastAsia="Calibri" w:cs="Calibri"/>
                <w:color w:val="000000"/>
                <w:sz w:val="18"/>
              </w:rPr>
              <w:t>658,512</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A67E34" w:rsidRDefault="00A67E34" w:rsidP="00FC362F">
            <w:pPr>
              <w:spacing w:before="0" w:after="0"/>
              <w:jc w:val="right"/>
              <w:rPr>
                <w:rFonts w:eastAsia="Calibri" w:cs="Calibri"/>
                <w:color w:val="000000"/>
                <w:sz w:val="18"/>
              </w:rPr>
            </w:pPr>
            <w:r>
              <w:rPr>
                <w:rFonts w:eastAsia="Calibri" w:cs="Calibri"/>
                <w:color w:val="000000"/>
                <w:sz w:val="18"/>
              </w:rPr>
              <w:t>659,774</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A67E34" w:rsidRDefault="00A67E34" w:rsidP="00FC362F">
            <w:pPr>
              <w:spacing w:before="0" w:after="0"/>
              <w:jc w:val="right"/>
              <w:rPr>
                <w:rFonts w:eastAsia="Calibri" w:cs="Calibri"/>
                <w:color w:val="000000"/>
                <w:sz w:val="18"/>
              </w:rPr>
            </w:pPr>
            <w:r>
              <w:rPr>
                <w:rFonts w:eastAsia="Calibri" w:cs="Calibri"/>
                <w:color w:val="000000"/>
                <w:sz w:val="18"/>
              </w:rPr>
              <w:t>667,867</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A67E34" w:rsidRDefault="00A67E34" w:rsidP="00FC362F">
            <w:pPr>
              <w:spacing w:before="0" w:after="0"/>
              <w:jc w:val="right"/>
              <w:rPr>
                <w:rFonts w:eastAsia="Calibri" w:cs="Calibri"/>
                <w:color w:val="000000"/>
                <w:sz w:val="18"/>
              </w:rPr>
            </w:pPr>
            <w:r>
              <w:rPr>
                <w:rFonts w:eastAsia="Calibri" w:cs="Calibri"/>
                <w:color w:val="000000"/>
                <w:sz w:val="18"/>
              </w:rPr>
              <w:t>667,867</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0" w:type="dxa"/>
              <w:right w:w="0" w:type="dxa"/>
            </w:tcMar>
            <w:vAlign w:val="bottom"/>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A67E34" w:rsidRDefault="00A67E34" w:rsidP="00FC362F">
            <w:pPr>
              <w:spacing w:before="0" w:after="0"/>
              <w:rPr>
                <w:rFonts w:eastAsia="Calibri" w:cs="Calibr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rsidR="00A67E34" w:rsidRDefault="00A67E34" w:rsidP="00FC362F">
            <w:pPr>
              <w:spacing w:before="0" w:after="0"/>
              <w:rPr>
                <w:rFonts w:eastAsia="Calibri" w:cs="Calibri"/>
                <w:b/>
                <w:color w:val="000000"/>
                <w:sz w:val="18"/>
              </w:rPr>
            </w:pPr>
            <w:r>
              <w:rPr>
                <w:rFonts w:eastAsia="Calibri" w:cs="Calibri"/>
                <w:b/>
                <w:color w:val="000000"/>
                <w:sz w:val="18"/>
              </w:rPr>
              <w:t>2018-19 Budget Technical Adjustments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A67E34" w:rsidRDefault="00A67E34" w:rsidP="00FC362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A67E34" w:rsidRDefault="00A67E34" w:rsidP="00FC362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A67E34" w:rsidRDefault="00A67E34" w:rsidP="00FC362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A67E34" w:rsidRDefault="00A67E34" w:rsidP="00FC362F">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A67E34" w:rsidRDefault="00A67E34" w:rsidP="00FC362F">
            <w:pPr>
              <w:spacing w:before="0" w:after="0"/>
              <w:rPr>
                <w:rFonts w:eastAsia="Calibri" w:cs="Calibri"/>
                <w:color w:val="FFFFFF"/>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A67E34" w:rsidRDefault="00A67E34" w:rsidP="00FC362F">
            <w:pPr>
              <w:spacing w:before="0" w:after="0"/>
              <w:rPr>
                <w:rFonts w:eastAsia="Calibri" w:cs="Calibri"/>
                <w:color w:val="000000"/>
                <w:sz w:val="18"/>
              </w:rPr>
            </w:pPr>
            <w:r>
              <w:rPr>
                <w:rFonts w:eastAsia="Calibri" w:cs="Calibri"/>
                <w:color w:val="000000"/>
                <w:sz w:val="18"/>
              </w:rPr>
              <w:t>2018-19 Commonwealth Budget - National Health Reform Agreement</w:t>
            </w:r>
          </w:p>
        </w:tc>
        <w:tc>
          <w:tcPr>
            <w:tcW w:w="1035" w:type="dxa"/>
            <w:tcBorders>
              <w:top w:val="nil"/>
              <w:left w:val="nil"/>
              <w:bottom w:val="nil"/>
              <w:right w:val="nil"/>
              <w:tl2br w:val="nil"/>
              <w:tr2bl w:val="nil"/>
            </w:tcBorders>
            <w:shd w:val="clear" w:color="auto" w:fill="auto"/>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(40,031)</w:t>
            </w:r>
          </w:p>
        </w:tc>
        <w:tc>
          <w:tcPr>
            <w:tcW w:w="1035" w:type="dxa"/>
            <w:tcBorders>
              <w:top w:val="nil"/>
              <w:left w:val="nil"/>
              <w:bottom w:val="nil"/>
              <w:right w:val="nil"/>
              <w:tl2br w:val="nil"/>
              <w:tr2bl w:val="nil"/>
            </w:tcBorders>
            <w:shd w:val="clear" w:color="auto" w:fill="auto"/>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(13,053)</w:t>
            </w:r>
          </w:p>
        </w:tc>
        <w:tc>
          <w:tcPr>
            <w:tcW w:w="1035" w:type="dxa"/>
            <w:tcBorders>
              <w:top w:val="nil"/>
              <w:left w:val="nil"/>
              <w:bottom w:val="nil"/>
              <w:right w:val="nil"/>
              <w:tl2br w:val="nil"/>
              <w:tr2bl w:val="nil"/>
            </w:tcBorders>
            <w:shd w:val="clear" w:color="auto" w:fill="auto"/>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(15,515)</w:t>
            </w:r>
          </w:p>
        </w:tc>
        <w:tc>
          <w:tcPr>
            <w:tcW w:w="1035" w:type="dxa"/>
            <w:tcBorders>
              <w:top w:val="nil"/>
              <w:left w:val="nil"/>
              <w:bottom w:val="nil"/>
              <w:right w:val="nil"/>
              <w:tl2br w:val="nil"/>
              <w:tr2bl w:val="nil"/>
            </w:tcBorders>
            <w:shd w:val="clear" w:color="auto" w:fill="auto"/>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(25,367)</w:t>
            </w:r>
          </w:p>
        </w:tc>
        <w:tc>
          <w:tcPr>
            <w:tcW w:w="1035" w:type="dxa"/>
            <w:tcBorders>
              <w:top w:val="nil"/>
              <w:left w:val="nil"/>
              <w:bottom w:val="nil"/>
              <w:right w:val="nil"/>
              <w:tl2br w:val="nil"/>
              <w:tr2bl w:val="nil"/>
            </w:tcBorders>
            <w:shd w:val="clear" w:color="auto" w:fill="auto"/>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(43,986)</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A67E34" w:rsidRDefault="00A67E34" w:rsidP="00FC362F">
            <w:pPr>
              <w:spacing w:before="0" w:after="0"/>
              <w:rPr>
                <w:rFonts w:eastAsia="Calibri" w:cs="Calibri"/>
                <w:color w:val="000000"/>
                <w:sz w:val="18"/>
              </w:rPr>
            </w:pPr>
            <w:r>
              <w:rPr>
                <w:rFonts w:eastAsia="Calibri" w:cs="Calibri"/>
                <w:color w:val="000000"/>
                <w:sz w:val="18"/>
              </w:rPr>
              <w:t>Estimated Outcome - Cross Border Health payments</w:t>
            </w:r>
          </w:p>
        </w:tc>
        <w:tc>
          <w:tcPr>
            <w:tcW w:w="1035" w:type="dxa"/>
            <w:tcBorders>
              <w:top w:val="nil"/>
              <w:left w:val="nil"/>
              <w:bottom w:val="nil"/>
              <w:right w:val="nil"/>
              <w:tl2br w:val="nil"/>
              <w:tr2bl w:val="nil"/>
            </w:tcBorders>
            <w:shd w:val="clear" w:color="auto" w:fill="auto"/>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(3,748)</w:t>
            </w:r>
          </w:p>
        </w:tc>
        <w:tc>
          <w:tcPr>
            <w:tcW w:w="1035" w:type="dxa"/>
            <w:tcBorders>
              <w:top w:val="nil"/>
              <w:left w:val="nil"/>
              <w:bottom w:val="nil"/>
              <w:right w:val="nil"/>
              <w:tl2br w:val="nil"/>
              <w:tr2bl w:val="nil"/>
            </w:tcBorders>
            <w:shd w:val="clear" w:color="auto" w:fill="auto"/>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(4,109)</w:t>
            </w:r>
          </w:p>
        </w:tc>
        <w:tc>
          <w:tcPr>
            <w:tcW w:w="1035" w:type="dxa"/>
            <w:tcBorders>
              <w:top w:val="nil"/>
              <w:left w:val="nil"/>
              <w:bottom w:val="nil"/>
              <w:right w:val="nil"/>
              <w:tl2br w:val="nil"/>
              <w:tr2bl w:val="nil"/>
            </w:tcBorders>
            <w:shd w:val="clear" w:color="auto" w:fill="auto"/>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(4,211)</w:t>
            </w:r>
          </w:p>
        </w:tc>
        <w:tc>
          <w:tcPr>
            <w:tcW w:w="1035" w:type="dxa"/>
            <w:tcBorders>
              <w:top w:val="nil"/>
              <w:left w:val="nil"/>
              <w:bottom w:val="nil"/>
              <w:right w:val="nil"/>
              <w:tl2br w:val="nil"/>
              <w:tr2bl w:val="nil"/>
            </w:tcBorders>
            <w:shd w:val="clear" w:color="auto" w:fill="auto"/>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(5,083)</w:t>
            </w:r>
          </w:p>
        </w:tc>
        <w:tc>
          <w:tcPr>
            <w:tcW w:w="1035" w:type="dxa"/>
            <w:tcBorders>
              <w:top w:val="nil"/>
              <w:left w:val="nil"/>
              <w:bottom w:val="nil"/>
              <w:right w:val="nil"/>
              <w:tl2br w:val="nil"/>
              <w:tr2bl w:val="nil"/>
            </w:tcBorders>
            <w:shd w:val="clear" w:color="auto" w:fill="auto"/>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(5,209)</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A67E34" w:rsidRDefault="00A67E34" w:rsidP="00FC362F">
            <w:pPr>
              <w:spacing w:before="0" w:after="0"/>
              <w:rPr>
                <w:rFonts w:eastAsia="Calibri" w:cs="Calibri"/>
                <w:color w:val="000000"/>
                <w:sz w:val="18"/>
              </w:rPr>
            </w:pPr>
            <w:r>
              <w:rPr>
                <w:rFonts w:eastAsia="Calibri" w:cs="Calibri"/>
                <w:color w:val="000000"/>
                <w:sz w:val="18"/>
              </w:rPr>
              <w:t>Rebasing LHN</w:t>
            </w:r>
          </w:p>
        </w:tc>
        <w:tc>
          <w:tcPr>
            <w:tcW w:w="1035" w:type="dxa"/>
            <w:tcBorders>
              <w:top w:val="nil"/>
              <w:left w:val="nil"/>
              <w:bottom w:val="nil"/>
              <w:right w:val="nil"/>
              <w:tl2br w:val="nil"/>
              <w:tr2bl w:val="nil"/>
            </w:tcBorders>
            <w:shd w:val="clear" w:color="auto" w:fill="auto"/>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28,640</w:t>
            </w:r>
          </w:p>
        </w:tc>
        <w:tc>
          <w:tcPr>
            <w:tcW w:w="1035" w:type="dxa"/>
            <w:tcBorders>
              <w:top w:val="nil"/>
              <w:left w:val="nil"/>
              <w:bottom w:val="nil"/>
              <w:right w:val="nil"/>
              <w:tl2br w:val="nil"/>
              <w:tr2bl w:val="nil"/>
            </w:tcBorders>
            <w:shd w:val="clear" w:color="auto" w:fill="auto"/>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34,040</w:t>
            </w:r>
          </w:p>
        </w:tc>
        <w:tc>
          <w:tcPr>
            <w:tcW w:w="1035" w:type="dxa"/>
            <w:tcBorders>
              <w:top w:val="nil"/>
              <w:left w:val="nil"/>
              <w:bottom w:val="nil"/>
              <w:right w:val="nil"/>
              <w:tl2br w:val="nil"/>
              <w:tr2bl w:val="nil"/>
            </w:tcBorders>
            <w:shd w:val="clear" w:color="auto" w:fill="auto"/>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57,771</w:t>
            </w:r>
          </w:p>
        </w:tc>
        <w:tc>
          <w:tcPr>
            <w:tcW w:w="1035" w:type="dxa"/>
            <w:tcBorders>
              <w:top w:val="nil"/>
              <w:left w:val="nil"/>
              <w:bottom w:val="nil"/>
              <w:right w:val="nil"/>
              <w:tl2br w:val="nil"/>
              <w:tr2bl w:val="nil"/>
            </w:tcBorders>
            <w:shd w:val="clear" w:color="auto" w:fill="auto"/>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99,147</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A67E34" w:rsidRDefault="00A67E34" w:rsidP="00FC362F">
            <w:pPr>
              <w:spacing w:before="0" w:after="0"/>
              <w:rPr>
                <w:rFonts w:eastAsia="Calibri" w:cs="Calibri"/>
                <w:color w:val="000000"/>
                <w:sz w:val="18"/>
              </w:rPr>
            </w:pPr>
            <w:r>
              <w:rPr>
                <w:rFonts w:eastAsia="Calibri" w:cs="Calibri"/>
                <w:color w:val="000000"/>
                <w:sz w:val="18"/>
              </w:rPr>
              <w:t>Revised Indexation Parameters</w:t>
            </w:r>
          </w:p>
        </w:tc>
        <w:tc>
          <w:tcPr>
            <w:tcW w:w="1035" w:type="dxa"/>
            <w:tcBorders>
              <w:top w:val="nil"/>
              <w:left w:val="nil"/>
              <w:bottom w:val="nil"/>
              <w:right w:val="nil"/>
              <w:tl2br w:val="nil"/>
              <w:tr2bl w:val="nil"/>
            </w:tcBorders>
            <w:shd w:val="clear" w:color="auto" w:fill="auto"/>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7,354</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A67E34" w:rsidRDefault="00A67E34" w:rsidP="00FC362F">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A67E34" w:rsidRDefault="00A67E34" w:rsidP="00FC362F">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A67E34" w:rsidRDefault="00A67E34" w:rsidP="00FC362F">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A67E34" w:rsidRDefault="00A67E34" w:rsidP="00FC362F">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A67E34" w:rsidRDefault="00A67E34" w:rsidP="00FC362F">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A67E34" w:rsidRDefault="00A67E34" w:rsidP="00FC362F">
            <w:pPr>
              <w:spacing w:before="0" w:after="0"/>
              <w:rPr>
                <w:rFonts w:eastAsia="Calibri" w:cs="Calibr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A67E34" w:rsidRDefault="00A67E34" w:rsidP="00FC362F">
            <w:pPr>
              <w:spacing w:before="0" w:after="0"/>
              <w:rPr>
                <w:rFonts w:eastAsia="Calibri" w:cs="Calibri"/>
                <w:b/>
                <w:color w:val="000000"/>
                <w:sz w:val="18"/>
              </w:rPr>
            </w:pPr>
            <w:r>
              <w:rPr>
                <w:rFonts w:eastAsia="Calibri" w:cs="Calibri"/>
                <w:b/>
                <w:color w:val="000000"/>
                <w:sz w:val="18"/>
              </w:rPr>
              <w:t>2018-19 Budget</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A67E34" w:rsidRDefault="00A67E34" w:rsidP="00FC362F">
            <w:pPr>
              <w:spacing w:before="0" w:after="0"/>
              <w:jc w:val="right"/>
              <w:rPr>
                <w:rFonts w:eastAsia="Calibri" w:cs="Calibri"/>
                <w:b/>
                <w:color w:val="000000"/>
                <w:sz w:val="18"/>
              </w:rPr>
            </w:pPr>
            <w:r>
              <w:rPr>
                <w:rFonts w:eastAsia="Calibri" w:cs="Calibri"/>
                <w:b/>
                <w:color w:val="000000"/>
                <w:sz w:val="18"/>
              </w:rPr>
              <w:t>612,364</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A67E34" w:rsidRDefault="00A67E34" w:rsidP="00FC362F">
            <w:pPr>
              <w:spacing w:before="0" w:after="0"/>
              <w:jc w:val="right"/>
              <w:rPr>
                <w:rFonts w:eastAsia="Calibri" w:cs="Calibri"/>
                <w:b/>
                <w:color w:val="000000"/>
                <w:sz w:val="18"/>
              </w:rPr>
            </w:pPr>
            <w:r>
              <w:rPr>
                <w:rFonts w:eastAsia="Calibri" w:cs="Calibri"/>
                <w:b/>
                <w:color w:val="000000"/>
                <w:sz w:val="18"/>
              </w:rPr>
              <w:t>669,990</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A67E34" w:rsidRDefault="00A67E34" w:rsidP="00FC362F">
            <w:pPr>
              <w:spacing w:before="0" w:after="0"/>
              <w:jc w:val="right"/>
              <w:rPr>
                <w:rFonts w:eastAsia="Calibri" w:cs="Calibri"/>
                <w:b/>
                <w:color w:val="000000"/>
                <w:sz w:val="18"/>
              </w:rPr>
            </w:pPr>
            <w:r>
              <w:rPr>
                <w:rFonts w:eastAsia="Calibri" w:cs="Calibri"/>
                <w:b/>
                <w:color w:val="000000"/>
                <w:sz w:val="18"/>
              </w:rPr>
              <w:t>674,088</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A67E34" w:rsidRDefault="00A67E34" w:rsidP="00FC362F">
            <w:pPr>
              <w:spacing w:before="0" w:after="0"/>
              <w:jc w:val="right"/>
              <w:rPr>
                <w:rFonts w:eastAsia="Calibri" w:cs="Calibri"/>
                <w:b/>
                <w:color w:val="000000"/>
                <w:sz w:val="18"/>
              </w:rPr>
            </w:pPr>
            <w:r>
              <w:rPr>
                <w:rFonts w:eastAsia="Calibri" w:cs="Calibri"/>
                <w:b/>
                <w:color w:val="000000"/>
                <w:sz w:val="18"/>
              </w:rPr>
              <w:t>695,188</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A67E34" w:rsidRDefault="00A67E34" w:rsidP="00FC362F">
            <w:pPr>
              <w:spacing w:before="0" w:after="0"/>
              <w:jc w:val="right"/>
              <w:rPr>
                <w:rFonts w:eastAsia="Calibri" w:cs="Calibri"/>
                <w:b/>
                <w:color w:val="000000"/>
                <w:sz w:val="18"/>
              </w:rPr>
            </w:pPr>
            <w:r>
              <w:rPr>
                <w:rFonts w:eastAsia="Calibri" w:cs="Calibri"/>
                <w:b/>
                <w:color w:val="000000"/>
                <w:sz w:val="18"/>
              </w:rPr>
              <w:t>725,173</w:t>
            </w:r>
          </w:p>
        </w:tc>
      </w:tr>
    </w:tbl>
    <w:p w:rsidR="00A67E34" w:rsidRDefault="00A67E34" w:rsidP="00A67E34">
      <w:pPr>
        <w:pStyle w:val="Heading2"/>
        <w:pageBreakBefore/>
        <w:pBdr>
          <w:top w:val="nil"/>
          <w:left w:val="nil"/>
          <w:bottom w:val="nil"/>
          <w:right w:val="nil"/>
          <w:between w:val="nil"/>
          <w:bar w:val="nil"/>
        </w:pBdr>
        <w:ind w:left="-426" w:firstLine="426"/>
        <w:rPr>
          <w:bdr w:val="nil"/>
        </w:rPr>
      </w:pPr>
      <w:bookmarkStart w:id="267" w:name="_Toc514765785"/>
      <w:bookmarkStart w:id="268" w:name="_Toc514832592"/>
      <w:r>
        <w:rPr>
          <w:bdr w:val="nil"/>
        </w:rPr>
        <w:lastRenderedPageBreak/>
        <w:t>Financial Statement</w:t>
      </w:r>
      <w:bookmarkEnd w:id="267"/>
      <w:r w:rsidR="00AC4797">
        <w:rPr>
          <w:bdr w:val="nil"/>
        </w:rPr>
        <w:t>s</w:t>
      </w:r>
      <w:bookmarkEnd w:id="268"/>
    </w:p>
    <w:p w:rsidR="00A67E34" w:rsidRPr="00625775" w:rsidRDefault="00A67E34" w:rsidP="00A67E34">
      <w:pPr>
        <w:pStyle w:val="Caption"/>
        <w:pBdr>
          <w:top w:val="nil"/>
          <w:left w:val="nil"/>
          <w:bottom w:val="nil"/>
          <w:right w:val="nil"/>
          <w:between w:val="nil"/>
          <w:bar w:val="nil"/>
        </w:pBdr>
        <w:rPr>
          <w:bdr w:val="nil"/>
        </w:rPr>
      </w:pPr>
      <w:r>
        <w:rPr>
          <w:bdr w:val="nil"/>
        </w:rPr>
        <w:t xml:space="preserve">Table 11: ACT Local Hospital Network: Operating Statement </w:t>
      </w:r>
    </w:p>
    <w:tbl>
      <w:tblPr>
        <w:tblStyle w:val="CDMRange2"/>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A67E34" w:rsidTr="00FC362F">
        <w:trPr>
          <w:trHeight w:val="1005"/>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2017-18 Budget            </w:t>
            </w:r>
          </w:p>
          <w:p w:rsidR="00A67E34" w:rsidRDefault="00A67E34" w:rsidP="00FC362F">
            <w:pPr>
              <w:spacing w:before="0" w:after="0"/>
              <w:jc w:val="right"/>
              <w:rPr>
                <w:rFonts w:eastAsia="Calibri" w:cs="Calibri"/>
                <w:b/>
                <w:color w:val="000000"/>
                <w:sz w:val="18"/>
              </w:rPr>
            </w:pPr>
          </w:p>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 $'000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2018-19 Budget            </w:t>
            </w:r>
          </w:p>
          <w:p w:rsidR="00A67E34" w:rsidRDefault="00A67E34" w:rsidP="00FC362F">
            <w:pPr>
              <w:spacing w:before="0" w:after="0"/>
              <w:jc w:val="right"/>
              <w:rPr>
                <w:rFonts w:eastAsia="Calibri" w:cs="Calibri"/>
                <w:b/>
                <w:color w:val="000000"/>
                <w:sz w:val="18"/>
              </w:rPr>
            </w:pPr>
          </w:p>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proofErr w:type="spellStart"/>
            <w:r>
              <w:rPr>
                <w:rFonts w:eastAsia="Calibri" w:cs="Calibri"/>
                <w:b/>
                <w:color w:val="000000"/>
                <w:sz w:val="18"/>
              </w:rPr>
              <w:t>Var</w:t>
            </w:r>
            <w:proofErr w:type="spellEnd"/>
          </w:p>
          <w:p w:rsidR="00A67E34" w:rsidRDefault="00A67E34" w:rsidP="00FC362F">
            <w:pPr>
              <w:spacing w:before="0" w:after="0"/>
              <w:jc w:val="right"/>
              <w:rPr>
                <w:rFonts w:eastAsia="Calibri" w:cs="Calibri"/>
                <w:b/>
                <w:color w:val="000000"/>
                <w:sz w:val="18"/>
              </w:rPr>
            </w:pPr>
            <w:r>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2019-20 Estimate            </w:t>
            </w:r>
          </w:p>
          <w:p w:rsidR="00A67E34" w:rsidRDefault="00A67E34" w:rsidP="00FC362F">
            <w:pPr>
              <w:spacing w:before="0" w:after="0"/>
              <w:jc w:val="right"/>
              <w:rPr>
                <w:rFonts w:eastAsia="Calibri" w:cs="Calibri"/>
                <w:b/>
                <w:color w:val="000000"/>
                <w:sz w:val="18"/>
              </w:rPr>
            </w:pPr>
          </w:p>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2020-21 Estimate            </w:t>
            </w:r>
          </w:p>
          <w:p w:rsidR="00A67E34" w:rsidRDefault="00A67E34" w:rsidP="00FC362F">
            <w:pPr>
              <w:spacing w:before="0" w:after="0"/>
              <w:jc w:val="right"/>
              <w:rPr>
                <w:rFonts w:eastAsia="Calibri" w:cs="Calibri"/>
                <w:b/>
                <w:color w:val="000000"/>
                <w:sz w:val="18"/>
              </w:rPr>
            </w:pPr>
          </w:p>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2021-22 Estimate            </w:t>
            </w:r>
          </w:p>
          <w:p w:rsidR="00A67E34" w:rsidRDefault="00A67E34" w:rsidP="00FC362F">
            <w:pPr>
              <w:spacing w:before="0" w:after="0"/>
              <w:jc w:val="right"/>
              <w:rPr>
                <w:rFonts w:eastAsia="Calibri" w:cs="Calibri"/>
                <w:b/>
                <w:color w:val="000000"/>
                <w:sz w:val="18"/>
              </w:rPr>
            </w:pPr>
          </w:p>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 $'000</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rPr>
                <w:rFonts w:eastAsia="Calibri" w:cs="Calibri"/>
                <w:b/>
                <w:color w:val="000000"/>
                <w:sz w:val="18"/>
              </w:rPr>
            </w:pPr>
            <w:r>
              <w:rPr>
                <w:rFonts w:eastAsia="Calibri" w:cs="Calibri"/>
                <w:b/>
                <w:color w:val="000000"/>
                <w:sz w:val="18"/>
              </w:rPr>
              <w:t>Income</w:t>
            </w: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rPr>
                <w:rFonts w:eastAsia="Calibri" w:cs="Calibri"/>
                <w:b/>
                <w:color w:val="000000"/>
                <w:sz w:val="18"/>
              </w:rPr>
            </w:pPr>
            <w:r>
              <w:rPr>
                <w:rFonts w:eastAsia="Calibri" w:cs="Calibri"/>
                <w:b/>
                <w:color w:val="000000"/>
                <w:sz w:val="18"/>
              </w:rPr>
              <w:t>Revenue</w:t>
            </w: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656,143</w:t>
            </w:r>
          </w:p>
        </w:tc>
        <w:tc>
          <w:tcPr>
            <w:tcW w:w="2385" w:type="dxa"/>
            <w:tcBorders>
              <w:top w:val="nil"/>
              <w:left w:val="nil"/>
              <w:bottom w:val="nil"/>
              <w:right w:val="nil"/>
              <w:tl2br w:val="nil"/>
              <w:tr2bl w:val="nil"/>
            </w:tcBorders>
            <w:shd w:val="clear" w:color="auto" w:fill="auto"/>
            <w:noWrap/>
            <w:tcMar>
              <w:left w:w="101" w:type="dxa"/>
              <w:right w:w="101" w:type="dxa"/>
            </w:tcMar>
          </w:tcPr>
          <w:p w:rsidR="00A67E34" w:rsidRDefault="00A67E34" w:rsidP="00FC362F">
            <w:pPr>
              <w:spacing w:before="0" w:after="0"/>
              <w:rPr>
                <w:rFonts w:eastAsia="Calibri" w:cs="Calibri"/>
                <w:color w:val="000000"/>
                <w:sz w:val="18"/>
              </w:rPr>
            </w:pPr>
            <w:r>
              <w:rPr>
                <w:rFonts w:eastAsia="Calibri" w:cs="Calibri"/>
                <w:color w:val="000000"/>
                <w:sz w:val="18"/>
              </w:rPr>
              <w:t>Controlled Recurrent Payments</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612,364</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669,990</w:t>
            </w:r>
          </w:p>
        </w:tc>
        <w:tc>
          <w:tcPr>
            <w:tcW w:w="600"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 xml:space="preserve">9 </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674,088</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695,188</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725,173</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101,280</w:t>
            </w:r>
          </w:p>
        </w:tc>
        <w:tc>
          <w:tcPr>
            <w:tcW w:w="2385" w:type="dxa"/>
            <w:tcBorders>
              <w:top w:val="nil"/>
              <w:left w:val="nil"/>
              <w:bottom w:val="nil"/>
              <w:right w:val="nil"/>
              <w:tl2br w:val="nil"/>
              <w:tr2bl w:val="nil"/>
            </w:tcBorders>
            <w:shd w:val="clear" w:color="auto" w:fill="auto"/>
            <w:noWrap/>
            <w:tcMar>
              <w:left w:w="101" w:type="dxa"/>
              <w:right w:w="101" w:type="dxa"/>
            </w:tcMar>
          </w:tcPr>
          <w:p w:rsidR="00A67E34" w:rsidRDefault="00A67E34" w:rsidP="00FC362F">
            <w:pPr>
              <w:spacing w:before="0" w:after="0"/>
              <w:rPr>
                <w:rFonts w:eastAsia="Calibri" w:cs="Calibri"/>
                <w:color w:val="000000"/>
                <w:sz w:val="18"/>
              </w:rPr>
            </w:pPr>
            <w:r>
              <w:rPr>
                <w:rFonts w:eastAsia="Calibri" w:cs="Calibri"/>
                <w:color w:val="000000"/>
                <w:sz w:val="18"/>
              </w:rPr>
              <w:t>User Charges</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105,028</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107,921</w:t>
            </w:r>
          </w:p>
        </w:tc>
        <w:tc>
          <w:tcPr>
            <w:tcW w:w="600"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110,619</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113,385</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116,219</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362,984</w:t>
            </w:r>
          </w:p>
        </w:tc>
        <w:tc>
          <w:tcPr>
            <w:tcW w:w="2385" w:type="dxa"/>
            <w:tcBorders>
              <w:top w:val="nil"/>
              <w:left w:val="nil"/>
              <w:bottom w:val="nil"/>
              <w:right w:val="nil"/>
              <w:tl2br w:val="nil"/>
              <w:tr2bl w:val="nil"/>
            </w:tcBorders>
            <w:shd w:val="clear" w:color="auto" w:fill="auto"/>
            <w:noWrap/>
            <w:tcMar>
              <w:left w:w="101" w:type="dxa"/>
              <w:right w:w="101" w:type="dxa"/>
            </w:tcMar>
          </w:tcPr>
          <w:p w:rsidR="00A67E34" w:rsidRDefault="00A67E34" w:rsidP="00FC362F">
            <w:pPr>
              <w:spacing w:before="0" w:after="0"/>
              <w:rPr>
                <w:rFonts w:eastAsia="Calibri" w:cs="Calibri"/>
                <w:color w:val="000000"/>
                <w:sz w:val="18"/>
              </w:rPr>
            </w:pPr>
            <w:r>
              <w:rPr>
                <w:rFonts w:eastAsia="Calibri" w:cs="Calibri"/>
                <w:color w:val="000000"/>
                <w:sz w:val="18"/>
              </w:rPr>
              <w:t>Grants</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403,015</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398,035</w:t>
            </w:r>
          </w:p>
        </w:tc>
        <w:tc>
          <w:tcPr>
            <w:tcW w:w="600"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 xml:space="preserve">-1 </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423,826</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451,293</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480,544</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1,120,407</w:t>
            </w:r>
          </w:p>
        </w:tc>
        <w:tc>
          <w:tcPr>
            <w:tcW w:w="238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rPr>
                <w:rFonts w:eastAsia="Calibri" w:cs="Calibri"/>
                <w:b/>
                <w:color w:val="000000"/>
                <w:sz w:val="18"/>
              </w:rPr>
            </w:pPr>
            <w:r>
              <w:rPr>
                <w:rFonts w:eastAsia="Calibri" w:cs="Calibri"/>
                <w:b/>
                <w:color w:val="000000"/>
                <w:sz w:val="18"/>
              </w:rPr>
              <w:t>Total Revenue</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1,120,407</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1,175,946</w:t>
            </w:r>
          </w:p>
        </w:tc>
        <w:tc>
          <w:tcPr>
            <w:tcW w:w="600"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5 </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1,208,533</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1,259,866</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1,321,936</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rPr>
                <w:rFonts w:eastAsia="Calibri" w:cs="Calibri"/>
                <w:b/>
                <w:color w:val="000000"/>
                <w:sz w:val="18"/>
              </w:rPr>
            </w:pPr>
            <w:r>
              <w:rPr>
                <w:rFonts w:eastAsia="Calibri" w:cs="Calibri"/>
                <w:b/>
                <w:color w:val="000000"/>
                <w:sz w:val="18"/>
              </w:rPr>
              <w:t>Total Gains</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1,120,407</w:t>
            </w:r>
          </w:p>
        </w:tc>
        <w:tc>
          <w:tcPr>
            <w:tcW w:w="238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rPr>
                <w:rFonts w:eastAsia="Calibri" w:cs="Calibri"/>
                <w:b/>
                <w:color w:val="000000"/>
                <w:sz w:val="18"/>
              </w:rPr>
            </w:pPr>
            <w:r>
              <w:rPr>
                <w:rFonts w:eastAsia="Calibri" w:cs="Calibri"/>
                <w:b/>
                <w:color w:val="000000"/>
                <w:sz w:val="18"/>
              </w:rPr>
              <w:t>Total Income</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1,120,407</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1,175,946</w:t>
            </w:r>
          </w:p>
        </w:tc>
        <w:tc>
          <w:tcPr>
            <w:tcW w:w="600"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5 </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1,208,533</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1,259,866</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1,321,936</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rPr>
                <w:rFonts w:eastAsia="Calibri" w:cs="Calibri"/>
                <w:b/>
                <w:color w:val="000000"/>
                <w:sz w:val="18"/>
              </w:rPr>
            </w:pPr>
            <w:r>
              <w:rPr>
                <w:rFonts w:eastAsia="Calibri" w:cs="Calibri"/>
                <w:b/>
                <w:color w:val="000000"/>
                <w:sz w:val="18"/>
              </w:rPr>
              <w:t xml:space="preserve">Expenses  </w:t>
            </w: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1,114,063</w:t>
            </w:r>
          </w:p>
        </w:tc>
        <w:tc>
          <w:tcPr>
            <w:tcW w:w="238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rPr>
                <w:rFonts w:eastAsia="Calibri" w:cs="Calibri"/>
                <w:color w:val="000000"/>
                <w:sz w:val="18"/>
              </w:rPr>
            </w:pPr>
            <w:r>
              <w:rPr>
                <w:rFonts w:eastAsia="Calibri" w:cs="Calibri"/>
                <w:color w:val="000000"/>
                <w:sz w:val="18"/>
              </w:rPr>
              <w:t>Grants and Purchased Services</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1,113,930</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1,169,126</w:t>
            </w:r>
          </w:p>
        </w:tc>
        <w:tc>
          <w:tcPr>
            <w:tcW w:w="600"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 xml:space="preserve">5 </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1,201,351</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1,252,299</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1,313,960</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6,344</w:t>
            </w:r>
          </w:p>
        </w:tc>
        <w:tc>
          <w:tcPr>
            <w:tcW w:w="238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rPr>
                <w:rFonts w:eastAsia="Calibri" w:cs="Calibri"/>
                <w:color w:val="000000"/>
                <w:sz w:val="18"/>
              </w:rPr>
            </w:pPr>
            <w:r>
              <w:rPr>
                <w:rFonts w:eastAsia="Calibri" w:cs="Calibri"/>
                <w:color w:val="000000"/>
                <w:sz w:val="18"/>
              </w:rPr>
              <w:t>Payments to ACT Government Agencies</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6,477</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6,820</w:t>
            </w:r>
          </w:p>
        </w:tc>
        <w:tc>
          <w:tcPr>
            <w:tcW w:w="600"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 xml:space="preserve">5 </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7,182</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7,567</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7,976</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1,120,407</w:t>
            </w:r>
          </w:p>
        </w:tc>
        <w:tc>
          <w:tcPr>
            <w:tcW w:w="238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rPr>
                <w:rFonts w:eastAsia="Calibri" w:cs="Calibri"/>
                <w:b/>
                <w:color w:val="000000"/>
                <w:sz w:val="18"/>
              </w:rPr>
            </w:pPr>
            <w:r>
              <w:rPr>
                <w:rFonts w:eastAsia="Calibri" w:cs="Calibri"/>
                <w:b/>
                <w:color w:val="000000"/>
                <w:sz w:val="18"/>
              </w:rPr>
              <w:t>Total Expenses</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1,120,407</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1,175,946</w:t>
            </w:r>
          </w:p>
        </w:tc>
        <w:tc>
          <w:tcPr>
            <w:tcW w:w="600"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5 </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1,208,533</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1,259,866</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1,321,936</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rPr>
                <w:rFonts w:eastAsia="Calibri" w:cs="Calibri"/>
                <w:b/>
                <w:color w:val="000000"/>
                <w:sz w:val="18"/>
              </w:rPr>
            </w:pPr>
            <w:r>
              <w:rPr>
                <w:rFonts w:eastAsia="Calibri" w:cs="Calibri"/>
                <w:b/>
                <w:color w:val="000000"/>
                <w:sz w:val="18"/>
              </w:rPr>
              <w:t>Operating Result</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 - </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b/>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b/>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rPr>
                <w:rFonts w:eastAsia="Calibri" w:cs="Calibri"/>
                <w:b/>
                <w:color w:val="000000"/>
                <w:sz w:val="18"/>
              </w:rPr>
            </w:pPr>
            <w:r>
              <w:rPr>
                <w:rFonts w:eastAsia="Calibri" w:cs="Calibri"/>
                <w:b/>
                <w:color w:val="000000"/>
                <w:sz w:val="18"/>
              </w:rPr>
              <w:t>Total Comprehensive Income</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r>
    </w:tbl>
    <w:p w:rsidR="00A67E34" w:rsidRDefault="00A67E34" w:rsidP="00A67E34">
      <w:pPr>
        <w:pStyle w:val="Caption"/>
        <w:pageBreakBefore/>
        <w:pBdr>
          <w:top w:val="nil"/>
          <w:left w:val="nil"/>
          <w:bottom w:val="nil"/>
          <w:right w:val="nil"/>
          <w:between w:val="nil"/>
          <w:bar w:val="nil"/>
        </w:pBdr>
        <w:outlineLvl w:val="0"/>
        <w:rPr>
          <w:bdr w:val="nil"/>
        </w:rPr>
      </w:pPr>
      <w:bookmarkStart w:id="269" w:name="_Toc514764160"/>
      <w:bookmarkStart w:id="270" w:name="_Toc514765786"/>
      <w:bookmarkStart w:id="271" w:name="_Toc514832593"/>
      <w:r>
        <w:rPr>
          <w:bdr w:val="nil"/>
        </w:rPr>
        <w:lastRenderedPageBreak/>
        <w:t>Table 12: ACT Local Hospital Network: Balance Sheet</w:t>
      </w:r>
      <w:bookmarkEnd w:id="269"/>
      <w:bookmarkEnd w:id="270"/>
      <w:bookmarkEnd w:id="271"/>
      <w:r>
        <w:rPr>
          <w:bdr w:val="nil"/>
        </w:rPr>
        <w:t xml:space="preserve"> </w:t>
      </w:r>
    </w:p>
    <w:tbl>
      <w:tblPr>
        <w:tblStyle w:val="CDMRange1"/>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A67E34" w:rsidTr="00FC362F">
        <w:trPr>
          <w:trHeight w:val="945"/>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Budget</w:t>
            </w:r>
          </w:p>
          <w:p w:rsidR="00A67E34" w:rsidRDefault="00A67E34" w:rsidP="00FC362F">
            <w:pPr>
              <w:spacing w:before="0" w:after="0"/>
              <w:jc w:val="right"/>
              <w:rPr>
                <w:rFonts w:eastAsia="Calibri" w:cs="Calibri"/>
                <w:b/>
                <w:color w:val="000000"/>
                <w:sz w:val="18"/>
              </w:rPr>
            </w:pPr>
            <w:r>
              <w:rPr>
                <w:rFonts w:eastAsia="Calibri" w:cs="Calibri"/>
                <w:b/>
                <w:color w:val="000000"/>
                <w:sz w:val="18"/>
              </w:rPr>
              <w:t>at</w:t>
            </w:r>
          </w:p>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30/6/18 </w:t>
            </w:r>
          </w:p>
          <w:p w:rsidR="00A67E34" w:rsidRDefault="00A67E34" w:rsidP="00FC362F">
            <w:pPr>
              <w:spacing w:before="0" w:after="0"/>
              <w:jc w:val="right"/>
              <w:rPr>
                <w:rFonts w:eastAsia="Calibri" w:cs="Calibri"/>
                <w:b/>
                <w:color w:val="000000"/>
                <w:sz w:val="18"/>
              </w:rPr>
            </w:pPr>
            <w:r>
              <w:rPr>
                <w:rFonts w:eastAsia="Calibri" w:cs="Calibri"/>
                <w:b/>
                <w:color w:val="000000"/>
                <w:sz w:val="18"/>
              </w:rPr>
              <w:t>$'000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2017-18 Estimated Outcome</w:t>
            </w:r>
          </w:p>
          <w:p w:rsidR="00A67E34" w:rsidRDefault="00A67E34" w:rsidP="00FC362F">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Budget</w:t>
            </w:r>
          </w:p>
          <w:p w:rsidR="00A67E34" w:rsidRDefault="00A67E34" w:rsidP="00FC362F">
            <w:pPr>
              <w:spacing w:before="0" w:after="0"/>
              <w:jc w:val="right"/>
              <w:rPr>
                <w:rFonts w:eastAsia="Calibri" w:cs="Calibri"/>
                <w:b/>
                <w:color w:val="000000"/>
                <w:sz w:val="18"/>
              </w:rPr>
            </w:pPr>
            <w:r>
              <w:rPr>
                <w:rFonts w:eastAsia="Calibri" w:cs="Calibri"/>
                <w:b/>
                <w:color w:val="000000"/>
                <w:sz w:val="18"/>
              </w:rPr>
              <w:t>at</w:t>
            </w:r>
          </w:p>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30/6/19 </w:t>
            </w:r>
          </w:p>
          <w:p w:rsidR="00A67E34" w:rsidRDefault="00A67E34" w:rsidP="00FC362F">
            <w:pPr>
              <w:spacing w:before="0" w:after="0"/>
              <w:jc w:val="right"/>
              <w:rPr>
                <w:rFonts w:eastAsia="Calibri" w:cs="Calibri"/>
                <w:b/>
                <w:color w:val="000000"/>
                <w:sz w:val="18"/>
              </w:rPr>
            </w:pPr>
            <w:r>
              <w:rPr>
                <w:rFonts w:eastAsia="Calibri" w:cs="Calibri"/>
                <w:b/>
                <w:color w:val="000000"/>
                <w:sz w:val="18"/>
              </w:rPr>
              <w:t>$'000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proofErr w:type="spellStart"/>
            <w:r>
              <w:rPr>
                <w:rFonts w:eastAsia="Calibri" w:cs="Calibri"/>
                <w:b/>
                <w:color w:val="000000"/>
                <w:sz w:val="18"/>
              </w:rPr>
              <w:t>Var</w:t>
            </w:r>
            <w:proofErr w:type="spellEnd"/>
          </w:p>
          <w:p w:rsidR="00A67E34" w:rsidRDefault="00A67E34" w:rsidP="00FC362F">
            <w:pPr>
              <w:spacing w:before="0" w:after="0"/>
              <w:jc w:val="right"/>
              <w:rPr>
                <w:rFonts w:eastAsia="Calibri" w:cs="Calibri"/>
                <w:b/>
                <w:color w:val="000000"/>
                <w:sz w:val="18"/>
              </w:rPr>
            </w:pPr>
            <w:r>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Estimate</w:t>
            </w:r>
          </w:p>
          <w:p w:rsidR="00A67E34" w:rsidRDefault="00A67E34" w:rsidP="00FC362F">
            <w:pPr>
              <w:spacing w:before="0" w:after="0"/>
              <w:jc w:val="right"/>
              <w:rPr>
                <w:rFonts w:eastAsia="Calibri" w:cs="Calibri"/>
                <w:b/>
                <w:color w:val="000000"/>
                <w:sz w:val="18"/>
              </w:rPr>
            </w:pPr>
            <w:r>
              <w:rPr>
                <w:rFonts w:eastAsia="Calibri" w:cs="Calibri"/>
                <w:b/>
                <w:color w:val="000000"/>
                <w:sz w:val="18"/>
              </w:rPr>
              <w:t>at</w:t>
            </w:r>
          </w:p>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30/6/20 </w:t>
            </w:r>
          </w:p>
          <w:p w:rsidR="00A67E34" w:rsidRDefault="00A67E34" w:rsidP="00FC362F">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Estimate</w:t>
            </w:r>
          </w:p>
          <w:p w:rsidR="00A67E34" w:rsidRDefault="00A67E34" w:rsidP="00FC362F">
            <w:pPr>
              <w:spacing w:before="0" w:after="0"/>
              <w:jc w:val="right"/>
              <w:rPr>
                <w:rFonts w:eastAsia="Calibri" w:cs="Calibri"/>
                <w:b/>
                <w:color w:val="000000"/>
                <w:sz w:val="18"/>
              </w:rPr>
            </w:pPr>
            <w:r>
              <w:rPr>
                <w:rFonts w:eastAsia="Calibri" w:cs="Calibri"/>
                <w:b/>
                <w:color w:val="000000"/>
                <w:sz w:val="18"/>
              </w:rPr>
              <w:t>at</w:t>
            </w:r>
          </w:p>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30/6/21 </w:t>
            </w:r>
          </w:p>
          <w:p w:rsidR="00A67E34" w:rsidRDefault="00A67E34" w:rsidP="00FC362F">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Estimate</w:t>
            </w:r>
          </w:p>
          <w:p w:rsidR="00A67E34" w:rsidRDefault="00A67E34" w:rsidP="00FC362F">
            <w:pPr>
              <w:spacing w:before="0" w:after="0"/>
              <w:jc w:val="right"/>
              <w:rPr>
                <w:rFonts w:eastAsia="Calibri" w:cs="Calibri"/>
                <w:b/>
                <w:color w:val="000000"/>
                <w:sz w:val="18"/>
              </w:rPr>
            </w:pPr>
            <w:r>
              <w:rPr>
                <w:rFonts w:eastAsia="Calibri" w:cs="Calibri"/>
                <w:b/>
                <w:color w:val="000000"/>
                <w:sz w:val="18"/>
              </w:rPr>
              <w:t>at</w:t>
            </w:r>
          </w:p>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30/6/22 </w:t>
            </w:r>
          </w:p>
          <w:p w:rsidR="00A67E34" w:rsidRDefault="00A67E34" w:rsidP="00FC362F">
            <w:pPr>
              <w:spacing w:before="0" w:after="0"/>
              <w:jc w:val="right"/>
              <w:rPr>
                <w:rFonts w:eastAsia="Calibri" w:cs="Calibri"/>
                <w:b/>
                <w:color w:val="000000"/>
                <w:sz w:val="18"/>
              </w:rPr>
            </w:pPr>
            <w:r>
              <w:rPr>
                <w:rFonts w:eastAsia="Calibri" w:cs="Calibri"/>
                <w:b/>
                <w:color w:val="000000"/>
                <w:sz w:val="18"/>
              </w:rPr>
              <w:t>$'000</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rPr>
                <w:rFonts w:eastAsia="Calibri" w:cs="Calibri"/>
                <w:b/>
                <w:color w:val="000000"/>
                <w:sz w:val="18"/>
              </w:rPr>
            </w:pPr>
            <w:r>
              <w:rPr>
                <w:rFonts w:eastAsia="Calibri" w:cs="Calibri"/>
                <w:b/>
                <w:color w:val="000000"/>
                <w:sz w:val="18"/>
              </w:rPr>
              <w:t>Current Assets</w:t>
            </w: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3,147</w:t>
            </w:r>
          </w:p>
        </w:tc>
        <w:tc>
          <w:tcPr>
            <w:tcW w:w="2385" w:type="dxa"/>
            <w:tcBorders>
              <w:top w:val="nil"/>
              <w:left w:val="nil"/>
              <w:bottom w:val="nil"/>
              <w:right w:val="nil"/>
              <w:tl2br w:val="nil"/>
              <w:tr2bl w:val="nil"/>
            </w:tcBorders>
            <w:shd w:val="clear" w:color="auto" w:fill="auto"/>
            <w:noWrap/>
            <w:tcMar>
              <w:left w:w="101" w:type="dxa"/>
              <w:right w:w="101" w:type="dxa"/>
            </w:tcMar>
          </w:tcPr>
          <w:p w:rsidR="00A67E34" w:rsidRDefault="00A67E34" w:rsidP="00FC362F">
            <w:pPr>
              <w:spacing w:before="0" w:after="0"/>
              <w:rPr>
                <w:rFonts w:eastAsia="Calibri" w:cs="Calibri"/>
                <w:color w:val="000000"/>
                <w:sz w:val="18"/>
              </w:rPr>
            </w:pPr>
            <w:r>
              <w:rPr>
                <w:rFonts w:eastAsia="Calibri" w:cs="Calibri"/>
                <w:color w:val="000000"/>
                <w:sz w:val="18"/>
              </w:rPr>
              <w:t>Cash and Cash Equivalents</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3,771</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3,771</w:t>
            </w:r>
          </w:p>
        </w:tc>
        <w:tc>
          <w:tcPr>
            <w:tcW w:w="600"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w:t>
            </w:r>
            <w:r w:rsidR="00904EBD">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3,771</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3,771</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3,771</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19,843</w:t>
            </w:r>
          </w:p>
        </w:tc>
        <w:tc>
          <w:tcPr>
            <w:tcW w:w="2385" w:type="dxa"/>
            <w:tcBorders>
              <w:top w:val="nil"/>
              <w:left w:val="nil"/>
              <w:bottom w:val="nil"/>
              <w:right w:val="nil"/>
              <w:tl2br w:val="nil"/>
              <w:tr2bl w:val="nil"/>
            </w:tcBorders>
            <w:shd w:val="clear" w:color="auto" w:fill="auto"/>
            <w:noWrap/>
            <w:tcMar>
              <w:left w:w="101" w:type="dxa"/>
              <w:right w:w="101" w:type="dxa"/>
            </w:tcMar>
          </w:tcPr>
          <w:p w:rsidR="00A67E34" w:rsidRDefault="00A67E34" w:rsidP="00FC362F">
            <w:pPr>
              <w:spacing w:before="0" w:after="0"/>
              <w:rPr>
                <w:rFonts w:eastAsia="Calibri" w:cs="Calibri"/>
                <w:color w:val="000000"/>
                <w:sz w:val="18"/>
              </w:rPr>
            </w:pPr>
            <w:r>
              <w:rPr>
                <w:rFonts w:eastAsia="Calibri" w:cs="Calibri"/>
                <w:color w:val="000000"/>
                <w:sz w:val="18"/>
              </w:rPr>
              <w:t>Receivables</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24,218</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24,218</w:t>
            </w:r>
          </w:p>
        </w:tc>
        <w:tc>
          <w:tcPr>
            <w:tcW w:w="600"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w:t>
            </w:r>
            <w:r w:rsidR="00904EBD">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24,218</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24,218</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24,218</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22,990</w:t>
            </w:r>
          </w:p>
        </w:tc>
        <w:tc>
          <w:tcPr>
            <w:tcW w:w="238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rPr>
                <w:rFonts w:eastAsia="Calibri" w:cs="Calibri"/>
                <w:b/>
                <w:color w:val="000000"/>
                <w:sz w:val="18"/>
              </w:rPr>
            </w:pPr>
            <w:r>
              <w:rPr>
                <w:rFonts w:eastAsia="Calibri" w:cs="Calibri"/>
                <w:b/>
                <w:color w:val="000000"/>
                <w:sz w:val="18"/>
              </w:rPr>
              <w:t>Total Current Assets</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27,989</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27,989</w:t>
            </w:r>
          </w:p>
        </w:tc>
        <w:tc>
          <w:tcPr>
            <w:tcW w:w="600"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w:t>
            </w:r>
            <w:r w:rsidR="00904EBD">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27,989</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27,989</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27,989</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rPr>
                <w:rFonts w:eastAsia="Calibri" w:cs="Calibri"/>
                <w:b/>
                <w:color w:val="000000"/>
                <w:sz w:val="18"/>
              </w:rPr>
            </w:pPr>
            <w:proofErr w:type="spellStart"/>
            <w:r>
              <w:rPr>
                <w:rFonts w:eastAsia="Calibri" w:cs="Calibri"/>
                <w:b/>
                <w:color w:val="000000"/>
                <w:sz w:val="18"/>
              </w:rPr>
              <w:t>Non Current</w:t>
            </w:r>
            <w:proofErr w:type="spellEnd"/>
            <w:r>
              <w:rPr>
                <w:rFonts w:eastAsia="Calibri" w:cs="Calibri"/>
                <w:b/>
                <w:color w:val="000000"/>
                <w:sz w:val="18"/>
              </w:rPr>
              <w:t xml:space="preserve"> Assets</w:t>
            </w: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c>
          <w:tcPr>
            <w:tcW w:w="238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rPr>
                <w:rFonts w:eastAsia="Calibri" w:cs="Calibri"/>
                <w:b/>
                <w:color w:val="000000"/>
                <w:sz w:val="18"/>
              </w:rPr>
            </w:pPr>
            <w:r>
              <w:rPr>
                <w:rFonts w:eastAsia="Calibri" w:cs="Calibri"/>
                <w:b/>
                <w:color w:val="000000"/>
                <w:sz w:val="18"/>
              </w:rPr>
              <w:t xml:space="preserve">Total </w:t>
            </w:r>
            <w:proofErr w:type="spellStart"/>
            <w:r>
              <w:rPr>
                <w:rFonts w:eastAsia="Calibri" w:cs="Calibri"/>
                <w:b/>
                <w:color w:val="000000"/>
                <w:sz w:val="18"/>
              </w:rPr>
              <w:t>Non Current</w:t>
            </w:r>
            <w:proofErr w:type="spellEnd"/>
            <w:r>
              <w:rPr>
                <w:rFonts w:eastAsia="Calibri" w:cs="Calibri"/>
                <w:b/>
                <w:color w:val="000000"/>
                <w:sz w:val="18"/>
              </w:rPr>
              <w:t xml:space="preserve"> Assets</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w:t>
            </w:r>
            <w:r w:rsidR="00904EBD">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22,990</w:t>
            </w:r>
          </w:p>
        </w:tc>
        <w:tc>
          <w:tcPr>
            <w:tcW w:w="238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rPr>
                <w:rFonts w:eastAsia="Calibri" w:cs="Calibri"/>
                <w:b/>
                <w:color w:val="000000"/>
                <w:sz w:val="18"/>
              </w:rPr>
            </w:pPr>
            <w:r>
              <w:rPr>
                <w:rFonts w:eastAsia="Calibri" w:cs="Calibri"/>
                <w:b/>
                <w:color w:val="000000"/>
                <w:sz w:val="18"/>
              </w:rPr>
              <w:t>TOTAL ASSETS</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27,989</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27,989</w:t>
            </w:r>
          </w:p>
        </w:tc>
        <w:tc>
          <w:tcPr>
            <w:tcW w:w="600"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w:t>
            </w:r>
            <w:r w:rsidR="00904EBD">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27,989</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27,989</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27,989</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rPr>
                <w:rFonts w:eastAsia="Calibri" w:cs="Calibri"/>
                <w:b/>
                <w:color w:val="000000"/>
                <w:sz w:val="18"/>
              </w:rPr>
            </w:pPr>
            <w:r>
              <w:rPr>
                <w:rFonts w:eastAsia="Calibri" w:cs="Calibri"/>
                <w:b/>
                <w:color w:val="000000"/>
                <w:sz w:val="18"/>
              </w:rPr>
              <w:t>Current Liabilities</w:t>
            </w: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14,010</w:t>
            </w:r>
          </w:p>
        </w:tc>
        <w:tc>
          <w:tcPr>
            <w:tcW w:w="238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rPr>
                <w:rFonts w:eastAsia="Calibri" w:cs="Calibri"/>
                <w:color w:val="000000"/>
                <w:sz w:val="18"/>
              </w:rPr>
            </w:pPr>
            <w:r>
              <w:rPr>
                <w:rFonts w:eastAsia="Calibri" w:cs="Calibri"/>
                <w:color w:val="000000"/>
                <w:sz w:val="18"/>
              </w:rPr>
              <w:t>Payables</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14,780</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14,780</w:t>
            </w:r>
          </w:p>
        </w:tc>
        <w:tc>
          <w:tcPr>
            <w:tcW w:w="600"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w:t>
            </w:r>
            <w:r w:rsidR="00904EBD">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14,780</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14,780</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14,780</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14,010</w:t>
            </w:r>
          </w:p>
        </w:tc>
        <w:tc>
          <w:tcPr>
            <w:tcW w:w="238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rPr>
                <w:rFonts w:eastAsia="Calibri" w:cs="Calibri"/>
                <w:b/>
                <w:color w:val="000000"/>
                <w:sz w:val="18"/>
              </w:rPr>
            </w:pPr>
            <w:r>
              <w:rPr>
                <w:rFonts w:eastAsia="Calibri" w:cs="Calibri"/>
                <w:b/>
                <w:color w:val="000000"/>
                <w:sz w:val="18"/>
              </w:rPr>
              <w:t>Total Current Liabilities</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14,780</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14,780</w:t>
            </w:r>
          </w:p>
        </w:tc>
        <w:tc>
          <w:tcPr>
            <w:tcW w:w="600"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w:t>
            </w:r>
            <w:r w:rsidR="00904EBD">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14,780</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14,780</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14,780</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rPr>
                <w:rFonts w:eastAsia="Calibri" w:cs="Calibri"/>
                <w:b/>
                <w:color w:val="000000"/>
                <w:sz w:val="18"/>
              </w:rPr>
            </w:pPr>
            <w:proofErr w:type="spellStart"/>
            <w:r>
              <w:rPr>
                <w:rFonts w:eastAsia="Calibri" w:cs="Calibri"/>
                <w:b/>
                <w:color w:val="000000"/>
                <w:sz w:val="18"/>
              </w:rPr>
              <w:t>Non Current</w:t>
            </w:r>
            <w:proofErr w:type="spellEnd"/>
            <w:r>
              <w:rPr>
                <w:rFonts w:eastAsia="Calibri" w:cs="Calibri"/>
                <w:b/>
                <w:color w:val="000000"/>
                <w:sz w:val="18"/>
              </w:rPr>
              <w:t xml:space="preserve"> Liabilities</w:t>
            </w: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c>
          <w:tcPr>
            <w:tcW w:w="238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rPr>
                <w:rFonts w:eastAsia="Calibri" w:cs="Calibri"/>
                <w:b/>
                <w:color w:val="000000"/>
                <w:sz w:val="18"/>
              </w:rPr>
            </w:pPr>
            <w:r>
              <w:rPr>
                <w:rFonts w:eastAsia="Calibri" w:cs="Calibri"/>
                <w:b/>
                <w:color w:val="000000"/>
                <w:sz w:val="18"/>
              </w:rPr>
              <w:t xml:space="preserve">Total </w:t>
            </w:r>
            <w:proofErr w:type="spellStart"/>
            <w:r>
              <w:rPr>
                <w:rFonts w:eastAsia="Calibri" w:cs="Calibri"/>
                <w:b/>
                <w:color w:val="000000"/>
                <w:sz w:val="18"/>
              </w:rPr>
              <w:t>Non Current</w:t>
            </w:r>
            <w:proofErr w:type="spellEnd"/>
            <w:r>
              <w:rPr>
                <w:rFonts w:eastAsia="Calibri" w:cs="Calibri"/>
                <w:b/>
                <w:color w:val="000000"/>
                <w:sz w:val="18"/>
              </w:rPr>
              <w:t xml:space="preserve"> Liabilities</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w:t>
            </w:r>
            <w:r w:rsidR="00904EBD">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14,010</w:t>
            </w:r>
          </w:p>
        </w:tc>
        <w:tc>
          <w:tcPr>
            <w:tcW w:w="238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rPr>
                <w:rFonts w:eastAsia="Calibri" w:cs="Calibri"/>
                <w:b/>
                <w:color w:val="000000"/>
                <w:sz w:val="18"/>
              </w:rPr>
            </w:pPr>
            <w:r>
              <w:rPr>
                <w:rFonts w:eastAsia="Calibri" w:cs="Calibri"/>
                <w:b/>
                <w:color w:val="000000"/>
                <w:sz w:val="18"/>
              </w:rPr>
              <w:t>TOTAL LIABILITIES</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14,780</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14,780</w:t>
            </w:r>
          </w:p>
        </w:tc>
        <w:tc>
          <w:tcPr>
            <w:tcW w:w="600"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w:t>
            </w:r>
            <w:r w:rsidR="00904EBD">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14,780</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14,780</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14,780</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8,980</w:t>
            </w:r>
          </w:p>
        </w:tc>
        <w:tc>
          <w:tcPr>
            <w:tcW w:w="238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rPr>
                <w:rFonts w:eastAsia="Calibri" w:cs="Calibri"/>
                <w:b/>
                <w:color w:val="000000"/>
                <w:sz w:val="18"/>
              </w:rPr>
            </w:pPr>
            <w:r>
              <w:rPr>
                <w:rFonts w:eastAsia="Calibri" w:cs="Calibri"/>
                <w:b/>
                <w:color w:val="000000"/>
                <w:sz w:val="18"/>
              </w:rPr>
              <w:t>NET ASSETS</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13,209</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13,209</w:t>
            </w:r>
          </w:p>
        </w:tc>
        <w:tc>
          <w:tcPr>
            <w:tcW w:w="600"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w:t>
            </w:r>
            <w:r w:rsidR="00904EBD">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13,209</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13,209</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13,209</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8160" w:type="dxa"/>
            <w:gridSpan w:val="7"/>
            <w:tcBorders>
              <w:top w:val="nil"/>
              <w:left w:val="nil"/>
              <w:bottom w:val="nil"/>
              <w:right w:val="nil"/>
              <w:tl2br w:val="nil"/>
              <w:tr2bl w:val="nil"/>
            </w:tcBorders>
            <w:shd w:val="clear" w:color="FFFFFF" w:fill="FFFFFF"/>
            <w:noWrap/>
            <w:tcMar>
              <w:left w:w="101" w:type="dxa"/>
              <w:right w:w="101" w:type="dxa"/>
            </w:tcMar>
            <w:vAlign w:val="bottom"/>
          </w:tcPr>
          <w:p w:rsidR="00A67E34" w:rsidRDefault="00A67E34" w:rsidP="00FC362F">
            <w:pPr>
              <w:spacing w:before="0" w:after="0"/>
              <w:rPr>
                <w:rFonts w:eastAsia="Calibri" w:cs="Calibri"/>
                <w:b/>
                <w:color w:val="000000"/>
                <w:sz w:val="18"/>
              </w:rPr>
            </w:pPr>
            <w:r>
              <w:rPr>
                <w:rFonts w:eastAsia="Calibri" w:cs="Calibri"/>
                <w:b/>
                <w:color w:val="000000"/>
                <w:sz w:val="18"/>
              </w:rPr>
              <w:t>REPRESENTED BY FUNDS EMPLOYED</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8,980</w:t>
            </w:r>
          </w:p>
        </w:tc>
        <w:tc>
          <w:tcPr>
            <w:tcW w:w="238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rPr>
                <w:rFonts w:eastAsia="Calibri" w:cs="Calibri"/>
                <w:color w:val="000000"/>
                <w:sz w:val="18"/>
              </w:rPr>
            </w:pPr>
            <w:r>
              <w:rPr>
                <w:rFonts w:eastAsia="Calibri" w:cs="Calibri"/>
                <w:color w:val="000000"/>
                <w:sz w:val="18"/>
              </w:rPr>
              <w:t>Accumulated Funds</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13,209</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13,209</w:t>
            </w:r>
          </w:p>
        </w:tc>
        <w:tc>
          <w:tcPr>
            <w:tcW w:w="600"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w:t>
            </w:r>
            <w:r w:rsidR="00904EBD">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13,209</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13,209</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13,209</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b/>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b/>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8,980</w:t>
            </w:r>
          </w:p>
        </w:tc>
        <w:tc>
          <w:tcPr>
            <w:tcW w:w="238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rPr>
                <w:rFonts w:eastAsia="Calibri" w:cs="Calibri"/>
                <w:b/>
                <w:color w:val="000000"/>
                <w:sz w:val="18"/>
              </w:rPr>
            </w:pPr>
            <w:r>
              <w:rPr>
                <w:rFonts w:eastAsia="Calibri" w:cs="Calibri"/>
                <w:b/>
                <w:color w:val="000000"/>
                <w:sz w:val="18"/>
              </w:rPr>
              <w:t>TOTAL FUNDS EMPLOYED</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13,209</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13,209</w:t>
            </w:r>
          </w:p>
        </w:tc>
        <w:tc>
          <w:tcPr>
            <w:tcW w:w="600" w:type="dxa"/>
            <w:tcBorders>
              <w:top w:val="nil"/>
              <w:left w:val="nil"/>
              <w:bottom w:val="nil"/>
              <w:right w:val="nil"/>
              <w:tl2br w:val="nil"/>
              <w:tr2bl w:val="nil"/>
            </w:tcBorders>
            <w:shd w:val="clear" w:color="FFFFFF" w:fill="FFFFFF"/>
            <w:tcMar>
              <w:left w:w="101" w:type="dxa"/>
              <w:right w:w="101" w:type="dxa"/>
            </w:tcMar>
          </w:tcPr>
          <w:p w:rsidR="00A67E34" w:rsidRDefault="00904EBD" w:rsidP="00FC362F">
            <w:pPr>
              <w:spacing w:before="0" w:after="0"/>
              <w:jc w:val="right"/>
              <w:rPr>
                <w:rFonts w:eastAsia="Calibri" w:cs="Calibri"/>
                <w:b/>
                <w:color w:val="000000"/>
                <w:sz w:val="18"/>
              </w:rPr>
            </w:pPr>
            <w:r>
              <w:rPr>
                <w:rFonts w:eastAsia="Calibri" w:cs="Calibri"/>
                <w:b/>
                <w:color w:val="000000"/>
                <w:sz w:val="18"/>
              </w:rPr>
              <w:t xml:space="preserve"> </w:t>
            </w:r>
            <w:r w:rsidR="00A67E34">
              <w:rPr>
                <w:rFonts w:eastAsia="Calibri" w:cs="Calibri"/>
                <w:b/>
                <w:color w:val="000000"/>
                <w:sz w:val="18"/>
              </w:rPr>
              <w:t>-</w:t>
            </w: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13,209</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13,209</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13,209</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r>
    </w:tbl>
    <w:p w:rsidR="00A67E34" w:rsidRPr="00DB70E3" w:rsidRDefault="00A67E34" w:rsidP="00A67E34">
      <w:pPr>
        <w:pStyle w:val="Caption"/>
        <w:pageBreakBefore/>
        <w:pBdr>
          <w:top w:val="nil"/>
          <w:left w:val="nil"/>
          <w:bottom w:val="nil"/>
          <w:right w:val="nil"/>
          <w:between w:val="nil"/>
          <w:bar w:val="nil"/>
        </w:pBdr>
        <w:outlineLvl w:val="0"/>
        <w:rPr>
          <w:bdr w:val="nil"/>
        </w:rPr>
      </w:pPr>
      <w:bookmarkStart w:id="272" w:name="_Toc514764161"/>
      <w:bookmarkStart w:id="273" w:name="_Toc514765787"/>
      <w:bookmarkStart w:id="274" w:name="_Toc514832594"/>
      <w:r>
        <w:rPr>
          <w:bdr w:val="nil"/>
        </w:rPr>
        <w:lastRenderedPageBreak/>
        <w:t>Table 13: ACT Local Hospital Network: Statement of Changes in Equity</w:t>
      </w:r>
      <w:bookmarkEnd w:id="272"/>
      <w:bookmarkEnd w:id="273"/>
      <w:bookmarkEnd w:id="274"/>
      <w:r>
        <w:rPr>
          <w:bdr w:val="nil"/>
        </w:rPr>
        <w:t xml:space="preserve"> </w:t>
      </w:r>
    </w:p>
    <w:tbl>
      <w:tblPr>
        <w:tblStyle w:val="CDMRange2"/>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A67E34" w:rsidTr="00FC362F">
        <w:trPr>
          <w:trHeight w:val="93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Budget</w:t>
            </w:r>
          </w:p>
          <w:p w:rsidR="00A67E34" w:rsidRDefault="00A67E34" w:rsidP="00FC362F">
            <w:pPr>
              <w:spacing w:before="0" w:after="0"/>
              <w:jc w:val="right"/>
              <w:rPr>
                <w:rFonts w:eastAsia="Calibri" w:cs="Calibri"/>
                <w:b/>
                <w:color w:val="000000"/>
                <w:sz w:val="18"/>
              </w:rPr>
            </w:pPr>
            <w:r>
              <w:rPr>
                <w:rFonts w:eastAsia="Calibri" w:cs="Calibri"/>
                <w:b/>
                <w:color w:val="000000"/>
                <w:sz w:val="18"/>
              </w:rPr>
              <w:t>at</w:t>
            </w:r>
          </w:p>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30/6/18 </w:t>
            </w:r>
          </w:p>
          <w:p w:rsidR="00A67E34" w:rsidRDefault="00A67E34" w:rsidP="00FC362F">
            <w:pPr>
              <w:spacing w:before="0" w:after="0"/>
              <w:jc w:val="right"/>
              <w:rPr>
                <w:rFonts w:eastAsia="Calibri" w:cs="Calibri"/>
                <w:b/>
                <w:color w:val="000000"/>
                <w:sz w:val="18"/>
              </w:rPr>
            </w:pPr>
            <w:r>
              <w:rPr>
                <w:rFonts w:eastAsia="Calibri" w:cs="Calibri"/>
                <w:b/>
                <w:color w:val="000000"/>
                <w:sz w:val="18"/>
              </w:rPr>
              <w:t>$'000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2017-18 Estimated Outcome</w:t>
            </w:r>
          </w:p>
          <w:p w:rsidR="00A67E34" w:rsidRDefault="00A67E34" w:rsidP="00FC362F">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Budget</w:t>
            </w:r>
          </w:p>
          <w:p w:rsidR="00A67E34" w:rsidRDefault="00A67E34" w:rsidP="00FC362F">
            <w:pPr>
              <w:spacing w:before="0" w:after="0"/>
              <w:jc w:val="right"/>
              <w:rPr>
                <w:rFonts w:eastAsia="Calibri" w:cs="Calibri"/>
                <w:b/>
                <w:color w:val="000000"/>
                <w:sz w:val="18"/>
              </w:rPr>
            </w:pPr>
            <w:r>
              <w:rPr>
                <w:rFonts w:eastAsia="Calibri" w:cs="Calibri"/>
                <w:b/>
                <w:color w:val="000000"/>
                <w:sz w:val="18"/>
              </w:rPr>
              <w:t>at</w:t>
            </w:r>
          </w:p>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30/6/19 </w:t>
            </w:r>
          </w:p>
          <w:p w:rsidR="00A67E34" w:rsidRDefault="00A67E34" w:rsidP="00FC362F">
            <w:pPr>
              <w:spacing w:before="0" w:after="0"/>
              <w:jc w:val="right"/>
              <w:rPr>
                <w:rFonts w:eastAsia="Calibri" w:cs="Calibri"/>
                <w:b/>
                <w:color w:val="000000"/>
                <w:sz w:val="18"/>
              </w:rPr>
            </w:pPr>
            <w:r>
              <w:rPr>
                <w:rFonts w:eastAsia="Calibri" w:cs="Calibri"/>
                <w:b/>
                <w:color w:val="000000"/>
                <w:sz w:val="18"/>
              </w:rPr>
              <w:t>$'000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proofErr w:type="spellStart"/>
            <w:r>
              <w:rPr>
                <w:rFonts w:eastAsia="Calibri" w:cs="Calibri"/>
                <w:b/>
                <w:color w:val="000000"/>
                <w:sz w:val="18"/>
              </w:rPr>
              <w:t>Var</w:t>
            </w:r>
            <w:proofErr w:type="spellEnd"/>
          </w:p>
          <w:p w:rsidR="00A67E34" w:rsidRDefault="00A67E34" w:rsidP="00FC362F">
            <w:pPr>
              <w:spacing w:before="0" w:after="0"/>
              <w:jc w:val="right"/>
              <w:rPr>
                <w:rFonts w:eastAsia="Calibri" w:cs="Calibri"/>
                <w:b/>
                <w:color w:val="000000"/>
                <w:sz w:val="18"/>
              </w:rPr>
            </w:pPr>
            <w:r>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Estimate</w:t>
            </w:r>
          </w:p>
          <w:p w:rsidR="00A67E34" w:rsidRDefault="00A67E34" w:rsidP="00FC362F">
            <w:pPr>
              <w:spacing w:before="0" w:after="0"/>
              <w:jc w:val="right"/>
              <w:rPr>
                <w:rFonts w:eastAsia="Calibri" w:cs="Calibri"/>
                <w:b/>
                <w:color w:val="000000"/>
                <w:sz w:val="18"/>
              </w:rPr>
            </w:pPr>
            <w:r>
              <w:rPr>
                <w:rFonts w:eastAsia="Calibri" w:cs="Calibri"/>
                <w:b/>
                <w:color w:val="000000"/>
                <w:sz w:val="18"/>
              </w:rPr>
              <w:t>at</w:t>
            </w:r>
          </w:p>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30/6/20 </w:t>
            </w:r>
          </w:p>
          <w:p w:rsidR="00A67E34" w:rsidRDefault="00A67E34" w:rsidP="00FC362F">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Estimate</w:t>
            </w:r>
          </w:p>
          <w:p w:rsidR="00A67E34" w:rsidRDefault="00A67E34" w:rsidP="00FC362F">
            <w:pPr>
              <w:spacing w:before="0" w:after="0"/>
              <w:jc w:val="right"/>
              <w:rPr>
                <w:rFonts w:eastAsia="Calibri" w:cs="Calibri"/>
                <w:b/>
                <w:color w:val="000000"/>
                <w:sz w:val="18"/>
              </w:rPr>
            </w:pPr>
            <w:r>
              <w:rPr>
                <w:rFonts w:eastAsia="Calibri" w:cs="Calibri"/>
                <w:b/>
                <w:color w:val="000000"/>
                <w:sz w:val="18"/>
              </w:rPr>
              <w:t>at</w:t>
            </w:r>
          </w:p>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30/6/21 </w:t>
            </w:r>
          </w:p>
          <w:p w:rsidR="00A67E34" w:rsidRDefault="00A67E34" w:rsidP="00FC362F">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Estimate</w:t>
            </w:r>
          </w:p>
          <w:p w:rsidR="00A67E34" w:rsidRDefault="00A67E34" w:rsidP="00FC362F">
            <w:pPr>
              <w:spacing w:before="0" w:after="0"/>
              <w:jc w:val="right"/>
              <w:rPr>
                <w:rFonts w:eastAsia="Calibri" w:cs="Calibri"/>
                <w:b/>
                <w:color w:val="000000"/>
                <w:sz w:val="18"/>
              </w:rPr>
            </w:pPr>
            <w:r>
              <w:rPr>
                <w:rFonts w:eastAsia="Calibri" w:cs="Calibri"/>
                <w:b/>
                <w:color w:val="000000"/>
                <w:sz w:val="18"/>
              </w:rPr>
              <w:t>at</w:t>
            </w:r>
          </w:p>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30/6/22 </w:t>
            </w:r>
          </w:p>
          <w:p w:rsidR="00A67E34" w:rsidRDefault="00A67E34" w:rsidP="00FC362F">
            <w:pPr>
              <w:spacing w:before="0" w:after="0"/>
              <w:jc w:val="right"/>
              <w:rPr>
                <w:rFonts w:eastAsia="Calibri" w:cs="Calibri"/>
                <w:b/>
                <w:color w:val="000000"/>
                <w:sz w:val="18"/>
              </w:rPr>
            </w:pPr>
            <w:r>
              <w:rPr>
                <w:rFonts w:eastAsia="Calibri" w:cs="Calibri"/>
                <w:b/>
                <w:color w:val="000000"/>
                <w:sz w:val="18"/>
              </w:rPr>
              <w:t>$'000</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jc w:val="right"/>
              <w:rPr>
                <w:rFonts w:eastAsia="Calibri" w:cs="Calibri"/>
                <w:b/>
                <w:i/>
                <w:color w:val="000000"/>
                <w:sz w:val="18"/>
              </w:rPr>
            </w:pPr>
          </w:p>
        </w:tc>
        <w:tc>
          <w:tcPr>
            <w:tcW w:w="2385" w:type="dxa"/>
            <w:tcBorders>
              <w:top w:val="nil"/>
              <w:left w:val="nil"/>
              <w:bottom w:val="nil"/>
              <w:right w:val="nil"/>
              <w:tl2br w:val="nil"/>
              <w:tr2bl w:val="nil"/>
            </w:tcBorders>
            <w:shd w:val="clear" w:color="auto" w:fill="auto"/>
            <w:tcMar>
              <w:left w:w="101" w:type="dxa"/>
              <w:right w:w="101" w:type="dxa"/>
            </w:tcMar>
          </w:tcPr>
          <w:p w:rsidR="00A67E34" w:rsidRDefault="00A67E34" w:rsidP="00FC362F">
            <w:pPr>
              <w:spacing w:before="0" w:after="0"/>
              <w:rPr>
                <w:rFonts w:eastAsia="Calibri" w:cs="Calibri"/>
                <w:b/>
                <w:color w:val="000000"/>
                <w:sz w:val="18"/>
              </w:rPr>
            </w:pPr>
            <w:r>
              <w:rPr>
                <w:rFonts w:eastAsia="Calibri" w:cs="Calibri"/>
                <w:b/>
                <w:color w:val="000000"/>
                <w:sz w:val="18"/>
              </w:rPr>
              <w:t>Opening Equity</w:t>
            </w:r>
          </w:p>
        </w:tc>
        <w:tc>
          <w:tcPr>
            <w:tcW w:w="103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jc w:val="right"/>
              <w:rPr>
                <w:rFonts w:eastAsia="Calibri" w:cs="Calibri"/>
                <w:b/>
                <w: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jc w:val="right"/>
              <w:rPr>
                <w:rFonts w:eastAsia="Calibri" w:cs="Calibri"/>
                <w:b/>
                <w: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8,980</w:t>
            </w:r>
          </w:p>
        </w:tc>
        <w:tc>
          <w:tcPr>
            <w:tcW w:w="2385" w:type="dxa"/>
            <w:tcBorders>
              <w:top w:val="nil"/>
              <w:left w:val="nil"/>
              <w:bottom w:val="nil"/>
              <w:right w:val="nil"/>
              <w:tl2br w:val="nil"/>
              <w:tr2bl w:val="nil"/>
            </w:tcBorders>
            <w:shd w:val="clear" w:color="auto" w:fill="auto"/>
            <w:noWrap/>
            <w:tcMar>
              <w:left w:w="101" w:type="dxa"/>
              <w:right w:w="101" w:type="dxa"/>
            </w:tcMar>
          </w:tcPr>
          <w:p w:rsidR="00A67E34" w:rsidRDefault="00A67E34" w:rsidP="00FC362F">
            <w:pPr>
              <w:spacing w:before="0" w:after="0"/>
              <w:rPr>
                <w:rFonts w:eastAsia="Calibri" w:cs="Calibri"/>
                <w:color w:val="000000"/>
                <w:sz w:val="18"/>
              </w:rPr>
            </w:pPr>
            <w:r>
              <w:rPr>
                <w:rFonts w:eastAsia="Calibri" w:cs="Calibri"/>
                <w:color w:val="000000"/>
                <w:sz w:val="18"/>
              </w:rPr>
              <w:t>Opening Accumulated Funds</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13,209</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13,209</w:t>
            </w:r>
          </w:p>
        </w:tc>
        <w:tc>
          <w:tcPr>
            <w:tcW w:w="600"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13,209</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13,209</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13,209</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jc w:val="right"/>
              <w:rPr>
                <w:rFonts w:eastAsia="Calibri" w:cs="Calibri"/>
                <w:b/>
                <w:color w:val="000000"/>
                <w:sz w:val="18"/>
              </w:rPr>
            </w:pPr>
          </w:p>
        </w:tc>
        <w:tc>
          <w:tcPr>
            <w:tcW w:w="2385" w:type="dxa"/>
            <w:tcBorders>
              <w:top w:val="nil"/>
              <w:left w:val="nil"/>
              <w:bottom w:val="nil"/>
              <w:right w:val="nil"/>
              <w:tl2br w:val="nil"/>
              <w:tr2bl w:val="nil"/>
            </w:tcBorders>
            <w:shd w:val="clear" w:color="auto" w:fill="auto"/>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jc w:val="right"/>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jc w:val="right"/>
              <w:rPr>
                <w:rFonts w:eastAsia="Calibri" w:cs="Calibri"/>
                <w:b/>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jc w:val="right"/>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jc w:val="right"/>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jc w:val="right"/>
              <w:rPr>
                <w:rFonts w:eastAsia="Calibri" w:cs="Calibri"/>
                <w:b/>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8,980</w:t>
            </w:r>
          </w:p>
        </w:tc>
        <w:tc>
          <w:tcPr>
            <w:tcW w:w="2385" w:type="dxa"/>
            <w:tcBorders>
              <w:top w:val="nil"/>
              <w:left w:val="nil"/>
              <w:bottom w:val="nil"/>
              <w:right w:val="nil"/>
              <w:tl2br w:val="nil"/>
              <w:tr2bl w:val="nil"/>
            </w:tcBorders>
            <w:shd w:val="clear" w:color="auto" w:fill="auto"/>
            <w:tcMar>
              <w:left w:w="101" w:type="dxa"/>
              <w:right w:w="101" w:type="dxa"/>
            </w:tcMar>
          </w:tcPr>
          <w:p w:rsidR="00A67E34" w:rsidRDefault="00A67E34" w:rsidP="00FC362F">
            <w:pPr>
              <w:spacing w:before="0" w:after="0"/>
              <w:rPr>
                <w:rFonts w:eastAsia="Calibri" w:cs="Calibri"/>
                <w:b/>
                <w:color w:val="000000"/>
                <w:sz w:val="18"/>
              </w:rPr>
            </w:pPr>
            <w:r>
              <w:rPr>
                <w:rFonts w:eastAsia="Calibri" w:cs="Calibri"/>
                <w:b/>
                <w:color w:val="000000"/>
                <w:sz w:val="18"/>
              </w:rPr>
              <w:t>Balance at the Start of the Reporting Period</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13,209</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13,209</w:t>
            </w:r>
          </w:p>
        </w:tc>
        <w:tc>
          <w:tcPr>
            <w:tcW w:w="600"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13,209</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13,209</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13,209</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rPr>
                <w:rFonts w:eastAsia="Calibri" w:cs="Calibr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c>
          <w:tcPr>
            <w:tcW w:w="2385" w:type="dxa"/>
            <w:tcBorders>
              <w:top w:val="nil"/>
              <w:left w:val="nil"/>
              <w:bottom w:val="nil"/>
              <w:right w:val="nil"/>
              <w:tl2br w:val="nil"/>
              <w:tr2bl w:val="nil"/>
            </w:tcBorders>
            <w:shd w:val="clear" w:color="auto" w:fill="auto"/>
            <w:tcMar>
              <w:left w:w="101" w:type="dxa"/>
              <w:right w:w="101" w:type="dxa"/>
            </w:tcMar>
          </w:tcPr>
          <w:p w:rsidR="00A67E34" w:rsidRDefault="00A67E34" w:rsidP="00FC362F">
            <w:pPr>
              <w:spacing w:before="0" w:after="0"/>
              <w:rPr>
                <w:rFonts w:eastAsia="Calibri" w:cs="Calibri"/>
                <w:b/>
                <w:color w:val="000000"/>
                <w:sz w:val="18"/>
              </w:rPr>
            </w:pPr>
            <w:r>
              <w:rPr>
                <w:rFonts w:eastAsia="Calibri" w:cs="Calibri"/>
                <w:b/>
                <w:color w:val="000000"/>
                <w:sz w:val="18"/>
              </w:rPr>
              <w:t>Total Movement in Reserves</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c>
          <w:tcPr>
            <w:tcW w:w="600"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rPr>
                <w:rFonts w:eastAsia="Calibri" w:cs="Calibr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auto" w:fill="auto"/>
            <w:tcMar>
              <w:left w:w="101" w:type="dxa"/>
              <w:right w:w="101" w:type="dxa"/>
            </w:tcMar>
          </w:tcPr>
          <w:p w:rsidR="00A67E34" w:rsidRDefault="00A67E34" w:rsidP="00FC362F">
            <w:pPr>
              <w:spacing w:before="0" w:after="0"/>
              <w:rPr>
                <w:rFonts w:eastAsia="Calibri" w:cs="Calibri"/>
                <w:b/>
                <w:color w:val="000000"/>
                <w:sz w:val="18"/>
              </w:rPr>
            </w:pPr>
            <w:r>
              <w:rPr>
                <w:rFonts w:eastAsia="Calibri" w:cs="Calibri"/>
                <w:b/>
                <w:color w:val="000000"/>
                <w:sz w:val="18"/>
              </w:rPr>
              <w:t>Closing Equity</w:t>
            </w:r>
          </w:p>
        </w:tc>
        <w:tc>
          <w:tcPr>
            <w:tcW w:w="103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rPr>
                <w:rFonts w:eastAsia="Calibri" w:cs="Calibr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8,980</w:t>
            </w:r>
          </w:p>
        </w:tc>
        <w:tc>
          <w:tcPr>
            <w:tcW w:w="2385" w:type="dxa"/>
            <w:tcBorders>
              <w:top w:val="nil"/>
              <w:left w:val="nil"/>
              <w:bottom w:val="nil"/>
              <w:right w:val="nil"/>
              <w:tl2br w:val="nil"/>
              <w:tr2bl w:val="nil"/>
            </w:tcBorders>
            <w:shd w:val="clear" w:color="auto" w:fill="auto"/>
            <w:tcMar>
              <w:left w:w="101" w:type="dxa"/>
              <w:right w:w="101" w:type="dxa"/>
            </w:tcMar>
          </w:tcPr>
          <w:p w:rsidR="00A67E34" w:rsidRDefault="00A67E34" w:rsidP="00FC362F">
            <w:pPr>
              <w:spacing w:before="0" w:after="0"/>
              <w:rPr>
                <w:rFonts w:eastAsia="Calibri" w:cs="Calibri"/>
                <w:color w:val="000000"/>
                <w:sz w:val="18"/>
              </w:rPr>
            </w:pPr>
            <w:r>
              <w:rPr>
                <w:rFonts w:eastAsia="Calibri" w:cs="Calibri"/>
                <w:color w:val="000000"/>
                <w:sz w:val="18"/>
              </w:rPr>
              <w:t>Closing Accumulated Funds</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13,209</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13,209</w:t>
            </w:r>
          </w:p>
        </w:tc>
        <w:tc>
          <w:tcPr>
            <w:tcW w:w="600"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13,209</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13,209</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13,209</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A67E34" w:rsidRDefault="00A67E34" w:rsidP="00FC362F">
            <w:pPr>
              <w:spacing w:before="0" w:after="0"/>
              <w:rPr>
                <w:rFonts w:eastAsia="Calibri" w:cs="Calibr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8,980</w:t>
            </w:r>
          </w:p>
        </w:tc>
        <w:tc>
          <w:tcPr>
            <w:tcW w:w="2385" w:type="dxa"/>
            <w:tcBorders>
              <w:top w:val="nil"/>
              <w:left w:val="nil"/>
              <w:bottom w:val="nil"/>
              <w:right w:val="nil"/>
              <w:tl2br w:val="nil"/>
              <w:tr2bl w:val="nil"/>
            </w:tcBorders>
            <w:shd w:val="clear" w:color="FFFFFF" w:fill="FFFFFF"/>
            <w:tcMar>
              <w:left w:w="101" w:type="dxa"/>
              <w:right w:w="101" w:type="dxa"/>
            </w:tcMar>
          </w:tcPr>
          <w:p w:rsidR="00A67E34" w:rsidRDefault="00CB3EB7" w:rsidP="00FC362F">
            <w:pPr>
              <w:spacing w:before="0" w:after="0"/>
              <w:rPr>
                <w:rFonts w:eastAsia="Calibri" w:cs="Calibri"/>
                <w:b/>
                <w:color w:val="000000"/>
                <w:sz w:val="18"/>
              </w:rPr>
            </w:pPr>
            <w:r>
              <w:rPr>
                <w:rFonts w:eastAsia="Calibri" w:cs="Calibri"/>
                <w:b/>
                <w:color w:val="000000"/>
                <w:sz w:val="18"/>
              </w:rPr>
              <w:t>Balance at the E</w:t>
            </w:r>
            <w:r w:rsidR="00A67E34">
              <w:rPr>
                <w:rFonts w:eastAsia="Calibri" w:cs="Calibri"/>
                <w:b/>
                <w:color w:val="000000"/>
                <w:sz w:val="18"/>
              </w:rPr>
              <w:t>nd of the Reporting Period</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13,209</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13,209</w:t>
            </w:r>
          </w:p>
        </w:tc>
        <w:tc>
          <w:tcPr>
            <w:tcW w:w="600"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 - </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13,209</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13,209</w:t>
            </w:r>
          </w:p>
        </w:tc>
        <w:tc>
          <w:tcPr>
            <w:tcW w:w="103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13,209</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r>
    </w:tbl>
    <w:p w:rsidR="00A67E34" w:rsidRDefault="00A67E34" w:rsidP="00A67E34">
      <w:pPr>
        <w:pStyle w:val="Caption"/>
        <w:pageBreakBefore/>
        <w:pBdr>
          <w:top w:val="nil"/>
          <w:left w:val="nil"/>
          <w:bottom w:val="nil"/>
          <w:right w:val="nil"/>
          <w:between w:val="nil"/>
          <w:bar w:val="nil"/>
        </w:pBdr>
        <w:outlineLvl w:val="0"/>
        <w:rPr>
          <w:bdr w:val="nil"/>
        </w:rPr>
      </w:pPr>
      <w:bookmarkStart w:id="275" w:name="_Toc514764162"/>
      <w:bookmarkStart w:id="276" w:name="_Toc514765788"/>
      <w:bookmarkStart w:id="277" w:name="_Toc514832595"/>
      <w:r>
        <w:rPr>
          <w:bdr w:val="nil"/>
        </w:rPr>
        <w:lastRenderedPageBreak/>
        <w:t>Table 14: ACT Local Hospital Network: Cash Flow Statement</w:t>
      </w:r>
      <w:bookmarkEnd w:id="275"/>
      <w:bookmarkEnd w:id="276"/>
      <w:bookmarkEnd w:id="277"/>
      <w:r>
        <w:rPr>
          <w:bdr w:val="nil"/>
        </w:rPr>
        <w:t xml:space="preserve"> </w:t>
      </w:r>
    </w:p>
    <w:tbl>
      <w:tblPr>
        <w:tblStyle w:val="CDMRange1"/>
        <w:tblW w:w="9735" w:type="dxa"/>
        <w:tblLayout w:type="fixed"/>
        <w:tblLook w:val="0600" w:firstRow="0" w:lastRow="0" w:firstColumn="0" w:lastColumn="0" w:noHBand="1" w:noVBand="1"/>
      </w:tblPr>
      <w:tblGrid>
        <w:gridCol w:w="1035"/>
        <w:gridCol w:w="2925"/>
        <w:gridCol w:w="1035"/>
        <w:gridCol w:w="1035"/>
        <w:gridCol w:w="600"/>
        <w:gridCol w:w="1035"/>
        <w:gridCol w:w="1035"/>
        <w:gridCol w:w="1035"/>
      </w:tblGrid>
      <w:tr w:rsidR="00A67E34" w:rsidTr="00FC362F">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2017-18 Budget            </w:t>
            </w:r>
          </w:p>
          <w:p w:rsidR="00A67E34" w:rsidRDefault="00A67E34" w:rsidP="00FC362F">
            <w:pPr>
              <w:spacing w:before="0" w:after="0"/>
              <w:jc w:val="right"/>
              <w:rPr>
                <w:rFonts w:eastAsia="Calibri" w:cs="Calibri"/>
                <w:b/>
                <w:color w:val="000000"/>
                <w:sz w:val="18"/>
              </w:rPr>
            </w:pPr>
          </w:p>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 $'000</w:t>
            </w:r>
          </w:p>
        </w:tc>
        <w:tc>
          <w:tcPr>
            <w:tcW w:w="292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2018-19 Budget            </w:t>
            </w:r>
          </w:p>
          <w:p w:rsidR="00A67E34" w:rsidRDefault="00A67E34" w:rsidP="00FC362F">
            <w:pPr>
              <w:spacing w:before="0" w:after="0"/>
              <w:jc w:val="right"/>
              <w:rPr>
                <w:rFonts w:eastAsia="Calibri" w:cs="Calibri"/>
                <w:b/>
                <w:color w:val="000000"/>
                <w:sz w:val="18"/>
              </w:rPr>
            </w:pPr>
          </w:p>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proofErr w:type="spellStart"/>
            <w:r>
              <w:rPr>
                <w:rFonts w:eastAsia="Calibri" w:cs="Calibri"/>
                <w:b/>
                <w:color w:val="000000"/>
                <w:sz w:val="18"/>
              </w:rPr>
              <w:t>Var</w:t>
            </w:r>
            <w:proofErr w:type="spellEnd"/>
            <w:r>
              <w:rPr>
                <w:rFonts w:eastAsia="Calibri" w:cs="Calibri"/>
                <w:b/>
                <w:color w:val="000000"/>
                <w:sz w:val="18"/>
              </w:rPr>
              <w:t xml:space="preserve"> </w:t>
            </w:r>
          </w:p>
          <w:p w:rsidR="00A67E34" w:rsidRDefault="00A67E34" w:rsidP="00FC362F">
            <w:pPr>
              <w:spacing w:before="0" w:after="0"/>
              <w:jc w:val="right"/>
              <w:rPr>
                <w:rFonts w:eastAsia="Calibri" w:cs="Calibri"/>
                <w:b/>
                <w:color w:val="000000"/>
                <w:sz w:val="18"/>
              </w:rPr>
            </w:pPr>
            <w:r>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2019-20 Estimate            </w:t>
            </w:r>
          </w:p>
          <w:p w:rsidR="00A67E34" w:rsidRDefault="00A67E34" w:rsidP="00FC362F">
            <w:pPr>
              <w:spacing w:before="0" w:after="0"/>
              <w:jc w:val="right"/>
              <w:rPr>
                <w:rFonts w:eastAsia="Calibri" w:cs="Calibri"/>
                <w:b/>
                <w:color w:val="000000"/>
                <w:sz w:val="18"/>
              </w:rPr>
            </w:pPr>
          </w:p>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2020-21 Estimate            </w:t>
            </w:r>
          </w:p>
          <w:p w:rsidR="00A67E34" w:rsidRDefault="00A67E34" w:rsidP="00FC362F">
            <w:pPr>
              <w:spacing w:before="0" w:after="0"/>
              <w:jc w:val="right"/>
              <w:rPr>
                <w:rFonts w:eastAsia="Calibri" w:cs="Calibri"/>
                <w:b/>
                <w:color w:val="000000"/>
                <w:sz w:val="18"/>
              </w:rPr>
            </w:pPr>
          </w:p>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2021-22 Estimate            </w:t>
            </w:r>
          </w:p>
          <w:p w:rsidR="00A67E34" w:rsidRDefault="00A67E34" w:rsidP="00FC362F">
            <w:pPr>
              <w:spacing w:before="0" w:after="0"/>
              <w:jc w:val="right"/>
              <w:rPr>
                <w:rFonts w:eastAsia="Calibri" w:cs="Calibri"/>
                <w:b/>
                <w:color w:val="000000"/>
                <w:sz w:val="18"/>
              </w:rPr>
            </w:pPr>
          </w:p>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 $'000</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c>
          <w:tcPr>
            <w:tcW w:w="2925" w:type="dxa"/>
            <w:tcBorders>
              <w:top w:val="single" w:sz="4" w:space="0" w:color="000000"/>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A67E34" w:rsidRDefault="00A67E34" w:rsidP="00FC362F">
            <w:pPr>
              <w:spacing w:before="0" w:after="0"/>
              <w:jc w:val="right"/>
              <w:rPr>
                <w:rFonts w:eastAsia="Calibri" w:cs="Calibri"/>
                <w:b/>
                <w: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auto" w:fill="auto"/>
            <w:noWrap/>
            <w:tcMar>
              <w:left w:w="0" w:type="dxa"/>
              <w:right w:w="0" w:type="dxa"/>
            </w:tcMar>
          </w:tcPr>
          <w:p w:rsidR="00A67E34" w:rsidRDefault="00A67E34" w:rsidP="00FC362F">
            <w:pPr>
              <w:spacing w:before="0" w:after="0"/>
              <w:rPr>
                <w:rFonts w:eastAsia="Calibri" w:cs="Calibri"/>
                <w:color w:val="000000"/>
                <w:sz w:val="18"/>
              </w:rPr>
            </w:pPr>
          </w:p>
        </w:tc>
        <w:tc>
          <w:tcPr>
            <w:tcW w:w="8700" w:type="dxa"/>
            <w:gridSpan w:val="7"/>
            <w:tcBorders>
              <w:top w:val="nil"/>
              <w:left w:val="nil"/>
              <w:bottom w:val="nil"/>
              <w:right w:val="nil"/>
              <w:tl2br w:val="nil"/>
              <w:tr2bl w:val="nil"/>
            </w:tcBorders>
            <w:shd w:val="clear" w:color="auto" w:fill="auto"/>
            <w:tcMar>
              <w:left w:w="101" w:type="dxa"/>
              <w:right w:w="101" w:type="dxa"/>
            </w:tcMar>
            <w:vAlign w:val="bottom"/>
          </w:tcPr>
          <w:p w:rsidR="00A67E34" w:rsidRDefault="00A67E34" w:rsidP="00FC362F">
            <w:pPr>
              <w:spacing w:before="0" w:after="0"/>
              <w:rPr>
                <w:rFonts w:eastAsia="Calibri" w:cs="Calibri"/>
                <w:b/>
                <w:color w:val="000000"/>
                <w:sz w:val="18"/>
              </w:rPr>
            </w:pPr>
            <w:r>
              <w:rPr>
                <w:rFonts w:eastAsia="Calibri" w:cs="Calibri"/>
                <w:b/>
                <w:color w:val="000000"/>
                <w:sz w:val="18"/>
              </w:rPr>
              <w:t>CASH FLOWS FROM OPERATING ACTIVITIES</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292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rPr>
                <w:rFonts w:eastAsia="Calibri" w:cs="Calibri"/>
                <w:b/>
                <w:color w:val="000000"/>
                <w:sz w:val="18"/>
              </w:rPr>
            </w:pPr>
            <w:r>
              <w:rPr>
                <w:rFonts w:eastAsia="Calibri" w:cs="Calibri"/>
                <w:b/>
                <w:color w:val="000000"/>
                <w:sz w:val="18"/>
              </w:rPr>
              <w:t>Receipts</w:t>
            </w: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656,143</w:t>
            </w:r>
          </w:p>
        </w:tc>
        <w:tc>
          <w:tcPr>
            <w:tcW w:w="2925" w:type="dxa"/>
            <w:tcBorders>
              <w:top w:val="nil"/>
              <w:left w:val="nil"/>
              <w:bottom w:val="nil"/>
              <w:right w:val="nil"/>
              <w:tl2br w:val="nil"/>
              <w:tr2bl w:val="nil"/>
            </w:tcBorders>
            <w:shd w:val="clear" w:color="auto" w:fill="auto"/>
            <w:noWrap/>
            <w:tcMar>
              <w:left w:w="101" w:type="dxa"/>
              <w:right w:w="101" w:type="dxa"/>
            </w:tcMar>
          </w:tcPr>
          <w:p w:rsidR="00A67E34" w:rsidRDefault="00A67E34" w:rsidP="00FC362F">
            <w:pPr>
              <w:spacing w:before="0" w:after="0"/>
              <w:rPr>
                <w:rFonts w:eastAsia="Calibri" w:cs="Calibri"/>
                <w:color w:val="000000"/>
                <w:sz w:val="18"/>
              </w:rPr>
            </w:pPr>
            <w:r>
              <w:rPr>
                <w:rFonts w:eastAsia="Calibri" w:cs="Calibri"/>
                <w:color w:val="000000"/>
                <w:sz w:val="18"/>
              </w:rPr>
              <w:t>Controlled Recurrent Payments</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612,364</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669,990</w:t>
            </w:r>
          </w:p>
        </w:tc>
        <w:tc>
          <w:tcPr>
            <w:tcW w:w="600"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 xml:space="preserve">9 </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674,088</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695,188</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725,173</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101,280</w:t>
            </w:r>
          </w:p>
        </w:tc>
        <w:tc>
          <w:tcPr>
            <w:tcW w:w="2925" w:type="dxa"/>
            <w:tcBorders>
              <w:top w:val="nil"/>
              <w:left w:val="nil"/>
              <w:bottom w:val="nil"/>
              <w:right w:val="nil"/>
              <w:tl2br w:val="nil"/>
              <w:tr2bl w:val="nil"/>
            </w:tcBorders>
            <w:shd w:val="clear" w:color="auto" w:fill="auto"/>
            <w:noWrap/>
            <w:tcMar>
              <w:left w:w="101" w:type="dxa"/>
              <w:right w:w="101" w:type="dxa"/>
            </w:tcMar>
          </w:tcPr>
          <w:p w:rsidR="00A67E34" w:rsidRDefault="00A67E34" w:rsidP="00FC362F">
            <w:pPr>
              <w:spacing w:before="0" w:after="0"/>
              <w:rPr>
                <w:rFonts w:eastAsia="Calibri" w:cs="Calibri"/>
                <w:color w:val="000000"/>
                <w:sz w:val="18"/>
              </w:rPr>
            </w:pPr>
            <w:r>
              <w:rPr>
                <w:rFonts w:eastAsia="Calibri" w:cs="Calibri"/>
                <w:color w:val="000000"/>
                <w:sz w:val="18"/>
              </w:rPr>
              <w:t>User Charges</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105,028</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107,921</w:t>
            </w:r>
          </w:p>
        </w:tc>
        <w:tc>
          <w:tcPr>
            <w:tcW w:w="600"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110,619</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113,385</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116,219</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362,984</w:t>
            </w:r>
          </w:p>
        </w:tc>
        <w:tc>
          <w:tcPr>
            <w:tcW w:w="2925" w:type="dxa"/>
            <w:tcBorders>
              <w:top w:val="nil"/>
              <w:left w:val="nil"/>
              <w:bottom w:val="nil"/>
              <w:right w:val="nil"/>
              <w:tl2br w:val="nil"/>
              <w:tr2bl w:val="nil"/>
            </w:tcBorders>
            <w:shd w:val="clear" w:color="auto" w:fill="auto"/>
            <w:noWrap/>
            <w:tcMar>
              <w:left w:w="101" w:type="dxa"/>
              <w:right w:w="101" w:type="dxa"/>
            </w:tcMar>
          </w:tcPr>
          <w:p w:rsidR="00A67E34" w:rsidRDefault="00A67E34" w:rsidP="00FC362F">
            <w:pPr>
              <w:spacing w:before="0" w:after="0"/>
              <w:rPr>
                <w:rFonts w:eastAsia="Calibri" w:cs="Calibri"/>
                <w:color w:val="000000"/>
                <w:sz w:val="18"/>
              </w:rPr>
            </w:pPr>
            <w:r>
              <w:rPr>
                <w:rFonts w:eastAsia="Calibri" w:cs="Calibri"/>
                <w:color w:val="000000"/>
                <w:sz w:val="18"/>
              </w:rPr>
              <w:t>Grants</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403,015</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398,035</w:t>
            </w:r>
          </w:p>
        </w:tc>
        <w:tc>
          <w:tcPr>
            <w:tcW w:w="600"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 xml:space="preserve">-1 </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423,826</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451,293</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480,544</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20,301</w:t>
            </w:r>
          </w:p>
        </w:tc>
        <w:tc>
          <w:tcPr>
            <w:tcW w:w="2925" w:type="dxa"/>
            <w:tcBorders>
              <w:top w:val="nil"/>
              <w:left w:val="nil"/>
              <w:bottom w:val="nil"/>
              <w:right w:val="nil"/>
              <w:tl2br w:val="nil"/>
              <w:tr2bl w:val="nil"/>
            </w:tcBorders>
            <w:shd w:val="clear" w:color="auto" w:fill="auto"/>
            <w:noWrap/>
            <w:tcMar>
              <w:left w:w="101" w:type="dxa"/>
              <w:right w:w="101" w:type="dxa"/>
            </w:tcMar>
          </w:tcPr>
          <w:p w:rsidR="00A67E34" w:rsidRDefault="00A67E34" w:rsidP="00FC362F">
            <w:pPr>
              <w:spacing w:before="0" w:after="0"/>
              <w:rPr>
                <w:rFonts w:eastAsia="Calibri" w:cs="Calibri"/>
                <w:color w:val="000000"/>
                <w:sz w:val="18"/>
              </w:rPr>
            </w:pPr>
            <w:r>
              <w:rPr>
                <w:rFonts w:eastAsia="Calibri" w:cs="Calibri"/>
                <w:color w:val="000000"/>
                <w:sz w:val="18"/>
              </w:rPr>
              <w:t>Other</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20,301</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21,089</w:t>
            </w:r>
          </w:p>
        </w:tc>
        <w:tc>
          <w:tcPr>
            <w:tcW w:w="600"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 xml:space="preserve">4 </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21,994</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21,994</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22,544</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1,140,708</w:t>
            </w:r>
          </w:p>
        </w:tc>
        <w:tc>
          <w:tcPr>
            <w:tcW w:w="292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rPr>
                <w:rFonts w:eastAsia="Calibri" w:cs="Calibri"/>
                <w:b/>
                <w:color w:val="000000"/>
                <w:sz w:val="18"/>
              </w:rPr>
            </w:pPr>
            <w:r>
              <w:rPr>
                <w:rFonts w:eastAsia="Calibri" w:cs="Calibri"/>
                <w:b/>
                <w:color w:val="000000"/>
                <w:sz w:val="18"/>
              </w:rPr>
              <w:t>Operating Receipts</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1,140,708</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1,197,035</w:t>
            </w:r>
          </w:p>
        </w:tc>
        <w:tc>
          <w:tcPr>
            <w:tcW w:w="600"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5 </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1,230,527</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1,281,860</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1,344,480</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292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292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rPr>
                <w:rFonts w:eastAsia="Calibri" w:cs="Calibri"/>
                <w:b/>
                <w:color w:val="000000"/>
                <w:sz w:val="18"/>
              </w:rPr>
            </w:pPr>
            <w:r>
              <w:rPr>
                <w:rFonts w:eastAsia="Calibri" w:cs="Calibri"/>
                <w:b/>
                <w:color w:val="000000"/>
                <w:sz w:val="18"/>
              </w:rPr>
              <w:t>Payments</w:t>
            </w: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1,120,407</w:t>
            </w:r>
          </w:p>
        </w:tc>
        <w:tc>
          <w:tcPr>
            <w:tcW w:w="292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rPr>
                <w:rFonts w:eastAsia="Calibri" w:cs="Calibri"/>
                <w:color w:val="000000"/>
                <w:sz w:val="18"/>
              </w:rPr>
            </w:pPr>
            <w:r>
              <w:rPr>
                <w:rFonts w:eastAsia="Calibri" w:cs="Calibri"/>
                <w:color w:val="000000"/>
                <w:sz w:val="18"/>
              </w:rPr>
              <w:t>Grants and Purchased Services</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1,120,407</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1,175,946</w:t>
            </w:r>
          </w:p>
        </w:tc>
        <w:tc>
          <w:tcPr>
            <w:tcW w:w="600"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 xml:space="preserve">5 </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1,208,533</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1,259,866</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1,321,936</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20,301</w:t>
            </w:r>
          </w:p>
        </w:tc>
        <w:tc>
          <w:tcPr>
            <w:tcW w:w="292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rPr>
                <w:rFonts w:eastAsia="Calibri" w:cs="Calibri"/>
                <w:color w:val="000000"/>
                <w:sz w:val="18"/>
              </w:rPr>
            </w:pPr>
            <w:r>
              <w:rPr>
                <w:rFonts w:eastAsia="Calibri" w:cs="Calibri"/>
                <w:color w:val="000000"/>
                <w:sz w:val="18"/>
              </w:rPr>
              <w:t>Other</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20,301</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21,089</w:t>
            </w:r>
          </w:p>
        </w:tc>
        <w:tc>
          <w:tcPr>
            <w:tcW w:w="600"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 xml:space="preserve">4 </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21,994</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21,994</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color w:val="000000"/>
                <w:sz w:val="18"/>
              </w:rPr>
            </w:pPr>
            <w:r>
              <w:rPr>
                <w:rFonts w:eastAsia="Calibri" w:cs="Calibri"/>
                <w:color w:val="000000"/>
                <w:sz w:val="18"/>
              </w:rPr>
              <w:t>22,544</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1,140,708</w:t>
            </w:r>
          </w:p>
        </w:tc>
        <w:tc>
          <w:tcPr>
            <w:tcW w:w="292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rPr>
                <w:rFonts w:eastAsia="Calibri" w:cs="Calibri"/>
                <w:b/>
                <w:color w:val="000000"/>
                <w:sz w:val="18"/>
              </w:rPr>
            </w:pPr>
            <w:r>
              <w:rPr>
                <w:rFonts w:eastAsia="Calibri" w:cs="Calibri"/>
                <w:b/>
                <w:color w:val="000000"/>
                <w:sz w:val="18"/>
              </w:rPr>
              <w:t>Operating Payments</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1,140,708</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1,197,035</w:t>
            </w:r>
          </w:p>
        </w:tc>
        <w:tc>
          <w:tcPr>
            <w:tcW w:w="600"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5 </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1,230,527</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1,281,860</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1,344,480</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292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c>
          <w:tcPr>
            <w:tcW w:w="2925" w:type="dxa"/>
            <w:tcBorders>
              <w:top w:val="nil"/>
              <w:left w:val="nil"/>
              <w:bottom w:val="nil"/>
              <w:right w:val="nil"/>
              <w:tl2br w:val="nil"/>
              <w:tr2bl w:val="nil"/>
            </w:tcBorders>
            <w:shd w:val="clear" w:color="FFFFFF" w:fill="FFFFFF"/>
            <w:noWrap/>
            <w:tcMar>
              <w:left w:w="101" w:type="dxa"/>
              <w:right w:w="101" w:type="dxa"/>
            </w:tcMar>
          </w:tcPr>
          <w:p w:rsidR="00A67E34" w:rsidRDefault="00A67E34" w:rsidP="00FC362F">
            <w:pPr>
              <w:spacing w:before="0" w:after="0"/>
              <w:rPr>
                <w:rFonts w:eastAsia="Calibri" w:cs="Calibri"/>
                <w:b/>
                <w:color w:val="000000"/>
                <w:sz w:val="18"/>
              </w:rPr>
            </w:pPr>
            <w:r>
              <w:rPr>
                <w:rFonts w:eastAsia="Calibri" w:cs="Calibri"/>
                <w:b/>
                <w:color w:val="000000"/>
                <w:sz w:val="18"/>
              </w:rPr>
              <w:t>NET CASH INFLOW/(OUTFLOW) FROM OPERATING ACTIVITIES</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0</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292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3,147</w:t>
            </w:r>
          </w:p>
        </w:tc>
        <w:tc>
          <w:tcPr>
            <w:tcW w:w="2925" w:type="dxa"/>
            <w:tcBorders>
              <w:top w:val="nil"/>
              <w:left w:val="nil"/>
              <w:bottom w:val="nil"/>
              <w:right w:val="nil"/>
              <w:tl2br w:val="nil"/>
              <w:tr2bl w:val="nil"/>
            </w:tcBorders>
            <w:shd w:val="clear" w:color="auto" w:fill="auto"/>
            <w:noWrap/>
            <w:tcMar>
              <w:left w:w="101" w:type="dxa"/>
              <w:right w:w="101" w:type="dxa"/>
            </w:tcMar>
          </w:tcPr>
          <w:p w:rsidR="00A67E34" w:rsidRDefault="00A67E34" w:rsidP="00FC362F">
            <w:pPr>
              <w:spacing w:before="0" w:after="0"/>
              <w:rPr>
                <w:rFonts w:eastAsia="Calibri" w:cs="Calibri"/>
                <w:b/>
                <w:color w:val="000000"/>
                <w:sz w:val="18"/>
              </w:rPr>
            </w:pPr>
            <w:r>
              <w:rPr>
                <w:rFonts w:eastAsia="Calibri" w:cs="Calibri"/>
                <w:b/>
                <w:color w:val="000000"/>
                <w:sz w:val="18"/>
              </w:rPr>
              <w:t>CASH AT THE BEGINNING OF REPORTING PERIOD</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3,771</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3,771</w:t>
            </w:r>
          </w:p>
        </w:tc>
        <w:tc>
          <w:tcPr>
            <w:tcW w:w="600"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3,771</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3,771</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3,771</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2925" w:type="dxa"/>
            <w:tcBorders>
              <w:top w:val="nil"/>
              <w:left w:val="nil"/>
              <w:bottom w:val="nil"/>
              <w:right w:val="nil"/>
              <w:tl2br w:val="nil"/>
              <w:tr2bl w:val="nil"/>
            </w:tcBorders>
            <w:shd w:val="clear" w:color="auto" w:fill="auto"/>
            <w:noWrap/>
            <w:tcMar>
              <w:left w:w="0" w:type="dxa"/>
              <w:right w:w="0" w:type="dxa"/>
            </w:tcMar>
            <w:vAlign w:val="bottom"/>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3,147</w:t>
            </w:r>
          </w:p>
        </w:tc>
        <w:tc>
          <w:tcPr>
            <w:tcW w:w="2925" w:type="dxa"/>
            <w:tcBorders>
              <w:top w:val="nil"/>
              <w:left w:val="nil"/>
              <w:bottom w:val="nil"/>
              <w:right w:val="nil"/>
              <w:tl2br w:val="nil"/>
              <w:tr2bl w:val="nil"/>
            </w:tcBorders>
            <w:shd w:val="clear" w:color="auto" w:fill="auto"/>
            <w:noWrap/>
            <w:tcMar>
              <w:left w:w="101" w:type="dxa"/>
              <w:right w:w="101" w:type="dxa"/>
            </w:tcMar>
          </w:tcPr>
          <w:p w:rsidR="00A67E34" w:rsidRDefault="00A67E34" w:rsidP="00FC362F">
            <w:pPr>
              <w:spacing w:before="0" w:after="0"/>
              <w:rPr>
                <w:rFonts w:eastAsia="Calibri" w:cs="Calibri"/>
                <w:b/>
                <w:color w:val="000000"/>
                <w:sz w:val="18"/>
              </w:rPr>
            </w:pPr>
            <w:r>
              <w:rPr>
                <w:rFonts w:eastAsia="Calibri" w:cs="Calibri"/>
                <w:b/>
                <w:color w:val="000000"/>
                <w:sz w:val="18"/>
              </w:rPr>
              <w:t>CASH AT THE END OF REPORTING PERIOD</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3,771</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3,771</w:t>
            </w:r>
          </w:p>
        </w:tc>
        <w:tc>
          <w:tcPr>
            <w:tcW w:w="600"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3,771</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3,771</w:t>
            </w:r>
          </w:p>
        </w:tc>
        <w:tc>
          <w:tcPr>
            <w:tcW w:w="1035" w:type="dxa"/>
            <w:tcBorders>
              <w:top w:val="nil"/>
              <w:left w:val="nil"/>
              <w:bottom w:val="nil"/>
              <w:right w:val="nil"/>
              <w:tl2br w:val="nil"/>
              <w:tr2bl w:val="nil"/>
            </w:tcBorders>
            <w:shd w:val="clear" w:color="FFFFFF" w:fill="FFFFFF"/>
            <w:tcMar>
              <w:left w:w="101" w:type="dxa"/>
              <w:right w:w="101" w:type="dxa"/>
            </w:tcMar>
          </w:tcPr>
          <w:p w:rsidR="00A67E34" w:rsidRDefault="00A67E34" w:rsidP="00FC362F">
            <w:pPr>
              <w:spacing w:before="0" w:after="0"/>
              <w:jc w:val="right"/>
              <w:rPr>
                <w:rFonts w:eastAsia="Calibri" w:cs="Calibri"/>
                <w:b/>
                <w:color w:val="000000"/>
                <w:sz w:val="18"/>
              </w:rPr>
            </w:pPr>
            <w:r>
              <w:rPr>
                <w:rFonts w:eastAsia="Calibri" w:cs="Calibri"/>
                <w:b/>
                <w:color w:val="000000"/>
                <w:sz w:val="18"/>
              </w:rPr>
              <w:t>3,771</w:t>
            </w:r>
          </w:p>
        </w:tc>
      </w:tr>
      <w:tr w:rsidR="00A67E34" w:rsidTr="00FC3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2925" w:type="dxa"/>
            <w:tcBorders>
              <w:top w:val="nil"/>
              <w:left w:val="nil"/>
              <w:bottom w:val="single" w:sz="4" w:space="0" w:color="000000"/>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A67E34" w:rsidRDefault="00A67E34" w:rsidP="00FC362F">
            <w:pPr>
              <w:spacing w:before="0" w:after="0"/>
              <w:rPr>
                <w:rFonts w:eastAsia="Calibri" w:cs="Calibri"/>
                <w:color w:val="000000"/>
                <w:sz w:val="18"/>
              </w:rPr>
            </w:pPr>
          </w:p>
        </w:tc>
      </w:tr>
    </w:tbl>
    <w:p w:rsidR="00A67E34" w:rsidRDefault="00A67E34" w:rsidP="00A67E34">
      <w:pPr>
        <w:pStyle w:val="Heading32"/>
        <w:pageBreakBefore/>
      </w:pPr>
      <w:bookmarkStart w:id="278" w:name="_Toc514764163"/>
      <w:bookmarkStart w:id="279" w:name="_Toc514765789"/>
      <w:bookmarkStart w:id="280" w:name="_Toc514832596"/>
      <w:r>
        <w:lastRenderedPageBreak/>
        <w:t>Notes to the Controlled Budget Statements</w:t>
      </w:r>
      <w:bookmarkEnd w:id="278"/>
      <w:bookmarkEnd w:id="279"/>
      <w:bookmarkEnd w:id="280"/>
    </w:p>
    <w:p w:rsidR="00A67E34" w:rsidRDefault="00A67E34" w:rsidP="00A67E34">
      <w:pPr>
        <w:pStyle w:val="Normal5"/>
      </w:pPr>
      <w:r>
        <w:t>Significant variations are as follows:</w:t>
      </w:r>
    </w:p>
    <w:p w:rsidR="00A67E34" w:rsidRDefault="00A67E34" w:rsidP="00A67E34">
      <w:pPr>
        <w:pStyle w:val="Normal5"/>
        <w:rPr>
          <w:b/>
          <w:i/>
        </w:rPr>
      </w:pPr>
      <w:r>
        <w:rPr>
          <w:b/>
          <w:i/>
        </w:rPr>
        <w:t>Operating Statement</w:t>
      </w:r>
    </w:p>
    <w:p w:rsidR="00A67E34" w:rsidRDefault="00A67E34" w:rsidP="00CA0839">
      <w:pPr>
        <w:pStyle w:val="BSbullet10"/>
        <w:numPr>
          <w:ilvl w:val="0"/>
          <w:numId w:val="20"/>
        </w:numPr>
        <w:tabs>
          <w:tab w:val="num" w:pos="360"/>
        </w:tabs>
        <w:ind w:left="357" w:hanging="357"/>
        <w:jc w:val="left"/>
      </w:pPr>
      <w:r>
        <w:t xml:space="preserve">controlled recurrent payments: </w:t>
      </w:r>
    </w:p>
    <w:p w:rsidR="00A67E34" w:rsidRPr="00DB7838" w:rsidRDefault="00A67E34" w:rsidP="00472E73">
      <w:pPr>
        <w:pStyle w:val="BSbullet20"/>
      </w:pPr>
      <w:r w:rsidRPr="00DB7838">
        <w:t>the decrease of $43.779 million (7 per cent)  in the 2017-18 estimated outcome from the original budget is due to increased commonwealth and cross border revenue; and</w:t>
      </w:r>
    </w:p>
    <w:p w:rsidR="00A67E34" w:rsidRPr="00DB7838" w:rsidRDefault="00A67E34" w:rsidP="00472E73">
      <w:pPr>
        <w:pStyle w:val="BSbullet20"/>
      </w:pPr>
      <w:r w:rsidRPr="00DB7838">
        <w:t>the increase of $57.626 million (9 per cent) in the 2018-19 Budget from the 2017</w:t>
      </w:r>
      <w:r>
        <w:noBreakHyphen/>
      </w:r>
      <w:r w:rsidRPr="00DB7838">
        <w:t>18 estimated outcome is mainly due</w:t>
      </w:r>
      <w:r>
        <w:t xml:space="preserve"> to</w:t>
      </w:r>
      <w:r w:rsidRPr="00DB7838">
        <w:t xml:space="preserve"> indexation and new initiatives.</w:t>
      </w:r>
    </w:p>
    <w:p w:rsidR="00A67E34" w:rsidRDefault="00A67E34" w:rsidP="00CA0839">
      <w:pPr>
        <w:pStyle w:val="BSbullet10"/>
        <w:numPr>
          <w:ilvl w:val="0"/>
          <w:numId w:val="20"/>
        </w:numPr>
        <w:tabs>
          <w:tab w:val="num" w:pos="360"/>
        </w:tabs>
        <w:ind w:left="357" w:hanging="357"/>
        <w:jc w:val="left"/>
      </w:pPr>
      <w:r>
        <w:t>user charges: the increase of $3.748 million in the 2017-18 estimated outcome from the original budget is due to increased cross border revenue.</w:t>
      </w:r>
    </w:p>
    <w:p w:rsidR="00A67E34" w:rsidRDefault="00A67E34" w:rsidP="00CA0839">
      <w:pPr>
        <w:pStyle w:val="BSbullet10"/>
        <w:numPr>
          <w:ilvl w:val="0"/>
          <w:numId w:val="20"/>
        </w:numPr>
        <w:tabs>
          <w:tab w:val="num" w:pos="360"/>
        </w:tabs>
        <w:ind w:left="357" w:hanging="357"/>
        <w:jc w:val="left"/>
      </w:pPr>
      <w:r>
        <w:t xml:space="preserve">grants revenue: this funding relates to Activity Based Funding under the National Health Reform Agreement. The increase </w:t>
      </w:r>
      <w:r w:rsidRPr="00692914">
        <w:t>of $</w:t>
      </w:r>
      <w:r>
        <w:t>40.031</w:t>
      </w:r>
      <w:r w:rsidRPr="00692914">
        <w:t xml:space="preserve"> million in the</w:t>
      </w:r>
      <w:r>
        <w:t xml:space="preserve"> estimated outcome from the</w:t>
      </w:r>
      <w:r w:rsidRPr="00A1745B">
        <w:t xml:space="preserve"> </w:t>
      </w:r>
      <w:r>
        <w:t>original budget is mainly due to back adjustments related to the 2015-16 and 2016</w:t>
      </w:r>
      <w:r>
        <w:noBreakHyphen/>
        <w:t>17 financial years.</w:t>
      </w:r>
    </w:p>
    <w:p w:rsidR="00A67E34" w:rsidRDefault="00A67E34" w:rsidP="00CA0839">
      <w:pPr>
        <w:pStyle w:val="BSbullet10"/>
        <w:numPr>
          <w:ilvl w:val="0"/>
          <w:numId w:val="20"/>
        </w:numPr>
        <w:tabs>
          <w:tab w:val="num" w:pos="360"/>
        </w:tabs>
        <w:ind w:left="357" w:hanging="357"/>
        <w:jc w:val="left"/>
      </w:pPr>
      <w:r>
        <w:t xml:space="preserve">grants and purchased services: the increase of $55.196 million in the 2018-19 Budget from the 2017-18 estimated outcome is due to indexation and new initiatives. </w:t>
      </w:r>
    </w:p>
    <w:p w:rsidR="00A67E34" w:rsidRDefault="00A67E34" w:rsidP="00A67E34">
      <w:pPr>
        <w:pStyle w:val="Heading40"/>
      </w:pPr>
      <w:r>
        <w:t>Balance Sheet</w:t>
      </w:r>
    </w:p>
    <w:p w:rsidR="00A67E34" w:rsidRDefault="00A67E34" w:rsidP="00CA0839">
      <w:pPr>
        <w:pStyle w:val="BSbullet10"/>
        <w:numPr>
          <w:ilvl w:val="0"/>
          <w:numId w:val="20"/>
        </w:numPr>
        <w:tabs>
          <w:tab w:val="num" w:pos="360"/>
        </w:tabs>
        <w:ind w:left="357" w:hanging="357"/>
        <w:jc w:val="left"/>
      </w:pPr>
      <w:r>
        <w:t>receivables: the increase of $4.375 million in the 2017-18 estimated outcome from the original budget is due to the flow on effect of the 2016-17 audited outcome and relates to outstanding cross border health receipts.</w:t>
      </w:r>
    </w:p>
    <w:p w:rsidR="00A67E34" w:rsidRDefault="00A67E34" w:rsidP="00A67E34">
      <w:pPr>
        <w:pStyle w:val="Heading40"/>
      </w:pPr>
      <w:r>
        <w:t>Cash Flow Statement</w:t>
      </w:r>
    </w:p>
    <w:p w:rsidR="00A67E34" w:rsidRDefault="00A67E34" w:rsidP="00A67E34">
      <w:pPr>
        <w:pStyle w:val="Normal5"/>
      </w:pPr>
      <w:r>
        <w:t>Variations in the Statement are explained in the notes above.</w:t>
      </w:r>
    </w:p>
    <w:p w:rsidR="00A67E34" w:rsidRPr="0004555B" w:rsidRDefault="00A67E34" w:rsidP="00A67E34">
      <w:pPr>
        <w:pStyle w:val="Normal5"/>
        <w:rPr>
          <w:rFonts w:eastAsia="TimesNewRomanPS-ItalicMT"/>
        </w:rPr>
      </w:pPr>
    </w:p>
    <w:sectPr w:rsidR="00A67E34" w:rsidRPr="0004555B" w:rsidSect="00A4589B">
      <w:footerReference w:type="default" r:id="rId23"/>
      <w:pgSz w:w="11906" w:h="16838"/>
      <w:pgMar w:top="1151" w:right="1440" w:bottom="1729" w:left="1440" w:header="720" w:footer="720" w:gutter="0"/>
      <w:pgBorders>
        <w:top w:val="nil"/>
        <w:left w:val="nil"/>
        <w:bottom w:val="nil"/>
        <w:right w:val="nil"/>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7C3" w:rsidRDefault="008747C3">
      <w:pPr>
        <w:spacing w:before="0" w:after="0"/>
      </w:pPr>
      <w:r>
        <w:separator/>
      </w:r>
    </w:p>
  </w:endnote>
  <w:endnote w:type="continuationSeparator" w:id="0">
    <w:p w:rsidR="008747C3" w:rsidRDefault="008747C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Italic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5B2" w:rsidRPr="0004555B" w:rsidRDefault="002105B2" w:rsidP="00281F97">
    <w:pPr>
      <w:pBdr>
        <w:top w:val="nil"/>
        <w:left w:val="nil"/>
        <w:bottom w:val="nil"/>
        <w:right w:val="nil"/>
        <w:between w:val="nil"/>
        <w:bar w:val="nil"/>
      </w:pBdr>
      <w:rPr>
        <w:rFonts w:eastAsia="TimesNewRomanPS-ItalicMT"/>
        <w:bdr w:val="ni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5B2" w:rsidRPr="004B1382" w:rsidRDefault="002105B2" w:rsidP="00D23CE9">
    <w:pPr>
      <w:pStyle w:val="FooterBP"/>
      <w:pBdr>
        <w:left w:val="nil"/>
        <w:bottom w:val="nil"/>
        <w:right w:val="nil"/>
        <w:between w:val="nil"/>
        <w:bar w:val="nil"/>
      </w:pBdr>
      <w:ind w:left="0"/>
      <w:rPr>
        <w:bdr w:val="nil"/>
      </w:rPr>
    </w:pPr>
    <w:r>
      <w:rPr>
        <w:bdr w:val="nil"/>
      </w:rPr>
      <w:t>2018-19 Budget Statements</w:t>
    </w:r>
    <w:r>
      <w:rPr>
        <w:bdr w:val="nil"/>
      </w:rPr>
      <w:tab/>
    </w:r>
    <w:r>
      <w:rPr>
        <w:bdr w:val="nil"/>
      </w:rPr>
      <w:fldChar w:fldCharType="begin"/>
    </w:r>
    <w:r>
      <w:rPr>
        <w:bdr w:val="nil"/>
      </w:rPr>
      <w:instrText xml:space="preserve"> PAGE  \* roman  \* MERGEFORMAT </w:instrText>
    </w:r>
    <w:r>
      <w:rPr>
        <w:bdr w:val="nil"/>
      </w:rPr>
      <w:fldChar w:fldCharType="separate"/>
    </w:r>
    <w:r w:rsidR="00933E98">
      <w:rPr>
        <w:noProof/>
        <w:bdr w:val="nil"/>
      </w:rPr>
      <w:t>ii</w:t>
    </w:r>
    <w:r>
      <w:rPr>
        <w:bdr w:val="nil"/>
      </w:rPr>
      <w:fldChar w:fldCharType="end"/>
    </w:r>
    <w:r>
      <w:rPr>
        <w:sz w:val="18"/>
        <w:szCs w:val="18"/>
        <w:bdr w:val="nil"/>
      </w:rPr>
      <w:tab/>
    </w:r>
    <w:r>
      <w:rPr>
        <w:bdr w:val="nil"/>
      </w:rPr>
      <w:t>Health Directorate</w:t>
    </w:r>
  </w:p>
  <w:p w:rsidR="002105B2" w:rsidRPr="0004555B" w:rsidRDefault="002105B2" w:rsidP="00281F97">
    <w:pPr>
      <w:pBdr>
        <w:top w:val="nil"/>
        <w:left w:val="nil"/>
        <w:bottom w:val="nil"/>
        <w:right w:val="nil"/>
        <w:between w:val="nil"/>
        <w:bar w:val="nil"/>
      </w:pBdr>
      <w:rPr>
        <w:rFonts w:eastAsia="TimesNewRomanPS-ItalicMT"/>
        <w:bdr w:val="ni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5B2" w:rsidRDefault="002105B2">
    <w:pPr>
      <w:pBdr>
        <w:top w:val="nil"/>
        <w:left w:val="nil"/>
        <w:bottom w:val="nil"/>
        <w:right w:val="nil"/>
        <w:between w:val="nil"/>
        <w:bar w:val="nil"/>
      </w:pBdr>
      <w:rPr>
        <w:bdr w:val="ni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5B2" w:rsidRPr="004B1382" w:rsidRDefault="002105B2" w:rsidP="00281F97">
    <w:pPr>
      <w:pStyle w:val="FooterBP"/>
      <w:pBdr>
        <w:left w:val="nil"/>
        <w:bottom w:val="nil"/>
        <w:right w:val="nil"/>
        <w:between w:val="nil"/>
        <w:bar w:val="nil"/>
      </w:pBdr>
      <w:rPr>
        <w:bdr w:val="nil"/>
      </w:rPr>
    </w:pPr>
    <w:r>
      <w:rPr>
        <w:bdr w:val="nil"/>
      </w:rPr>
      <w:t>2018-19 Budget Statements</w:t>
    </w:r>
    <w:r>
      <w:rPr>
        <w:bdr w:val="nil"/>
      </w:rPr>
      <w:tab/>
    </w:r>
    <w:r>
      <w:rPr>
        <w:bdr w:val="nil"/>
      </w:rPr>
      <w:fldChar w:fldCharType="begin"/>
    </w:r>
    <w:r>
      <w:rPr>
        <w:bdr w:val="nil"/>
      </w:rPr>
      <w:instrText xml:space="preserve"> PAGE   \* MERGEFORMAT </w:instrText>
    </w:r>
    <w:r>
      <w:rPr>
        <w:bdr w:val="nil"/>
      </w:rPr>
      <w:fldChar w:fldCharType="separate"/>
    </w:r>
    <w:r>
      <w:rPr>
        <w:noProof/>
        <w:bdr w:val="nil"/>
      </w:rPr>
      <w:t>1</w:t>
    </w:r>
    <w:r>
      <w:rPr>
        <w:noProof/>
        <w:bdr w:val="nil"/>
      </w:rPr>
      <w:fldChar w:fldCharType="end"/>
    </w:r>
    <w:r>
      <w:rPr>
        <w:sz w:val="18"/>
        <w:szCs w:val="18"/>
        <w:bdr w:val="nil"/>
      </w:rPr>
      <w:tab/>
    </w:r>
    <w:r>
      <w:rPr>
        <w:bdr w:val="nil"/>
      </w:rPr>
      <w:t>Health Directorate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5B2" w:rsidRPr="004B1382" w:rsidRDefault="002105B2" w:rsidP="00281F97">
    <w:pPr>
      <w:pStyle w:val="FooterBP"/>
      <w:pBdr>
        <w:left w:val="nil"/>
        <w:bottom w:val="nil"/>
        <w:right w:val="nil"/>
        <w:between w:val="nil"/>
        <w:bar w:val="nil"/>
      </w:pBdr>
      <w:rPr>
        <w:bdr w:val="nil"/>
      </w:rPr>
    </w:pPr>
    <w:r>
      <w:rPr>
        <w:bdr w:val="nil"/>
      </w:rPr>
      <w:t>2018-19 Budget Statements</w:t>
    </w:r>
    <w:r>
      <w:rPr>
        <w:bdr w:val="nil"/>
      </w:rPr>
      <w:tab/>
    </w:r>
    <w:r>
      <w:rPr>
        <w:bdr w:val="nil"/>
      </w:rPr>
      <w:fldChar w:fldCharType="begin"/>
    </w:r>
    <w:r>
      <w:rPr>
        <w:bdr w:val="nil"/>
      </w:rPr>
      <w:instrText xml:space="preserve"> PAGE   \* MERGEFORMAT </w:instrText>
    </w:r>
    <w:r>
      <w:rPr>
        <w:bdr w:val="nil"/>
      </w:rPr>
      <w:fldChar w:fldCharType="separate"/>
    </w:r>
    <w:r w:rsidR="00933E98">
      <w:rPr>
        <w:noProof/>
        <w:bdr w:val="nil"/>
      </w:rPr>
      <w:t>20</w:t>
    </w:r>
    <w:r>
      <w:rPr>
        <w:noProof/>
        <w:bdr w:val="nil"/>
      </w:rPr>
      <w:fldChar w:fldCharType="end"/>
    </w:r>
    <w:r>
      <w:rPr>
        <w:sz w:val="18"/>
        <w:szCs w:val="18"/>
        <w:bdr w:val="nil"/>
      </w:rPr>
      <w:tab/>
    </w:r>
    <w:r>
      <w:rPr>
        <w:bdr w:val="nil"/>
      </w:rPr>
      <w:t>Health Directorate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5B2" w:rsidRDefault="002105B2">
    <w:pPr>
      <w:pStyle w:val="Normal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5B2" w:rsidRPr="004B1382" w:rsidRDefault="002105B2" w:rsidP="00281F97">
    <w:pPr>
      <w:pStyle w:val="FooterBP"/>
      <w:pBdr>
        <w:left w:val="nil"/>
        <w:bottom w:val="nil"/>
        <w:right w:val="nil"/>
        <w:between w:val="nil"/>
        <w:bar w:val="nil"/>
      </w:pBdr>
      <w:rPr>
        <w:bdr w:val="nil"/>
      </w:rPr>
    </w:pPr>
    <w:r>
      <w:rPr>
        <w:bdr w:val="nil"/>
      </w:rPr>
      <w:t>2018-19 Budget Statements</w:t>
    </w:r>
    <w:r>
      <w:rPr>
        <w:bdr w:val="nil"/>
      </w:rPr>
      <w:tab/>
    </w:r>
    <w:r>
      <w:rPr>
        <w:bdr w:val="nil"/>
      </w:rPr>
      <w:fldChar w:fldCharType="begin"/>
    </w:r>
    <w:r>
      <w:rPr>
        <w:bdr w:val="nil"/>
      </w:rPr>
      <w:instrText xml:space="preserve"> PAGE   \* MERGEFORMAT </w:instrText>
    </w:r>
    <w:r>
      <w:rPr>
        <w:bdr w:val="nil"/>
      </w:rPr>
      <w:fldChar w:fldCharType="separate"/>
    </w:r>
    <w:r w:rsidR="00933E98">
      <w:rPr>
        <w:noProof/>
        <w:bdr w:val="nil"/>
      </w:rPr>
      <w:t>40</w:t>
    </w:r>
    <w:r>
      <w:rPr>
        <w:noProof/>
        <w:bdr w:val="nil"/>
      </w:rPr>
      <w:fldChar w:fldCharType="end"/>
    </w:r>
    <w:r>
      <w:rPr>
        <w:sz w:val="18"/>
        <w:szCs w:val="18"/>
        <w:bdr w:val="nil"/>
      </w:rPr>
      <w:tab/>
      <w:t>Local Hospital Network Director</w:t>
    </w:r>
    <w:r>
      <w:rPr>
        <w:bdr w:val="nil"/>
      </w:rPr>
      <w:t>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7C3" w:rsidRDefault="008747C3">
      <w:pPr>
        <w:spacing w:before="0" w:after="0"/>
      </w:pPr>
      <w:r>
        <w:separator/>
      </w:r>
    </w:p>
  </w:footnote>
  <w:footnote w:type="continuationSeparator" w:id="0">
    <w:p w:rsidR="008747C3" w:rsidRDefault="008747C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5B2" w:rsidRDefault="002105B2">
    <w:pPr>
      <w:suppressLineNumbers/>
      <w:pBdr>
        <w:top w:val="nil"/>
        <w:left w:val="nil"/>
        <w:bottom w:val="nil"/>
        <w:right w:val="nil"/>
        <w:between w:val="nil"/>
        <w:bar w:val="nil"/>
      </w:pBdr>
      <w:spacing w:before="0" w:after="0" w:line="14" w:lineRule="exact"/>
      <w:contextualSpacing/>
      <w:rPr>
        <w:bdr w:val="ni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5B2" w:rsidRDefault="002105B2">
    <w:pPr>
      <w:suppressLineNumbers/>
      <w:pBdr>
        <w:top w:val="nil"/>
        <w:left w:val="nil"/>
        <w:bottom w:val="nil"/>
        <w:right w:val="nil"/>
        <w:between w:val="nil"/>
        <w:bar w:val="nil"/>
      </w:pBdr>
      <w:spacing w:before="0" w:after="0" w:line="14" w:lineRule="exact"/>
      <w:contextualSpacing/>
      <w:rPr>
        <w:bdr w:val="ni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5B2" w:rsidRDefault="002105B2">
    <w:pPr>
      <w:pBdr>
        <w:top w:val="nil"/>
        <w:left w:val="nil"/>
        <w:bottom w:val="nil"/>
        <w:right w:val="nil"/>
        <w:between w:val="nil"/>
        <w:bar w:val="nil"/>
      </w:pBdr>
      <w:rPr>
        <w:bdr w:val="ni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5B2" w:rsidRDefault="002105B2">
    <w:pPr>
      <w:pStyle w:val="Normal0"/>
      <w:suppressLineNumbers/>
      <w:spacing w:before="0" w:after="0" w:line="14" w:lineRule="exact"/>
      <w:contextualSpacing/>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5B2" w:rsidRDefault="002105B2">
    <w:pPr>
      <w:pStyle w:val="Normal0"/>
      <w:suppressLineNumbers/>
      <w:spacing w:before="0" w:after="0" w:line="14" w:lineRule="exact"/>
      <w:contextualSpacing/>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5B2" w:rsidRDefault="002105B2">
    <w:pPr>
      <w:pStyle w:val="Norm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3283B"/>
    <w:multiLevelType w:val="hybridMultilevel"/>
    <w:tmpl w:val="49F23338"/>
    <w:lvl w:ilvl="0" w:tplc="F0E66D50">
      <w:start w:val="2"/>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4E3BDC"/>
    <w:multiLevelType w:val="hybridMultilevel"/>
    <w:tmpl w:val="747AF816"/>
    <w:lvl w:ilvl="0" w:tplc="8EB2BA36">
      <w:start w:val="1"/>
      <w:numFmt w:val="bullet"/>
      <w:pStyle w:val="BodyTextIndent"/>
      <w:lvlText w:val=""/>
      <w:lvlJc w:val="left"/>
      <w:pPr>
        <w:tabs>
          <w:tab w:val="num" w:pos="360"/>
        </w:tabs>
        <w:ind w:left="360" w:hanging="360"/>
      </w:pPr>
      <w:rPr>
        <w:rFonts w:ascii="Symbol" w:hAnsi="Symbol" w:cs="Times New Roman" w:hint="default"/>
      </w:rPr>
    </w:lvl>
    <w:lvl w:ilvl="1" w:tplc="2AD23454">
      <w:start w:val="1"/>
      <w:numFmt w:val="bullet"/>
      <w:lvlText w:val="o"/>
      <w:lvlJc w:val="left"/>
      <w:pPr>
        <w:tabs>
          <w:tab w:val="num" w:pos="360"/>
        </w:tabs>
        <w:ind w:left="360" w:hanging="360"/>
      </w:pPr>
      <w:rPr>
        <w:rFonts w:ascii="Courier New" w:hAnsi="Courier New" w:hint="default"/>
      </w:rPr>
    </w:lvl>
    <w:lvl w:ilvl="2" w:tplc="F12CBD4E" w:tentative="1">
      <w:start w:val="1"/>
      <w:numFmt w:val="bullet"/>
      <w:lvlText w:val=""/>
      <w:lvlJc w:val="left"/>
      <w:pPr>
        <w:tabs>
          <w:tab w:val="num" w:pos="1080"/>
        </w:tabs>
        <w:ind w:left="1080" w:hanging="360"/>
      </w:pPr>
      <w:rPr>
        <w:rFonts w:ascii="Wingdings" w:hAnsi="Wingdings" w:hint="default"/>
      </w:rPr>
    </w:lvl>
    <w:lvl w:ilvl="3" w:tplc="DC740DC6" w:tentative="1">
      <w:start w:val="1"/>
      <w:numFmt w:val="bullet"/>
      <w:lvlText w:val=""/>
      <w:lvlJc w:val="left"/>
      <w:pPr>
        <w:tabs>
          <w:tab w:val="num" w:pos="1800"/>
        </w:tabs>
        <w:ind w:left="1800" w:hanging="360"/>
      </w:pPr>
      <w:rPr>
        <w:rFonts w:ascii="Symbol" w:hAnsi="Symbol" w:hint="default"/>
      </w:rPr>
    </w:lvl>
    <w:lvl w:ilvl="4" w:tplc="CD70F8E4" w:tentative="1">
      <w:start w:val="1"/>
      <w:numFmt w:val="bullet"/>
      <w:lvlText w:val="o"/>
      <w:lvlJc w:val="left"/>
      <w:pPr>
        <w:tabs>
          <w:tab w:val="num" w:pos="2520"/>
        </w:tabs>
        <w:ind w:left="2520" w:hanging="360"/>
      </w:pPr>
      <w:rPr>
        <w:rFonts w:ascii="Courier New" w:hAnsi="Courier New" w:hint="default"/>
      </w:rPr>
    </w:lvl>
    <w:lvl w:ilvl="5" w:tplc="CC4C3F04" w:tentative="1">
      <w:start w:val="1"/>
      <w:numFmt w:val="bullet"/>
      <w:lvlText w:val=""/>
      <w:lvlJc w:val="left"/>
      <w:pPr>
        <w:tabs>
          <w:tab w:val="num" w:pos="3240"/>
        </w:tabs>
        <w:ind w:left="3240" w:hanging="360"/>
      </w:pPr>
      <w:rPr>
        <w:rFonts w:ascii="Wingdings" w:hAnsi="Wingdings" w:hint="default"/>
      </w:rPr>
    </w:lvl>
    <w:lvl w:ilvl="6" w:tplc="E696CA90" w:tentative="1">
      <w:start w:val="1"/>
      <w:numFmt w:val="bullet"/>
      <w:lvlText w:val=""/>
      <w:lvlJc w:val="left"/>
      <w:pPr>
        <w:tabs>
          <w:tab w:val="num" w:pos="3960"/>
        </w:tabs>
        <w:ind w:left="3960" w:hanging="360"/>
      </w:pPr>
      <w:rPr>
        <w:rFonts w:ascii="Symbol" w:hAnsi="Symbol" w:hint="default"/>
      </w:rPr>
    </w:lvl>
    <w:lvl w:ilvl="7" w:tplc="AF9ED4D2" w:tentative="1">
      <w:start w:val="1"/>
      <w:numFmt w:val="bullet"/>
      <w:lvlText w:val="o"/>
      <w:lvlJc w:val="left"/>
      <w:pPr>
        <w:tabs>
          <w:tab w:val="num" w:pos="4680"/>
        </w:tabs>
        <w:ind w:left="4680" w:hanging="360"/>
      </w:pPr>
      <w:rPr>
        <w:rFonts w:ascii="Courier New" w:hAnsi="Courier New" w:hint="default"/>
      </w:rPr>
    </w:lvl>
    <w:lvl w:ilvl="8" w:tplc="08C0FEFA"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30AD2C54"/>
    <w:multiLevelType w:val="hybridMultilevel"/>
    <w:tmpl w:val="8584C03A"/>
    <w:lvl w:ilvl="0" w:tplc="D97054E6">
      <w:start w:val="1"/>
      <w:numFmt w:val="lowerLetter"/>
      <w:lvlText w:val="%1."/>
      <w:lvlJc w:val="left"/>
      <w:pPr>
        <w:ind w:left="357" w:hanging="357"/>
      </w:pPr>
      <w:rPr>
        <w:rFonts w:hint="default"/>
        <w:i w:val="0"/>
        <w:strike w:val="0"/>
        <w:dstrike w:val="0"/>
        <w:u w:val="none"/>
        <w:effect w:val="none"/>
      </w:rPr>
    </w:lvl>
    <w:lvl w:ilvl="1" w:tplc="762E532C">
      <w:start w:val="1"/>
      <w:numFmt w:val="lowerLetter"/>
      <w:lvlText w:val="%2."/>
      <w:lvlJc w:val="left"/>
      <w:pPr>
        <w:ind w:left="1222" w:hanging="360"/>
      </w:pPr>
    </w:lvl>
    <w:lvl w:ilvl="2" w:tplc="2E3067AE">
      <w:start w:val="1"/>
      <w:numFmt w:val="lowerRoman"/>
      <w:lvlText w:val="%3."/>
      <w:lvlJc w:val="right"/>
      <w:pPr>
        <w:ind w:left="1942" w:hanging="180"/>
      </w:pPr>
    </w:lvl>
    <w:lvl w:ilvl="3" w:tplc="EF649272">
      <w:start w:val="1"/>
      <w:numFmt w:val="decimal"/>
      <w:lvlText w:val="%4."/>
      <w:lvlJc w:val="left"/>
      <w:pPr>
        <w:ind w:left="2662" w:hanging="360"/>
      </w:pPr>
    </w:lvl>
    <w:lvl w:ilvl="4" w:tplc="BC3CD348">
      <w:start w:val="1"/>
      <w:numFmt w:val="lowerLetter"/>
      <w:lvlText w:val="%5."/>
      <w:lvlJc w:val="left"/>
      <w:pPr>
        <w:ind w:left="3382" w:hanging="360"/>
      </w:pPr>
    </w:lvl>
    <w:lvl w:ilvl="5" w:tplc="E8827D6C">
      <w:start w:val="1"/>
      <w:numFmt w:val="lowerRoman"/>
      <w:lvlText w:val="%6."/>
      <w:lvlJc w:val="right"/>
      <w:pPr>
        <w:ind w:left="4102" w:hanging="180"/>
      </w:pPr>
    </w:lvl>
    <w:lvl w:ilvl="6" w:tplc="3814D890">
      <w:start w:val="1"/>
      <w:numFmt w:val="decimal"/>
      <w:lvlText w:val="%7."/>
      <w:lvlJc w:val="left"/>
      <w:pPr>
        <w:ind w:left="4822" w:hanging="360"/>
      </w:pPr>
    </w:lvl>
    <w:lvl w:ilvl="7" w:tplc="BB367B48">
      <w:start w:val="1"/>
      <w:numFmt w:val="lowerLetter"/>
      <w:lvlText w:val="%8."/>
      <w:lvlJc w:val="left"/>
      <w:pPr>
        <w:ind w:left="5542" w:hanging="360"/>
      </w:pPr>
    </w:lvl>
    <w:lvl w:ilvl="8" w:tplc="DE863FBA">
      <w:start w:val="1"/>
      <w:numFmt w:val="lowerRoman"/>
      <w:lvlText w:val="%9."/>
      <w:lvlJc w:val="right"/>
      <w:pPr>
        <w:ind w:left="6262" w:hanging="180"/>
      </w:pPr>
    </w:lvl>
  </w:abstractNum>
  <w:abstractNum w:abstractNumId="3" w15:restartNumberingAfterBreak="0">
    <w:nsid w:val="38723970"/>
    <w:multiLevelType w:val="hybridMultilevel"/>
    <w:tmpl w:val="6B80737C"/>
    <w:lvl w:ilvl="0" w:tplc="40E6146C">
      <w:start w:val="1"/>
      <w:numFmt w:val="decimal"/>
      <w:lvlText w:val="%1."/>
      <w:lvlJc w:val="left"/>
      <w:pPr>
        <w:ind w:left="502" w:hanging="360"/>
      </w:pPr>
    </w:lvl>
    <w:lvl w:ilvl="1" w:tplc="F8E2A3D8">
      <w:start w:val="1"/>
      <w:numFmt w:val="lowerLetter"/>
      <w:lvlText w:val="%2."/>
      <w:lvlJc w:val="left"/>
      <w:pPr>
        <w:ind w:left="1222" w:hanging="360"/>
      </w:pPr>
    </w:lvl>
    <w:lvl w:ilvl="2" w:tplc="1EF87D62">
      <w:start w:val="1"/>
      <w:numFmt w:val="lowerRoman"/>
      <w:lvlText w:val="%3."/>
      <w:lvlJc w:val="right"/>
      <w:pPr>
        <w:ind w:left="1942" w:hanging="180"/>
      </w:pPr>
    </w:lvl>
    <w:lvl w:ilvl="3" w:tplc="B7E69728">
      <w:start w:val="1"/>
      <w:numFmt w:val="decimal"/>
      <w:lvlText w:val="%4."/>
      <w:lvlJc w:val="left"/>
      <w:pPr>
        <w:ind w:left="2662" w:hanging="360"/>
      </w:pPr>
    </w:lvl>
    <w:lvl w:ilvl="4" w:tplc="77349686">
      <w:start w:val="1"/>
      <w:numFmt w:val="lowerLetter"/>
      <w:lvlText w:val="%5."/>
      <w:lvlJc w:val="left"/>
      <w:pPr>
        <w:ind w:left="3382" w:hanging="360"/>
      </w:pPr>
    </w:lvl>
    <w:lvl w:ilvl="5" w:tplc="402C6B8C">
      <w:start w:val="1"/>
      <w:numFmt w:val="lowerRoman"/>
      <w:lvlText w:val="%6."/>
      <w:lvlJc w:val="right"/>
      <w:pPr>
        <w:ind w:left="4102" w:hanging="180"/>
      </w:pPr>
    </w:lvl>
    <w:lvl w:ilvl="6" w:tplc="6458E102">
      <w:start w:val="1"/>
      <w:numFmt w:val="decimal"/>
      <w:lvlText w:val="%7."/>
      <w:lvlJc w:val="left"/>
      <w:pPr>
        <w:ind w:left="4822" w:hanging="360"/>
      </w:pPr>
    </w:lvl>
    <w:lvl w:ilvl="7" w:tplc="A09A9FC2">
      <w:start w:val="1"/>
      <w:numFmt w:val="lowerLetter"/>
      <w:lvlText w:val="%8."/>
      <w:lvlJc w:val="left"/>
      <w:pPr>
        <w:ind w:left="5542" w:hanging="360"/>
      </w:pPr>
    </w:lvl>
    <w:lvl w:ilvl="8" w:tplc="6B8AE88A">
      <w:start w:val="1"/>
      <w:numFmt w:val="lowerRoman"/>
      <w:lvlText w:val="%9."/>
      <w:lvlJc w:val="right"/>
      <w:pPr>
        <w:ind w:left="6262" w:hanging="180"/>
      </w:pPr>
    </w:lvl>
  </w:abstractNum>
  <w:abstractNum w:abstractNumId="4" w15:restartNumberingAfterBreak="0">
    <w:nsid w:val="41465A19"/>
    <w:multiLevelType w:val="hybridMultilevel"/>
    <w:tmpl w:val="6B80737C"/>
    <w:lvl w:ilvl="0" w:tplc="40E6146C">
      <w:start w:val="1"/>
      <w:numFmt w:val="decimal"/>
      <w:lvlText w:val="%1."/>
      <w:lvlJc w:val="left"/>
      <w:pPr>
        <w:ind w:left="502" w:hanging="360"/>
      </w:pPr>
    </w:lvl>
    <w:lvl w:ilvl="1" w:tplc="F8E2A3D8">
      <w:start w:val="1"/>
      <w:numFmt w:val="lowerLetter"/>
      <w:lvlText w:val="%2."/>
      <w:lvlJc w:val="left"/>
      <w:pPr>
        <w:ind w:left="1222" w:hanging="360"/>
      </w:pPr>
    </w:lvl>
    <w:lvl w:ilvl="2" w:tplc="1EF87D62">
      <w:start w:val="1"/>
      <w:numFmt w:val="lowerRoman"/>
      <w:lvlText w:val="%3."/>
      <w:lvlJc w:val="right"/>
      <w:pPr>
        <w:ind w:left="1942" w:hanging="180"/>
      </w:pPr>
    </w:lvl>
    <w:lvl w:ilvl="3" w:tplc="B7E69728">
      <w:start w:val="1"/>
      <w:numFmt w:val="decimal"/>
      <w:lvlText w:val="%4."/>
      <w:lvlJc w:val="left"/>
      <w:pPr>
        <w:ind w:left="2662" w:hanging="360"/>
      </w:pPr>
    </w:lvl>
    <w:lvl w:ilvl="4" w:tplc="77349686">
      <w:start w:val="1"/>
      <w:numFmt w:val="lowerLetter"/>
      <w:lvlText w:val="%5."/>
      <w:lvlJc w:val="left"/>
      <w:pPr>
        <w:ind w:left="3382" w:hanging="360"/>
      </w:pPr>
    </w:lvl>
    <w:lvl w:ilvl="5" w:tplc="402C6B8C">
      <w:start w:val="1"/>
      <w:numFmt w:val="lowerRoman"/>
      <w:lvlText w:val="%6."/>
      <w:lvlJc w:val="right"/>
      <w:pPr>
        <w:ind w:left="4102" w:hanging="180"/>
      </w:pPr>
    </w:lvl>
    <w:lvl w:ilvl="6" w:tplc="6458E102">
      <w:start w:val="1"/>
      <w:numFmt w:val="decimal"/>
      <w:lvlText w:val="%7."/>
      <w:lvlJc w:val="left"/>
      <w:pPr>
        <w:ind w:left="4822" w:hanging="360"/>
      </w:pPr>
    </w:lvl>
    <w:lvl w:ilvl="7" w:tplc="A09A9FC2">
      <w:start w:val="1"/>
      <w:numFmt w:val="lowerLetter"/>
      <w:lvlText w:val="%8."/>
      <w:lvlJc w:val="left"/>
      <w:pPr>
        <w:ind w:left="5542" w:hanging="360"/>
      </w:pPr>
    </w:lvl>
    <w:lvl w:ilvl="8" w:tplc="6B8AE88A">
      <w:start w:val="1"/>
      <w:numFmt w:val="lowerRoman"/>
      <w:lvlText w:val="%9."/>
      <w:lvlJc w:val="right"/>
      <w:pPr>
        <w:ind w:left="6262" w:hanging="180"/>
      </w:pPr>
    </w:lvl>
  </w:abstractNum>
  <w:abstractNum w:abstractNumId="5" w15:restartNumberingAfterBreak="0">
    <w:nsid w:val="457B47AB"/>
    <w:multiLevelType w:val="hybridMultilevel"/>
    <w:tmpl w:val="6B80737C"/>
    <w:lvl w:ilvl="0" w:tplc="40E6146C">
      <w:start w:val="1"/>
      <w:numFmt w:val="decimal"/>
      <w:lvlText w:val="%1."/>
      <w:lvlJc w:val="left"/>
      <w:pPr>
        <w:ind w:left="502" w:hanging="360"/>
      </w:pPr>
    </w:lvl>
    <w:lvl w:ilvl="1" w:tplc="F8E2A3D8">
      <w:start w:val="1"/>
      <w:numFmt w:val="lowerLetter"/>
      <w:lvlText w:val="%2."/>
      <w:lvlJc w:val="left"/>
      <w:pPr>
        <w:ind w:left="1222" w:hanging="360"/>
      </w:pPr>
    </w:lvl>
    <w:lvl w:ilvl="2" w:tplc="1EF87D62">
      <w:start w:val="1"/>
      <w:numFmt w:val="lowerRoman"/>
      <w:lvlText w:val="%3."/>
      <w:lvlJc w:val="right"/>
      <w:pPr>
        <w:ind w:left="1942" w:hanging="180"/>
      </w:pPr>
    </w:lvl>
    <w:lvl w:ilvl="3" w:tplc="B7E69728">
      <w:start w:val="1"/>
      <w:numFmt w:val="decimal"/>
      <w:lvlText w:val="%4."/>
      <w:lvlJc w:val="left"/>
      <w:pPr>
        <w:ind w:left="2662" w:hanging="360"/>
      </w:pPr>
    </w:lvl>
    <w:lvl w:ilvl="4" w:tplc="77349686">
      <w:start w:val="1"/>
      <w:numFmt w:val="lowerLetter"/>
      <w:lvlText w:val="%5."/>
      <w:lvlJc w:val="left"/>
      <w:pPr>
        <w:ind w:left="3382" w:hanging="360"/>
      </w:pPr>
    </w:lvl>
    <w:lvl w:ilvl="5" w:tplc="402C6B8C">
      <w:start w:val="1"/>
      <w:numFmt w:val="lowerRoman"/>
      <w:lvlText w:val="%6."/>
      <w:lvlJc w:val="right"/>
      <w:pPr>
        <w:ind w:left="4102" w:hanging="180"/>
      </w:pPr>
    </w:lvl>
    <w:lvl w:ilvl="6" w:tplc="6458E102">
      <w:start w:val="1"/>
      <w:numFmt w:val="decimal"/>
      <w:lvlText w:val="%7."/>
      <w:lvlJc w:val="left"/>
      <w:pPr>
        <w:ind w:left="4822" w:hanging="360"/>
      </w:pPr>
    </w:lvl>
    <w:lvl w:ilvl="7" w:tplc="A09A9FC2">
      <w:start w:val="1"/>
      <w:numFmt w:val="lowerLetter"/>
      <w:lvlText w:val="%8."/>
      <w:lvlJc w:val="left"/>
      <w:pPr>
        <w:ind w:left="5542" w:hanging="360"/>
      </w:pPr>
    </w:lvl>
    <w:lvl w:ilvl="8" w:tplc="6B8AE88A">
      <w:start w:val="1"/>
      <w:numFmt w:val="lowerRoman"/>
      <w:lvlText w:val="%9."/>
      <w:lvlJc w:val="right"/>
      <w:pPr>
        <w:ind w:left="6262" w:hanging="180"/>
      </w:pPr>
    </w:lvl>
  </w:abstractNum>
  <w:abstractNum w:abstractNumId="6" w15:restartNumberingAfterBreak="0">
    <w:nsid w:val="679D420E"/>
    <w:multiLevelType w:val="hybridMultilevel"/>
    <w:tmpl w:val="4E7EACC2"/>
    <w:lvl w:ilvl="0" w:tplc="3E443486">
      <w:start w:val="1"/>
      <w:numFmt w:val="bullet"/>
      <w:lvlText w:val=""/>
      <w:lvlJc w:val="left"/>
      <w:pPr>
        <w:tabs>
          <w:tab w:val="num" w:pos="360"/>
        </w:tabs>
        <w:ind w:left="357" w:hanging="357"/>
      </w:pPr>
      <w:rPr>
        <w:rFonts w:ascii="Symbol" w:hAnsi="Symbol" w:hint="default"/>
        <w:sz w:val="24"/>
      </w:rPr>
    </w:lvl>
    <w:lvl w:ilvl="1" w:tplc="6054D1EA">
      <w:start w:val="1"/>
      <w:numFmt w:val="bullet"/>
      <w:lvlText w:val="o"/>
      <w:lvlJc w:val="left"/>
      <w:pPr>
        <w:tabs>
          <w:tab w:val="num" w:pos="1800"/>
        </w:tabs>
        <w:ind w:left="1800" w:hanging="360"/>
      </w:pPr>
      <w:rPr>
        <w:rFonts w:ascii="Courier New" w:hAnsi="Courier New" w:hint="default"/>
      </w:rPr>
    </w:lvl>
    <w:lvl w:ilvl="2" w:tplc="94E21DF4">
      <w:start w:val="1"/>
      <w:numFmt w:val="bullet"/>
      <w:lvlText w:val=""/>
      <w:lvlJc w:val="left"/>
      <w:pPr>
        <w:tabs>
          <w:tab w:val="num" w:pos="2520"/>
        </w:tabs>
        <w:ind w:left="2520" w:hanging="360"/>
      </w:pPr>
      <w:rPr>
        <w:rFonts w:ascii="Wingdings" w:hAnsi="Wingdings" w:hint="default"/>
      </w:rPr>
    </w:lvl>
    <w:lvl w:ilvl="3" w:tplc="80D27716">
      <w:start w:val="1"/>
      <w:numFmt w:val="bullet"/>
      <w:lvlText w:val=""/>
      <w:lvlJc w:val="left"/>
      <w:pPr>
        <w:tabs>
          <w:tab w:val="num" w:pos="3240"/>
        </w:tabs>
        <w:ind w:left="3240" w:hanging="360"/>
      </w:pPr>
      <w:rPr>
        <w:rFonts w:ascii="Symbol" w:hAnsi="Symbol" w:hint="default"/>
      </w:rPr>
    </w:lvl>
    <w:lvl w:ilvl="4" w:tplc="E55C8C3E">
      <w:start w:val="1"/>
      <w:numFmt w:val="bullet"/>
      <w:lvlText w:val="o"/>
      <w:lvlJc w:val="left"/>
      <w:pPr>
        <w:tabs>
          <w:tab w:val="num" w:pos="3960"/>
        </w:tabs>
        <w:ind w:left="3960" w:hanging="360"/>
      </w:pPr>
      <w:rPr>
        <w:rFonts w:ascii="Courier New" w:hAnsi="Courier New" w:hint="default"/>
      </w:rPr>
    </w:lvl>
    <w:lvl w:ilvl="5" w:tplc="97AC0F36">
      <w:start w:val="1"/>
      <w:numFmt w:val="bullet"/>
      <w:lvlText w:val=""/>
      <w:lvlJc w:val="left"/>
      <w:pPr>
        <w:tabs>
          <w:tab w:val="num" w:pos="4680"/>
        </w:tabs>
        <w:ind w:left="4680" w:hanging="360"/>
      </w:pPr>
      <w:rPr>
        <w:rFonts w:ascii="Wingdings" w:hAnsi="Wingdings" w:hint="default"/>
      </w:rPr>
    </w:lvl>
    <w:lvl w:ilvl="6" w:tplc="FD3C7FD8">
      <w:start w:val="1"/>
      <w:numFmt w:val="bullet"/>
      <w:lvlText w:val=""/>
      <w:lvlJc w:val="left"/>
      <w:pPr>
        <w:tabs>
          <w:tab w:val="num" w:pos="5400"/>
        </w:tabs>
        <w:ind w:left="5400" w:hanging="360"/>
      </w:pPr>
      <w:rPr>
        <w:rFonts w:ascii="Symbol" w:hAnsi="Symbol" w:hint="default"/>
      </w:rPr>
    </w:lvl>
    <w:lvl w:ilvl="7" w:tplc="0A36349E">
      <w:start w:val="1"/>
      <w:numFmt w:val="bullet"/>
      <w:lvlText w:val="o"/>
      <w:lvlJc w:val="left"/>
      <w:pPr>
        <w:tabs>
          <w:tab w:val="num" w:pos="6120"/>
        </w:tabs>
        <w:ind w:left="6120" w:hanging="360"/>
      </w:pPr>
      <w:rPr>
        <w:rFonts w:ascii="Courier New" w:hAnsi="Courier New" w:hint="default"/>
      </w:rPr>
    </w:lvl>
    <w:lvl w:ilvl="8" w:tplc="ECA8ACFE">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2B9615F"/>
    <w:multiLevelType w:val="hybridMultilevel"/>
    <w:tmpl w:val="6B80737C"/>
    <w:lvl w:ilvl="0" w:tplc="40E6146C">
      <w:start w:val="1"/>
      <w:numFmt w:val="decimal"/>
      <w:lvlText w:val="%1."/>
      <w:lvlJc w:val="left"/>
      <w:pPr>
        <w:ind w:left="502" w:hanging="360"/>
      </w:pPr>
    </w:lvl>
    <w:lvl w:ilvl="1" w:tplc="F8E2A3D8">
      <w:start w:val="1"/>
      <w:numFmt w:val="lowerLetter"/>
      <w:lvlText w:val="%2."/>
      <w:lvlJc w:val="left"/>
      <w:pPr>
        <w:ind w:left="1222" w:hanging="360"/>
      </w:pPr>
    </w:lvl>
    <w:lvl w:ilvl="2" w:tplc="1EF87D62">
      <w:start w:val="1"/>
      <w:numFmt w:val="lowerRoman"/>
      <w:lvlText w:val="%3."/>
      <w:lvlJc w:val="right"/>
      <w:pPr>
        <w:ind w:left="1942" w:hanging="180"/>
      </w:pPr>
    </w:lvl>
    <w:lvl w:ilvl="3" w:tplc="B7E69728">
      <w:start w:val="1"/>
      <w:numFmt w:val="decimal"/>
      <w:lvlText w:val="%4."/>
      <w:lvlJc w:val="left"/>
      <w:pPr>
        <w:ind w:left="2662" w:hanging="360"/>
      </w:pPr>
    </w:lvl>
    <w:lvl w:ilvl="4" w:tplc="77349686">
      <w:start w:val="1"/>
      <w:numFmt w:val="lowerLetter"/>
      <w:lvlText w:val="%5."/>
      <w:lvlJc w:val="left"/>
      <w:pPr>
        <w:ind w:left="3382" w:hanging="360"/>
      </w:pPr>
    </w:lvl>
    <w:lvl w:ilvl="5" w:tplc="402C6B8C">
      <w:start w:val="1"/>
      <w:numFmt w:val="lowerRoman"/>
      <w:lvlText w:val="%6."/>
      <w:lvlJc w:val="right"/>
      <w:pPr>
        <w:ind w:left="4102" w:hanging="180"/>
      </w:pPr>
    </w:lvl>
    <w:lvl w:ilvl="6" w:tplc="6458E102">
      <w:start w:val="1"/>
      <w:numFmt w:val="decimal"/>
      <w:lvlText w:val="%7."/>
      <w:lvlJc w:val="left"/>
      <w:pPr>
        <w:ind w:left="4822" w:hanging="360"/>
      </w:pPr>
    </w:lvl>
    <w:lvl w:ilvl="7" w:tplc="A09A9FC2">
      <w:start w:val="1"/>
      <w:numFmt w:val="lowerLetter"/>
      <w:lvlText w:val="%8."/>
      <w:lvlJc w:val="left"/>
      <w:pPr>
        <w:ind w:left="5542" w:hanging="360"/>
      </w:pPr>
    </w:lvl>
    <w:lvl w:ilvl="8" w:tplc="6B8AE88A">
      <w:start w:val="1"/>
      <w:numFmt w:val="lowerRoman"/>
      <w:lvlText w:val="%9."/>
      <w:lvlJc w:val="right"/>
      <w:pPr>
        <w:ind w:left="6262" w:hanging="180"/>
      </w:pPr>
    </w:lvl>
  </w:abstractNum>
  <w:abstractNum w:abstractNumId="8" w15:restartNumberingAfterBreak="0">
    <w:nsid w:val="7B3730AE"/>
    <w:multiLevelType w:val="hybridMultilevel"/>
    <w:tmpl w:val="747AF816"/>
    <w:lvl w:ilvl="0" w:tplc="B1B023DA">
      <w:start w:val="1"/>
      <w:numFmt w:val="bullet"/>
      <w:lvlText w:val=""/>
      <w:lvlJc w:val="left"/>
      <w:pPr>
        <w:tabs>
          <w:tab w:val="num" w:pos="360"/>
        </w:tabs>
        <w:ind w:left="360" w:hanging="360"/>
      </w:pPr>
      <w:rPr>
        <w:rFonts w:ascii="Symbol" w:hAnsi="Symbol" w:cs="Times New Roman" w:hint="default"/>
      </w:rPr>
    </w:lvl>
    <w:lvl w:ilvl="1" w:tplc="C2DE6B80">
      <w:start w:val="1"/>
      <w:numFmt w:val="bullet"/>
      <w:lvlText w:val="o"/>
      <w:lvlJc w:val="left"/>
      <w:pPr>
        <w:tabs>
          <w:tab w:val="num" w:pos="360"/>
        </w:tabs>
        <w:ind w:left="360" w:hanging="360"/>
      </w:pPr>
      <w:rPr>
        <w:rFonts w:ascii="Courier New" w:hAnsi="Courier New" w:cs="Times New Roman" w:hint="default"/>
      </w:rPr>
    </w:lvl>
    <w:lvl w:ilvl="2" w:tplc="AC8ADCC4">
      <w:start w:val="1"/>
      <w:numFmt w:val="bullet"/>
      <w:lvlText w:val=""/>
      <w:lvlJc w:val="left"/>
      <w:pPr>
        <w:tabs>
          <w:tab w:val="num" w:pos="1080"/>
        </w:tabs>
        <w:ind w:left="1080" w:hanging="360"/>
      </w:pPr>
      <w:rPr>
        <w:rFonts w:ascii="Wingdings" w:hAnsi="Wingdings" w:hint="default"/>
      </w:rPr>
    </w:lvl>
    <w:lvl w:ilvl="3" w:tplc="EA320D90">
      <w:start w:val="1"/>
      <w:numFmt w:val="bullet"/>
      <w:lvlText w:val=""/>
      <w:lvlJc w:val="left"/>
      <w:pPr>
        <w:tabs>
          <w:tab w:val="num" w:pos="1800"/>
        </w:tabs>
        <w:ind w:left="1800" w:hanging="360"/>
      </w:pPr>
      <w:rPr>
        <w:rFonts w:ascii="Symbol" w:hAnsi="Symbol" w:hint="default"/>
      </w:rPr>
    </w:lvl>
    <w:lvl w:ilvl="4" w:tplc="9B44F38C">
      <w:start w:val="1"/>
      <w:numFmt w:val="bullet"/>
      <w:lvlText w:val="o"/>
      <w:lvlJc w:val="left"/>
      <w:pPr>
        <w:tabs>
          <w:tab w:val="num" w:pos="2520"/>
        </w:tabs>
        <w:ind w:left="2520" w:hanging="360"/>
      </w:pPr>
      <w:rPr>
        <w:rFonts w:ascii="Courier New" w:hAnsi="Courier New" w:cs="Times New Roman" w:hint="default"/>
      </w:rPr>
    </w:lvl>
    <w:lvl w:ilvl="5" w:tplc="D8A2435E">
      <w:start w:val="1"/>
      <w:numFmt w:val="bullet"/>
      <w:lvlText w:val=""/>
      <w:lvlJc w:val="left"/>
      <w:pPr>
        <w:tabs>
          <w:tab w:val="num" w:pos="3240"/>
        </w:tabs>
        <w:ind w:left="3240" w:hanging="360"/>
      </w:pPr>
      <w:rPr>
        <w:rFonts w:ascii="Wingdings" w:hAnsi="Wingdings" w:hint="default"/>
      </w:rPr>
    </w:lvl>
    <w:lvl w:ilvl="6" w:tplc="D3D07856">
      <w:start w:val="1"/>
      <w:numFmt w:val="bullet"/>
      <w:lvlText w:val=""/>
      <w:lvlJc w:val="left"/>
      <w:pPr>
        <w:tabs>
          <w:tab w:val="num" w:pos="3960"/>
        </w:tabs>
        <w:ind w:left="3960" w:hanging="360"/>
      </w:pPr>
      <w:rPr>
        <w:rFonts w:ascii="Symbol" w:hAnsi="Symbol" w:hint="default"/>
      </w:rPr>
    </w:lvl>
    <w:lvl w:ilvl="7" w:tplc="DC98409C">
      <w:start w:val="1"/>
      <w:numFmt w:val="bullet"/>
      <w:lvlText w:val="o"/>
      <w:lvlJc w:val="left"/>
      <w:pPr>
        <w:tabs>
          <w:tab w:val="num" w:pos="4680"/>
        </w:tabs>
        <w:ind w:left="4680" w:hanging="360"/>
      </w:pPr>
      <w:rPr>
        <w:rFonts w:ascii="Courier New" w:hAnsi="Courier New" w:cs="Times New Roman" w:hint="default"/>
      </w:rPr>
    </w:lvl>
    <w:lvl w:ilvl="8" w:tplc="002288EE">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7B3730AF"/>
    <w:multiLevelType w:val="hybridMultilevel"/>
    <w:tmpl w:val="ECA61E9E"/>
    <w:lvl w:ilvl="0" w:tplc="E65AAB8C">
      <w:start w:val="1"/>
      <w:numFmt w:val="bullet"/>
      <w:pStyle w:val="BSbullet1"/>
      <w:lvlText w:val=""/>
      <w:lvlJc w:val="left"/>
      <w:pPr>
        <w:tabs>
          <w:tab w:val="num" w:pos="360"/>
        </w:tabs>
        <w:ind w:left="357" w:hanging="357"/>
      </w:pPr>
      <w:rPr>
        <w:rFonts w:ascii="Symbol" w:hAnsi="Symbol" w:hint="default"/>
        <w:sz w:val="24"/>
      </w:rPr>
    </w:lvl>
    <w:lvl w:ilvl="1" w:tplc="C154318A">
      <w:start w:val="1"/>
      <w:numFmt w:val="bullet"/>
      <w:lvlText w:val="o"/>
      <w:lvlJc w:val="left"/>
      <w:pPr>
        <w:tabs>
          <w:tab w:val="num" w:pos="1800"/>
        </w:tabs>
        <w:ind w:left="1800" w:hanging="360"/>
      </w:pPr>
      <w:rPr>
        <w:rFonts w:ascii="Courier New" w:hAnsi="Courier New" w:hint="default"/>
      </w:rPr>
    </w:lvl>
    <w:lvl w:ilvl="2" w:tplc="03D8EE0C">
      <w:start w:val="1"/>
      <w:numFmt w:val="bullet"/>
      <w:lvlText w:val=""/>
      <w:lvlJc w:val="left"/>
      <w:pPr>
        <w:tabs>
          <w:tab w:val="num" w:pos="2520"/>
        </w:tabs>
        <w:ind w:left="2520" w:hanging="360"/>
      </w:pPr>
      <w:rPr>
        <w:rFonts w:ascii="Wingdings" w:hAnsi="Wingdings" w:hint="default"/>
      </w:rPr>
    </w:lvl>
    <w:lvl w:ilvl="3" w:tplc="D3F8754A">
      <w:start w:val="1"/>
      <w:numFmt w:val="bullet"/>
      <w:lvlText w:val=""/>
      <w:lvlJc w:val="left"/>
      <w:pPr>
        <w:tabs>
          <w:tab w:val="num" w:pos="3240"/>
        </w:tabs>
        <w:ind w:left="3240" w:hanging="360"/>
      </w:pPr>
      <w:rPr>
        <w:rFonts w:ascii="Symbol" w:hAnsi="Symbol" w:hint="default"/>
      </w:rPr>
    </w:lvl>
    <w:lvl w:ilvl="4" w:tplc="25AA53D4">
      <w:start w:val="1"/>
      <w:numFmt w:val="bullet"/>
      <w:lvlText w:val="o"/>
      <w:lvlJc w:val="left"/>
      <w:pPr>
        <w:tabs>
          <w:tab w:val="num" w:pos="3960"/>
        </w:tabs>
        <w:ind w:left="3960" w:hanging="360"/>
      </w:pPr>
      <w:rPr>
        <w:rFonts w:ascii="Courier New" w:hAnsi="Courier New" w:hint="default"/>
      </w:rPr>
    </w:lvl>
    <w:lvl w:ilvl="5" w:tplc="6E82F41C">
      <w:start w:val="1"/>
      <w:numFmt w:val="bullet"/>
      <w:lvlText w:val=""/>
      <w:lvlJc w:val="left"/>
      <w:pPr>
        <w:tabs>
          <w:tab w:val="num" w:pos="4680"/>
        </w:tabs>
        <w:ind w:left="4680" w:hanging="360"/>
      </w:pPr>
      <w:rPr>
        <w:rFonts w:ascii="Wingdings" w:hAnsi="Wingdings" w:hint="default"/>
      </w:rPr>
    </w:lvl>
    <w:lvl w:ilvl="6" w:tplc="6A826608">
      <w:start w:val="1"/>
      <w:numFmt w:val="bullet"/>
      <w:lvlText w:val=""/>
      <w:lvlJc w:val="left"/>
      <w:pPr>
        <w:tabs>
          <w:tab w:val="num" w:pos="5400"/>
        </w:tabs>
        <w:ind w:left="5400" w:hanging="360"/>
      </w:pPr>
      <w:rPr>
        <w:rFonts w:ascii="Symbol" w:hAnsi="Symbol" w:hint="default"/>
      </w:rPr>
    </w:lvl>
    <w:lvl w:ilvl="7" w:tplc="E1C4C580">
      <w:start w:val="1"/>
      <w:numFmt w:val="bullet"/>
      <w:lvlText w:val="o"/>
      <w:lvlJc w:val="left"/>
      <w:pPr>
        <w:tabs>
          <w:tab w:val="num" w:pos="6120"/>
        </w:tabs>
        <w:ind w:left="6120" w:hanging="360"/>
      </w:pPr>
      <w:rPr>
        <w:rFonts w:ascii="Courier New" w:hAnsi="Courier New" w:hint="default"/>
      </w:rPr>
    </w:lvl>
    <w:lvl w:ilvl="8" w:tplc="3C36646C">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B3730B0"/>
    <w:multiLevelType w:val="hybridMultilevel"/>
    <w:tmpl w:val="6B80737C"/>
    <w:lvl w:ilvl="0" w:tplc="40E6146C">
      <w:start w:val="1"/>
      <w:numFmt w:val="decimal"/>
      <w:lvlText w:val="%1."/>
      <w:lvlJc w:val="left"/>
      <w:pPr>
        <w:ind w:left="360" w:hanging="360"/>
      </w:pPr>
    </w:lvl>
    <w:lvl w:ilvl="1" w:tplc="F8E2A3D8">
      <w:start w:val="1"/>
      <w:numFmt w:val="lowerLetter"/>
      <w:lvlText w:val="%2."/>
      <w:lvlJc w:val="left"/>
      <w:pPr>
        <w:ind w:left="1080" w:hanging="360"/>
      </w:pPr>
    </w:lvl>
    <w:lvl w:ilvl="2" w:tplc="1EF87D62">
      <w:start w:val="1"/>
      <w:numFmt w:val="lowerRoman"/>
      <w:lvlText w:val="%3."/>
      <w:lvlJc w:val="right"/>
      <w:pPr>
        <w:ind w:left="1800" w:hanging="180"/>
      </w:pPr>
    </w:lvl>
    <w:lvl w:ilvl="3" w:tplc="B7E69728">
      <w:start w:val="1"/>
      <w:numFmt w:val="decimal"/>
      <w:lvlText w:val="%4."/>
      <w:lvlJc w:val="left"/>
      <w:pPr>
        <w:ind w:left="2520" w:hanging="360"/>
      </w:pPr>
    </w:lvl>
    <w:lvl w:ilvl="4" w:tplc="77349686">
      <w:start w:val="1"/>
      <w:numFmt w:val="lowerLetter"/>
      <w:lvlText w:val="%5."/>
      <w:lvlJc w:val="left"/>
      <w:pPr>
        <w:ind w:left="3240" w:hanging="360"/>
      </w:pPr>
    </w:lvl>
    <w:lvl w:ilvl="5" w:tplc="402C6B8C">
      <w:start w:val="1"/>
      <w:numFmt w:val="lowerRoman"/>
      <w:lvlText w:val="%6."/>
      <w:lvlJc w:val="right"/>
      <w:pPr>
        <w:ind w:left="3960" w:hanging="180"/>
      </w:pPr>
    </w:lvl>
    <w:lvl w:ilvl="6" w:tplc="6458E102">
      <w:start w:val="1"/>
      <w:numFmt w:val="decimal"/>
      <w:lvlText w:val="%7."/>
      <w:lvlJc w:val="left"/>
      <w:pPr>
        <w:ind w:left="4680" w:hanging="360"/>
      </w:pPr>
    </w:lvl>
    <w:lvl w:ilvl="7" w:tplc="A09A9FC2">
      <w:start w:val="1"/>
      <w:numFmt w:val="lowerLetter"/>
      <w:lvlText w:val="%8."/>
      <w:lvlJc w:val="left"/>
      <w:pPr>
        <w:ind w:left="5400" w:hanging="360"/>
      </w:pPr>
    </w:lvl>
    <w:lvl w:ilvl="8" w:tplc="6B8AE88A">
      <w:start w:val="1"/>
      <w:numFmt w:val="lowerRoman"/>
      <w:lvlText w:val="%9."/>
      <w:lvlJc w:val="right"/>
      <w:pPr>
        <w:ind w:left="6120" w:hanging="180"/>
      </w:pPr>
    </w:lvl>
  </w:abstractNum>
  <w:abstractNum w:abstractNumId="11" w15:restartNumberingAfterBreak="0">
    <w:nsid w:val="7B3730B1"/>
    <w:multiLevelType w:val="hybridMultilevel"/>
    <w:tmpl w:val="6D2455A2"/>
    <w:lvl w:ilvl="0" w:tplc="3DBCC914">
      <w:start w:val="1"/>
      <w:numFmt w:val="decimal"/>
      <w:pStyle w:val="BSnoteslist"/>
      <w:lvlText w:val="%1."/>
      <w:lvlJc w:val="left"/>
      <w:pPr>
        <w:ind w:left="360" w:hanging="360"/>
      </w:pPr>
    </w:lvl>
    <w:lvl w:ilvl="1" w:tplc="9FFAB0AC" w:tentative="1">
      <w:start w:val="1"/>
      <w:numFmt w:val="lowerLetter"/>
      <w:lvlText w:val="%2."/>
      <w:lvlJc w:val="left"/>
      <w:pPr>
        <w:ind w:left="1080" w:hanging="360"/>
      </w:pPr>
    </w:lvl>
    <w:lvl w:ilvl="2" w:tplc="25102368" w:tentative="1">
      <w:start w:val="1"/>
      <w:numFmt w:val="lowerRoman"/>
      <w:lvlText w:val="%3."/>
      <w:lvlJc w:val="right"/>
      <w:pPr>
        <w:ind w:left="1800" w:hanging="180"/>
      </w:pPr>
    </w:lvl>
    <w:lvl w:ilvl="3" w:tplc="AA227732" w:tentative="1">
      <w:start w:val="1"/>
      <w:numFmt w:val="decimal"/>
      <w:lvlText w:val="%4."/>
      <w:lvlJc w:val="left"/>
      <w:pPr>
        <w:ind w:left="2520" w:hanging="360"/>
      </w:pPr>
    </w:lvl>
    <w:lvl w:ilvl="4" w:tplc="512A08EA" w:tentative="1">
      <w:start w:val="1"/>
      <w:numFmt w:val="lowerLetter"/>
      <w:lvlText w:val="%5."/>
      <w:lvlJc w:val="left"/>
      <w:pPr>
        <w:ind w:left="3240" w:hanging="360"/>
      </w:pPr>
    </w:lvl>
    <w:lvl w:ilvl="5" w:tplc="6448A1A0" w:tentative="1">
      <w:start w:val="1"/>
      <w:numFmt w:val="lowerRoman"/>
      <w:lvlText w:val="%6."/>
      <w:lvlJc w:val="right"/>
      <w:pPr>
        <w:ind w:left="3960" w:hanging="180"/>
      </w:pPr>
    </w:lvl>
    <w:lvl w:ilvl="6" w:tplc="29C2430C" w:tentative="1">
      <w:start w:val="1"/>
      <w:numFmt w:val="decimal"/>
      <w:lvlText w:val="%7."/>
      <w:lvlJc w:val="left"/>
      <w:pPr>
        <w:ind w:left="4680" w:hanging="360"/>
      </w:pPr>
    </w:lvl>
    <w:lvl w:ilvl="7" w:tplc="7758D35A" w:tentative="1">
      <w:start w:val="1"/>
      <w:numFmt w:val="lowerLetter"/>
      <w:lvlText w:val="%8."/>
      <w:lvlJc w:val="left"/>
      <w:pPr>
        <w:ind w:left="5400" w:hanging="360"/>
      </w:pPr>
    </w:lvl>
    <w:lvl w:ilvl="8" w:tplc="A0BA8342" w:tentative="1">
      <w:start w:val="1"/>
      <w:numFmt w:val="lowerRoman"/>
      <w:lvlText w:val="%9."/>
      <w:lvlJc w:val="right"/>
      <w:pPr>
        <w:ind w:left="6120" w:hanging="180"/>
      </w:pPr>
    </w:lvl>
  </w:abstractNum>
  <w:abstractNum w:abstractNumId="12" w15:restartNumberingAfterBreak="0">
    <w:nsid w:val="7B3730B2"/>
    <w:multiLevelType w:val="hybridMultilevel"/>
    <w:tmpl w:val="63D67E68"/>
    <w:lvl w:ilvl="0" w:tplc="AE7EAE04">
      <w:start w:val="1"/>
      <w:numFmt w:val="decimal"/>
      <w:pStyle w:val="Alnotes"/>
      <w:lvlText w:val="%1."/>
      <w:lvlJc w:val="left"/>
      <w:pPr>
        <w:ind w:left="360" w:hanging="360"/>
      </w:pPr>
      <w:rPr>
        <w:rFonts w:hint="default"/>
      </w:rPr>
    </w:lvl>
    <w:lvl w:ilvl="1" w:tplc="6518E88C" w:tentative="1">
      <w:start w:val="1"/>
      <w:numFmt w:val="lowerLetter"/>
      <w:lvlText w:val="%2."/>
      <w:lvlJc w:val="left"/>
      <w:pPr>
        <w:ind w:left="1080" w:hanging="360"/>
      </w:pPr>
    </w:lvl>
    <w:lvl w:ilvl="2" w:tplc="FA3C7802" w:tentative="1">
      <w:start w:val="1"/>
      <w:numFmt w:val="lowerRoman"/>
      <w:lvlText w:val="%3."/>
      <w:lvlJc w:val="right"/>
      <w:pPr>
        <w:ind w:left="1800" w:hanging="180"/>
      </w:pPr>
    </w:lvl>
    <w:lvl w:ilvl="3" w:tplc="846A4DD8" w:tentative="1">
      <w:start w:val="1"/>
      <w:numFmt w:val="decimal"/>
      <w:lvlText w:val="%4."/>
      <w:lvlJc w:val="left"/>
      <w:pPr>
        <w:ind w:left="2520" w:hanging="360"/>
      </w:pPr>
    </w:lvl>
    <w:lvl w:ilvl="4" w:tplc="A6024DA8" w:tentative="1">
      <w:start w:val="1"/>
      <w:numFmt w:val="lowerLetter"/>
      <w:lvlText w:val="%5."/>
      <w:lvlJc w:val="left"/>
      <w:pPr>
        <w:ind w:left="3240" w:hanging="360"/>
      </w:pPr>
    </w:lvl>
    <w:lvl w:ilvl="5" w:tplc="8D569984" w:tentative="1">
      <w:start w:val="1"/>
      <w:numFmt w:val="lowerRoman"/>
      <w:lvlText w:val="%6."/>
      <w:lvlJc w:val="right"/>
      <w:pPr>
        <w:ind w:left="3960" w:hanging="180"/>
      </w:pPr>
    </w:lvl>
    <w:lvl w:ilvl="6" w:tplc="EE96B564" w:tentative="1">
      <w:start w:val="1"/>
      <w:numFmt w:val="decimal"/>
      <w:lvlText w:val="%7."/>
      <w:lvlJc w:val="left"/>
      <w:pPr>
        <w:ind w:left="4680" w:hanging="360"/>
      </w:pPr>
    </w:lvl>
    <w:lvl w:ilvl="7" w:tplc="37A8BB00" w:tentative="1">
      <w:start w:val="1"/>
      <w:numFmt w:val="lowerLetter"/>
      <w:lvlText w:val="%8."/>
      <w:lvlJc w:val="left"/>
      <w:pPr>
        <w:ind w:left="5400" w:hanging="360"/>
      </w:pPr>
    </w:lvl>
    <w:lvl w:ilvl="8" w:tplc="9102752E" w:tentative="1">
      <w:start w:val="1"/>
      <w:numFmt w:val="lowerRoman"/>
      <w:lvlText w:val="%9."/>
      <w:lvlJc w:val="right"/>
      <w:pPr>
        <w:ind w:left="6120" w:hanging="180"/>
      </w:pPr>
    </w:lvl>
  </w:abstractNum>
  <w:abstractNum w:abstractNumId="13" w15:restartNumberingAfterBreak="0">
    <w:nsid w:val="7B3730B3"/>
    <w:multiLevelType w:val="hybridMultilevel"/>
    <w:tmpl w:val="AC04AB3A"/>
    <w:lvl w:ilvl="0" w:tplc="C9F67584">
      <w:start w:val="2"/>
      <w:numFmt w:val="lowerLetter"/>
      <w:lvlText w:val="%1."/>
      <w:lvlJc w:val="left"/>
      <w:pPr>
        <w:ind w:left="357" w:hanging="357"/>
      </w:pPr>
      <w:rPr>
        <w:rFonts w:hint="default"/>
        <w:i w:val="0"/>
        <w:strike w:val="0"/>
        <w:dstrike w:val="0"/>
        <w:u w:val="none"/>
        <w:effect w:val="none"/>
      </w:rPr>
    </w:lvl>
    <w:lvl w:ilvl="1" w:tplc="762E532C">
      <w:start w:val="1"/>
      <w:numFmt w:val="lowerLetter"/>
      <w:lvlText w:val="%2."/>
      <w:lvlJc w:val="left"/>
      <w:pPr>
        <w:ind w:left="1222" w:hanging="360"/>
      </w:pPr>
    </w:lvl>
    <w:lvl w:ilvl="2" w:tplc="2E3067AE">
      <w:start w:val="1"/>
      <w:numFmt w:val="lowerRoman"/>
      <w:lvlText w:val="%3."/>
      <w:lvlJc w:val="right"/>
      <w:pPr>
        <w:ind w:left="1942" w:hanging="180"/>
      </w:pPr>
    </w:lvl>
    <w:lvl w:ilvl="3" w:tplc="EF649272">
      <w:start w:val="1"/>
      <w:numFmt w:val="decimal"/>
      <w:lvlText w:val="%4."/>
      <w:lvlJc w:val="left"/>
      <w:pPr>
        <w:ind w:left="2662" w:hanging="360"/>
      </w:pPr>
    </w:lvl>
    <w:lvl w:ilvl="4" w:tplc="BC3CD348">
      <w:start w:val="1"/>
      <w:numFmt w:val="lowerLetter"/>
      <w:lvlText w:val="%5."/>
      <w:lvlJc w:val="left"/>
      <w:pPr>
        <w:ind w:left="3382" w:hanging="360"/>
      </w:pPr>
    </w:lvl>
    <w:lvl w:ilvl="5" w:tplc="E8827D6C">
      <w:start w:val="1"/>
      <w:numFmt w:val="lowerRoman"/>
      <w:lvlText w:val="%6."/>
      <w:lvlJc w:val="right"/>
      <w:pPr>
        <w:ind w:left="4102" w:hanging="180"/>
      </w:pPr>
    </w:lvl>
    <w:lvl w:ilvl="6" w:tplc="3814D890">
      <w:start w:val="1"/>
      <w:numFmt w:val="decimal"/>
      <w:lvlText w:val="%7."/>
      <w:lvlJc w:val="left"/>
      <w:pPr>
        <w:ind w:left="4822" w:hanging="360"/>
      </w:pPr>
    </w:lvl>
    <w:lvl w:ilvl="7" w:tplc="BB367B48">
      <w:start w:val="1"/>
      <w:numFmt w:val="lowerLetter"/>
      <w:lvlText w:val="%8."/>
      <w:lvlJc w:val="left"/>
      <w:pPr>
        <w:ind w:left="5542" w:hanging="360"/>
      </w:pPr>
    </w:lvl>
    <w:lvl w:ilvl="8" w:tplc="DE863FBA">
      <w:start w:val="1"/>
      <w:numFmt w:val="lowerRoman"/>
      <w:lvlText w:val="%9."/>
      <w:lvlJc w:val="right"/>
      <w:pPr>
        <w:ind w:left="6262" w:hanging="180"/>
      </w:pPr>
    </w:lvl>
  </w:abstractNum>
  <w:abstractNum w:abstractNumId="14" w15:restartNumberingAfterBreak="0">
    <w:nsid w:val="7B3730B4"/>
    <w:multiLevelType w:val="hybridMultilevel"/>
    <w:tmpl w:val="E4005AAA"/>
    <w:lvl w:ilvl="0" w:tplc="B4D4D2D8">
      <w:start w:val="1"/>
      <w:numFmt w:val="decimal"/>
      <w:pStyle w:val="BSnoteslist1"/>
      <w:lvlText w:val="%1."/>
      <w:lvlJc w:val="left"/>
      <w:pPr>
        <w:ind w:left="360" w:hanging="360"/>
      </w:pPr>
      <w:rPr>
        <w:rFonts w:hint="default"/>
      </w:rPr>
    </w:lvl>
    <w:lvl w:ilvl="1" w:tplc="307C561C" w:tentative="1">
      <w:start w:val="1"/>
      <w:numFmt w:val="lowerLetter"/>
      <w:lvlText w:val="%2."/>
      <w:lvlJc w:val="left"/>
      <w:pPr>
        <w:ind w:left="1080" w:hanging="360"/>
      </w:pPr>
    </w:lvl>
    <w:lvl w:ilvl="2" w:tplc="0B9236B0" w:tentative="1">
      <w:start w:val="1"/>
      <w:numFmt w:val="lowerRoman"/>
      <w:lvlText w:val="%3."/>
      <w:lvlJc w:val="right"/>
      <w:pPr>
        <w:ind w:left="1800" w:hanging="180"/>
      </w:pPr>
    </w:lvl>
    <w:lvl w:ilvl="3" w:tplc="6D9A353E" w:tentative="1">
      <w:start w:val="1"/>
      <w:numFmt w:val="decimal"/>
      <w:lvlText w:val="%4."/>
      <w:lvlJc w:val="left"/>
      <w:pPr>
        <w:ind w:left="2520" w:hanging="360"/>
      </w:pPr>
    </w:lvl>
    <w:lvl w:ilvl="4" w:tplc="E862A42A" w:tentative="1">
      <w:start w:val="1"/>
      <w:numFmt w:val="lowerLetter"/>
      <w:lvlText w:val="%5."/>
      <w:lvlJc w:val="left"/>
      <w:pPr>
        <w:ind w:left="3240" w:hanging="360"/>
      </w:pPr>
    </w:lvl>
    <w:lvl w:ilvl="5" w:tplc="5B309ED6" w:tentative="1">
      <w:start w:val="1"/>
      <w:numFmt w:val="lowerRoman"/>
      <w:lvlText w:val="%6."/>
      <w:lvlJc w:val="right"/>
      <w:pPr>
        <w:ind w:left="3960" w:hanging="180"/>
      </w:pPr>
    </w:lvl>
    <w:lvl w:ilvl="6" w:tplc="FB5699B8" w:tentative="1">
      <w:start w:val="1"/>
      <w:numFmt w:val="decimal"/>
      <w:lvlText w:val="%7."/>
      <w:lvlJc w:val="left"/>
      <w:pPr>
        <w:ind w:left="4680" w:hanging="360"/>
      </w:pPr>
    </w:lvl>
    <w:lvl w:ilvl="7" w:tplc="8EA26D2A" w:tentative="1">
      <w:start w:val="1"/>
      <w:numFmt w:val="lowerLetter"/>
      <w:lvlText w:val="%8."/>
      <w:lvlJc w:val="left"/>
      <w:pPr>
        <w:ind w:left="5400" w:hanging="360"/>
      </w:pPr>
    </w:lvl>
    <w:lvl w:ilvl="8" w:tplc="4E94DFDA" w:tentative="1">
      <w:start w:val="1"/>
      <w:numFmt w:val="lowerRoman"/>
      <w:lvlText w:val="%9."/>
      <w:lvlJc w:val="right"/>
      <w:pPr>
        <w:ind w:left="6120" w:hanging="180"/>
      </w:pPr>
    </w:lvl>
  </w:abstractNum>
  <w:abstractNum w:abstractNumId="15" w15:restartNumberingAfterBreak="0">
    <w:nsid w:val="7B3730B5"/>
    <w:multiLevelType w:val="hybridMultilevel"/>
    <w:tmpl w:val="63D67E68"/>
    <w:lvl w:ilvl="0" w:tplc="CBBC8058">
      <w:start w:val="1"/>
      <w:numFmt w:val="decimal"/>
      <w:pStyle w:val="Alnotes0"/>
      <w:lvlText w:val="%1."/>
      <w:lvlJc w:val="left"/>
      <w:pPr>
        <w:ind w:left="360" w:hanging="360"/>
      </w:pPr>
      <w:rPr>
        <w:rFonts w:hint="default"/>
      </w:rPr>
    </w:lvl>
    <w:lvl w:ilvl="1" w:tplc="4D063D9E" w:tentative="1">
      <w:start w:val="1"/>
      <w:numFmt w:val="lowerLetter"/>
      <w:lvlText w:val="%2."/>
      <w:lvlJc w:val="left"/>
      <w:pPr>
        <w:ind w:left="1080" w:hanging="360"/>
      </w:pPr>
    </w:lvl>
    <w:lvl w:ilvl="2" w:tplc="2C46DC58" w:tentative="1">
      <w:start w:val="1"/>
      <w:numFmt w:val="lowerRoman"/>
      <w:lvlText w:val="%3."/>
      <w:lvlJc w:val="right"/>
      <w:pPr>
        <w:ind w:left="1800" w:hanging="180"/>
      </w:pPr>
    </w:lvl>
    <w:lvl w:ilvl="3" w:tplc="CD54A7E2" w:tentative="1">
      <w:start w:val="1"/>
      <w:numFmt w:val="decimal"/>
      <w:lvlText w:val="%4."/>
      <w:lvlJc w:val="left"/>
      <w:pPr>
        <w:ind w:left="2520" w:hanging="360"/>
      </w:pPr>
    </w:lvl>
    <w:lvl w:ilvl="4" w:tplc="F8AC748C" w:tentative="1">
      <w:start w:val="1"/>
      <w:numFmt w:val="lowerLetter"/>
      <w:lvlText w:val="%5."/>
      <w:lvlJc w:val="left"/>
      <w:pPr>
        <w:ind w:left="3240" w:hanging="360"/>
      </w:pPr>
    </w:lvl>
    <w:lvl w:ilvl="5" w:tplc="ADC291F8" w:tentative="1">
      <w:start w:val="1"/>
      <w:numFmt w:val="lowerRoman"/>
      <w:lvlText w:val="%6."/>
      <w:lvlJc w:val="right"/>
      <w:pPr>
        <w:ind w:left="3960" w:hanging="180"/>
      </w:pPr>
    </w:lvl>
    <w:lvl w:ilvl="6" w:tplc="67162A3E" w:tentative="1">
      <w:start w:val="1"/>
      <w:numFmt w:val="decimal"/>
      <w:lvlText w:val="%7."/>
      <w:lvlJc w:val="left"/>
      <w:pPr>
        <w:ind w:left="4680" w:hanging="360"/>
      </w:pPr>
    </w:lvl>
    <w:lvl w:ilvl="7" w:tplc="E4008682" w:tentative="1">
      <w:start w:val="1"/>
      <w:numFmt w:val="lowerLetter"/>
      <w:lvlText w:val="%8."/>
      <w:lvlJc w:val="left"/>
      <w:pPr>
        <w:ind w:left="5400" w:hanging="360"/>
      </w:pPr>
    </w:lvl>
    <w:lvl w:ilvl="8" w:tplc="8E4C6404" w:tentative="1">
      <w:start w:val="1"/>
      <w:numFmt w:val="lowerRoman"/>
      <w:lvlText w:val="%9."/>
      <w:lvlJc w:val="right"/>
      <w:pPr>
        <w:ind w:left="6120" w:hanging="180"/>
      </w:pPr>
    </w:lvl>
  </w:abstractNum>
  <w:abstractNum w:abstractNumId="16" w15:restartNumberingAfterBreak="0">
    <w:nsid w:val="7B3730B6"/>
    <w:multiLevelType w:val="hybridMultilevel"/>
    <w:tmpl w:val="3B50FD64"/>
    <w:lvl w:ilvl="0" w:tplc="509E153A">
      <w:start w:val="1"/>
      <w:numFmt w:val="decimal"/>
      <w:pStyle w:val="BSnoteslist10"/>
      <w:lvlText w:val="%1."/>
      <w:lvlJc w:val="left"/>
      <w:pPr>
        <w:ind w:left="360" w:hanging="360"/>
      </w:pPr>
    </w:lvl>
    <w:lvl w:ilvl="1" w:tplc="D7407548">
      <w:start w:val="1"/>
      <w:numFmt w:val="lowerLetter"/>
      <w:lvlText w:val="%2."/>
      <w:lvlJc w:val="left"/>
      <w:pPr>
        <w:ind w:left="1080" w:hanging="360"/>
      </w:pPr>
    </w:lvl>
    <w:lvl w:ilvl="2" w:tplc="DADA72A4">
      <w:start w:val="1"/>
      <w:numFmt w:val="lowerRoman"/>
      <w:lvlText w:val="%3."/>
      <w:lvlJc w:val="right"/>
      <w:pPr>
        <w:ind w:left="1800" w:hanging="180"/>
      </w:pPr>
    </w:lvl>
    <w:lvl w:ilvl="3" w:tplc="6D8041F2">
      <w:start w:val="1"/>
      <w:numFmt w:val="decimal"/>
      <w:lvlText w:val="%4."/>
      <w:lvlJc w:val="left"/>
      <w:pPr>
        <w:ind w:left="2520" w:hanging="360"/>
      </w:pPr>
    </w:lvl>
    <w:lvl w:ilvl="4" w:tplc="3C26F898">
      <w:start w:val="1"/>
      <w:numFmt w:val="lowerLetter"/>
      <w:lvlText w:val="%5."/>
      <w:lvlJc w:val="left"/>
      <w:pPr>
        <w:ind w:left="3240" w:hanging="360"/>
      </w:pPr>
    </w:lvl>
    <w:lvl w:ilvl="5" w:tplc="94D058FC">
      <w:start w:val="1"/>
      <w:numFmt w:val="lowerRoman"/>
      <w:lvlText w:val="%6."/>
      <w:lvlJc w:val="right"/>
      <w:pPr>
        <w:ind w:left="3960" w:hanging="180"/>
      </w:pPr>
    </w:lvl>
    <w:lvl w:ilvl="6" w:tplc="39D86A36">
      <w:start w:val="1"/>
      <w:numFmt w:val="decimal"/>
      <w:lvlText w:val="%7."/>
      <w:lvlJc w:val="left"/>
      <w:pPr>
        <w:ind w:left="4680" w:hanging="360"/>
      </w:pPr>
    </w:lvl>
    <w:lvl w:ilvl="7" w:tplc="22A21380">
      <w:start w:val="1"/>
      <w:numFmt w:val="lowerLetter"/>
      <w:lvlText w:val="%8."/>
      <w:lvlJc w:val="left"/>
      <w:pPr>
        <w:ind w:left="5400" w:hanging="360"/>
      </w:pPr>
    </w:lvl>
    <w:lvl w:ilvl="8" w:tplc="56266BDC">
      <w:start w:val="1"/>
      <w:numFmt w:val="lowerRoman"/>
      <w:lvlText w:val="%9."/>
      <w:lvlJc w:val="right"/>
      <w:pPr>
        <w:ind w:left="6120" w:hanging="180"/>
      </w:pPr>
    </w:lvl>
  </w:abstractNum>
  <w:abstractNum w:abstractNumId="17" w15:restartNumberingAfterBreak="0">
    <w:nsid w:val="7B3730B7"/>
    <w:multiLevelType w:val="hybridMultilevel"/>
    <w:tmpl w:val="27EE5118"/>
    <w:lvl w:ilvl="0" w:tplc="D0002A3E">
      <w:start w:val="1"/>
      <w:numFmt w:val="bullet"/>
      <w:lvlText w:val=""/>
      <w:lvlJc w:val="left"/>
      <w:pPr>
        <w:ind w:left="780" w:hanging="360"/>
      </w:pPr>
      <w:rPr>
        <w:rFonts w:ascii="Symbol" w:hAnsi="Symbol" w:hint="default"/>
      </w:rPr>
    </w:lvl>
    <w:lvl w:ilvl="1" w:tplc="E358423E">
      <w:start w:val="1"/>
      <w:numFmt w:val="bullet"/>
      <w:lvlText w:val="o"/>
      <w:lvlJc w:val="left"/>
      <w:pPr>
        <w:ind w:left="1500" w:hanging="360"/>
      </w:pPr>
      <w:rPr>
        <w:rFonts w:ascii="Courier New" w:hAnsi="Courier New" w:cs="Courier New" w:hint="default"/>
      </w:rPr>
    </w:lvl>
    <w:lvl w:ilvl="2" w:tplc="B3A8EBD6">
      <w:start w:val="1"/>
      <w:numFmt w:val="bullet"/>
      <w:lvlText w:val=""/>
      <w:lvlJc w:val="left"/>
      <w:pPr>
        <w:ind w:left="2220" w:hanging="360"/>
      </w:pPr>
      <w:rPr>
        <w:rFonts w:ascii="Wingdings" w:hAnsi="Wingdings" w:hint="default"/>
      </w:rPr>
    </w:lvl>
    <w:lvl w:ilvl="3" w:tplc="147E72A8">
      <w:start w:val="1"/>
      <w:numFmt w:val="bullet"/>
      <w:lvlText w:val=""/>
      <w:lvlJc w:val="left"/>
      <w:pPr>
        <w:ind w:left="2940" w:hanging="360"/>
      </w:pPr>
      <w:rPr>
        <w:rFonts w:ascii="Symbol" w:hAnsi="Symbol" w:hint="default"/>
      </w:rPr>
    </w:lvl>
    <w:lvl w:ilvl="4" w:tplc="1A56BB30">
      <w:start w:val="1"/>
      <w:numFmt w:val="bullet"/>
      <w:lvlText w:val="o"/>
      <w:lvlJc w:val="left"/>
      <w:pPr>
        <w:ind w:left="3660" w:hanging="360"/>
      </w:pPr>
      <w:rPr>
        <w:rFonts w:ascii="Courier New" w:hAnsi="Courier New" w:cs="Courier New" w:hint="default"/>
      </w:rPr>
    </w:lvl>
    <w:lvl w:ilvl="5" w:tplc="D34225B8">
      <w:start w:val="1"/>
      <w:numFmt w:val="bullet"/>
      <w:lvlText w:val=""/>
      <w:lvlJc w:val="left"/>
      <w:pPr>
        <w:ind w:left="4380" w:hanging="360"/>
      </w:pPr>
      <w:rPr>
        <w:rFonts w:ascii="Wingdings" w:hAnsi="Wingdings" w:hint="default"/>
      </w:rPr>
    </w:lvl>
    <w:lvl w:ilvl="6" w:tplc="6E76471E">
      <w:start w:val="1"/>
      <w:numFmt w:val="bullet"/>
      <w:lvlText w:val=""/>
      <w:lvlJc w:val="left"/>
      <w:pPr>
        <w:ind w:left="5100" w:hanging="360"/>
      </w:pPr>
      <w:rPr>
        <w:rFonts w:ascii="Symbol" w:hAnsi="Symbol" w:hint="default"/>
      </w:rPr>
    </w:lvl>
    <w:lvl w:ilvl="7" w:tplc="C62628E2">
      <w:start w:val="1"/>
      <w:numFmt w:val="bullet"/>
      <w:lvlText w:val="o"/>
      <w:lvlJc w:val="left"/>
      <w:pPr>
        <w:ind w:left="5820" w:hanging="360"/>
      </w:pPr>
      <w:rPr>
        <w:rFonts w:ascii="Courier New" w:hAnsi="Courier New" w:cs="Courier New" w:hint="default"/>
      </w:rPr>
    </w:lvl>
    <w:lvl w:ilvl="8" w:tplc="CEC625A8">
      <w:start w:val="1"/>
      <w:numFmt w:val="bullet"/>
      <w:lvlText w:val=""/>
      <w:lvlJc w:val="left"/>
      <w:pPr>
        <w:ind w:left="6540" w:hanging="360"/>
      </w:pPr>
      <w:rPr>
        <w:rFonts w:ascii="Wingdings" w:hAnsi="Wingdings" w:hint="default"/>
      </w:rPr>
    </w:lvl>
  </w:abstractNum>
  <w:abstractNum w:abstractNumId="18" w15:restartNumberingAfterBreak="0">
    <w:nsid w:val="7B3730B8"/>
    <w:multiLevelType w:val="hybridMultilevel"/>
    <w:tmpl w:val="E0582B88"/>
    <w:lvl w:ilvl="0" w:tplc="069E17CE">
      <w:start w:val="1"/>
      <w:numFmt w:val="bullet"/>
      <w:lvlText w:val=""/>
      <w:lvlJc w:val="left"/>
      <w:pPr>
        <w:ind w:left="360" w:hanging="360"/>
      </w:pPr>
      <w:rPr>
        <w:rFonts w:ascii="Symbol" w:hAnsi="Symbol" w:hint="default"/>
      </w:rPr>
    </w:lvl>
    <w:lvl w:ilvl="1" w:tplc="7BB415B8">
      <w:start w:val="1"/>
      <w:numFmt w:val="decimal"/>
      <w:lvlText w:val="%2."/>
      <w:lvlJc w:val="left"/>
      <w:pPr>
        <w:tabs>
          <w:tab w:val="num" w:pos="1440"/>
        </w:tabs>
        <w:ind w:left="1440" w:hanging="360"/>
      </w:pPr>
    </w:lvl>
    <w:lvl w:ilvl="2" w:tplc="B59CAD54">
      <w:start w:val="1"/>
      <w:numFmt w:val="decimal"/>
      <w:lvlText w:val="%3."/>
      <w:lvlJc w:val="left"/>
      <w:pPr>
        <w:tabs>
          <w:tab w:val="num" w:pos="2160"/>
        </w:tabs>
        <w:ind w:left="2160" w:hanging="360"/>
      </w:pPr>
    </w:lvl>
    <w:lvl w:ilvl="3" w:tplc="26026214">
      <w:start w:val="1"/>
      <w:numFmt w:val="decimal"/>
      <w:lvlText w:val="%4."/>
      <w:lvlJc w:val="left"/>
      <w:pPr>
        <w:tabs>
          <w:tab w:val="num" w:pos="2880"/>
        </w:tabs>
        <w:ind w:left="2880" w:hanging="360"/>
      </w:pPr>
    </w:lvl>
    <w:lvl w:ilvl="4" w:tplc="2CC8821E">
      <w:start w:val="1"/>
      <w:numFmt w:val="decimal"/>
      <w:lvlText w:val="%5."/>
      <w:lvlJc w:val="left"/>
      <w:pPr>
        <w:tabs>
          <w:tab w:val="num" w:pos="3600"/>
        </w:tabs>
        <w:ind w:left="3600" w:hanging="360"/>
      </w:pPr>
    </w:lvl>
    <w:lvl w:ilvl="5" w:tplc="2286DE40">
      <w:start w:val="1"/>
      <w:numFmt w:val="decimal"/>
      <w:lvlText w:val="%6."/>
      <w:lvlJc w:val="left"/>
      <w:pPr>
        <w:tabs>
          <w:tab w:val="num" w:pos="4320"/>
        </w:tabs>
        <w:ind w:left="4320" w:hanging="360"/>
      </w:pPr>
    </w:lvl>
    <w:lvl w:ilvl="6" w:tplc="B6EE3BA2">
      <w:start w:val="1"/>
      <w:numFmt w:val="decimal"/>
      <w:lvlText w:val="%7."/>
      <w:lvlJc w:val="left"/>
      <w:pPr>
        <w:tabs>
          <w:tab w:val="num" w:pos="5040"/>
        </w:tabs>
        <w:ind w:left="5040" w:hanging="360"/>
      </w:pPr>
    </w:lvl>
    <w:lvl w:ilvl="7" w:tplc="1C46EC9A">
      <w:start w:val="1"/>
      <w:numFmt w:val="decimal"/>
      <w:lvlText w:val="%8."/>
      <w:lvlJc w:val="left"/>
      <w:pPr>
        <w:tabs>
          <w:tab w:val="num" w:pos="5760"/>
        </w:tabs>
        <w:ind w:left="5760" w:hanging="360"/>
      </w:pPr>
    </w:lvl>
    <w:lvl w:ilvl="8" w:tplc="726C228C">
      <w:start w:val="1"/>
      <w:numFmt w:val="decimal"/>
      <w:lvlText w:val="%9."/>
      <w:lvlJc w:val="left"/>
      <w:pPr>
        <w:tabs>
          <w:tab w:val="num" w:pos="6480"/>
        </w:tabs>
        <w:ind w:left="6480" w:hanging="360"/>
      </w:pPr>
    </w:lvl>
  </w:abstractNum>
  <w:abstractNum w:abstractNumId="19" w15:restartNumberingAfterBreak="0">
    <w:nsid w:val="7B3730B9"/>
    <w:multiLevelType w:val="hybridMultilevel"/>
    <w:tmpl w:val="4E7EACC2"/>
    <w:lvl w:ilvl="0" w:tplc="4FF6026E">
      <w:start w:val="1"/>
      <w:numFmt w:val="bullet"/>
      <w:pStyle w:val="BSbullet10"/>
      <w:lvlText w:val=""/>
      <w:lvlJc w:val="left"/>
      <w:pPr>
        <w:tabs>
          <w:tab w:val="num" w:pos="360"/>
        </w:tabs>
        <w:ind w:left="357" w:hanging="357"/>
      </w:pPr>
      <w:rPr>
        <w:rFonts w:ascii="Symbol" w:hAnsi="Symbol" w:hint="default"/>
        <w:sz w:val="24"/>
      </w:rPr>
    </w:lvl>
    <w:lvl w:ilvl="1" w:tplc="9B489EC6">
      <w:start w:val="1"/>
      <w:numFmt w:val="bullet"/>
      <w:lvlText w:val="o"/>
      <w:lvlJc w:val="left"/>
      <w:pPr>
        <w:tabs>
          <w:tab w:val="num" w:pos="1800"/>
        </w:tabs>
        <w:ind w:left="1800" w:hanging="360"/>
      </w:pPr>
      <w:rPr>
        <w:rFonts w:ascii="Courier New" w:hAnsi="Courier New" w:hint="default"/>
      </w:rPr>
    </w:lvl>
    <w:lvl w:ilvl="2" w:tplc="974E09DC">
      <w:start w:val="1"/>
      <w:numFmt w:val="bullet"/>
      <w:lvlText w:val=""/>
      <w:lvlJc w:val="left"/>
      <w:pPr>
        <w:tabs>
          <w:tab w:val="num" w:pos="2520"/>
        </w:tabs>
        <w:ind w:left="2520" w:hanging="360"/>
      </w:pPr>
      <w:rPr>
        <w:rFonts w:ascii="Wingdings" w:hAnsi="Wingdings" w:hint="default"/>
      </w:rPr>
    </w:lvl>
    <w:lvl w:ilvl="3" w:tplc="77904B28">
      <w:start w:val="1"/>
      <w:numFmt w:val="bullet"/>
      <w:lvlText w:val=""/>
      <w:lvlJc w:val="left"/>
      <w:pPr>
        <w:tabs>
          <w:tab w:val="num" w:pos="3240"/>
        </w:tabs>
        <w:ind w:left="3240" w:hanging="360"/>
      </w:pPr>
      <w:rPr>
        <w:rFonts w:ascii="Symbol" w:hAnsi="Symbol" w:hint="default"/>
      </w:rPr>
    </w:lvl>
    <w:lvl w:ilvl="4" w:tplc="AC723A8E">
      <w:start w:val="1"/>
      <w:numFmt w:val="bullet"/>
      <w:lvlText w:val="o"/>
      <w:lvlJc w:val="left"/>
      <w:pPr>
        <w:tabs>
          <w:tab w:val="num" w:pos="3960"/>
        </w:tabs>
        <w:ind w:left="3960" w:hanging="360"/>
      </w:pPr>
      <w:rPr>
        <w:rFonts w:ascii="Courier New" w:hAnsi="Courier New" w:hint="default"/>
      </w:rPr>
    </w:lvl>
    <w:lvl w:ilvl="5" w:tplc="CFE41B24">
      <w:start w:val="1"/>
      <w:numFmt w:val="bullet"/>
      <w:lvlText w:val=""/>
      <w:lvlJc w:val="left"/>
      <w:pPr>
        <w:tabs>
          <w:tab w:val="num" w:pos="4680"/>
        </w:tabs>
        <w:ind w:left="4680" w:hanging="360"/>
      </w:pPr>
      <w:rPr>
        <w:rFonts w:ascii="Wingdings" w:hAnsi="Wingdings" w:hint="default"/>
      </w:rPr>
    </w:lvl>
    <w:lvl w:ilvl="6" w:tplc="8464676C">
      <w:start w:val="1"/>
      <w:numFmt w:val="bullet"/>
      <w:lvlText w:val=""/>
      <w:lvlJc w:val="left"/>
      <w:pPr>
        <w:tabs>
          <w:tab w:val="num" w:pos="5400"/>
        </w:tabs>
        <w:ind w:left="5400" w:hanging="360"/>
      </w:pPr>
      <w:rPr>
        <w:rFonts w:ascii="Symbol" w:hAnsi="Symbol" w:hint="default"/>
      </w:rPr>
    </w:lvl>
    <w:lvl w:ilvl="7" w:tplc="2B5CBC12">
      <w:start w:val="1"/>
      <w:numFmt w:val="bullet"/>
      <w:lvlText w:val="o"/>
      <w:lvlJc w:val="left"/>
      <w:pPr>
        <w:tabs>
          <w:tab w:val="num" w:pos="6120"/>
        </w:tabs>
        <w:ind w:left="6120" w:hanging="360"/>
      </w:pPr>
      <w:rPr>
        <w:rFonts w:ascii="Courier New" w:hAnsi="Courier New" w:hint="default"/>
      </w:rPr>
    </w:lvl>
    <w:lvl w:ilvl="8" w:tplc="77E60FD2">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B3730BA"/>
    <w:multiLevelType w:val="hybridMultilevel"/>
    <w:tmpl w:val="E9BA0616"/>
    <w:lvl w:ilvl="0" w:tplc="A0242ACA">
      <w:start w:val="1"/>
      <w:numFmt w:val="bullet"/>
      <w:lvlText w:val=""/>
      <w:lvlJc w:val="left"/>
      <w:pPr>
        <w:ind w:left="360" w:hanging="360"/>
      </w:pPr>
      <w:rPr>
        <w:rFonts w:ascii="Symbol" w:hAnsi="Symbol" w:hint="default"/>
      </w:rPr>
    </w:lvl>
    <w:lvl w:ilvl="1" w:tplc="E91C7B8A">
      <w:start w:val="1"/>
      <w:numFmt w:val="decimal"/>
      <w:lvlText w:val="%2."/>
      <w:lvlJc w:val="left"/>
      <w:pPr>
        <w:tabs>
          <w:tab w:val="num" w:pos="1440"/>
        </w:tabs>
        <w:ind w:left="1440" w:hanging="360"/>
      </w:pPr>
    </w:lvl>
    <w:lvl w:ilvl="2" w:tplc="C6FADE28">
      <w:start w:val="1"/>
      <w:numFmt w:val="decimal"/>
      <w:lvlText w:val="%3."/>
      <w:lvlJc w:val="left"/>
      <w:pPr>
        <w:tabs>
          <w:tab w:val="num" w:pos="2160"/>
        </w:tabs>
        <w:ind w:left="2160" w:hanging="360"/>
      </w:pPr>
    </w:lvl>
    <w:lvl w:ilvl="3" w:tplc="67467764">
      <w:start w:val="1"/>
      <w:numFmt w:val="decimal"/>
      <w:lvlText w:val="%4."/>
      <w:lvlJc w:val="left"/>
      <w:pPr>
        <w:tabs>
          <w:tab w:val="num" w:pos="2880"/>
        </w:tabs>
        <w:ind w:left="2880" w:hanging="360"/>
      </w:pPr>
    </w:lvl>
    <w:lvl w:ilvl="4" w:tplc="B9DE3010">
      <w:start w:val="1"/>
      <w:numFmt w:val="decimal"/>
      <w:lvlText w:val="%5."/>
      <w:lvlJc w:val="left"/>
      <w:pPr>
        <w:tabs>
          <w:tab w:val="num" w:pos="3600"/>
        </w:tabs>
        <w:ind w:left="3600" w:hanging="360"/>
      </w:pPr>
    </w:lvl>
    <w:lvl w:ilvl="5" w:tplc="2F72B052">
      <w:start w:val="1"/>
      <w:numFmt w:val="decimal"/>
      <w:lvlText w:val="%6."/>
      <w:lvlJc w:val="left"/>
      <w:pPr>
        <w:tabs>
          <w:tab w:val="num" w:pos="4320"/>
        </w:tabs>
        <w:ind w:left="4320" w:hanging="360"/>
      </w:pPr>
    </w:lvl>
    <w:lvl w:ilvl="6" w:tplc="E8640114">
      <w:start w:val="1"/>
      <w:numFmt w:val="decimal"/>
      <w:lvlText w:val="%7."/>
      <w:lvlJc w:val="left"/>
      <w:pPr>
        <w:tabs>
          <w:tab w:val="num" w:pos="5040"/>
        </w:tabs>
        <w:ind w:left="5040" w:hanging="360"/>
      </w:pPr>
    </w:lvl>
    <w:lvl w:ilvl="7" w:tplc="A2400572">
      <w:start w:val="1"/>
      <w:numFmt w:val="decimal"/>
      <w:lvlText w:val="%8."/>
      <w:lvlJc w:val="left"/>
      <w:pPr>
        <w:tabs>
          <w:tab w:val="num" w:pos="5760"/>
        </w:tabs>
        <w:ind w:left="5760" w:hanging="360"/>
      </w:pPr>
    </w:lvl>
    <w:lvl w:ilvl="8" w:tplc="46882804">
      <w:start w:val="1"/>
      <w:numFmt w:val="decimal"/>
      <w:lvlText w:val="%9."/>
      <w:lvlJc w:val="left"/>
      <w:pPr>
        <w:tabs>
          <w:tab w:val="num" w:pos="6480"/>
        </w:tabs>
        <w:ind w:left="6480" w:hanging="360"/>
      </w:pPr>
    </w:lvl>
  </w:abstractNum>
  <w:abstractNum w:abstractNumId="21" w15:restartNumberingAfterBreak="0">
    <w:nsid w:val="7B3730BB"/>
    <w:multiLevelType w:val="hybridMultilevel"/>
    <w:tmpl w:val="3B50FD64"/>
    <w:lvl w:ilvl="0" w:tplc="0D4A2142">
      <w:start w:val="1"/>
      <w:numFmt w:val="decimal"/>
      <w:pStyle w:val="BSnoteslist2"/>
      <w:lvlText w:val="%1."/>
      <w:lvlJc w:val="left"/>
      <w:pPr>
        <w:ind w:left="360" w:hanging="360"/>
      </w:pPr>
    </w:lvl>
    <w:lvl w:ilvl="1" w:tplc="30F0E6A8" w:tentative="1">
      <w:start w:val="1"/>
      <w:numFmt w:val="lowerLetter"/>
      <w:lvlText w:val="%2."/>
      <w:lvlJc w:val="left"/>
      <w:pPr>
        <w:ind w:left="1080" w:hanging="360"/>
      </w:pPr>
    </w:lvl>
    <w:lvl w:ilvl="2" w:tplc="5DE8E75A" w:tentative="1">
      <w:start w:val="1"/>
      <w:numFmt w:val="lowerRoman"/>
      <w:lvlText w:val="%3."/>
      <w:lvlJc w:val="right"/>
      <w:pPr>
        <w:ind w:left="1800" w:hanging="180"/>
      </w:pPr>
    </w:lvl>
    <w:lvl w:ilvl="3" w:tplc="EC22603C" w:tentative="1">
      <w:start w:val="1"/>
      <w:numFmt w:val="decimal"/>
      <w:lvlText w:val="%4."/>
      <w:lvlJc w:val="left"/>
      <w:pPr>
        <w:ind w:left="2520" w:hanging="360"/>
      </w:pPr>
    </w:lvl>
    <w:lvl w:ilvl="4" w:tplc="3A7E6880" w:tentative="1">
      <w:start w:val="1"/>
      <w:numFmt w:val="lowerLetter"/>
      <w:lvlText w:val="%5."/>
      <w:lvlJc w:val="left"/>
      <w:pPr>
        <w:ind w:left="3240" w:hanging="360"/>
      </w:pPr>
    </w:lvl>
    <w:lvl w:ilvl="5" w:tplc="68FC2574" w:tentative="1">
      <w:start w:val="1"/>
      <w:numFmt w:val="lowerRoman"/>
      <w:lvlText w:val="%6."/>
      <w:lvlJc w:val="right"/>
      <w:pPr>
        <w:ind w:left="3960" w:hanging="180"/>
      </w:pPr>
    </w:lvl>
    <w:lvl w:ilvl="6" w:tplc="4E464A56" w:tentative="1">
      <w:start w:val="1"/>
      <w:numFmt w:val="decimal"/>
      <w:lvlText w:val="%7."/>
      <w:lvlJc w:val="left"/>
      <w:pPr>
        <w:ind w:left="4680" w:hanging="360"/>
      </w:pPr>
    </w:lvl>
    <w:lvl w:ilvl="7" w:tplc="35AEA0E4" w:tentative="1">
      <w:start w:val="1"/>
      <w:numFmt w:val="lowerLetter"/>
      <w:lvlText w:val="%8."/>
      <w:lvlJc w:val="left"/>
      <w:pPr>
        <w:ind w:left="5400" w:hanging="360"/>
      </w:pPr>
    </w:lvl>
    <w:lvl w:ilvl="8" w:tplc="E854640A" w:tentative="1">
      <w:start w:val="1"/>
      <w:numFmt w:val="lowerRoman"/>
      <w:lvlText w:val="%9."/>
      <w:lvlJc w:val="right"/>
      <w:pPr>
        <w:ind w:left="6120" w:hanging="180"/>
      </w:pPr>
    </w:lvl>
  </w:abstractNum>
  <w:abstractNum w:abstractNumId="22" w15:restartNumberingAfterBreak="0">
    <w:nsid w:val="7B3730BC"/>
    <w:multiLevelType w:val="hybridMultilevel"/>
    <w:tmpl w:val="63D67E68"/>
    <w:lvl w:ilvl="0" w:tplc="4036C384">
      <w:start w:val="1"/>
      <w:numFmt w:val="decimal"/>
      <w:pStyle w:val="Alnotes1"/>
      <w:lvlText w:val="%1."/>
      <w:lvlJc w:val="left"/>
      <w:pPr>
        <w:ind w:left="360" w:hanging="360"/>
      </w:pPr>
      <w:rPr>
        <w:rFonts w:hint="default"/>
      </w:rPr>
    </w:lvl>
    <w:lvl w:ilvl="1" w:tplc="19FC46EA" w:tentative="1">
      <w:start w:val="1"/>
      <w:numFmt w:val="lowerLetter"/>
      <w:lvlText w:val="%2."/>
      <w:lvlJc w:val="left"/>
      <w:pPr>
        <w:ind w:left="1080" w:hanging="360"/>
      </w:pPr>
    </w:lvl>
    <w:lvl w:ilvl="2" w:tplc="F96AE0B0" w:tentative="1">
      <w:start w:val="1"/>
      <w:numFmt w:val="lowerRoman"/>
      <w:lvlText w:val="%3."/>
      <w:lvlJc w:val="right"/>
      <w:pPr>
        <w:ind w:left="1800" w:hanging="180"/>
      </w:pPr>
    </w:lvl>
    <w:lvl w:ilvl="3" w:tplc="4BB84754" w:tentative="1">
      <w:start w:val="1"/>
      <w:numFmt w:val="decimal"/>
      <w:lvlText w:val="%4."/>
      <w:lvlJc w:val="left"/>
      <w:pPr>
        <w:ind w:left="2520" w:hanging="360"/>
      </w:pPr>
    </w:lvl>
    <w:lvl w:ilvl="4" w:tplc="CD0E3468" w:tentative="1">
      <w:start w:val="1"/>
      <w:numFmt w:val="lowerLetter"/>
      <w:lvlText w:val="%5."/>
      <w:lvlJc w:val="left"/>
      <w:pPr>
        <w:ind w:left="3240" w:hanging="360"/>
      </w:pPr>
    </w:lvl>
    <w:lvl w:ilvl="5" w:tplc="FC3E6574" w:tentative="1">
      <w:start w:val="1"/>
      <w:numFmt w:val="lowerRoman"/>
      <w:lvlText w:val="%6."/>
      <w:lvlJc w:val="right"/>
      <w:pPr>
        <w:ind w:left="3960" w:hanging="180"/>
      </w:pPr>
    </w:lvl>
    <w:lvl w:ilvl="6" w:tplc="9E80FACE" w:tentative="1">
      <w:start w:val="1"/>
      <w:numFmt w:val="decimal"/>
      <w:lvlText w:val="%7."/>
      <w:lvlJc w:val="left"/>
      <w:pPr>
        <w:ind w:left="4680" w:hanging="360"/>
      </w:pPr>
    </w:lvl>
    <w:lvl w:ilvl="7" w:tplc="6C8A60C6" w:tentative="1">
      <w:start w:val="1"/>
      <w:numFmt w:val="lowerLetter"/>
      <w:lvlText w:val="%8."/>
      <w:lvlJc w:val="left"/>
      <w:pPr>
        <w:ind w:left="5400" w:hanging="360"/>
      </w:pPr>
    </w:lvl>
    <w:lvl w:ilvl="8" w:tplc="F5124ADE" w:tentative="1">
      <w:start w:val="1"/>
      <w:numFmt w:val="lowerRoman"/>
      <w:lvlText w:val="%9."/>
      <w:lvlJc w:val="right"/>
      <w:pPr>
        <w:ind w:left="6120" w:hanging="180"/>
      </w:pPr>
    </w:lvl>
  </w:abstractNum>
  <w:abstractNum w:abstractNumId="23" w15:restartNumberingAfterBreak="0">
    <w:nsid w:val="7B3730BD"/>
    <w:multiLevelType w:val="hybridMultilevel"/>
    <w:tmpl w:val="424E359A"/>
    <w:lvl w:ilvl="0" w:tplc="E3F49964">
      <w:start w:val="1"/>
      <w:numFmt w:val="bullet"/>
      <w:lvlText w:val=""/>
      <w:lvlJc w:val="left"/>
      <w:pPr>
        <w:ind w:left="360" w:hanging="360"/>
      </w:pPr>
      <w:rPr>
        <w:rFonts w:ascii="Symbol" w:hAnsi="Symbol" w:hint="default"/>
      </w:rPr>
    </w:lvl>
    <w:lvl w:ilvl="1" w:tplc="FD567EEE">
      <w:start w:val="1"/>
      <w:numFmt w:val="bullet"/>
      <w:lvlText w:val="o"/>
      <w:lvlJc w:val="left"/>
      <w:pPr>
        <w:ind w:left="1080" w:hanging="360"/>
      </w:pPr>
      <w:rPr>
        <w:rFonts w:ascii="Courier New" w:hAnsi="Courier New" w:cs="Courier New" w:hint="default"/>
      </w:rPr>
    </w:lvl>
    <w:lvl w:ilvl="2" w:tplc="153A9F50">
      <w:start w:val="1"/>
      <w:numFmt w:val="bullet"/>
      <w:lvlText w:val=""/>
      <w:lvlJc w:val="left"/>
      <w:pPr>
        <w:ind w:left="1800" w:hanging="360"/>
      </w:pPr>
      <w:rPr>
        <w:rFonts w:ascii="Wingdings" w:hAnsi="Wingdings" w:hint="default"/>
      </w:rPr>
    </w:lvl>
    <w:lvl w:ilvl="3" w:tplc="38CC60B6">
      <w:start w:val="1"/>
      <w:numFmt w:val="bullet"/>
      <w:lvlText w:val=""/>
      <w:lvlJc w:val="left"/>
      <w:pPr>
        <w:ind w:left="2520" w:hanging="360"/>
      </w:pPr>
      <w:rPr>
        <w:rFonts w:ascii="Symbol" w:hAnsi="Symbol" w:hint="default"/>
      </w:rPr>
    </w:lvl>
    <w:lvl w:ilvl="4" w:tplc="7ABCFFE2">
      <w:start w:val="1"/>
      <w:numFmt w:val="bullet"/>
      <w:lvlText w:val="o"/>
      <w:lvlJc w:val="left"/>
      <w:pPr>
        <w:ind w:left="3240" w:hanging="360"/>
      </w:pPr>
      <w:rPr>
        <w:rFonts w:ascii="Courier New" w:hAnsi="Courier New" w:cs="Courier New" w:hint="default"/>
      </w:rPr>
    </w:lvl>
    <w:lvl w:ilvl="5" w:tplc="1180C2AE">
      <w:start w:val="1"/>
      <w:numFmt w:val="bullet"/>
      <w:lvlText w:val=""/>
      <w:lvlJc w:val="left"/>
      <w:pPr>
        <w:ind w:left="3960" w:hanging="360"/>
      </w:pPr>
      <w:rPr>
        <w:rFonts w:ascii="Wingdings" w:hAnsi="Wingdings" w:hint="default"/>
      </w:rPr>
    </w:lvl>
    <w:lvl w:ilvl="6" w:tplc="1FC42B32">
      <w:start w:val="1"/>
      <w:numFmt w:val="bullet"/>
      <w:lvlText w:val=""/>
      <w:lvlJc w:val="left"/>
      <w:pPr>
        <w:ind w:left="4680" w:hanging="360"/>
      </w:pPr>
      <w:rPr>
        <w:rFonts w:ascii="Symbol" w:hAnsi="Symbol" w:hint="default"/>
      </w:rPr>
    </w:lvl>
    <w:lvl w:ilvl="7" w:tplc="62327210">
      <w:start w:val="1"/>
      <w:numFmt w:val="bullet"/>
      <w:lvlText w:val="o"/>
      <w:lvlJc w:val="left"/>
      <w:pPr>
        <w:ind w:left="5400" w:hanging="360"/>
      </w:pPr>
      <w:rPr>
        <w:rFonts w:ascii="Courier New" w:hAnsi="Courier New" w:cs="Courier New" w:hint="default"/>
      </w:rPr>
    </w:lvl>
    <w:lvl w:ilvl="8" w:tplc="56E2A148">
      <w:start w:val="1"/>
      <w:numFmt w:val="bullet"/>
      <w:lvlText w:val=""/>
      <w:lvlJc w:val="left"/>
      <w:pPr>
        <w:ind w:left="6120" w:hanging="360"/>
      </w:pPr>
      <w:rPr>
        <w:rFonts w:ascii="Wingdings" w:hAnsi="Wingdings" w:hint="default"/>
      </w:rPr>
    </w:lvl>
  </w:abstractNum>
  <w:abstractNum w:abstractNumId="24" w15:restartNumberingAfterBreak="0">
    <w:nsid w:val="7B3730BE"/>
    <w:multiLevelType w:val="hybridMultilevel"/>
    <w:tmpl w:val="02A2382A"/>
    <w:lvl w:ilvl="0" w:tplc="628E5896">
      <w:start w:val="1"/>
      <w:numFmt w:val="lowerLetter"/>
      <w:lvlText w:val="%1."/>
      <w:lvlJc w:val="left"/>
      <w:pPr>
        <w:ind w:left="360" w:hanging="360"/>
      </w:pPr>
    </w:lvl>
    <w:lvl w:ilvl="1" w:tplc="0CD47E9E">
      <w:start w:val="1"/>
      <w:numFmt w:val="lowerLetter"/>
      <w:lvlText w:val="%2."/>
      <w:lvlJc w:val="left"/>
      <w:pPr>
        <w:ind w:left="1080" w:hanging="360"/>
      </w:pPr>
    </w:lvl>
    <w:lvl w:ilvl="2" w:tplc="E91EBDAE">
      <w:start w:val="1"/>
      <w:numFmt w:val="lowerRoman"/>
      <w:lvlText w:val="%3."/>
      <w:lvlJc w:val="right"/>
      <w:pPr>
        <w:ind w:left="1800" w:hanging="180"/>
      </w:pPr>
    </w:lvl>
    <w:lvl w:ilvl="3" w:tplc="3C6422AC">
      <w:start w:val="1"/>
      <w:numFmt w:val="decimal"/>
      <w:lvlText w:val="%4."/>
      <w:lvlJc w:val="left"/>
      <w:pPr>
        <w:ind w:left="2520" w:hanging="360"/>
      </w:pPr>
    </w:lvl>
    <w:lvl w:ilvl="4" w:tplc="9C6419E8">
      <w:start w:val="1"/>
      <w:numFmt w:val="lowerLetter"/>
      <w:lvlText w:val="%5."/>
      <w:lvlJc w:val="left"/>
      <w:pPr>
        <w:ind w:left="3240" w:hanging="360"/>
      </w:pPr>
    </w:lvl>
    <w:lvl w:ilvl="5" w:tplc="231415FA">
      <w:start w:val="1"/>
      <w:numFmt w:val="lowerRoman"/>
      <w:lvlText w:val="%6."/>
      <w:lvlJc w:val="right"/>
      <w:pPr>
        <w:ind w:left="3960" w:hanging="180"/>
      </w:pPr>
    </w:lvl>
    <w:lvl w:ilvl="6" w:tplc="963AD530">
      <w:start w:val="1"/>
      <w:numFmt w:val="decimal"/>
      <w:lvlText w:val="%7."/>
      <w:lvlJc w:val="left"/>
      <w:pPr>
        <w:ind w:left="4680" w:hanging="360"/>
      </w:pPr>
    </w:lvl>
    <w:lvl w:ilvl="7" w:tplc="28EA1BBE">
      <w:start w:val="1"/>
      <w:numFmt w:val="lowerLetter"/>
      <w:lvlText w:val="%8."/>
      <w:lvlJc w:val="left"/>
      <w:pPr>
        <w:ind w:left="5400" w:hanging="360"/>
      </w:pPr>
    </w:lvl>
    <w:lvl w:ilvl="8" w:tplc="CBA87EA0">
      <w:start w:val="1"/>
      <w:numFmt w:val="lowerRoman"/>
      <w:lvlText w:val="%9."/>
      <w:lvlJc w:val="right"/>
      <w:pPr>
        <w:ind w:left="6120" w:hanging="180"/>
      </w:pPr>
    </w:lvl>
  </w:abstractNum>
  <w:abstractNum w:abstractNumId="25" w15:restartNumberingAfterBreak="0">
    <w:nsid w:val="7B3730BF"/>
    <w:multiLevelType w:val="hybridMultilevel"/>
    <w:tmpl w:val="85661B6C"/>
    <w:lvl w:ilvl="0" w:tplc="D84800AE">
      <w:start w:val="1"/>
      <w:numFmt w:val="decimal"/>
      <w:pStyle w:val="BSnoteslist20"/>
      <w:lvlText w:val="%1."/>
      <w:lvlJc w:val="left"/>
      <w:pPr>
        <w:ind w:left="360" w:hanging="360"/>
      </w:pPr>
    </w:lvl>
    <w:lvl w:ilvl="1" w:tplc="8E20C67E">
      <w:start w:val="1"/>
      <w:numFmt w:val="lowerLetter"/>
      <w:lvlText w:val="%2."/>
      <w:lvlJc w:val="left"/>
      <w:pPr>
        <w:ind w:left="1080" w:hanging="360"/>
      </w:pPr>
    </w:lvl>
    <w:lvl w:ilvl="2" w:tplc="52225392">
      <w:start w:val="1"/>
      <w:numFmt w:val="lowerRoman"/>
      <w:lvlText w:val="%3."/>
      <w:lvlJc w:val="right"/>
      <w:pPr>
        <w:ind w:left="1800" w:hanging="180"/>
      </w:pPr>
    </w:lvl>
    <w:lvl w:ilvl="3" w:tplc="6B9A9144">
      <w:start w:val="1"/>
      <w:numFmt w:val="decimal"/>
      <w:lvlText w:val="%4."/>
      <w:lvlJc w:val="left"/>
      <w:pPr>
        <w:ind w:left="2520" w:hanging="360"/>
      </w:pPr>
    </w:lvl>
    <w:lvl w:ilvl="4" w:tplc="6FFC90AA">
      <w:start w:val="1"/>
      <w:numFmt w:val="lowerLetter"/>
      <w:lvlText w:val="%5."/>
      <w:lvlJc w:val="left"/>
      <w:pPr>
        <w:ind w:left="3240" w:hanging="360"/>
      </w:pPr>
    </w:lvl>
    <w:lvl w:ilvl="5" w:tplc="64AA39F0">
      <w:start w:val="1"/>
      <w:numFmt w:val="lowerRoman"/>
      <w:lvlText w:val="%6."/>
      <w:lvlJc w:val="right"/>
      <w:pPr>
        <w:ind w:left="3960" w:hanging="180"/>
      </w:pPr>
    </w:lvl>
    <w:lvl w:ilvl="6" w:tplc="25B4BDC6">
      <w:start w:val="1"/>
      <w:numFmt w:val="decimal"/>
      <w:lvlText w:val="%7."/>
      <w:lvlJc w:val="left"/>
      <w:pPr>
        <w:ind w:left="4680" w:hanging="360"/>
      </w:pPr>
    </w:lvl>
    <w:lvl w:ilvl="7" w:tplc="DEB08E8A">
      <w:start w:val="1"/>
      <w:numFmt w:val="lowerLetter"/>
      <w:lvlText w:val="%8."/>
      <w:lvlJc w:val="left"/>
      <w:pPr>
        <w:ind w:left="5400" w:hanging="360"/>
      </w:pPr>
    </w:lvl>
    <w:lvl w:ilvl="8" w:tplc="DDE4F592">
      <w:start w:val="1"/>
      <w:numFmt w:val="lowerRoman"/>
      <w:lvlText w:val="%9."/>
      <w:lvlJc w:val="right"/>
      <w:pPr>
        <w:ind w:left="6120" w:hanging="180"/>
      </w:pPr>
    </w:lvl>
  </w:abstractNum>
  <w:abstractNum w:abstractNumId="26" w15:restartNumberingAfterBreak="0">
    <w:nsid w:val="7B3730C0"/>
    <w:multiLevelType w:val="hybridMultilevel"/>
    <w:tmpl w:val="11541CFE"/>
    <w:lvl w:ilvl="0" w:tplc="1982E222">
      <w:start w:val="1"/>
      <w:numFmt w:val="lowerLetter"/>
      <w:lvlText w:val="%1."/>
      <w:lvlJc w:val="left"/>
      <w:pPr>
        <w:ind w:left="360" w:hanging="360"/>
      </w:pPr>
    </w:lvl>
    <w:lvl w:ilvl="1" w:tplc="C1DEFA40">
      <w:start w:val="1"/>
      <w:numFmt w:val="lowerLetter"/>
      <w:lvlText w:val="%2."/>
      <w:lvlJc w:val="left"/>
      <w:pPr>
        <w:tabs>
          <w:tab w:val="num" w:pos="938"/>
        </w:tabs>
        <w:ind w:left="938" w:hanging="360"/>
      </w:pPr>
      <w:rPr>
        <w:rFonts w:cs="Times New Roman"/>
      </w:rPr>
    </w:lvl>
    <w:lvl w:ilvl="2" w:tplc="12E66AA4">
      <w:start w:val="1"/>
      <w:numFmt w:val="lowerRoman"/>
      <w:lvlText w:val="%3."/>
      <w:lvlJc w:val="right"/>
      <w:pPr>
        <w:tabs>
          <w:tab w:val="num" w:pos="1658"/>
        </w:tabs>
        <w:ind w:left="1658" w:hanging="180"/>
      </w:pPr>
      <w:rPr>
        <w:rFonts w:cs="Times New Roman"/>
      </w:rPr>
    </w:lvl>
    <w:lvl w:ilvl="3" w:tplc="7B4CA47A">
      <w:start w:val="1"/>
      <w:numFmt w:val="decimal"/>
      <w:lvlText w:val="%4."/>
      <w:lvlJc w:val="left"/>
      <w:pPr>
        <w:tabs>
          <w:tab w:val="num" w:pos="2378"/>
        </w:tabs>
        <w:ind w:left="2378" w:hanging="360"/>
      </w:pPr>
      <w:rPr>
        <w:rFonts w:cs="Times New Roman"/>
      </w:rPr>
    </w:lvl>
    <w:lvl w:ilvl="4" w:tplc="4A949712">
      <w:start w:val="1"/>
      <w:numFmt w:val="lowerLetter"/>
      <w:lvlText w:val="%5."/>
      <w:lvlJc w:val="left"/>
      <w:pPr>
        <w:tabs>
          <w:tab w:val="num" w:pos="3098"/>
        </w:tabs>
        <w:ind w:left="3098" w:hanging="360"/>
      </w:pPr>
      <w:rPr>
        <w:rFonts w:cs="Times New Roman"/>
      </w:rPr>
    </w:lvl>
    <w:lvl w:ilvl="5" w:tplc="2038637A">
      <w:start w:val="1"/>
      <w:numFmt w:val="lowerRoman"/>
      <w:lvlText w:val="%6."/>
      <w:lvlJc w:val="right"/>
      <w:pPr>
        <w:tabs>
          <w:tab w:val="num" w:pos="3818"/>
        </w:tabs>
        <w:ind w:left="3818" w:hanging="180"/>
      </w:pPr>
      <w:rPr>
        <w:rFonts w:cs="Times New Roman"/>
      </w:rPr>
    </w:lvl>
    <w:lvl w:ilvl="6" w:tplc="D6DE9820">
      <w:start w:val="1"/>
      <w:numFmt w:val="decimal"/>
      <w:lvlText w:val="%7."/>
      <w:lvlJc w:val="left"/>
      <w:pPr>
        <w:tabs>
          <w:tab w:val="num" w:pos="4538"/>
        </w:tabs>
        <w:ind w:left="4538" w:hanging="360"/>
      </w:pPr>
      <w:rPr>
        <w:rFonts w:cs="Times New Roman"/>
      </w:rPr>
    </w:lvl>
    <w:lvl w:ilvl="7" w:tplc="AD00877A">
      <w:start w:val="1"/>
      <w:numFmt w:val="lowerLetter"/>
      <w:lvlText w:val="%8."/>
      <w:lvlJc w:val="left"/>
      <w:pPr>
        <w:tabs>
          <w:tab w:val="num" w:pos="5258"/>
        </w:tabs>
        <w:ind w:left="5258" w:hanging="360"/>
      </w:pPr>
      <w:rPr>
        <w:rFonts w:cs="Times New Roman"/>
      </w:rPr>
    </w:lvl>
    <w:lvl w:ilvl="8" w:tplc="CA2A6198">
      <w:start w:val="1"/>
      <w:numFmt w:val="lowerRoman"/>
      <w:lvlText w:val="%9."/>
      <w:lvlJc w:val="right"/>
      <w:pPr>
        <w:tabs>
          <w:tab w:val="num" w:pos="5978"/>
        </w:tabs>
        <w:ind w:left="5978" w:hanging="180"/>
      </w:pPr>
      <w:rPr>
        <w:rFonts w:cs="Times New Roman"/>
      </w:rPr>
    </w:lvl>
  </w:abstractNum>
  <w:abstractNum w:abstractNumId="27" w15:restartNumberingAfterBreak="0">
    <w:nsid w:val="7B3730C1"/>
    <w:multiLevelType w:val="hybridMultilevel"/>
    <w:tmpl w:val="36280FBE"/>
    <w:lvl w:ilvl="0" w:tplc="BB2894FE">
      <w:start w:val="1"/>
      <w:numFmt w:val="decimal"/>
      <w:pStyle w:val="BSnoteslist3"/>
      <w:lvlText w:val="%1."/>
      <w:lvlJc w:val="left"/>
      <w:pPr>
        <w:ind w:left="360" w:hanging="360"/>
      </w:pPr>
    </w:lvl>
    <w:lvl w:ilvl="1" w:tplc="702831D2" w:tentative="1">
      <w:start w:val="1"/>
      <w:numFmt w:val="lowerLetter"/>
      <w:lvlText w:val="%2."/>
      <w:lvlJc w:val="left"/>
      <w:pPr>
        <w:ind w:left="1080" w:hanging="360"/>
      </w:pPr>
    </w:lvl>
    <w:lvl w:ilvl="2" w:tplc="AA24C4EC" w:tentative="1">
      <w:start w:val="1"/>
      <w:numFmt w:val="lowerRoman"/>
      <w:lvlText w:val="%3."/>
      <w:lvlJc w:val="right"/>
      <w:pPr>
        <w:ind w:left="1800" w:hanging="180"/>
      </w:pPr>
    </w:lvl>
    <w:lvl w:ilvl="3" w:tplc="4830BE3A" w:tentative="1">
      <w:start w:val="1"/>
      <w:numFmt w:val="decimal"/>
      <w:lvlText w:val="%4."/>
      <w:lvlJc w:val="left"/>
      <w:pPr>
        <w:ind w:left="2520" w:hanging="360"/>
      </w:pPr>
    </w:lvl>
    <w:lvl w:ilvl="4" w:tplc="6E7889FA" w:tentative="1">
      <w:start w:val="1"/>
      <w:numFmt w:val="lowerLetter"/>
      <w:lvlText w:val="%5."/>
      <w:lvlJc w:val="left"/>
      <w:pPr>
        <w:ind w:left="3240" w:hanging="360"/>
      </w:pPr>
    </w:lvl>
    <w:lvl w:ilvl="5" w:tplc="DF94B394" w:tentative="1">
      <w:start w:val="1"/>
      <w:numFmt w:val="lowerRoman"/>
      <w:lvlText w:val="%6."/>
      <w:lvlJc w:val="right"/>
      <w:pPr>
        <w:ind w:left="3960" w:hanging="180"/>
      </w:pPr>
    </w:lvl>
    <w:lvl w:ilvl="6" w:tplc="A9885EC2" w:tentative="1">
      <w:start w:val="1"/>
      <w:numFmt w:val="decimal"/>
      <w:lvlText w:val="%7."/>
      <w:lvlJc w:val="left"/>
      <w:pPr>
        <w:ind w:left="4680" w:hanging="360"/>
      </w:pPr>
    </w:lvl>
    <w:lvl w:ilvl="7" w:tplc="A3D49F44" w:tentative="1">
      <w:start w:val="1"/>
      <w:numFmt w:val="lowerLetter"/>
      <w:lvlText w:val="%8."/>
      <w:lvlJc w:val="left"/>
      <w:pPr>
        <w:ind w:left="5400" w:hanging="360"/>
      </w:pPr>
    </w:lvl>
    <w:lvl w:ilvl="8" w:tplc="78500BB2" w:tentative="1">
      <w:start w:val="1"/>
      <w:numFmt w:val="lowerRoman"/>
      <w:lvlText w:val="%9."/>
      <w:lvlJc w:val="right"/>
      <w:pPr>
        <w:ind w:left="6120" w:hanging="180"/>
      </w:pPr>
    </w:lvl>
  </w:abstractNum>
  <w:abstractNum w:abstractNumId="28" w15:restartNumberingAfterBreak="0">
    <w:nsid w:val="7B3730C2"/>
    <w:multiLevelType w:val="hybridMultilevel"/>
    <w:tmpl w:val="63D67E68"/>
    <w:lvl w:ilvl="0" w:tplc="F9A00384">
      <w:start w:val="1"/>
      <w:numFmt w:val="decimal"/>
      <w:pStyle w:val="Alnotes2"/>
      <w:lvlText w:val="%1."/>
      <w:lvlJc w:val="left"/>
      <w:pPr>
        <w:ind w:left="360" w:hanging="360"/>
      </w:pPr>
      <w:rPr>
        <w:rFonts w:hint="default"/>
      </w:rPr>
    </w:lvl>
    <w:lvl w:ilvl="1" w:tplc="5F2806F4" w:tentative="1">
      <w:start w:val="1"/>
      <w:numFmt w:val="lowerLetter"/>
      <w:lvlText w:val="%2."/>
      <w:lvlJc w:val="left"/>
      <w:pPr>
        <w:ind w:left="1080" w:hanging="360"/>
      </w:pPr>
    </w:lvl>
    <w:lvl w:ilvl="2" w:tplc="2F44C50A" w:tentative="1">
      <w:start w:val="1"/>
      <w:numFmt w:val="lowerRoman"/>
      <w:lvlText w:val="%3."/>
      <w:lvlJc w:val="right"/>
      <w:pPr>
        <w:ind w:left="1800" w:hanging="180"/>
      </w:pPr>
    </w:lvl>
    <w:lvl w:ilvl="3" w:tplc="890C2A22" w:tentative="1">
      <w:start w:val="1"/>
      <w:numFmt w:val="decimal"/>
      <w:lvlText w:val="%4."/>
      <w:lvlJc w:val="left"/>
      <w:pPr>
        <w:ind w:left="2520" w:hanging="360"/>
      </w:pPr>
    </w:lvl>
    <w:lvl w:ilvl="4" w:tplc="A5287832" w:tentative="1">
      <w:start w:val="1"/>
      <w:numFmt w:val="lowerLetter"/>
      <w:lvlText w:val="%5."/>
      <w:lvlJc w:val="left"/>
      <w:pPr>
        <w:ind w:left="3240" w:hanging="360"/>
      </w:pPr>
    </w:lvl>
    <w:lvl w:ilvl="5" w:tplc="8542B8BA" w:tentative="1">
      <w:start w:val="1"/>
      <w:numFmt w:val="lowerRoman"/>
      <w:lvlText w:val="%6."/>
      <w:lvlJc w:val="right"/>
      <w:pPr>
        <w:ind w:left="3960" w:hanging="180"/>
      </w:pPr>
    </w:lvl>
    <w:lvl w:ilvl="6" w:tplc="55A4C608" w:tentative="1">
      <w:start w:val="1"/>
      <w:numFmt w:val="decimal"/>
      <w:lvlText w:val="%7."/>
      <w:lvlJc w:val="left"/>
      <w:pPr>
        <w:ind w:left="4680" w:hanging="360"/>
      </w:pPr>
    </w:lvl>
    <w:lvl w:ilvl="7" w:tplc="9670C7AE" w:tentative="1">
      <w:start w:val="1"/>
      <w:numFmt w:val="lowerLetter"/>
      <w:lvlText w:val="%8."/>
      <w:lvlJc w:val="left"/>
      <w:pPr>
        <w:ind w:left="5400" w:hanging="360"/>
      </w:pPr>
    </w:lvl>
    <w:lvl w:ilvl="8" w:tplc="1682D8F8" w:tentative="1">
      <w:start w:val="1"/>
      <w:numFmt w:val="lowerRoman"/>
      <w:lvlText w:val="%9."/>
      <w:lvlJc w:val="right"/>
      <w:pPr>
        <w:ind w:left="6120" w:hanging="180"/>
      </w:pPr>
    </w:lvl>
  </w:abstractNum>
  <w:abstractNum w:abstractNumId="29" w15:restartNumberingAfterBreak="0">
    <w:nsid w:val="7B3730C3"/>
    <w:multiLevelType w:val="hybridMultilevel"/>
    <w:tmpl w:val="7130D0EA"/>
    <w:lvl w:ilvl="0" w:tplc="338E42E2">
      <w:start w:val="1"/>
      <w:numFmt w:val="lowerLetter"/>
      <w:lvlText w:val="%1."/>
      <w:lvlJc w:val="left"/>
      <w:pPr>
        <w:ind w:left="360" w:hanging="360"/>
      </w:pPr>
    </w:lvl>
    <w:lvl w:ilvl="1" w:tplc="43B85A44">
      <w:start w:val="1"/>
      <w:numFmt w:val="lowerLetter"/>
      <w:lvlText w:val="%2."/>
      <w:lvlJc w:val="left"/>
      <w:pPr>
        <w:ind w:left="1440" w:hanging="360"/>
      </w:pPr>
    </w:lvl>
    <w:lvl w:ilvl="2" w:tplc="5A9EFB50">
      <w:start w:val="1"/>
      <w:numFmt w:val="lowerRoman"/>
      <w:lvlText w:val="%3."/>
      <w:lvlJc w:val="right"/>
      <w:pPr>
        <w:ind w:left="2160" w:hanging="180"/>
      </w:pPr>
    </w:lvl>
    <w:lvl w:ilvl="3" w:tplc="F4E81C42">
      <w:start w:val="1"/>
      <w:numFmt w:val="decimal"/>
      <w:lvlText w:val="%4."/>
      <w:lvlJc w:val="left"/>
      <w:pPr>
        <w:ind w:left="2880" w:hanging="360"/>
      </w:pPr>
    </w:lvl>
    <w:lvl w:ilvl="4" w:tplc="6F428F9E">
      <w:start w:val="1"/>
      <w:numFmt w:val="lowerLetter"/>
      <w:lvlText w:val="%5."/>
      <w:lvlJc w:val="left"/>
      <w:pPr>
        <w:ind w:left="3600" w:hanging="360"/>
      </w:pPr>
    </w:lvl>
    <w:lvl w:ilvl="5" w:tplc="05A6EB62">
      <w:start w:val="1"/>
      <w:numFmt w:val="lowerRoman"/>
      <w:lvlText w:val="%6."/>
      <w:lvlJc w:val="right"/>
      <w:pPr>
        <w:ind w:left="4320" w:hanging="180"/>
      </w:pPr>
    </w:lvl>
    <w:lvl w:ilvl="6" w:tplc="AF74A284">
      <w:start w:val="1"/>
      <w:numFmt w:val="decimal"/>
      <w:lvlText w:val="%7."/>
      <w:lvlJc w:val="left"/>
      <w:pPr>
        <w:ind w:left="5040" w:hanging="360"/>
      </w:pPr>
    </w:lvl>
    <w:lvl w:ilvl="7" w:tplc="26469B0E">
      <w:start w:val="1"/>
      <w:numFmt w:val="lowerLetter"/>
      <w:lvlText w:val="%8."/>
      <w:lvlJc w:val="left"/>
      <w:pPr>
        <w:ind w:left="5760" w:hanging="360"/>
      </w:pPr>
    </w:lvl>
    <w:lvl w:ilvl="8" w:tplc="FDF679A2">
      <w:start w:val="1"/>
      <w:numFmt w:val="lowerRoman"/>
      <w:lvlText w:val="%9."/>
      <w:lvlJc w:val="right"/>
      <w:pPr>
        <w:ind w:left="6480" w:hanging="180"/>
      </w:pPr>
    </w:lvl>
  </w:abstractNum>
  <w:abstractNum w:abstractNumId="30" w15:restartNumberingAfterBreak="0">
    <w:nsid w:val="7B3730C4"/>
    <w:multiLevelType w:val="hybridMultilevel"/>
    <w:tmpl w:val="FDC06AE2"/>
    <w:lvl w:ilvl="0" w:tplc="FEDE50C8">
      <w:start w:val="1"/>
      <w:numFmt w:val="lowerLetter"/>
      <w:lvlText w:val="%1."/>
      <w:lvlJc w:val="left"/>
      <w:pPr>
        <w:ind w:left="360" w:hanging="360"/>
      </w:pPr>
      <w:rPr>
        <w:rFonts w:hint="default"/>
      </w:rPr>
    </w:lvl>
    <w:lvl w:ilvl="1" w:tplc="7A6E7306" w:tentative="1">
      <w:start w:val="1"/>
      <w:numFmt w:val="lowerLetter"/>
      <w:lvlText w:val="%2."/>
      <w:lvlJc w:val="left"/>
      <w:pPr>
        <w:ind w:left="1440" w:hanging="360"/>
      </w:pPr>
    </w:lvl>
    <w:lvl w:ilvl="2" w:tplc="06EAA508" w:tentative="1">
      <w:start w:val="1"/>
      <w:numFmt w:val="lowerRoman"/>
      <w:lvlText w:val="%3."/>
      <w:lvlJc w:val="right"/>
      <w:pPr>
        <w:ind w:left="2160" w:hanging="180"/>
      </w:pPr>
    </w:lvl>
    <w:lvl w:ilvl="3" w:tplc="CE9E34F6" w:tentative="1">
      <w:start w:val="1"/>
      <w:numFmt w:val="decimal"/>
      <w:lvlText w:val="%4."/>
      <w:lvlJc w:val="left"/>
      <w:pPr>
        <w:ind w:left="2880" w:hanging="360"/>
      </w:pPr>
    </w:lvl>
    <w:lvl w:ilvl="4" w:tplc="27C28692" w:tentative="1">
      <w:start w:val="1"/>
      <w:numFmt w:val="lowerLetter"/>
      <w:lvlText w:val="%5."/>
      <w:lvlJc w:val="left"/>
      <w:pPr>
        <w:ind w:left="3600" w:hanging="360"/>
      </w:pPr>
    </w:lvl>
    <w:lvl w:ilvl="5" w:tplc="EFFC234A" w:tentative="1">
      <w:start w:val="1"/>
      <w:numFmt w:val="lowerRoman"/>
      <w:lvlText w:val="%6."/>
      <w:lvlJc w:val="right"/>
      <w:pPr>
        <w:ind w:left="4320" w:hanging="180"/>
      </w:pPr>
    </w:lvl>
    <w:lvl w:ilvl="6" w:tplc="41C6D060" w:tentative="1">
      <w:start w:val="1"/>
      <w:numFmt w:val="decimal"/>
      <w:lvlText w:val="%7."/>
      <w:lvlJc w:val="left"/>
      <w:pPr>
        <w:ind w:left="5040" w:hanging="360"/>
      </w:pPr>
    </w:lvl>
    <w:lvl w:ilvl="7" w:tplc="6CF2E78A" w:tentative="1">
      <w:start w:val="1"/>
      <w:numFmt w:val="lowerLetter"/>
      <w:lvlText w:val="%8."/>
      <w:lvlJc w:val="left"/>
      <w:pPr>
        <w:ind w:left="5760" w:hanging="360"/>
      </w:pPr>
    </w:lvl>
    <w:lvl w:ilvl="8" w:tplc="22D00A2C" w:tentative="1">
      <w:start w:val="1"/>
      <w:numFmt w:val="lowerRoman"/>
      <w:lvlText w:val="%9."/>
      <w:lvlJc w:val="right"/>
      <w:pPr>
        <w:ind w:left="6480" w:hanging="180"/>
      </w:pPr>
    </w:lvl>
  </w:abstractNum>
  <w:abstractNum w:abstractNumId="31" w15:restartNumberingAfterBreak="0">
    <w:nsid w:val="7B3730C5"/>
    <w:multiLevelType w:val="hybridMultilevel"/>
    <w:tmpl w:val="6FA0C784"/>
    <w:lvl w:ilvl="0" w:tplc="E1E499EC">
      <w:start w:val="2"/>
      <w:numFmt w:val="lowerLetter"/>
      <w:lvlText w:val="%1."/>
      <w:lvlJc w:val="left"/>
      <w:pPr>
        <w:ind w:left="360" w:hanging="360"/>
      </w:pPr>
      <w:rPr>
        <w:rFonts w:hint="default"/>
      </w:rPr>
    </w:lvl>
    <w:lvl w:ilvl="1" w:tplc="90189350" w:tentative="1">
      <w:start w:val="1"/>
      <w:numFmt w:val="lowerLetter"/>
      <w:lvlText w:val="%2."/>
      <w:lvlJc w:val="left"/>
      <w:pPr>
        <w:ind w:left="1440" w:hanging="360"/>
      </w:pPr>
    </w:lvl>
    <w:lvl w:ilvl="2" w:tplc="0E2CFC04" w:tentative="1">
      <w:start w:val="1"/>
      <w:numFmt w:val="lowerRoman"/>
      <w:lvlText w:val="%3."/>
      <w:lvlJc w:val="right"/>
      <w:pPr>
        <w:ind w:left="2160" w:hanging="180"/>
      </w:pPr>
    </w:lvl>
    <w:lvl w:ilvl="3" w:tplc="D0284288" w:tentative="1">
      <w:start w:val="1"/>
      <w:numFmt w:val="decimal"/>
      <w:lvlText w:val="%4."/>
      <w:lvlJc w:val="left"/>
      <w:pPr>
        <w:ind w:left="2880" w:hanging="360"/>
      </w:pPr>
    </w:lvl>
    <w:lvl w:ilvl="4" w:tplc="CEF28EA2" w:tentative="1">
      <w:start w:val="1"/>
      <w:numFmt w:val="lowerLetter"/>
      <w:lvlText w:val="%5."/>
      <w:lvlJc w:val="left"/>
      <w:pPr>
        <w:ind w:left="3600" w:hanging="360"/>
      </w:pPr>
    </w:lvl>
    <w:lvl w:ilvl="5" w:tplc="41245C56" w:tentative="1">
      <w:start w:val="1"/>
      <w:numFmt w:val="lowerRoman"/>
      <w:lvlText w:val="%6."/>
      <w:lvlJc w:val="right"/>
      <w:pPr>
        <w:ind w:left="4320" w:hanging="180"/>
      </w:pPr>
    </w:lvl>
    <w:lvl w:ilvl="6" w:tplc="D8F83DDE" w:tentative="1">
      <w:start w:val="1"/>
      <w:numFmt w:val="decimal"/>
      <w:lvlText w:val="%7."/>
      <w:lvlJc w:val="left"/>
      <w:pPr>
        <w:ind w:left="5040" w:hanging="360"/>
      </w:pPr>
    </w:lvl>
    <w:lvl w:ilvl="7" w:tplc="C2303408" w:tentative="1">
      <w:start w:val="1"/>
      <w:numFmt w:val="lowerLetter"/>
      <w:lvlText w:val="%8."/>
      <w:lvlJc w:val="left"/>
      <w:pPr>
        <w:ind w:left="5760" w:hanging="360"/>
      </w:pPr>
    </w:lvl>
    <w:lvl w:ilvl="8" w:tplc="9BF81CAA" w:tentative="1">
      <w:start w:val="1"/>
      <w:numFmt w:val="lowerRoman"/>
      <w:lvlText w:val="%9."/>
      <w:lvlJc w:val="right"/>
      <w:pPr>
        <w:ind w:left="6480" w:hanging="180"/>
      </w:pPr>
    </w:lvl>
  </w:abstractNum>
  <w:abstractNum w:abstractNumId="32" w15:restartNumberingAfterBreak="0">
    <w:nsid w:val="7B3730C6"/>
    <w:multiLevelType w:val="hybridMultilevel"/>
    <w:tmpl w:val="A5AC29F6"/>
    <w:lvl w:ilvl="0" w:tplc="D3AAB50A">
      <w:start w:val="1"/>
      <w:numFmt w:val="lowerLetter"/>
      <w:lvlText w:val="%1."/>
      <w:lvlJc w:val="left"/>
      <w:pPr>
        <w:ind w:left="360" w:hanging="360"/>
      </w:pPr>
      <w:rPr>
        <w:rFonts w:hint="default"/>
      </w:rPr>
    </w:lvl>
    <w:lvl w:ilvl="1" w:tplc="E8A82BC0" w:tentative="1">
      <w:start w:val="1"/>
      <w:numFmt w:val="lowerLetter"/>
      <w:lvlText w:val="%2."/>
      <w:lvlJc w:val="left"/>
      <w:pPr>
        <w:ind w:left="1440" w:hanging="360"/>
      </w:pPr>
    </w:lvl>
    <w:lvl w:ilvl="2" w:tplc="B810CBC2" w:tentative="1">
      <w:start w:val="1"/>
      <w:numFmt w:val="lowerRoman"/>
      <w:lvlText w:val="%3."/>
      <w:lvlJc w:val="right"/>
      <w:pPr>
        <w:ind w:left="2160" w:hanging="180"/>
      </w:pPr>
    </w:lvl>
    <w:lvl w:ilvl="3" w:tplc="4BE0221A" w:tentative="1">
      <w:start w:val="1"/>
      <w:numFmt w:val="decimal"/>
      <w:lvlText w:val="%4."/>
      <w:lvlJc w:val="left"/>
      <w:pPr>
        <w:ind w:left="2880" w:hanging="360"/>
      </w:pPr>
    </w:lvl>
    <w:lvl w:ilvl="4" w:tplc="B602FA72" w:tentative="1">
      <w:start w:val="1"/>
      <w:numFmt w:val="lowerLetter"/>
      <w:lvlText w:val="%5."/>
      <w:lvlJc w:val="left"/>
      <w:pPr>
        <w:ind w:left="3600" w:hanging="360"/>
      </w:pPr>
    </w:lvl>
    <w:lvl w:ilvl="5" w:tplc="9CD29286" w:tentative="1">
      <w:start w:val="1"/>
      <w:numFmt w:val="lowerRoman"/>
      <w:lvlText w:val="%6."/>
      <w:lvlJc w:val="right"/>
      <w:pPr>
        <w:ind w:left="4320" w:hanging="180"/>
      </w:pPr>
    </w:lvl>
    <w:lvl w:ilvl="6" w:tplc="B52E5BC4" w:tentative="1">
      <w:start w:val="1"/>
      <w:numFmt w:val="decimal"/>
      <w:lvlText w:val="%7."/>
      <w:lvlJc w:val="left"/>
      <w:pPr>
        <w:ind w:left="5040" w:hanging="360"/>
      </w:pPr>
    </w:lvl>
    <w:lvl w:ilvl="7" w:tplc="E1ECA72A" w:tentative="1">
      <w:start w:val="1"/>
      <w:numFmt w:val="lowerLetter"/>
      <w:lvlText w:val="%8."/>
      <w:lvlJc w:val="left"/>
      <w:pPr>
        <w:ind w:left="5760" w:hanging="360"/>
      </w:pPr>
    </w:lvl>
    <w:lvl w:ilvl="8" w:tplc="A8B01654" w:tentative="1">
      <w:start w:val="1"/>
      <w:numFmt w:val="lowerRoman"/>
      <w:lvlText w:val="%9."/>
      <w:lvlJc w:val="right"/>
      <w:pPr>
        <w:ind w:left="6480" w:hanging="180"/>
      </w:pPr>
    </w:lvl>
  </w:abstractNum>
  <w:abstractNum w:abstractNumId="33" w15:restartNumberingAfterBreak="0">
    <w:nsid w:val="7B3730C7"/>
    <w:multiLevelType w:val="hybridMultilevel"/>
    <w:tmpl w:val="95FEA10C"/>
    <w:lvl w:ilvl="0" w:tplc="F7CE4064">
      <w:start w:val="5"/>
      <w:numFmt w:val="lowerLetter"/>
      <w:lvlText w:val="%1."/>
      <w:lvlJc w:val="left"/>
      <w:pPr>
        <w:ind w:left="360" w:hanging="360"/>
      </w:pPr>
      <w:rPr>
        <w:rFonts w:hint="default"/>
      </w:rPr>
    </w:lvl>
    <w:lvl w:ilvl="1" w:tplc="8E302E70" w:tentative="1">
      <w:start w:val="1"/>
      <w:numFmt w:val="lowerLetter"/>
      <w:lvlText w:val="%2."/>
      <w:lvlJc w:val="left"/>
      <w:pPr>
        <w:ind w:left="1440" w:hanging="360"/>
      </w:pPr>
    </w:lvl>
    <w:lvl w:ilvl="2" w:tplc="DF160DC6" w:tentative="1">
      <w:start w:val="1"/>
      <w:numFmt w:val="lowerRoman"/>
      <w:lvlText w:val="%3."/>
      <w:lvlJc w:val="right"/>
      <w:pPr>
        <w:ind w:left="2160" w:hanging="180"/>
      </w:pPr>
    </w:lvl>
    <w:lvl w:ilvl="3" w:tplc="AE2C3F18" w:tentative="1">
      <w:start w:val="1"/>
      <w:numFmt w:val="decimal"/>
      <w:lvlText w:val="%4."/>
      <w:lvlJc w:val="left"/>
      <w:pPr>
        <w:ind w:left="2880" w:hanging="360"/>
      </w:pPr>
    </w:lvl>
    <w:lvl w:ilvl="4" w:tplc="DF9AD478" w:tentative="1">
      <w:start w:val="1"/>
      <w:numFmt w:val="lowerLetter"/>
      <w:lvlText w:val="%5."/>
      <w:lvlJc w:val="left"/>
      <w:pPr>
        <w:ind w:left="3600" w:hanging="360"/>
      </w:pPr>
    </w:lvl>
    <w:lvl w:ilvl="5" w:tplc="812CEF22" w:tentative="1">
      <w:start w:val="1"/>
      <w:numFmt w:val="lowerRoman"/>
      <w:lvlText w:val="%6."/>
      <w:lvlJc w:val="right"/>
      <w:pPr>
        <w:ind w:left="4320" w:hanging="180"/>
      </w:pPr>
    </w:lvl>
    <w:lvl w:ilvl="6" w:tplc="A70878CA" w:tentative="1">
      <w:start w:val="1"/>
      <w:numFmt w:val="decimal"/>
      <w:lvlText w:val="%7."/>
      <w:lvlJc w:val="left"/>
      <w:pPr>
        <w:ind w:left="5040" w:hanging="360"/>
      </w:pPr>
    </w:lvl>
    <w:lvl w:ilvl="7" w:tplc="3BFE0AAE" w:tentative="1">
      <w:start w:val="1"/>
      <w:numFmt w:val="lowerLetter"/>
      <w:lvlText w:val="%8."/>
      <w:lvlJc w:val="left"/>
      <w:pPr>
        <w:ind w:left="5760" w:hanging="360"/>
      </w:pPr>
    </w:lvl>
    <w:lvl w:ilvl="8" w:tplc="27648CE0" w:tentative="1">
      <w:start w:val="1"/>
      <w:numFmt w:val="lowerRoman"/>
      <w:lvlText w:val="%9."/>
      <w:lvlJc w:val="right"/>
      <w:pPr>
        <w:ind w:left="6480" w:hanging="180"/>
      </w:pPr>
    </w:lvl>
  </w:abstractNum>
  <w:abstractNum w:abstractNumId="34" w15:restartNumberingAfterBreak="0">
    <w:nsid w:val="7B3730C8"/>
    <w:multiLevelType w:val="hybridMultilevel"/>
    <w:tmpl w:val="4E7EACC2"/>
    <w:lvl w:ilvl="0" w:tplc="616A8B10">
      <w:start w:val="1"/>
      <w:numFmt w:val="bullet"/>
      <w:pStyle w:val="BSbullet11"/>
      <w:lvlText w:val=""/>
      <w:lvlJc w:val="left"/>
      <w:pPr>
        <w:tabs>
          <w:tab w:val="num" w:pos="360"/>
        </w:tabs>
        <w:ind w:left="357" w:hanging="357"/>
      </w:pPr>
      <w:rPr>
        <w:rFonts w:ascii="Symbol" w:hAnsi="Symbol" w:hint="default"/>
        <w:sz w:val="24"/>
      </w:rPr>
    </w:lvl>
    <w:lvl w:ilvl="1" w:tplc="77628BEE">
      <w:start w:val="1"/>
      <w:numFmt w:val="bullet"/>
      <w:lvlText w:val="o"/>
      <w:lvlJc w:val="left"/>
      <w:pPr>
        <w:tabs>
          <w:tab w:val="num" w:pos="1800"/>
        </w:tabs>
        <w:ind w:left="1800" w:hanging="360"/>
      </w:pPr>
      <w:rPr>
        <w:rFonts w:ascii="Courier New" w:hAnsi="Courier New" w:hint="default"/>
      </w:rPr>
    </w:lvl>
    <w:lvl w:ilvl="2" w:tplc="8B4C762A">
      <w:start w:val="1"/>
      <w:numFmt w:val="bullet"/>
      <w:lvlText w:val=""/>
      <w:lvlJc w:val="left"/>
      <w:pPr>
        <w:tabs>
          <w:tab w:val="num" w:pos="2520"/>
        </w:tabs>
        <w:ind w:left="2520" w:hanging="360"/>
      </w:pPr>
      <w:rPr>
        <w:rFonts w:ascii="Wingdings" w:hAnsi="Wingdings" w:hint="default"/>
      </w:rPr>
    </w:lvl>
    <w:lvl w:ilvl="3" w:tplc="C9E4D7E0">
      <w:start w:val="1"/>
      <w:numFmt w:val="bullet"/>
      <w:lvlText w:val=""/>
      <w:lvlJc w:val="left"/>
      <w:pPr>
        <w:tabs>
          <w:tab w:val="num" w:pos="3240"/>
        </w:tabs>
        <w:ind w:left="3240" w:hanging="360"/>
      </w:pPr>
      <w:rPr>
        <w:rFonts w:ascii="Symbol" w:hAnsi="Symbol" w:hint="default"/>
      </w:rPr>
    </w:lvl>
    <w:lvl w:ilvl="4" w:tplc="38F8D6EA">
      <w:start w:val="1"/>
      <w:numFmt w:val="bullet"/>
      <w:lvlText w:val="o"/>
      <w:lvlJc w:val="left"/>
      <w:pPr>
        <w:tabs>
          <w:tab w:val="num" w:pos="3960"/>
        </w:tabs>
        <w:ind w:left="3960" w:hanging="360"/>
      </w:pPr>
      <w:rPr>
        <w:rFonts w:ascii="Courier New" w:hAnsi="Courier New" w:hint="default"/>
      </w:rPr>
    </w:lvl>
    <w:lvl w:ilvl="5" w:tplc="4C4C543A">
      <w:start w:val="1"/>
      <w:numFmt w:val="bullet"/>
      <w:lvlText w:val=""/>
      <w:lvlJc w:val="left"/>
      <w:pPr>
        <w:tabs>
          <w:tab w:val="num" w:pos="4680"/>
        </w:tabs>
        <w:ind w:left="4680" w:hanging="360"/>
      </w:pPr>
      <w:rPr>
        <w:rFonts w:ascii="Wingdings" w:hAnsi="Wingdings" w:hint="default"/>
      </w:rPr>
    </w:lvl>
    <w:lvl w:ilvl="6" w:tplc="CD909C88">
      <w:start w:val="1"/>
      <w:numFmt w:val="bullet"/>
      <w:lvlText w:val=""/>
      <w:lvlJc w:val="left"/>
      <w:pPr>
        <w:tabs>
          <w:tab w:val="num" w:pos="5400"/>
        </w:tabs>
        <w:ind w:left="5400" w:hanging="360"/>
      </w:pPr>
      <w:rPr>
        <w:rFonts w:ascii="Symbol" w:hAnsi="Symbol" w:hint="default"/>
      </w:rPr>
    </w:lvl>
    <w:lvl w:ilvl="7" w:tplc="BA443352">
      <w:start w:val="1"/>
      <w:numFmt w:val="bullet"/>
      <w:lvlText w:val="o"/>
      <w:lvlJc w:val="left"/>
      <w:pPr>
        <w:tabs>
          <w:tab w:val="num" w:pos="6120"/>
        </w:tabs>
        <w:ind w:left="6120" w:hanging="360"/>
      </w:pPr>
      <w:rPr>
        <w:rFonts w:ascii="Courier New" w:hAnsi="Courier New" w:hint="default"/>
      </w:rPr>
    </w:lvl>
    <w:lvl w:ilvl="8" w:tplc="1F30C640">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B3730C9"/>
    <w:multiLevelType w:val="hybridMultilevel"/>
    <w:tmpl w:val="A30A436E"/>
    <w:lvl w:ilvl="0" w:tplc="6D2A6334">
      <w:start w:val="1"/>
      <w:numFmt w:val="bullet"/>
      <w:pStyle w:val="BSbullet2"/>
      <w:lvlText w:val="-"/>
      <w:lvlJc w:val="left"/>
      <w:pPr>
        <w:ind w:left="1077" w:hanging="360"/>
      </w:pPr>
      <w:rPr>
        <w:rFonts w:ascii="Calibri" w:hAnsi="Calibri" w:hint="default"/>
      </w:rPr>
    </w:lvl>
    <w:lvl w:ilvl="1" w:tplc="37D6592C" w:tentative="1">
      <w:start w:val="1"/>
      <w:numFmt w:val="bullet"/>
      <w:lvlText w:val="o"/>
      <w:lvlJc w:val="left"/>
      <w:pPr>
        <w:ind w:left="1797" w:hanging="360"/>
      </w:pPr>
      <w:rPr>
        <w:rFonts w:ascii="Courier New" w:hAnsi="Courier New" w:cs="Courier New" w:hint="default"/>
      </w:rPr>
    </w:lvl>
    <w:lvl w:ilvl="2" w:tplc="71DA53AA" w:tentative="1">
      <w:start w:val="1"/>
      <w:numFmt w:val="bullet"/>
      <w:lvlText w:val=""/>
      <w:lvlJc w:val="left"/>
      <w:pPr>
        <w:ind w:left="2517" w:hanging="360"/>
      </w:pPr>
      <w:rPr>
        <w:rFonts w:ascii="Wingdings" w:hAnsi="Wingdings" w:hint="default"/>
      </w:rPr>
    </w:lvl>
    <w:lvl w:ilvl="3" w:tplc="F1888BF6" w:tentative="1">
      <w:start w:val="1"/>
      <w:numFmt w:val="bullet"/>
      <w:lvlText w:val=""/>
      <w:lvlJc w:val="left"/>
      <w:pPr>
        <w:ind w:left="3237" w:hanging="360"/>
      </w:pPr>
      <w:rPr>
        <w:rFonts w:ascii="Symbol" w:hAnsi="Symbol" w:hint="default"/>
      </w:rPr>
    </w:lvl>
    <w:lvl w:ilvl="4" w:tplc="DE3AE5AA" w:tentative="1">
      <w:start w:val="1"/>
      <w:numFmt w:val="bullet"/>
      <w:lvlText w:val="o"/>
      <w:lvlJc w:val="left"/>
      <w:pPr>
        <w:ind w:left="3957" w:hanging="360"/>
      </w:pPr>
      <w:rPr>
        <w:rFonts w:ascii="Courier New" w:hAnsi="Courier New" w:cs="Courier New" w:hint="default"/>
      </w:rPr>
    </w:lvl>
    <w:lvl w:ilvl="5" w:tplc="5F18A25A" w:tentative="1">
      <w:start w:val="1"/>
      <w:numFmt w:val="bullet"/>
      <w:lvlText w:val=""/>
      <w:lvlJc w:val="left"/>
      <w:pPr>
        <w:ind w:left="4677" w:hanging="360"/>
      </w:pPr>
      <w:rPr>
        <w:rFonts w:ascii="Wingdings" w:hAnsi="Wingdings" w:hint="default"/>
      </w:rPr>
    </w:lvl>
    <w:lvl w:ilvl="6" w:tplc="C022535C" w:tentative="1">
      <w:start w:val="1"/>
      <w:numFmt w:val="bullet"/>
      <w:lvlText w:val=""/>
      <w:lvlJc w:val="left"/>
      <w:pPr>
        <w:ind w:left="5397" w:hanging="360"/>
      </w:pPr>
      <w:rPr>
        <w:rFonts w:ascii="Symbol" w:hAnsi="Symbol" w:hint="default"/>
      </w:rPr>
    </w:lvl>
    <w:lvl w:ilvl="7" w:tplc="80780312" w:tentative="1">
      <w:start w:val="1"/>
      <w:numFmt w:val="bullet"/>
      <w:lvlText w:val="o"/>
      <w:lvlJc w:val="left"/>
      <w:pPr>
        <w:ind w:left="6117" w:hanging="360"/>
      </w:pPr>
      <w:rPr>
        <w:rFonts w:ascii="Courier New" w:hAnsi="Courier New" w:cs="Courier New" w:hint="default"/>
      </w:rPr>
    </w:lvl>
    <w:lvl w:ilvl="8" w:tplc="3AF416FC" w:tentative="1">
      <w:start w:val="1"/>
      <w:numFmt w:val="bullet"/>
      <w:lvlText w:val=""/>
      <w:lvlJc w:val="left"/>
      <w:pPr>
        <w:ind w:left="6837" w:hanging="360"/>
      </w:pPr>
      <w:rPr>
        <w:rFonts w:ascii="Wingdings" w:hAnsi="Wingdings" w:hint="default"/>
      </w:rPr>
    </w:lvl>
  </w:abstractNum>
  <w:abstractNum w:abstractNumId="36" w15:restartNumberingAfterBreak="0">
    <w:nsid w:val="7B3730CA"/>
    <w:multiLevelType w:val="hybridMultilevel"/>
    <w:tmpl w:val="4E7EACC2"/>
    <w:lvl w:ilvl="0" w:tplc="A21824E4">
      <w:start w:val="1"/>
      <w:numFmt w:val="bullet"/>
      <w:pStyle w:val="BSbullet12"/>
      <w:lvlText w:val=""/>
      <w:lvlJc w:val="left"/>
      <w:pPr>
        <w:tabs>
          <w:tab w:val="num" w:pos="360"/>
        </w:tabs>
        <w:ind w:left="357" w:hanging="357"/>
      </w:pPr>
      <w:rPr>
        <w:rFonts w:ascii="Symbol" w:hAnsi="Symbol" w:hint="default"/>
        <w:sz w:val="24"/>
      </w:rPr>
    </w:lvl>
    <w:lvl w:ilvl="1" w:tplc="9C9214CC">
      <w:start w:val="1"/>
      <w:numFmt w:val="bullet"/>
      <w:lvlText w:val="o"/>
      <w:lvlJc w:val="left"/>
      <w:pPr>
        <w:tabs>
          <w:tab w:val="num" w:pos="1800"/>
        </w:tabs>
        <w:ind w:left="1800" w:hanging="360"/>
      </w:pPr>
      <w:rPr>
        <w:rFonts w:ascii="Courier New" w:hAnsi="Courier New" w:hint="default"/>
      </w:rPr>
    </w:lvl>
    <w:lvl w:ilvl="2" w:tplc="5EBA9DC0">
      <w:start w:val="1"/>
      <w:numFmt w:val="bullet"/>
      <w:lvlText w:val=""/>
      <w:lvlJc w:val="left"/>
      <w:pPr>
        <w:tabs>
          <w:tab w:val="num" w:pos="2520"/>
        </w:tabs>
        <w:ind w:left="2520" w:hanging="360"/>
      </w:pPr>
      <w:rPr>
        <w:rFonts w:ascii="Wingdings" w:hAnsi="Wingdings" w:hint="default"/>
      </w:rPr>
    </w:lvl>
    <w:lvl w:ilvl="3" w:tplc="60726784">
      <w:start w:val="1"/>
      <w:numFmt w:val="bullet"/>
      <w:lvlText w:val=""/>
      <w:lvlJc w:val="left"/>
      <w:pPr>
        <w:tabs>
          <w:tab w:val="num" w:pos="3240"/>
        </w:tabs>
        <w:ind w:left="3240" w:hanging="360"/>
      </w:pPr>
      <w:rPr>
        <w:rFonts w:ascii="Symbol" w:hAnsi="Symbol" w:hint="default"/>
      </w:rPr>
    </w:lvl>
    <w:lvl w:ilvl="4" w:tplc="C4A699AC">
      <w:start w:val="1"/>
      <w:numFmt w:val="bullet"/>
      <w:lvlText w:val="o"/>
      <w:lvlJc w:val="left"/>
      <w:pPr>
        <w:tabs>
          <w:tab w:val="num" w:pos="3960"/>
        </w:tabs>
        <w:ind w:left="3960" w:hanging="360"/>
      </w:pPr>
      <w:rPr>
        <w:rFonts w:ascii="Courier New" w:hAnsi="Courier New" w:hint="default"/>
      </w:rPr>
    </w:lvl>
    <w:lvl w:ilvl="5" w:tplc="05784A3C">
      <w:start w:val="1"/>
      <w:numFmt w:val="bullet"/>
      <w:lvlText w:val=""/>
      <w:lvlJc w:val="left"/>
      <w:pPr>
        <w:tabs>
          <w:tab w:val="num" w:pos="4680"/>
        </w:tabs>
        <w:ind w:left="4680" w:hanging="360"/>
      </w:pPr>
      <w:rPr>
        <w:rFonts w:ascii="Wingdings" w:hAnsi="Wingdings" w:hint="default"/>
      </w:rPr>
    </w:lvl>
    <w:lvl w:ilvl="6" w:tplc="2E108BD8">
      <w:start w:val="1"/>
      <w:numFmt w:val="bullet"/>
      <w:lvlText w:val=""/>
      <w:lvlJc w:val="left"/>
      <w:pPr>
        <w:tabs>
          <w:tab w:val="num" w:pos="5400"/>
        </w:tabs>
        <w:ind w:left="5400" w:hanging="360"/>
      </w:pPr>
      <w:rPr>
        <w:rFonts w:ascii="Symbol" w:hAnsi="Symbol" w:hint="default"/>
      </w:rPr>
    </w:lvl>
    <w:lvl w:ilvl="7" w:tplc="45207210">
      <w:start w:val="1"/>
      <w:numFmt w:val="bullet"/>
      <w:lvlText w:val="o"/>
      <w:lvlJc w:val="left"/>
      <w:pPr>
        <w:tabs>
          <w:tab w:val="num" w:pos="6120"/>
        </w:tabs>
        <w:ind w:left="6120" w:hanging="360"/>
      </w:pPr>
      <w:rPr>
        <w:rFonts w:ascii="Courier New" w:hAnsi="Courier New" w:hint="default"/>
      </w:rPr>
    </w:lvl>
    <w:lvl w:ilvl="8" w:tplc="5AAC05AE">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B3730CB"/>
    <w:multiLevelType w:val="hybridMultilevel"/>
    <w:tmpl w:val="A30A436E"/>
    <w:lvl w:ilvl="0" w:tplc="BFEEC29E">
      <w:start w:val="1"/>
      <w:numFmt w:val="bullet"/>
      <w:pStyle w:val="BSbullet20"/>
      <w:lvlText w:val="-"/>
      <w:lvlJc w:val="left"/>
      <w:pPr>
        <w:ind w:left="1077" w:hanging="360"/>
      </w:pPr>
      <w:rPr>
        <w:rFonts w:ascii="Calibri" w:hAnsi="Calibri" w:hint="default"/>
      </w:rPr>
    </w:lvl>
    <w:lvl w:ilvl="1" w:tplc="9AEAA22A" w:tentative="1">
      <w:start w:val="1"/>
      <w:numFmt w:val="bullet"/>
      <w:lvlText w:val="o"/>
      <w:lvlJc w:val="left"/>
      <w:pPr>
        <w:ind w:left="1797" w:hanging="360"/>
      </w:pPr>
      <w:rPr>
        <w:rFonts w:ascii="Courier New" w:hAnsi="Courier New" w:cs="Courier New" w:hint="default"/>
      </w:rPr>
    </w:lvl>
    <w:lvl w:ilvl="2" w:tplc="9AAC6016" w:tentative="1">
      <w:start w:val="1"/>
      <w:numFmt w:val="bullet"/>
      <w:lvlText w:val=""/>
      <w:lvlJc w:val="left"/>
      <w:pPr>
        <w:ind w:left="2517" w:hanging="360"/>
      </w:pPr>
      <w:rPr>
        <w:rFonts w:ascii="Wingdings" w:hAnsi="Wingdings" w:hint="default"/>
      </w:rPr>
    </w:lvl>
    <w:lvl w:ilvl="3" w:tplc="AC640912" w:tentative="1">
      <w:start w:val="1"/>
      <w:numFmt w:val="bullet"/>
      <w:lvlText w:val=""/>
      <w:lvlJc w:val="left"/>
      <w:pPr>
        <w:ind w:left="3237" w:hanging="360"/>
      </w:pPr>
      <w:rPr>
        <w:rFonts w:ascii="Symbol" w:hAnsi="Symbol" w:hint="default"/>
      </w:rPr>
    </w:lvl>
    <w:lvl w:ilvl="4" w:tplc="52B8E20A" w:tentative="1">
      <w:start w:val="1"/>
      <w:numFmt w:val="bullet"/>
      <w:lvlText w:val="o"/>
      <w:lvlJc w:val="left"/>
      <w:pPr>
        <w:ind w:left="3957" w:hanging="360"/>
      </w:pPr>
      <w:rPr>
        <w:rFonts w:ascii="Courier New" w:hAnsi="Courier New" w:cs="Courier New" w:hint="default"/>
      </w:rPr>
    </w:lvl>
    <w:lvl w:ilvl="5" w:tplc="26CA7D7C" w:tentative="1">
      <w:start w:val="1"/>
      <w:numFmt w:val="bullet"/>
      <w:lvlText w:val=""/>
      <w:lvlJc w:val="left"/>
      <w:pPr>
        <w:ind w:left="4677" w:hanging="360"/>
      </w:pPr>
      <w:rPr>
        <w:rFonts w:ascii="Wingdings" w:hAnsi="Wingdings" w:hint="default"/>
      </w:rPr>
    </w:lvl>
    <w:lvl w:ilvl="6" w:tplc="981837E4" w:tentative="1">
      <w:start w:val="1"/>
      <w:numFmt w:val="bullet"/>
      <w:lvlText w:val=""/>
      <w:lvlJc w:val="left"/>
      <w:pPr>
        <w:ind w:left="5397" w:hanging="360"/>
      </w:pPr>
      <w:rPr>
        <w:rFonts w:ascii="Symbol" w:hAnsi="Symbol" w:hint="default"/>
      </w:rPr>
    </w:lvl>
    <w:lvl w:ilvl="7" w:tplc="A6CA25B6" w:tentative="1">
      <w:start w:val="1"/>
      <w:numFmt w:val="bullet"/>
      <w:lvlText w:val="o"/>
      <w:lvlJc w:val="left"/>
      <w:pPr>
        <w:ind w:left="6117" w:hanging="360"/>
      </w:pPr>
      <w:rPr>
        <w:rFonts w:ascii="Courier New" w:hAnsi="Courier New" w:cs="Courier New" w:hint="default"/>
      </w:rPr>
    </w:lvl>
    <w:lvl w:ilvl="8" w:tplc="34422F2E" w:tentative="1">
      <w:start w:val="1"/>
      <w:numFmt w:val="bullet"/>
      <w:lvlText w:val=""/>
      <w:lvlJc w:val="left"/>
      <w:pPr>
        <w:ind w:left="6837" w:hanging="360"/>
      </w:pPr>
      <w:rPr>
        <w:rFonts w:ascii="Wingdings" w:hAnsi="Wingdings" w:hint="default"/>
      </w:rPr>
    </w:lvl>
  </w:abstractNum>
  <w:num w:numId="1">
    <w:abstractNumId w:val="1"/>
  </w:num>
  <w:num w:numId="2">
    <w:abstractNumId w:val="8"/>
  </w:num>
  <w:num w:numId="3">
    <w:abstractNumId w:val="9"/>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13"/>
  </w:num>
  <w:num w:numId="8">
    <w:abstractNumId w:val="14"/>
  </w:num>
  <w:num w:numId="9">
    <w:abstractNumId w:val="15"/>
  </w:num>
  <w:num w:numId="10">
    <w:abstractNumId w:val="14"/>
    <w:lvlOverride w:ilvl="0">
      <w:startOverride w:val="1"/>
    </w:lvlOverride>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14"/>
    <w:lvlOverride w:ilvl="0">
      <w:startOverride w:val="1"/>
    </w:lvlOverride>
  </w:num>
  <w:num w:numId="15">
    <w:abstractNumId w:val="14"/>
    <w:lvlOverride w:ilvl="0">
      <w:startOverride w:val="1"/>
    </w:lvlOverride>
  </w:num>
  <w:num w:numId="16">
    <w:abstractNumId w:val="14"/>
    <w:lvlOverride w:ilvl="0">
      <w:startOverride w:val="1"/>
    </w:lvlOverride>
  </w:num>
  <w:num w:numId="17">
    <w:abstractNumId w:val="14"/>
    <w:lvlOverride w:ilvl="0">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2"/>
  </w:num>
  <w:num w:numId="26">
    <w:abstractNumId w:val="23"/>
  </w:num>
  <w:num w:numId="27">
    <w:abstractNumId w:val="24"/>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8"/>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36"/>
  </w:num>
  <w:num w:numId="4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num>
  <w:num w:numId="45">
    <w:abstractNumId w:val="10"/>
    <w:lvlOverride w:ilvl="0">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 w:numId="48">
    <w:abstractNumId w:val="7"/>
  </w:num>
  <w:num w:numId="49">
    <w:abstractNumId w:val="3"/>
  </w:num>
  <w:num w:numId="50">
    <w:abstractNumId w:val="5"/>
  </w:num>
  <w:num w:numId="51">
    <w:abstractNumId w:val="4"/>
  </w:num>
  <w:num w:numId="52">
    <w:abstractNumId w:val="25"/>
    <w:lvlOverride w:ilvl="0">
      <w:startOverride w:val="1"/>
    </w:lvlOverride>
  </w:num>
  <w:num w:numId="53">
    <w:abstractNumId w:val="2"/>
  </w:num>
  <w:num w:numId="54">
    <w:abstractNumId w:val="14"/>
  </w:num>
  <w:num w:numId="55">
    <w:abstractNumId w:val="14"/>
    <w:lvlOverride w:ilvl="0">
      <w:startOverride w:val="1"/>
    </w:lvlOverride>
  </w:num>
  <w:num w:numId="56">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hideGrammaticalError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D6F"/>
    <w:rsid w:val="00007CB2"/>
    <w:rsid w:val="00014EF2"/>
    <w:rsid w:val="00030990"/>
    <w:rsid w:val="00031DE6"/>
    <w:rsid w:val="00034253"/>
    <w:rsid w:val="000369F3"/>
    <w:rsid w:val="00062176"/>
    <w:rsid w:val="00063A1D"/>
    <w:rsid w:val="00082707"/>
    <w:rsid w:val="00085949"/>
    <w:rsid w:val="000915B5"/>
    <w:rsid w:val="000B2B2C"/>
    <w:rsid w:val="000B31F8"/>
    <w:rsid w:val="000B6EC2"/>
    <w:rsid w:val="000E4DA3"/>
    <w:rsid w:val="000F1974"/>
    <w:rsid w:val="001038CE"/>
    <w:rsid w:val="0012266A"/>
    <w:rsid w:val="00131123"/>
    <w:rsid w:val="001311D3"/>
    <w:rsid w:val="00134E33"/>
    <w:rsid w:val="00141A32"/>
    <w:rsid w:val="001430BD"/>
    <w:rsid w:val="00167E13"/>
    <w:rsid w:val="00175E20"/>
    <w:rsid w:val="001775C7"/>
    <w:rsid w:val="00190C6D"/>
    <w:rsid w:val="001A19D5"/>
    <w:rsid w:val="001A6BC2"/>
    <w:rsid w:val="001E63F5"/>
    <w:rsid w:val="001F3272"/>
    <w:rsid w:val="002105B2"/>
    <w:rsid w:val="0022350F"/>
    <w:rsid w:val="0022623C"/>
    <w:rsid w:val="00227F26"/>
    <w:rsid w:val="00237D6F"/>
    <w:rsid w:val="00263F6B"/>
    <w:rsid w:val="00281F97"/>
    <w:rsid w:val="002D6292"/>
    <w:rsid w:val="0030116B"/>
    <w:rsid w:val="00333C5D"/>
    <w:rsid w:val="00362396"/>
    <w:rsid w:val="00374641"/>
    <w:rsid w:val="003754A3"/>
    <w:rsid w:val="00376D1A"/>
    <w:rsid w:val="003B7110"/>
    <w:rsid w:val="003C27A6"/>
    <w:rsid w:val="003C5F47"/>
    <w:rsid w:val="003C6F32"/>
    <w:rsid w:val="00403D92"/>
    <w:rsid w:val="00424166"/>
    <w:rsid w:val="00444CE0"/>
    <w:rsid w:val="00450FB3"/>
    <w:rsid w:val="00472E73"/>
    <w:rsid w:val="00483A0D"/>
    <w:rsid w:val="004900B3"/>
    <w:rsid w:val="004A219B"/>
    <w:rsid w:val="004A4F18"/>
    <w:rsid w:val="004C3CA6"/>
    <w:rsid w:val="004C46E3"/>
    <w:rsid w:val="004E0396"/>
    <w:rsid w:val="004E3068"/>
    <w:rsid w:val="004E663D"/>
    <w:rsid w:val="005038F3"/>
    <w:rsid w:val="00524FA1"/>
    <w:rsid w:val="005259B2"/>
    <w:rsid w:val="00526CBB"/>
    <w:rsid w:val="005426F3"/>
    <w:rsid w:val="005A051A"/>
    <w:rsid w:val="005A296E"/>
    <w:rsid w:val="005D6268"/>
    <w:rsid w:val="005D7538"/>
    <w:rsid w:val="005F6895"/>
    <w:rsid w:val="00604B8C"/>
    <w:rsid w:val="00606256"/>
    <w:rsid w:val="006373F3"/>
    <w:rsid w:val="00646220"/>
    <w:rsid w:val="00660ABC"/>
    <w:rsid w:val="006979F5"/>
    <w:rsid w:val="006A039F"/>
    <w:rsid w:val="006A20BB"/>
    <w:rsid w:val="006A7823"/>
    <w:rsid w:val="006B071A"/>
    <w:rsid w:val="006D1E44"/>
    <w:rsid w:val="006D40C9"/>
    <w:rsid w:val="00712070"/>
    <w:rsid w:val="00731184"/>
    <w:rsid w:val="00752916"/>
    <w:rsid w:val="00760588"/>
    <w:rsid w:val="00765F6E"/>
    <w:rsid w:val="007709A9"/>
    <w:rsid w:val="00793540"/>
    <w:rsid w:val="00794D29"/>
    <w:rsid w:val="007C0079"/>
    <w:rsid w:val="00810A64"/>
    <w:rsid w:val="00845D7A"/>
    <w:rsid w:val="00872A4A"/>
    <w:rsid w:val="008747C3"/>
    <w:rsid w:val="008775A6"/>
    <w:rsid w:val="00883FCE"/>
    <w:rsid w:val="00890584"/>
    <w:rsid w:val="008A2C93"/>
    <w:rsid w:val="008A72BD"/>
    <w:rsid w:val="008C1B46"/>
    <w:rsid w:val="008D7582"/>
    <w:rsid w:val="008E2D92"/>
    <w:rsid w:val="00904EBD"/>
    <w:rsid w:val="0092611E"/>
    <w:rsid w:val="00933E98"/>
    <w:rsid w:val="00951C55"/>
    <w:rsid w:val="00952B87"/>
    <w:rsid w:val="009557B4"/>
    <w:rsid w:val="00975269"/>
    <w:rsid w:val="00977B84"/>
    <w:rsid w:val="00994B45"/>
    <w:rsid w:val="009969DF"/>
    <w:rsid w:val="009B2489"/>
    <w:rsid w:val="009C1757"/>
    <w:rsid w:val="00A00F65"/>
    <w:rsid w:val="00A1222C"/>
    <w:rsid w:val="00A12E2B"/>
    <w:rsid w:val="00A14FAD"/>
    <w:rsid w:val="00A23096"/>
    <w:rsid w:val="00A244C9"/>
    <w:rsid w:val="00A34885"/>
    <w:rsid w:val="00A4589B"/>
    <w:rsid w:val="00A527FA"/>
    <w:rsid w:val="00A6692D"/>
    <w:rsid w:val="00A67E34"/>
    <w:rsid w:val="00AC4797"/>
    <w:rsid w:val="00AD535B"/>
    <w:rsid w:val="00AE17B5"/>
    <w:rsid w:val="00AE3D68"/>
    <w:rsid w:val="00AE605E"/>
    <w:rsid w:val="00AF40E5"/>
    <w:rsid w:val="00B07220"/>
    <w:rsid w:val="00B21B97"/>
    <w:rsid w:val="00B23EF5"/>
    <w:rsid w:val="00B34ABC"/>
    <w:rsid w:val="00B36331"/>
    <w:rsid w:val="00B43A2B"/>
    <w:rsid w:val="00B82C47"/>
    <w:rsid w:val="00BC45E1"/>
    <w:rsid w:val="00BC4B21"/>
    <w:rsid w:val="00BC53F7"/>
    <w:rsid w:val="00BE32C9"/>
    <w:rsid w:val="00BE37AE"/>
    <w:rsid w:val="00C000CE"/>
    <w:rsid w:val="00C26927"/>
    <w:rsid w:val="00C415CB"/>
    <w:rsid w:val="00C737E0"/>
    <w:rsid w:val="00C83712"/>
    <w:rsid w:val="00CA0839"/>
    <w:rsid w:val="00CB29E7"/>
    <w:rsid w:val="00CB3EB7"/>
    <w:rsid w:val="00CD572A"/>
    <w:rsid w:val="00CE461F"/>
    <w:rsid w:val="00D23CE9"/>
    <w:rsid w:val="00D41928"/>
    <w:rsid w:val="00D67F0B"/>
    <w:rsid w:val="00D93BA0"/>
    <w:rsid w:val="00DC0ACA"/>
    <w:rsid w:val="00DF118A"/>
    <w:rsid w:val="00E0025C"/>
    <w:rsid w:val="00E03421"/>
    <w:rsid w:val="00E13987"/>
    <w:rsid w:val="00E67DD8"/>
    <w:rsid w:val="00E95C50"/>
    <w:rsid w:val="00EA194A"/>
    <w:rsid w:val="00EC39B0"/>
    <w:rsid w:val="00EE1E4B"/>
    <w:rsid w:val="00EE2875"/>
    <w:rsid w:val="00EF7CB1"/>
    <w:rsid w:val="00F17BD8"/>
    <w:rsid w:val="00F62693"/>
    <w:rsid w:val="00F7642A"/>
    <w:rsid w:val="00F9118F"/>
    <w:rsid w:val="00F9624F"/>
    <w:rsid w:val="00FA4213"/>
    <w:rsid w:val="00FA5652"/>
    <w:rsid w:val="00FC362F"/>
    <w:rsid w:val="00FC6FB2"/>
    <w:rsid w:val="00FF6B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82A4ABB-1400-44BD-8A32-E761B8C9D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uiPriority="9"/>
    <w:lsdException w:name="heading 7" w:locked="1" w:semiHidden="1" w:uiPriority="9"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99"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A4C"/>
    <w:pPr>
      <w:spacing w:before="200" w:after="200"/>
    </w:pPr>
    <w:rPr>
      <w:rFonts w:ascii="Calibri" w:hAnsi="Calibri"/>
      <w:sz w:val="24"/>
      <w:lang w:eastAsia="en-US"/>
    </w:rPr>
  </w:style>
  <w:style w:type="paragraph" w:styleId="Heading1">
    <w:name w:val="heading 1"/>
    <w:basedOn w:val="Normal"/>
    <w:next w:val="Normal"/>
    <w:link w:val="Heading1Char"/>
    <w:qFormat/>
    <w:rsid w:val="00EE4D16"/>
    <w:pPr>
      <w:keepNext/>
      <w:pBdr>
        <w:bottom w:val="single" w:sz="18" w:space="2" w:color="auto"/>
      </w:pBdr>
      <w:spacing w:after="480"/>
      <w:outlineLvl w:val="0"/>
    </w:pPr>
    <w:rPr>
      <w:b/>
      <w:kern w:val="28"/>
      <w:sz w:val="48"/>
    </w:rPr>
  </w:style>
  <w:style w:type="paragraph" w:styleId="Heading2">
    <w:name w:val="heading 2"/>
    <w:basedOn w:val="Normal0"/>
    <w:next w:val="Normal0"/>
    <w:link w:val="Heading2Char"/>
    <w:qFormat/>
    <w:rsid w:val="00EE4D16"/>
    <w:pPr>
      <w:keepNext/>
      <w:spacing w:before="360"/>
      <w:outlineLvl w:val="1"/>
    </w:pPr>
    <w:rPr>
      <w:b/>
      <w:snapToGrid w:val="0"/>
      <w:sz w:val="32"/>
    </w:rPr>
  </w:style>
  <w:style w:type="paragraph" w:styleId="Heading3">
    <w:name w:val="heading 3"/>
    <w:basedOn w:val="Normal3"/>
    <w:next w:val="Normal3"/>
    <w:link w:val="Heading3Char"/>
    <w:autoRedefine/>
    <w:qFormat/>
    <w:rsid w:val="0094514D"/>
    <w:pPr>
      <w:keepNext/>
      <w:keepLines/>
      <w:spacing w:before="360"/>
      <w:contextualSpacing/>
      <w:outlineLvl w:val="2"/>
    </w:pPr>
    <w:rPr>
      <w:b/>
      <w:bCs/>
      <w:sz w:val="28"/>
      <w:szCs w:val="26"/>
    </w:rPr>
  </w:style>
  <w:style w:type="paragraph" w:styleId="Heading4">
    <w:name w:val="heading 4"/>
    <w:basedOn w:val="Normal3"/>
    <w:next w:val="Normal3"/>
    <w:link w:val="Heading4Char"/>
    <w:autoRedefine/>
    <w:qFormat/>
    <w:rsid w:val="00EE4D16"/>
    <w:pPr>
      <w:keepNext/>
      <w:keepLines/>
      <w:spacing w:before="240" w:after="120"/>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DMRange1">
    <w:name w:val="CDM Range 1"/>
    <w:basedOn w:val="TableNormal"/>
    <w:next w:val="TableNormal"/>
    <w:uiPriority w:val="99"/>
    <w:semiHidden/>
    <w:unhideWhenUsed/>
    <w:qFormat/>
    <w:tblPr/>
  </w:style>
  <w:style w:type="table" w:customStyle="1" w:styleId="CDMRange2">
    <w:name w:val="CDM Range 2"/>
    <w:basedOn w:val="TableNormal"/>
    <w:next w:val="TableNormal"/>
    <w:uiPriority w:val="99"/>
    <w:semiHidden/>
    <w:unhideWhenUsed/>
    <w:qFormat/>
    <w:tblPr/>
  </w:style>
  <w:style w:type="paragraph" w:styleId="TOCHeading">
    <w:name w:val="TOC Heading"/>
    <w:basedOn w:val="Heading1"/>
    <w:next w:val="Normal"/>
    <w:uiPriority w:val="39"/>
    <w:unhideWhenUsed/>
    <w:qFormat/>
    <w:rsid w:val="00863652"/>
    <w:pPr>
      <w:keepLines/>
      <w:pBdr>
        <w:bottom w:val="none" w:sz="0" w:space="0" w:color="auto"/>
      </w:pBdr>
      <w:spacing w:before="480" w:after="0" w:line="276" w:lineRule="auto"/>
      <w:outlineLvl w:val="9"/>
    </w:pPr>
    <w:rPr>
      <w:bCs/>
      <w:kern w:val="0"/>
      <w:sz w:val="40"/>
      <w:szCs w:val="28"/>
      <w:lang w:val="en-US"/>
    </w:rPr>
  </w:style>
  <w:style w:type="character" w:customStyle="1" w:styleId="Heading1Char">
    <w:name w:val="Heading 1 Char"/>
    <w:link w:val="Heading1"/>
    <w:locked/>
    <w:rsid w:val="00EE4D16"/>
    <w:rPr>
      <w:rFonts w:ascii="Calibri" w:hAnsi="Calibri"/>
      <w:b/>
      <w:kern w:val="28"/>
      <w:sz w:val="48"/>
      <w:lang w:eastAsia="en-US"/>
    </w:rPr>
  </w:style>
  <w:style w:type="paragraph" w:customStyle="1" w:styleId="Heading10">
    <w:name w:val="Heading 1_0"/>
    <w:basedOn w:val="Normal0"/>
    <w:next w:val="Normal0"/>
    <w:link w:val="Heading1Char0"/>
    <w:qFormat/>
    <w:rsid w:val="00AB5AA0"/>
    <w:pPr>
      <w:keepNext/>
      <w:pBdr>
        <w:bottom w:val="single" w:sz="18" w:space="2" w:color="auto"/>
      </w:pBdr>
      <w:spacing w:after="480"/>
      <w:outlineLvl w:val="0"/>
    </w:pPr>
    <w:rPr>
      <w:b/>
      <w:kern w:val="28"/>
      <w:sz w:val="36"/>
      <w:szCs w:val="36"/>
    </w:rPr>
  </w:style>
  <w:style w:type="paragraph" w:customStyle="1" w:styleId="Normal0">
    <w:name w:val="Normal_0"/>
    <w:qFormat/>
    <w:rsid w:val="00530EF5"/>
    <w:pPr>
      <w:spacing w:before="200" w:after="200"/>
    </w:pPr>
    <w:rPr>
      <w:rFonts w:ascii="Calibri" w:hAnsi="Calibri"/>
      <w:sz w:val="24"/>
      <w:lang w:eastAsia="en-US"/>
    </w:rPr>
  </w:style>
  <w:style w:type="character" w:customStyle="1" w:styleId="Heading1Char0">
    <w:name w:val="Heading 1 Char_0"/>
    <w:link w:val="Heading10"/>
    <w:locked/>
    <w:rsid w:val="00AB5AA0"/>
    <w:rPr>
      <w:rFonts w:ascii="Calibri" w:hAnsi="Calibri"/>
      <w:b/>
      <w:kern w:val="28"/>
      <w:sz w:val="36"/>
      <w:szCs w:val="36"/>
      <w:lang w:eastAsia="en-US"/>
    </w:rPr>
  </w:style>
  <w:style w:type="character" w:customStyle="1" w:styleId="Heading2Char">
    <w:name w:val="Heading 2 Char"/>
    <w:link w:val="Heading2"/>
    <w:locked/>
    <w:rsid w:val="00EE4D16"/>
    <w:rPr>
      <w:rFonts w:ascii="Calibri" w:hAnsi="Calibri"/>
      <w:b/>
      <w:snapToGrid w:val="0"/>
      <w:sz w:val="32"/>
      <w:lang w:eastAsia="en-US"/>
    </w:rPr>
  </w:style>
  <w:style w:type="paragraph" w:styleId="BodyText">
    <w:name w:val="Body Text"/>
    <w:basedOn w:val="Normal0"/>
    <w:link w:val="BodyTextChar"/>
    <w:uiPriority w:val="99"/>
    <w:rsid w:val="00FB4CEC"/>
    <w:pPr>
      <w:keepNext/>
      <w:keepLines/>
      <w:spacing w:before="120" w:after="120"/>
      <w:jc w:val="both"/>
    </w:pPr>
  </w:style>
  <w:style w:type="character" w:customStyle="1" w:styleId="BodyTextChar">
    <w:name w:val="Body Text Char"/>
    <w:link w:val="BodyText"/>
    <w:uiPriority w:val="99"/>
    <w:locked/>
    <w:rsid w:val="007316E2"/>
    <w:rPr>
      <w:rFonts w:ascii="Calibri" w:hAnsi="Calibri"/>
      <w:sz w:val="24"/>
      <w:szCs w:val="20"/>
      <w:lang w:eastAsia="en-US"/>
    </w:rPr>
  </w:style>
  <w:style w:type="paragraph" w:styleId="BodyTextIndent">
    <w:name w:val="Body Text Indent"/>
    <w:basedOn w:val="Normal0"/>
    <w:next w:val="BodyText"/>
    <w:link w:val="BodyTextIndentChar"/>
    <w:rsid w:val="00FB4CEC"/>
    <w:pPr>
      <w:keepNext/>
      <w:keepLines/>
      <w:numPr>
        <w:numId w:val="1"/>
      </w:numPr>
      <w:spacing w:after="120"/>
      <w:jc w:val="both"/>
    </w:pPr>
    <w:rPr>
      <w:szCs w:val="24"/>
    </w:rPr>
  </w:style>
  <w:style w:type="character" w:customStyle="1" w:styleId="BodyTextIndentChar">
    <w:name w:val="Body Text Indent Char"/>
    <w:link w:val="BodyTextIndent"/>
    <w:locked/>
    <w:rsid w:val="00BF50D3"/>
    <w:rPr>
      <w:rFonts w:ascii="Calibri" w:hAnsi="Calibri"/>
      <w:sz w:val="24"/>
      <w:szCs w:val="24"/>
      <w:lang w:eastAsia="en-US"/>
    </w:rPr>
  </w:style>
  <w:style w:type="paragraph" w:customStyle="1" w:styleId="FooterBP">
    <w:name w:val="Footer BP"/>
    <w:basedOn w:val="Normal0"/>
    <w:next w:val="Normal0"/>
    <w:rsid w:val="00FB4CEC"/>
    <w:pPr>
      <w:pBdr>
        <w:top w:val="single" w:sz="4" w:space="1" w:color="auto"/>
      </w:pBdr>
      <w:tabs>
        <w:tab w:val="center" w:pos="4536"/>
        <w:tab w:val="right" w:pos="9356"/>
      </w:tabs>
      <w:ind w:left="-284" w:right="-329"/>
    </w:pPr>
    <w:rPr>
      <w:i/>
      <w:sz w:val="20"/>
    </w:rPr>
  </w:style>
  <w:style w:type="paragraph" w:styleId="NormalWeb">
    <w:name w:val="Normal (Web)"/>
    <w:basedOn w:val="Normal"/>
    <w:uiPriority w:val="99"/>
    <w:rsid w:val="00FB4CEC"/>
    <w:rPr>
      <w:szCs w:val="24"/>
    </w:rPr>
  </w:style>
  <w:style w:type="paragraph" w:customStyle="1" w:styleId="Normal00">
    <w:name w:val="Normal_0_0"/>
    <w:qFormat/>
    <w:rsid w:val="00067106"/>
    <w:pPr>
      <w:spacing w:before="200" w:after="200"/>
    </w:pPr>
    <w:rPr>
      <w:rFonts w:ascii="Calibri" w:hAnsi="Calibri"/>
      <w:sz w:val="24"/>
      <w:lang w:eastAsia="en-US"/>
    </w:rPr>
  </w:style>
  <w:style w:type="paragraph" w:customStyle="1" w:styleId="BSbullet1">
    <w:name w:val="BS_bullet 1"/>
    <w:basedOn w:val="BodyTextIndent"/>
    <w:link w:val="BSbullet1Char"/>
    <w:qFormat/>
    <w:rsid w:val="009E4D5F"/>
    <w:pPr>
      <w:keepNext w:val="0"/>
      <w:keepLines w:val="0"/>
      <w:numPr>
        <w:numId w:val="3"/>
      </w:numPr>
      <w:jc w:val="left"/>
    </w:pPr>
  </w:style>
  <w:style w:type="character" w:customStyle="1" w:styleId="BSbullet1Char">
    <w:name w:val="BS_bullet 1 Char"/>
    <w:basedOn w:val="BodyTextIndentChar"/>
    <w:link w:val="BSbullet1"/>
    <w:rsid w:val="009E4D5F"/>
    <w:rPr>
      <w:rFonts w:ascii="Calibri" w:hAnsi="Calibri"/>
      <w:sz w:val="24"/>
      <w:szCs w:val="24"/>
      <w:lang w:eastAsia="en-US"/>
    </w:rPr>
  </w:style>
  <w:style w:type="paragraph" w:customStyle="1" w:styleId="Heading20">
    <w:name w:val="Heading 2_0"/>
    <w:basedOn w:val="Normal1"/>
    <w:next w:val="Normal1"/>
    <w:link w:val="Heading2Char0"/>
    <w:qFormat/>
    <w:rsid w:val="00EE4D16"/>
    <w:pPr>
      <w:keepNext/>
      <w:spacing w:before="360"/>
      <w:outlineLvl w:val="1"/>
    </w:pPr>
    <w:rPr>
      <w:b/>
      <w:snapToGrid w:val="0"/>
      <w:sz w:val="32"/>
    </w:rPr>
  </w:style>
  <w:style w:type="paragraph" w:customStyle="1" w:styleId="Normal1">
    <w:name w:val="Normal_1"/>
    <w:qFormat/>
    <w:rsid w:val="00530EF5"/>
    <w:pPr>
      <w:spacing w:before="200" w:after="200"/>
    </w:pPr>
    <w:rPr>
      <w:rFonts w:ascii="Calibri" w:hAnsi="Calibri"/>
      <w:sz w:val="24"/>
      <w:lang w:eastAsia="en-US"/>
    </w:rPr>
  </w:style>
  <w:style w:type="character" w:customStyle="1" w:styleId="Heading2Char0">
    <w:name w:val="Heading 2 Char_0"/>
    <w:link w:val="Heading20"/>
    <w:locked/>
    <w:rsid w:val="00EE4D16"/>
    <w:rPr>
      <w:rFonts w:ascii="Calibri" w:hAnsi="Calibri"/>
      <w:b/>
      <w:snapToGrid w:val="0"/>
      <w:sz w:val="32"/>
      <w:lang w:eastAsia="en-US"/>
    </w:rPr>
  </w:style>
  <w:style w:type="paragraph" w:styleId="Caption">
    <w:name w:val="caption"/>
    <w:basedOn w:val="Normal1"/>
    <w:next w:val="Normal1"/>
    <w:unhideWhenUsed/>
    <w:qFormat/>
    <w:locked/>
    <w:rsid w:val="00F31EEF"/>
    <w:pPr>
      <w:keepNext/>
      <w:spacing w:before="240"/>
    </w:pPr>
    <w:rPr>
      <w:b/>
      <w:bCs/>
      <w:color w:val="000000"/>
      <w:sz w:val="22"/>
      <w:szCs w:val="18"/>
    </w:rPr>
  </w:style>
  <w:style w:type="paragraph" w:customStyle="1" w:styleId="BStabletext">
    <w:name w:val="BS_table text"/>
    <w:basedOn w:val="BStableheading1"/>
    <w:link w:val="BStabletextChar"/>
    <w:autoRedefine/>
    <w:qFormat/>
    <w:rsid w:val="00F80175"/>
    <w:pPr>
      <w:framePr w:wrap="auto" w:vAnchor="margin" w:yAlign="inline"/>
      <w:ind w:left="227" w:hanging="227"/>
      <w:jc w:val="left"/>
    </w:pPr>
    <w:rPr>
      <w:b w:val="0"/>
      <w:lang w:eastAsia="en-AU"/>
    </w:rPr>
  </w:style>
  <w:style w:type="paragraph" w:customStyle="1" w:styleId="BStableheading1">
    <w:name w:val="BS_table heading 1"/>
    <w:basedOn w:val="NoSpacing"/>
    <w:link w:val="BStableheading1Char"/>
    <w:rsid w:val="007D71D2"/>
    <w:pPr>
      <w:framePr w:wrap="around" w:vAnchor="text" w:hAnchor="text" w:y="1"/>
      <w:jc w:val="right"/>
    </w:pPr>
    <w:rPr>
      <w:b/>
      <w:bCs/>
    </w:rPr>
  </w:style>
  <w:style w:type="paragraph" w:styleId="NoSpacing">
    <w:name w:val="No Spacing"/>
    <w:link w:val="NoSpacingChar"/>
    <w:uiPriority w:val="1"/>
    <w:qFormat/>
    <w:rsid w:val="007A4C99"/>
    <w:rPr>
      <w:rFonts w:ascii="Calibri" w:hAnsi="Calibri"/>
      <w:lang w:eastAsia="en-US"/>
    </w:rPr>
  </w:style>
  <w:style w:type="character" w:customStyle="1" w:styleId="NoSpacingChar">
    <w:name w:val="No Spacing Char"/>
    <w:link w:val="NoSpacing"/>
    <w:uiPriority w:val="1"/>
    <w:rsid w:val="007A4C99"/>
    <w:rPr>
      <w:rFonts w:ascii="Calibri" w:hAnsi="Calibri"/>
      <w:lang w:eastAsia="en-US" w:bidi="ar-SA"/>
    </w:rPr>
  </w:style>
  <w:style w:type="character" w:customStyle="1" w:styleId="BStableheading1Char">
    <w:name w:val="BS_table heading 1 Char"/>
    <w:basedOn w:val="NoSpacingChar"/>
    <w:link w:val="BStableheading1"/>
    <w:rsid w:val="007D71D2"/>
    <w:rPr>
      <w:rFonts w:ascii="Calibri" w:hAnsi="Calibri"/>
      <w:b/>
      <w:bCs/>
      <w:lang w:eastAsia="en-US" w:bidi="ar-SA"/>
    </w:rPr>
  </w:style>
  <w:style w:type="character" w:customStyle="1" w:styleId="BStabletextChar">
    <w:name w:val="BS_table text Char"/>
    <w:basedOn w:val="BStableheading1Char"/>
    <w:link w:val="BStabletext"/>
    <w:rsid w:val="00F80175"/>
    <w:rPr>
      <w:rFonts w:ascii="Calibri" w:hAnsi="Calibri"/>
      <w:b/>
      <w:bCs/>
      <w:lang w:eastAsia="en-US" w:bidi="ar-SA"/>
    </w:rPr>
  </w:style>
  <w:style w:type="character" w:styleId="Strong">
    <w:name w:val="Strong"/>
    <w:qFormat/>
    <w:rsid w:val="00D746DB"/>
    <w:rPr>
      <w:rFonts w:ascii="Calibri" w:hAnsi="Calibri"/>
      <w:b/>
      <w:bCs/>
      <w:lang w:eastAsia="en-US"/>
    </w:rPr>
  </w:style>
  <w:style w:type="paragraph" w:customStyle="1" w:styleId="BStablefigures">
    <w:name w:val="BS_table figures"/>
    <w:basedOn w:val="BStabletext"/>
    <w:link w:val="BStablefiguresChar"/>
    <w:autoRedefine/>
    <w:qFormat/>
    <w:rsid w:val="006E57FD"/>
    <w:pPr>
      <w:jc w:val="right"/>
    </w:pPr>
    <w:rPr>
      <w:bCs w:val="0"/>
    </w:rPr>
  </w:style>
  <w:style w:type="character" w:customStyle="1" w:styleId="BStablefiguresChar">
    <w:name w:val="BS_table figures Char"/>
    <w:basedOn w:val="AITableTextChar"/>
    <w:link w:val="BStablefigures"/>
    <w:rsid w:val="006E57FD"/>
    <w:rPr>
      <w:rFonts w:ascii="Calibri" w:hAnsi="Calibri"/>
      <w:sz w:val="20"/>
      <w:szCs w:val="24"/>
      <w:lang w:eastAsia="en-US"/>
    </w:rPr>
  </w:style>
  <w:style w:type="character" w:customStyle="1" w:styleId="AITableTextChar">
    <w:name w:val="AI Table Text Char"/>
    <w:link w:val="AITableText"/>
    <w:locked/>
    <w:rsid w:val="007316E2"/>
    <w:rPr>
      <w:rFonts w:ascii="Calibri" w:hAnsi="Calibri"/>
      <w:sz w:val="20"/>
      <w:szCs w:val="24"/>
      <w:lang w:eastAsia="en-US"/>
    </w:rPr>
  </w:style>
  <w:style w:type="paragraph" w:customStyle="1" w:styleId="AITableText">
    <w:name w:val="AI Table Text"/>
    <w:basedOn w:val="Normal1"/>
    <w:link w:val="AITableTextChar"/>
    <w:rsid w:val="00FB4CEC"/>
    <w:pPr>
      <w:jc w:val="right"/>
    </w:pPr>
    <w:rPr>
      <w:sz w:val="20"/>
      <w:szCs w:val="24"/>
    </w:rPr>
  </w:style>
  <w:style w:type="paragraph" w:customStyle="1" w:styleId="Normal2">
    <w:name w:val="Normal_2"/>
    <w:qFormat/>
    <w:rsid w:val="005757A6"/>
    <w:pPr>
      <w:spacing w:before="200" w:after="200"/>
    </w:pPr>
    <w:rPr>
      <w:rFonts w:ascii="Calibri" w:hAnsi="Calibri"/>
      <w:sz w:val="24"/>
      <w:lang w:eastAsia="en-US"/>
    </w:rPr>
  </w:style>
  <w:style w:type="paragraph" w:customStyle="1" w:styleId="BSnoteslist">
    <w:name w:val="BS_notes list"/>
    <w:basedOn w:val="Alnotes"/>
    <w:link w:val="BSnoteslistChar"/>
    <w:qFormat/>
    <w:rsid w:val="00833051"/>
    <w:pPr>
      <w:numPr>
        <w:numId w:val="5"/>
      </w:numPr>
    </w:pPr>
  </w:style>
  <w:style w:type="paragraph" w:customStyle="1" w:styleId="Alnotes">
    <w:name w:val="Al notes"/>
    <w:basedOn w:val="ListParagraph"/>
    <w:next w:val="Normal1"/>
    <w:link w:val="AlnotesChar"/>
    <w:autoRedefine/>
    <w:rsid w:val="00C0540A"/>
    <w:pPr>
      <w:numPr>
        <w:numId w:val="6"/>
      </w:numPr>
      <w:spacing w:before="0"/>
    </w:pPr>
    <w:rPr>
      <w:sz w:val="18"/>
    </w:rPr>
  </w:style>
  <w:style w:type="paragraph" w:styleId="ListParagraph">
    <w:name w:val="List Paragraph"/>
    <w:basedOn w:val="Normal1"/>
    <w:link w:val="ListParagraphChar"/>
    <w:uiPriority w:val="34"/>
    <w:qFormat/>
    <w:rsid w:val="009E567D"/>
    <w:pPr>
      <w:spacing w:after="0"/>
      <w:ind w:left="357" w:hanging="357"/>
    </w:pPr>
    <w:rPr>
      <w:sz w:val="16"/>
      <w:szCs w:val="24"/>
    </w:rPr>
  </w:style>
  <w:style w:type="character" w:customStyle="1" w:styleId="ListParagraphChar">
    <w:name w:val="List Paragraph Char"/>
    <w:link w:val="ListParagraph"/>
    <w:uiPriority w:val="34"/>
    <w:rsid w:val="005B5A37"/>
    <w:rPr>
      <w:rFonts w:ascii="Calibri" w:hAnsi="Calibri"/>
      <w:sz w:val="16"/>
      <w:szCs w:val="24"/>
      <w:lang w:eastAsia="en-US"/>
    </w:rPr>
  </w:style>
  <w:style w:type="character" w:customStyle="1" w:styleId="AlnotesChar">
    <w:name w:val="Al notes Char"/>
    <w:link w:val="Alnotes"/>
    <w:rsid w:val="00C0540A"/>
    <w:rPr>
      <w:rFonts w:ascii="Calibri" w:hAnsi="Calibri"/>
      <w:sz w:val="18"/>
      <w:szCs w:val="24"/>
      <w:lang w:eastAsia="en-US"/>
    </w:rPr>
  </w:style>
  <w:style w:type="character" w:customStyle="1" w:styleId="BSnoteslistChar">
    <w:name w:val="BS_notes list Char"/>
    <w:basedOn w:val="AlnotesChar"/>
    <w:link w:val="BSnoteslist"/>
    <w:rsid w:val="00833051"/>
    <w:rPr>
      <w:rFonts w:ascii="Calibri" w:hAnsi="Calibri"/>
      <w:sz w:val="18"/>
      <w:szCs w:val="24"/>
      <w:lang w:eastAsia="en-US"/>
    </w:rPr>
  </w:style>
  <w:style w:type="paragraph" w:customStyle="1" w:styleId="Heading21">
    <w:name w:val="Heading 2_1"/>
    <w:basedOn w:val="Normal3"/>
    <w:next w:val="Normal3"/>
    <w:link w:val="Heading2Char1"/>
    <w:qFormat/>
    <w:rsid w:val="00EE4D16"/>
    <w:pPr>
      <w:keepNext/>
      <w:spacing w:before="360"/>
      <w:outlineLvl w:val="1"/>
    </w:pPr>
    <w:rPr>
      <w:b/>
      <w:snapToGrid w:val="0"/>
      <w:sz w:val="32"/>
    </w:rPr>
  </w:style>
  <w:style w:type="paragraph" w:customStyle="1" w:styleId="Normal3">
    <w:name w:val="Normal_3"/>
    <w:qFormat/>
    <w:rsid w:val="005D4CEA"/>
    <w:pPr>
      <w:spacing w:before="200" w:after="200"/>
    </w:pPr>
    <w:rPr>
      <w:rFonts w:ascii="Calibri" w:hAnsi="Calibri"/>
      <w:sz w:val="24"/>
      <w:lang w:eastAsia="en-US"/>
    </w:rPr>
  </w:style>
  <w:style w:type="character" w:customStyle="1" w:styleId="Heading2Char1">
    <w:name w:val="Heading 2 Char_1"/>
    <w:link w:val="Heading21"/>
    <w:locked/>
    <w:rsid w:val="00EE4D16"/>
    <w:rPr>
      <w:rFonts w:ascii="Calibri" w:hAnsi="Calibri"/>
      <w:b/>
      <w:snapToGrid w:val="0"/>
      <w:sz w:val="32"/>
      <w:lang w:eastAsia="en-US"/>
    </w:rPr>
  </w:style>
  <w:style w:type="paragraph" w:customStyle="1" w:styleId="Caption0">
    <w:name w:val="Caption_0"/>
    <w:basedOn w:val="Normal3"/>
    <w:next w:val="Normal3"/>
    <w:qFormat/>
    <w:locked/>
    <w:rsid w:val="00B258A1"/>
    <w:pPr>
      <w:keepNext/>
      <w:spacing w:before="240"/>
    </w:pPr>
    <w:rPr>
      <w:b/>
      <w:bCs/>
      <w:color w:val="000000"/>
      <w:sz w:val="22"/>
      <w:szCs w:val="18"/>
    </w:rPr>
  </w:style>
  <w:style w:type="paragraph" w:customStyle="1" w:styleId="BStabletextbold">
    <w:name w:val="BS_table text bold"/>
    <w:basedOn w:val="BStabletext0"/>
    <w:link w:val="BStabletextboldChar"/>
    <w:qFormat/>
    <w:rsid w:val="00404AA2"/>
    <w:rPr>
      <w:b/>
    </w:rPr>
  </w:style>
  <w:style w:type="paragraph" w:customStyle="1" w:styleId="BStabletext0">
    <w:name w:val="BS_table text_0"/>
    <w:basedOn w:val="BStableheading10"/>
    <w:link w:val="BStabletextChar0"/>
    <w:autoRedefine/>
    <w:qFormat/>
    <w:rsid w:val="00007D29"/>
    <w:pPr>
      <w:framePr w:wrap="auto" w:vAnchor="margin" w:yAlign="inline"/>
      <w:ind w:left="227" w:hanging="227"/>
      <w:jc w:val="left"/>
    </w:pPr>
    <w:rPr>
      <w:b w:val="0"/>
      <w:lang w:eastAsia="en-AU"/>
    </w:rPr>
  </w:style>
  <w:style w:type="paragraph" w:customStyle="1" w:styleId="BStableheading10">
    <w:name w:val="BS_table heading 1_0"/>
    <w:basedOn w:val="NoSpacing0"/>
    <w:link w:val="BStableheading1Char0"/>
    <w:rsid w:val="007D71D2"/>
    <w:pPr>
      <w:framePr w:wrap="around" w:vAnchor="text" w:hAnchor="text" w:y="1"/>
      <w:jc w:val="right"/>
    </w:pPr>
    <w:rPr>
      <w:b/>
      <w:bCs/>
    </w:rPr>
  </w:style>
  <w:style w:type="paragraph" w:customStyle="1" w:styleId="NoSpacing0">
    <w:name w:val="No Spacing_0"/>
    <w:link w:val="NoSpacingChar0"/>
    <w:uiPriority w:val="1"/>
    <w:qFormat/>
    <w:rsid w:val="007A4C99"/>
    <w:rPr>
      <w:rFonts w:ascii="Calibri" w:hAnsi="Calibri"/>
      <w:lang w:eastAsia="en-US"/>
    </w:rPr>
  </w:style>
  <w:style w:type="character" w:customStyle="1" w:styleId="NoSpacingChar0">
    <w:name w:val="No Spacing Char_0"/>
    <w:link w:val="NoSpacing0"/>
    <w:uiPriority w:val="1"/>
    <w:rsid w:val="007A4C99"/>
    <w:rPr>
      <w:rFonts w:ascii="Calibri" w:hAnsi="Calibri"/>
      <w:lang w:eastAsia="en-US" w:bidi="ar-SA"/>
    </w:rPr>
  </w:style>
  <w:style w:type="character" w:customStyle="1" w:styleId="BStableheading1Char0">
    <w:name w:val="BS_table heading 1 Char_0"/>
    <w:basedOn w:val="NoSpacingChar0"/>
    <w:link w:val="BStableheading10"/>
    <w:rsid w:val="007D71D2"/>
    <w:rPr>
      <w:rFonts w:ascii="Calibri" w:hAnsi="Calibri"/>
      <w:b/>
      <w:bCs/>
      <w:lang w:eastAsia="en-US" w:bidi="ar-SA"/>
    </w:rPr>
  </w:style>
  <w:style w:type="character" w:customStyle="1" w:styleId="BStabletextChar0">
    <w:name w:val="BS_table text Char_0"/>
    <w:basedOn w:val="BStableheading1Char0"/>
    <w:link w:val="BStabletext0"/>
    <w:rsid w:val="00007D29"/>
    <w:rPr>
      <w:rFonts w:ascii="Calibri" w:hAnsi="Calibri"/>
      <w:b w:val="0"/>
      <w:bCs/>
      <w:lang w:eastAsia="en-US" w:bidi="ar-SA"/>
    </w:rPr>
  </w:style>
  <w:style w:type="character" w:customStyle="1" w:styleId="BStabletextboldChar">
    <w:name w:val="BS_table text bold Char"/>
    <w:link w:val="BStabletextbold"/>
    <w:locked/>
    <w:rsid w:val="00D41F5F"/>
    <w:rPr>
      <w:rFonts w:ascii="Calibri" w:hAnsi="Calibri"/>
      <w:b/>
      <w:bCs/>
    </w:rPr>
  </w:style>
  <w:style w:type="paragraph" w:customStyle="1" w:styleId="BStablefiguresbold">
    <w:name w:val="BS_table figures bold"/>
    <w:basedOn w:val="BStablefigures0"/>
    <w:qFormat/>
    <w:rsid w:val="006E57FD"/>
    <w:rPr>
      <w:b/>
    </w:rPr>
  </w:style>
  <w:style w:type="paragraph" w:customStyle="1" w:styleId="BStablefigures0">
    <w:name w:val="BS_table figures_0"/>
    <w:basedOn w:val="BStabletext0"/>
    <w:link w:val="BStablefiguresChar0"/>
    <w:autoRedefine/>
    <w:qFormat/>
    <w:rsid w:val="00E37E7A"/>
    <w:pPr>
      <w:jc w:val="right"/>
    </w:pPr>
    <w:rPr>
      <w:bCs w:val="0"/>
    </w:rPr>
  </w:style>
  <w:style w:type="character" w:customStyle="1" w:styleId="BStablefiguresChar0">
    <w:name w:val="BS_table figures Char_0"/>
    <w:basedOn w:val="AITableTextChar0"/>
    <w:link w:val="BStablefigures0"/>
    <w:rsid w:val="00E37E7A"/>
    <w:rPr>
      <w:rFonts w:ascii="Calibri" w:hAnsi="Calibri"/>
      <w:sz w:val="20"/>
      <w:szCs w:val="24"/>
      <w:lang w:eastAsia="en-US"/>
    </w:rPr>
  </w:style>
  <w:style w:type="character" w:customStyle="1" w:styleId="AITableTextChar0">
    <w:name w:val="AI Table Text Char_0"/>
    <w:link w:val="AITableText0"/>
    <w:locked/>
    <w:rsid w:val="007316E2"/>
    <w:rPr>
      <w:rFonts w:ascii="Calibri" w:hAnsi="Calibri"/>
      <w:sz w:val="20"/>
      <w:szCs w:val="24"/>
      <w:lang w:eastAsia="en-US"/>
    </w:rPr>
  </w:style>
  <w:style w:type="paragraph" w:customStyle="1" w:styleId="AITableText0">
    <w:name w:val="AI Table Text_0"/>
    <w:basedOn w:val="Normal3"/>
    <w:link w:val="AITableTextChar0"/>
    <w:rsid w:val="00FB4CEC"/>
    <w:pPr>
      <w:jc w:val="right"/>
    </w:pPr>
    <w:rPr>
      <w:sz w:val="20"/>
      <w:szCs w:val="24"/>
    </w:rPr>
  </w:style>
  <w:style w:type="paragraph" w:customStyle="1" w:styleId="BSnote">
    <w:name w:val="BS_note"/>
    <w:basedOn w:val="NoteHeading2"/>
    <w:link w:val="BSnoteChar"/>
    <w:qFormat/>
    <w:rsid w:val="00EE4D16"/>
    <w:pPr>
      <w:keepNext/>
      <w:spacing w:after="0"/>
    </w:pPr>
    <w:rPr>
      <w:sz w:val="18"/>
      <w:szCs w:val="16"/>
    </w:rPr>
  </w:style>
  <w:style w:type="paragraph" w:customStyle="1" w:styleId="NoteHeading2">
    <w:name w:val="Note Heading2"/>
    <w:basedOn w:val="Normal3"/>
    <w:next w:val="Normal3"/>
    <w:link w:val="NoteHeadingChar"/>
    <w:rsid w:val="00FB4CEC"/>
    <w:pPr>
      <w:spacing w:before="120"/>
    </w:pPr>
    <w:rPr>
      <w:b/>
      <w:sz w:val="16"/>
    </w:rPr>
  </w:style>
  <w:style w:type="character" w:customStyle="1" w:styleId="NoteHeadingChar">
    <w:name w:val="Note Heading Char"/>
    <w:link w:val="NoteHeading2"/>
    <w:locked/>
    <w:rsid w:val="007316E2"/>
    <w:rPr>
      <w:rFonts w:ascii="Calibri" w:hAnsi="Calibri"/>
      <w:b/>
      <w:sz w:val="16"/>
      <w:szCs w:val="20"/>
      <w:lang w:eastAsia="en-US"/>
    </w:rPr>
  </w:style>
  <w:style w:type="character" w:customStyle="1" w:styleId="BSnoteChar">
    <w:name w:val="BS_note Char"/>
    <w:link w:val="BSnote"/>
    <w:rsid w:val="00EE4D16"/>
    <w:rPr>
      <w:rFonts w:ascii="Calibri" w:hAnsi="Calibri"/>
      <w:b/>
      <w:sz w:val="18"/>
      <w:szCs w:val="16"/>
      <w:lang w:eastAsia="en-US"/>
    </w:rPr>
  </w:style>
  <w:style w:type="paragraph" w:customStyle="1" w:styleId="BSnoteslist0">
    <w:name w:val="BS_notes list_0"/>
    <w:basedOn w:val="Normal3"/>
    <w:link w:val="BSnoteslistChar0"/>
    <w:qFormat/>
    <w:rsid w:val="00B258A1"/>
    <w:pPr>
      <w:spacing w:before="0" w:after="0"/>
    </w:pPr>
    <w:rPr>
      <w:sz w:val="20"/>
    </w:rPr>
  </w:style>
  <w:style w:type="character" w:customStyle="1" w:styleId="BSnoteslistChar0">
    <w:name w:val="BS_notes list Char_0"/>
    <w:basedOn w:val="DefaultParagraphFont"/>
    <w:link w:val="BSnoteslist0"/>
    <w:locked/>
    <w:rsid w:val="00B258A1"/>
    <w:rPr>
      <w:rFonts w:ascii="Calibri" w:hAnsi="Calibri"/>
      <w:lang w:eastAsia="en-US"/>
    </w:rPr>
  </w:style>
  <w:style w:type="character" w:customStyle="1" w:styleId="Heading3Char">
    <w:name w:val="Heading 3 Char"/>
    <w:link w:val="Heading3"/>
    <w:locked/>
    <w:rsid w:val="0094514D"/>
    <w:rPr>
      <w:rFonts w:ascii="Calibri" w:hAnsi="Calibri"/>
      <w:b/>
      <w:bCs/>
      <w:sz w:val="28"/>
      <w:szCs w:val="26"/>
      <w:lang w:eastAsia="en-US"/>
    </w:rPr>
  </w:style>
  <w:style w:type="character" w:customStyle="1" w:styleId="Heading4Char">
    <w:name w:val="Heading 4 Char"/>
    <w:link w:val="Heading4"/>
    <w:locked/>
    <w:rsid w:val="00EE4D16"/>
    <w:rPr>
      <w:rFonts w:ascii="Calibri" w:hAnsi="Calibri"/>
      <w:b/>
      <w:i/>
      <w:sz w:val="24"/>
      <w:lang w:eastAsia="en-US"/>
    </w:rPr>
  </w:style>
  <w:style w:type="paragraph" w:customStyle="1" w:styleId="Normal01">
    <w:name w:val="Normal_0_1"/>
    <w:qFormat/>
    <w:rsid w:val="00513408"/>
    <w:pPr>
      <w:spacing w:before="200" w:after="200"/>
    </w:pPr>
    <w:rPr>
      <w:rFonts w:ascii="Calibri" w:hAnsi="Calibri"/>
      <w:sz w:val="24"/>
      <w:lang w:eastAsia="en-US"/>
    </w:rPr>
  </w:style>
  <w:style w:type="paragraph" w:customStyle="1" w:styleId="Caption1">
    <w:name w:val="Caption_1"/>
    <w:basedOn w:val="Normal3"/>
    <w:next w:val="Normal3"/>
    <w:unhideWhenUsed/>
    <w:qFormat/>
    <w:locked/>
    <w:rsid w:val="00F31EEF"/>
    <w:pPr>
      <w:keepNext/>
      <w:spacing w:before="240"/>
    </w:pPr>
    <w:rPr>
      <w:b/>
      <w:bCs/>
      <w:color w:val="000000"/>
      <w:sz w:val="22"/>
      <w:szCs w:val="18"/>
    </w:rPr>
  </w:style>
  <w:style w:type="paragraph" w:customStyle="1" w:styleId="BSnoteslist1">
    <w:name w:val="BS_notes list_1"/>
    <w:basedOn w:val="Alnotes0"/>
    <w:link w:val="BSnoteslistChar1"/>
    <w:qFormat/>
    <w:rsid w:val="00833051"/>
    <w:pPr>
      <w:numPr>
        <w:numId w:val="8"/>
      </w:numPr>
    </w:pPr>
  </w:style>
  <w:style w:type="paragraph" w:customStyle="1" w:styleId="Alnotes0">
    <w:name w:val="Al notes_0"/>
    <w:basedOn w:val="ListParagraph0"/>
    <w:next w:val="Normal3"/>
    <w:link w:val="AlnotesChar0"/>
    <w:autoRedefine/>
    <w:rsid w:val="00C0540A"/>
    <w:pPr>
      <w:numPr>
        <w:numId w:val="9"/>
      </w:numPr>
      <w:spacing w:before="0"/>
    </w:pPr>
    <w:rPr>
      <w:sz w:val="18"/>
    </w:rPr>
  </w:style>
  <w:style w:type="paragraph" w:customStyle="1" w:styleId="ListParagraph0">
    <w:name w:val="List Paragraph_0"/>
    <w:basedOn w:val="Normal3"/>
    <w:link w:val="ListParagraphChar0"/>
    <w:uiPriority w:val="34"/>
    <w:qFormat/>
    <w:rsid w:val="009E567D"/>
    <w:pPr>
      <w:spacing w:after="0"/>
      <w:ind w:left="357" w:hanging="357"/>
    </w:pPr>
    <w:rPr>
      <w:sz w:val="16"/>
      <w:szCs w:val="24"/>
    </w:rPr>
  </w:style>
  <w:style w:type="character" w:customStyle="1" w:styleId="ListParagraphChar0">
    <w:name w:val="List Paragraph Char_0"/>
    <w:link w:val="ListParagraph0"/>
    <w:uiPriority w:val="34"/>
    <w:rsid w:val="005B5A37"/>
    <w:rPr>
      <w:rFonts w:ascii="Calibri" w:hAnsi="Calibri"/>
      <w:sz w:val="16"/>
      <w:szCs w:val="24"/>
      <w:lang w:eastAsia="en-US"/>
    </w:rPr>
  </w:style>
  <w:style w:type="character" w:customStyle="1" w:styleId="AlnotesChar0">
    <w:name w:val="Al notes Char_0"/>
    <w:link w:val="Alnotes0"/>
    <w:rsid w:val="00C0540A"/>
    <w:rPr>
      <w:rFonts w:ascii="Calibri" w:hAnsi="Calibri"/>
      <w:sz w:val="18"/>
      <w:szCs w:val="24"/>
      <w:lang w:eastAsia="en-US"/>
    </w:rPr>
  </w:style>
  <w:style w:type="character" w:customStyle="1" w:styleId="BSnoteslistChar1">
    <w:name w:val="BS_notes list Char_1"/>
    <w:basedOn w:val="AlnotesChar0"/>
    <w:link w:val="BSnoteslist1"/>
    <w:rsid w:val="00833051"/>
    <w:rPr>
      <w:rFonts w:ascii="Calibri" w:hAnsi="Calibri"/>
      <w:sz w:val="18"/>
      <w:szCs w:val="24"/>
      <w:lang w:eastAsia="en-US"/>
    </w:rPr>
  </w:style>
  <w:style w:type="paragraph" w:customStyle="1" w:styleId="Normal010">
    <w:name w:val="Normal_0_1_0"/>
    <w:qFormat/>
    <w:rsid w:val="00B258A1"/>
    <w:pPr>
      <w:spacing w:before="200" w:after="200"/>
    </w:pPr>
    <w:rPr>
      <w:rFonts w:ascii="Calibri" w:hAnsi="Calibri"/>
      <w:sz w:val="24"/>
      <w:lang w:eastAsia="en-US"/>
    </w:rPr>
  </w:style>
  <w:style w:type="paragraph" w:customStyle="1" w:styleId="BStableheading">
    <w:name w:val="BS_table heading"/>
    <w:basedOn w:val="BStableheading10"/>
    <w:link w:val="BStableheadingChar"/>
    <w:qFormat/>
    <w:rsid w:val="006879E5"/>
    <w:pPr>
      <w:framePr w:wrap="around"/>
    </w:pPr>
    <w:rPr>
      <w:bCs w:val="0"/>
    </w:rPr>
  </w:style>
  <w:style w:type="character" w:customStyle="1" w:styleId="BStableheadingChar">
    <w:name w:val="BS_table heading Char"/>
    <w:basedOn w:val="BStableheading1Char0"/>
    <w:link w:val="BStableheading"/>
    <w:rsid w:val="006879E5"/>
    <w:rPr>
      <w:rFonts w:ascii="Calibri" w:hAnsi="Calibri"/>
      <w:b/>
      <w:bCs/>
      <w:lang w:eastAsia="en-US" w:bidi="ar-SA"/>
    </w:rPr>
  </w:style>
  <w:style w:type="paragraph" w:customStyle="1" w:styleId="BStabletext00">
    <w:name w:val="BS_table text_0_0"/>
    <w:basedOn w:val="Normal3"/>
    <w:link w:val="BStabletextChar00"/>
    <w:autoRedefine/>
    <w:qFormat/>
    <w:rsid w:val="00B258A1"/>
    <w:pPr>
      <w:spacing w:before="0" w:after="0"/>
    </w:pPr>
    <w:rPr>
      <w:bCs/>
      <w:sz w:val="20"/>
      <w:lang w:eastAsia="en-AU"/>
    </w:rPr>
  </w:style>
  <w:style w:type="character" w:customStyle="1" w:styleId="BStabletextChar00">
    <w:name w:val="BS_table text Char_0_0"/>
    <w:basedOn w:val="DefaultParagraphFont"/>
    <w:link w:val="BStabletext00"/>
    <w:locked/>
    <w:rsid w:val="00B258A1"/>
    <w:rPr>
      <w:rFonts w:ascii="Calibri" w:hAnsi="Calibri"/>
      <w:bCs/>
    </w:rPr>
  </w:style>
  <w:style w:type="paragraph" w:customStyle="1" w:styleId="BStablefigures00">
    <w:name w:val="BS_table figures_0_0"/>
    <w:basedOn w:val="BStabletext00"/>
    <w:link w:val="BStablefiguresChar00"/>
    <w:autoRedefine/>
    <w:qFormat/>
    <w:rsid w:val="00B258A1"/>
    <w:pPr>
      <w:jc w:val="right"/>
    </w:pPr>
    <w:rPr>
      <w:bCs w:val="0"/>
    </w:rPr>
  </w:style>
  <w:style w:type="character" w:customStyle="1" w:styleId="BStablefiguresChar00">
    <w:name w:val="BS_table figures Char_0_0"/>
    <w:basedOn w:val="DefaultParagraphFont"/>
    <w:link w:val="BStablefigures00"/>
    <w:locked/>
    <w:rsid w:val="00B258A1"/>
    <w:rPr>
      <w:rFonts w:ascii="Calibri" w:hAnsi="Calibri"/>
    </w:rPr>
  </w:style>
  <w:style w:type="paragraph" w:customStyle="1" w:styleId="Heading22">
    <w:name w:val="Heading 2_2"/>
    <w:basedOn w:val="Normal4"/>
    <w:next w:val="Normal4"/>
    <w:link w:val="Heading2Char2"/>
    <w:qFormat/>
    <w:rsid w:val="00EE4D16"/>
    <w:pPr>
      <w:keepNext/>
      <w:spacing w:before="360"/>
      <w:outlineLvl w:val="1"/>
    </w:pPr>
    <w:rPr>
      <w:b/>
      <w:snapToGrid w:val="0"/>
      <w:sz w:val="32"/>
    </w:rPr>
  </w:style>
  <w:style w:type="paragraph" w:customStyle="1" w:styleId="Normal4">
    <w:name w:val="Normal_4"/>
    <w:qFormat/>
    <w:rsid w:val="00127A4C"/>
    <w:pPr>
      <w:spacing w:before="200" w:after="200"/>
    </w:pPr>
    <w:rPr>
      <w:rFonts w:ascii="Calibri" w:hAnsi="Calibri"/>
      <w:sz w:val="24"/>
      <w:lang w:eastAsia="en-US"/>
    </w:rPr>
  </w:style>
  <w:style w:type="character" w:customStyle="1" w:styleId="Heading2Char2">
    <w:name w:val="Heading 2 Char_2"/>
    <w:link w:val="Heading22"/>
    <w:locked/>
    <w:rsid w:val="00EE4D16"/>
    <w:rPr>
      <w:rFonts w:ascii="Calibri" w:hAnsi="Calibri"/>
      <w:b/>
      <w:snapToGrid w:val="0"/>
      <w:sz w:val="32"/>
      <w:lang w:eastAsia="en-US"/>
    </w:rPr>
  </w:style>
  <w:style w:type="paragraph" w:customStyle="1" w:styleId="Normal02">
    <w:name w:val="Normal_0_2"/>
    <w:qFormat/>
    <w:rsid w:val="00B53086"/>
    <w:pPr>
      <w:spacing w:before="200" w:after="200"/>
    </w:pPr>
    <w:rPr>
      <w:rFonts w:ascii="Calibri" w:hAnsi="Calibri"/>
      <w:sz w:val="24"/>
      <w:lang w:eastAsia="en-US"/>
    </w:rPr>
  </w:style>
  <w:style w:type="paragraph" w:customStyle="1" w:styleId="Heading30">
    <w:name w:val="Heading 3_0"/>
    <w:basedOn w:val="Normal4"/>
    <w:next w:val="Normal4"/>
    <w:link w:val="Heading3Char0"/>
    <w:autoRedefine/>
    <w:qFormat/>
    <w:rsid w:val="00EE4D16"/>
    <w:pPr>
      <w:keepNext/>
      <w:keepLines/>
      <w:spacing w:before="360"/>
      <w:contextualSpacing/>
      <w:outlineLvl w:val="2"/>
    </w:pPr>
    <w:rPr>
      <w:b/>
      <w:bCs/>
      <w:sz w:val="28"/>
      <w:szCs w:val="26"/>
    </w:rPr>
  </w:style>
  <w:style w:type="character" w:customStyle="1" w:styleId="Heading3Char0">
    <w:name w:val="Heading 3 Char_0"/>
    <w:link w:val="Heading30"/>
    <w:locked/>
    <w:rsid w:val="00EE4D16"/>
    <w:rPr>
      <w:rFonts w:ascii="Calibri" w:hAnsi="Calibri" w:cs="Arial"/>
      <w:b/>
      <w:bCs/>
      <w:sz w:val="28"/>
      <w:szCs w:val="26"/>
      <w:lang w:eastAsia="en-US"/>
    </w:rPr>
  </w:style>
  <w:style w:type="paragraph" w:customStyle="1" w:styleId="Caption2">
    <w:name w:val="Caption_2"/>
    <w:basedOn w:val="Normal4"/>
    <w:next w:val="Normal4"/>
    <w:unhideWhenUsed/>
    <w:qFormat/>
    <w:locked/>
    <w:rsid w:val="00F31EEF"/>
    <w:pPr>
      <w:keepNext/>
      <w:spacing w:before="240"/>
    </w:pPr>
    <w:rPr>
      <w:b/>
      <w:bCs/>
      <w:color w:val="000000"/>
      <w:sz w:val="22"/>
      <w:szCs w:val="18"/>
    </w:rPr>
  </w:style>
  <w:style w:type="paragraph" w:customStyle="1" w:styleId="BSnote0">
    <w:name w:val="BS_note_0"/>
    <w:basedOn w:val="Normal4"/>
    <w:link w:val="BSnoteChar0"/>
    <w:qFormat/>
    <w:rsid w:val="00B53086"/>
    <w:pPr>
      <w:keepNext/>
      <w:spacing w:before="120" w:after="0"/>
    </w:pPr>
    <w:rPr>
      <w:b/>
      <w:sz w:val="18"/>
      <w:szCs w:val="16"/>
    </w:rPr>
  </w:style>
  <w:style w:type="character" w:customStyle="1" w:styleId="BSnoteChar0">
    <w:name w:val="BS_note Char_0"/>
    <w:link w:val="BSnote0"/>
    <w:locked/>
    <w:rsid w:val="00B53086"/>
    <w:rPr>
      <w:rFonts w:ascii="Calibri" w:hAnsi="Calibri"/>
      <w:b/>
      <w:sz w:val="18"/>
      <w:szCs w:val="16"/>
      <w:lang w:eastAsia="en-US"/>
    </w:rPr>
  </w:style>
  <w:style w:type="paragraph" w:customStyle="1" w:styleId="BSnoteslist10">
    <w:name w:val="BS_notes list_1_0"/>
    <w:basedOn w:val="Normal4"/>
    <w:link w:val="BSnoteslistChar10"/>
    <w:qFormat/>
    <w:rsid w:val="00B53086"/>
    <w:pPr>
      <w:numPr>
        <w:numId w:val="18"/>
      </w:numPr>
      <w:spacing w:before="0" w:after="0"/>
    </w:pPr>
    <w:rPr>
      <w:sz w:val="18"/>
      <w:szCs w:val="24"/>
    </w:rPr>
  </w:style>
  <w:style w:type="character" w:customStyle="1" w:styleId="BSnoteslistChar10">
    <w:name w:val="BS_notes list Char_1_0"/>
    <w:basedOn w:val="DefaultParagraphFont"/>
    <w:link w:val="BSnoteslist10"/>
    <w:locked/>
    <w:rsid w:val="00B53086"/>
    <w:rPr>
      <w:rFonts w:ascii="Calibri" w:hAnsi="Calibri"/>
      <w:sz w:val="18"/>
      <w:szCs w:val="24"/>
      <w:lang w:eastAsia="en-US"/>
    </w:rPr>
  </w:style>
  <w:style w:type="paragraph" w:customStyle="1" w:styleId="Heading40">
    <w:name w:val="Heading 4_0"/>
    <w:basedOn w:val="Normal4"/>
    <w:next w:val="Normal4"/>
    <w:link w:val="Heading4Char0"/>
    <w:autoRedefine/>
    <w:qFormat/>
    <w:rsid w:val="007D441E"/>
    <w:pPr>
      <w:keepNext/>
      <w:keepLines/>
      <w:spacing w:before="240" w:after="120"/>
      <w:outlineLvl w:val="3"/>
    </w:pPr>
    <w:rPr>
      <w:b/>
      <w:i/>
    </w:rPr>
  </w:style>
  <w:style w:type="character" w:customStyle="1" w:styleId="Heading4Char0">
    <w:name w:val="Heading 4 Char_0"/>
    <w:link w:val="Heading40"/>
    <w:locked/>
    <w:rsid w:val="007D441E"/>
    <w:rPr>
      <w:rFonts w:ascii="Calibri" w:hAnsi="Calibri"/>
      <w:b/>
      <w:i/>
      <w:sz w:val="24"/>
      <w:lang w:eastAsia="en-US"/>
    </w:rPr>
  </w:style>
  <w:style w:type="paragraph" w:customStyle="1" w:styleId="normal020">
    <w:name w:val="normal02"/>
    <w:basedOn w:val="Normal4"/>
    <w:rsid w:val="00B53086"/>
    <w:rPr>
      <w:rFonts w:eastAsiaTheme="minorHAnsi"/>
      <w:szCs w:val="24"/>
      <w:lang w:eastAsia="en-AU"/>
    </w:rPr>
  </w:style>
  <w:style w:type="paragraph" w:customStyle="1" w:styleId="BSbullet10">
    <w:name w:val="BS_bullet 1_0"/>
    <w:basedOn w:val="BodyTextIndent0"/>
    <w:link w:val="BSbullet1Char0"/>
    <w:qFormat/>
    <w:rsid w:val="009E567D"/>
    <w:pPr>
      <w:keepNext w:val="0"/>
      <w:keepLines w:val="0"/>
      <w:numPr>
        <w:numId w:val="22"/>
      </w:numPr>
    </w:pPr>
  </w:style>
  <w:style w:type="paragraph" w:customStyle="1" w:styleId="BodyTextIndent0">
    <w:name w:val="Body Text Indent_0"/>
    <w:basedOn w:val="Normal4"/>
    <w:link w:val="BodyTextIndentChar0"/>
    <w:rsid w:val="00FB4CEC"/>
    <w:pPr>
      <w:keepNext/>
      <w:keepLines/>
      <w:tabs>
        <w:tab w:val="num" w:pos="360"/>
      </w:tabs>
      <w:spacing w:after="120"/>
      <w:ind w:left="360" w:hanging="360"/>
      <w:jc w:val="both"/>
    </w:pPr>
    <w:rPr>
      <w:szCs w:val="24"/>
    </w:rPr>
  </w:style>
  <w:style w:type="character" w:customStyle="1" w:styleId="BodyTextIndentChar0">
    <w:name w:val="Body Text Indent Char_0"/>
    <w:link w:val="BodyTextIndent0"/>
    <w:locked/>
    <w:rsid w:val="00BF50D3"/>
    <w:rPr>
      <w:rFonts w:ascii="Calibri" w:hAnsi="Calibri"/>
      <w:sz w:val="24"/>
      <w:szCs w:val="24"/>
      <w:lang w:eastAsia="en-US"/>
    </w:rPr>
  </w:style>
  <w:style w:type="character" w:customStyle="1" w:styleId="BSbullet1Char0">
    <w:name w:val="BS_bullet 1 Char_0"/>
    <w:basedOn w:val="BodyTextIndentChar0"/>
    <w:link w:val="BSbullet10"/>
    <w:rsid w:val="009E567D"/>
    <w:rPr>
      <w:rFonts w:ascii="Calibri" w:hAnsi="Calibri"/>
      <w:sz w:val="24"/>
      <w:szCs w:val="24"/>
      <w:lang w:eastAsia="en-US"/>
    </w:rPr>
  </w:style>
  <w:style w:type="paragraph" w:customStyle="1" w:styleId="Normal03">
    <w:name w:val="Normal_0_3"/>
    <w:qFormat/>
    <w:rsid w:val="00211F16"/>
    <w:pPr>
      <w:spacing w:before="200" w:after="200"/>
    </w:pPr>
    <w:rPr>
      <w:rFonts w:ascii="Calibri" w:hAnsi="Calibri"/>
      <w:sz w:val="24"/>
      <w:lang w:eastAsia="en-US"/>
    </w:rPr>
  </w:style>
  <w:style w:type="paragraph" w:customStyle="1" w:styleId="BSnoteslist2">
    <w:name w:val="BS_notes list_2"/>
    <w:basedOn w:val="Alnotes1"/>
    <w:link w:val="BSnoteslistChar2"/>
    <w:qFormat/>
    <w:rsid w:val="00833051"/>
    <w:pPr>
      <w:numPr>
        <w:numId w:val="24"/>
      </w:numPr>
    </w:pPr>
  </w:style>
  <w:style w:type="paragraph" w:customStyle="1" w:styleId="Alnotes1">
    <w:name w:val="Al notes_1"/>
    <w:basedOn w:val="ListParagraph1"/>
    <w:next w:val="Normal4"/>
    <w:link w:val="AlnotesChar1"/>
    <w:autoRedefine/>
    <w:rsid w:val="00C0540A"/>
    <w:pPr>
      <w:numPr>
        <w:numId w:val="25"/>
      </w:numPr>
      <w:spacing w:before="0"/>
    </w:pPr>
    <w:rPr>
      <w:sz w:val="18"/>
    </w:rPr>
  </w:style>
  <w:style w:type="paragraph" w:customStyle="1" w:styleId="ListParagraph1">
    <w:name w:val="List Paragraph_1"/>
    <w:basedOn w:val="Normal4"/>
    <w:link w:val="ListParagraphChar1"/>
    <w:uiPriority w:val="34"/>
    <w:qFormat/>
    <w:rsid w:val="009E567D"/>
    <w:pPr>
      <w:spacing w:after="0"/>
      <w:ind w:left="357" w:hanging="357"/>
    </w:pPr>
    <w:rPr>
      <w:sz w:val="16"/>
      <w:szCs w:val="24"/>
    </w:rPr>
  </w:style>
  <w:style w:type="character" w:customStyle="1" w:styleId="ListParagraphChar1">
    <w:name w:val="List Paragraph Char_1"/>
    <w:link w:val="ListParagraph1"/>
    <w:uiPriority w:val="34"/>
    <w:rsid w:val="005B5A37"/>
    <w:rPr>
      <w:rFonts w:ascii="Calibri" w:hAnsi="Calibri"/>
      <w:sz w:val="16"/>
      <w:szCs w:val="24"/>
      <w:lang w:eastAsia="en-US"/>
    </w:rPr>
  </w:style>
  <w:style w:type="character" w:customStyle="1" w:styleId="AlnotesChar1">
    <w:name w:val="Al notes Char_1"/>
    <w:link w:val="Alnotes1"/>
    <w:rsid w:val="00C0540A"/>
    <w:rPr>
      <w:rFonts w:ascii="Calibri" w:hAnsi="Calibri"/>
      <w:sz w:val="18"/>
      <w:szCs w:val="24"/>
      <w:lang w:eastAsia="en-US"/>
    </w:rPr>
  </w:style>
  <w:style w:type="character" w:customStyle="1" w:styleId="BSnoteslistChar2">
    <w:name w:val="BS_notes list Char_2"/>
    <w:basedOn w:val="AlnotesChar1"/>
    <w:link w:val="BSnoteslist2"/>
    <w:rsid w:val="00833051"/>
    <w:rPr>
      <w:rFonts w:ascii="Calibri" w:hAnsi="Calibri"/>
      <w:sz w:val="18"/>
      <w:szCs w:val="24"/>
      <w:lang w:eastAsia="en-US"/>
    </w:rPr>
  </w:style>
  <w:style w:type="paragraph" w:customStyle="1" w:styleId="Normal40">
    <w:name w:val="Normal_4_0"/>
    <w:qFormat/>
    <w:rsid w:val="00B53086"/>
    <w:pPr>
      <w:spacing w:before="200" w:after="200"/>
    </w:pPr>
    <w:rPr>
      <w:rFonts w:ascii="Calibri" w:hAnsi="Calibri"/>
      <w:sz w:val="24"/>
      <w:lang w:eastAsia="en-US"/>
    </w:rPr>
  </w:style>
  <w:style w:type="paragraph" w:customStyle="1" w:styleId="Heading23">
    <w:name w:val="Heading 2_3"/>
    <w:basedOn w:val="Normal5"/>
    <w:next w:val="Normal5"/>
    <w:link w:val="Heading2Char3"/>
    <w:qFormat/>
    <w:rsid w:val="00EE4D16"/>
    <w:pPr>
      <w:keepNext/>
      <w:spacing w:before="360"/>
      <w:outlineLvl w:val="1"/>
    </w:pPr>
    <w:rPr>
      <w:b/>
      <w:snapToGrid w:val="0"/>
      <w:sz w:val="32"/>
    </w:rPr>
  </w:style>
  <w:style w:type="paragraph" w:customStyle="1" w:styleId="Normal5">
    <w:name w:val="Normal_5"/>
    <w:qFormat/>
    <w:rsid w:val="000106FD"/>
    <w:pPr>
      <w:spacing w:before="200" w:after="200"/>
    </w:pPr>
    <w:rPr>
      <w:rFonts w:ascii="Calibri" w:hAnsi="Calibri"/>
      <w:sz w:val="24"/>
      <w:lang w:eastAsia="en-US"/>
    </w:rPr>
  </w:style>
  <w:style w:type="character" w:customStyle="1" w:styleId="Heading2Char3">
    <w:name w:val="Heading 2 Char_3"/>
    <w:link w:val="Heading23"/>
    <w:locked/>
    <w:rsid w:val="00EE4D16"/>
    <w:rPr>
      <w:rFonts w:ascii="Calibri" w:hAnsi="Calibri"/>
      <w:b/>
      <w:snapToGrid w:val="0"/>
      <w:sz w:val="32"/>
      <w:lang w:eastAsia="en-US"/>
    </w:rPr>
  </w:style>
  <w:style w:type="paragraph" w:customStyle="1" w:styleId="Heading31">
    <w:name w:val="Heading 3_1"/>
    <w:basedOn w:val="Normal5"/>
    <w:next w:val="Normal5"/>
    <w:link w:val="Heading3Char1"/>
    <w:autoRedefine/>
    <w:qFormat/>
    <w:rsid w:val="00EE4D16"/>
    <w:pPr>
      <w:keepNext/>
      <w:keepLines/>
      <w:spacing w:before="360"/>
      <w:contextualSpacing/>
      <w:outlineLvl w:val="2"/>
    </w:pPr>
    <w:rPr>
      <w:b/>
      <w:bCs/>
      <w:sz w:val="28"/>
      <w:szCs w:val="26"/>
    </w:rPr>
  </w:style>
  <w:style w:type="character" w:customStyle="1" w:styleId="Heading3Char1">
    <w:name w:val="Heading 3 Char_1"/>
    <w:link w:val="Heading31"/>
    <w:locked/>
    <w:rsid w:val="00EE4D16"/>
    <w:rPr>
      <w:rFonts w:ascii="Calibri" w:hAnsi="Calibri" w:cs="Arial"/>
      <w:b/>
      <w:bCs/>
      <w:sz w:val="28"/>
      <w:szCs w:val="26"/>
      <w:lang w:eastAsia="en-US"/>
    </w:rPr>
  </w:style>
  <w:style w:type="paragraph" w:customStyle="1" w:styleId="Heading41">
    <w:name w:val="Heading 4_1"/>
    <w:basedOn w:val="Normal5"/>
    <w:next w:val="Normal5"/>
    <w:link w:val="Heading4Char1"/>
    <w:autoRedefine/>
    <w:qFormat/>
    <w:rsid w:val="00EE4D16"/>
    <w:pPr>
      <w:keepNext/>
      <w:keepLines/>
      <w:spacing w:before="240" w:after="120"/>
      <w:outlineLvl w:val="3"/>
    </w:pPr>
    <w:rPr>
      <w:b/>
      <w:i/>
    </w:rPr>
  </w:style>
  <w:style w:type="character" w:customStyle="1" w:styleId="Heading4Char1">
    <w:name w:val="Heading 4 Char_1"/>
    <w:link w:val="Heading41"/>
    <w:locked/>
    <w:rsid w:val="00EE4D16"/>
    <w:rPr>
      <w:rFonts w:ascii="Calibri" w:hAnsi="Calibri"/>
      <w:b/>
      <w:i/>
      <w:sz w:val="24"/>
      <w:lang w:eastAsia="en-US"/>
    </w:rPr>
  </w:style>
  <w:style w:type="paragraph" w:customStyle="1" w:styleId="Caption20">
    <w:name w:val="Caption_2_0"/>
    <w:basedOn w:val="Normal5"/>
    <w:next w:val="Normal5"/>
    <w:qFormat/>
    <w:locked/>
    <w:rsid w:val="00F8515C"/>
    <w:pPr>
      <w:keepNext/>
      <w:spacing w:before="240"/>
    </w:pPr>
    <w:rPr>
      <w:b/>
      <w:bCs/>
      <w:color w:val="000000"/>
      <w:sz w:val="22"/>
      <w:szCs w:val="18"/>
    </w:rPr>
  </w:style>
  <w:style w:type="paragraph" w:customStyle="1" w:styleId="BStabletext1">
    <w:name w:val="BS_table text_1"/>
    <w:basedOn w:val="BStableheading11"/>
    <w:link w:val="BStabletextChar1"/>
    <w:autoRedefine/>
    <w:qFormat/>
    <w:rsid w:val="00F8515C"/>
    <w:pPr>
      <w:framePr w:wrap="auto" w:vAnchor="margin" w:yAlign="inline"/>
      <w:ind w:left="227" w:hanging="227"/>
      <w:jc w:val="left"/>
    </w:pPr>
    <w:rPr>
      <w:b w:val="0"/>
    </w:rPr>
  </w:style>
  <w:style w:type="paragraph" w:customStyle="1" w:styleId="BStableheading11">
    <w:name w:val="BS_table heading 1_1"/>
    <w:basedOn w:val="Normal5"/>
    <w:link w:val="BStableheading1Char1"/>
    <w:rsid w:val="00F8515C"/>
    <w:pPr>
      <w:framePr w:wrap="around" w:vAnchor="text" w:hAnchor="text" w:y="1"/>
      <w:spacing w:before="0" w:after="0"/>
      <w:jc w:val="right"/>
    </w:pPr>
    <w:rPr>
      <w:b/>
      <w:bCs/>
      <w:sz w:val="20"/>
    </w:rPr>
  </w:style>
  <w:style w:type="character" w:customStyle="1" w:styleId="BStableheading1Char1">
    <w:name w:val="BS_table heading 1 Char_1"/>
    <w:basedOn w:val="DefaultParagraphFont"/>
    <w:link w:val="BStableheading11"/>
    <w:locked/>
    <w:rsid w:val="00F8515C"/>
    <w:rPr>
      <w:rFonts w:ascii="Calibri" w:hAnsi="Calibri"/>
      <w:b/>
      <w:bCs/>
      <w:lang w:eastAsia="en-US"/>
    </w:rPr>
  </w:style>
  <w:style w:type="character" w:customStyle="1" w:styleId="BStabletextChar1">
    <w:name w:val="BS_table text Char_1"/>
    <w:basedOn w:val="BStableheading1Char1"/>
    <w:link w:val="BStabletext1"/>
    <w:locked/>
    <w:rsid w:val="00F8515C"/>
    <w:rPr>
      <w:rFonts w:ascii="Calibri" w:hAnsi="Calibri"/>
      <w:b w:val="0"/>
      <w:bCs/>
      <w:lang w:eastAsia="en-US"/>
    </w:rPr>
  </w:style>
  <w:style w:type="paragraph" w:customStyle="1" w:styleId="BStablefigures1">
    <w:name w:val="BS_table figures_1"/>
    <w:basedOn w:val="BStabletext2"/>
    <w:link w:val="BStablefiguresChar1"/>
    <w:autoRedefine/>
    <w:qFormat/>
    <w:rsid w:val="006E57FD"/>
    <w:pPr>
      <w:jc w:val="right"/>
    </w:pPr>
    <w:rPr>
      <w:bCs w:val="0"/>
    </w:rPr>
  </w:style>
  <w:style w:type="paragraph" w:customStyle="1" w:styleId="BStabletext2">
    <w:name w:val="BS_table text_2"/>
    <w:basedOn w:val="BStableheading12"/>
    <w:link w:val="BStabletextChar2"/>
    <w:autoRedefine/>
    <w:qFormat/>
    <w:rsid w:val="00F80175"/>
    <w:pPr>
      <w:framePr w:wrap="auto" w:vAnchor="margin" w:yAlign="inline"/>
      <w:ind w:left="227" w:hanging="227"/>
      <w:jc w:val="left"/>
    </w:pPr>
    <w:rPr>
      <w:b w:val="0"/>
      <w:lang w:eastAsia="en-AU"/>
    </w:rPr>
  </w:style>
  <w:style w:type="paragraph" w:customStyle="1" w:styleId="BStableheading12">
    <w:name w:val="BS_table heading 1_2"/>
    <w:basedOn w:val="NoSpacing1"/>
    <w:link w:val="BStableheading1Char2"/>
    <w:rsid w:val="007D71D2"/>
    <w:pPr>
      <w:framePr w:wrap="around" w:vAnchor="text" w:hAnchor="text" w:y="1"/>
      <w:jc w:val="right"/>
    </w:pPr>
    <w:rPr>
      <w:b/>
      <w:bCs/>
    </w:rPr>
  </w:style>
  <w:style w:type="paragraph" w:customStyle="1" w:styleId="NoSpacing1">
    <w:name w:val="No Spacing_1"/>
    <w:link w:val="NoSpacingChar1"/>
    <w:uiPriority w:val="1"/>
    <w:qFormat/>
    <w:rsid w:val="007A4C99"/>
    <w:rPr>
      <w:rFonts w:ascii="Calibri" w:hAnsi="Calibri"/>
      <w:lang w:eastAsia="en-US"/>
    </w:rPr>
  </w:style>
  <w:style w:type="character" w:customStyle="1" w:styleId="NoSpacingChar1">
    <w:name w:val="No Spacing Char_1"/>
    <w:link w:val="NoSpacing1"/>
    <w:uiPriority w:val="1"/>
    <w:rsid w:val="007A4C99"/>
    <w:rPr>
      <w:rFonts w:ascii="Calibri" w:hAnsi="Calibri"/>
      <w:lang w:eastAsia="en-US" w:bidi="ar-SA"/>
    </w:rPr>
  </w:style>
  <w:style w:type="character" w:customStyle="1" w:styleId="BStableheading1Char2">
    <w:name w:val="BS_table heading 1 Char_2"/>
    <w:basedOn w:val="NoSpacingChar1"/>
    <w:link w:val="BStableheading12"/>
    <w:rsid w:val="007D71D2"/>
    <w:rPr>
      <w:rFonts w:ascii="Calibri" w:hAnsi="Calibri"/>
      <w:b/>
      <w:bCs/>
      <w:lang w:eastAsia="en-US" w:bidi="ar-SA"/>
    </w:rPr>
  </w:style>
  <w:style w:type="character" w:customStyle="1" w:styleId="BStabletextChar2">
    <w:name w:val="BS_table text Char_2"/>
    <w:basedOn w:val="BStableheading1Char2"/>
    <w:link w:val="BStabletext2"/>
    <w:rsid w:val="00F80175"/>
    <w:rPr>
      <w:rFonts w:ascii="Calibri" w:hAnsi="Calibri"/>
      <w:b/>
      <w:bCs/>
      <w:lang w:eastAsia="en-US" w:bidi="ar-SA"/>
    </w:rPr>
  </w:style>
  <w:style w:type="character" w:customStyle="1" w:styleId="BStablefiguresChar1">
    <w:name w:val="BS_table figures Char_1"/>
    <w:basedOn w:val="AITableTextChar1"/>
    <w:link w:val="BStablefigures1"/>
    <w:rsid w:val="006E57FD"/>
    <w:rPr>
      <w:rFonts w:ascii="Calibri" w:hAnsi="Calibri"/>
      <w:sz w:val="20"/>
      <w:szCs w:val="24"/>
      <w:lang w:eastAsia="en-US"/>
    </w:rPr>
  </w:style>
  <w:style w:type="character" w:customStyle="1" w:styleId="AITableTextChar1">
    <w:name w:val="AI Table Text Char_1"/>
    <w:link w:val="AITableText1"/>
    <w:locked/>
    <w:rsid w:val="007316E2"/>
    <w:rPr>
      <w:rFonts w:ascii="Calibri" w:hAnsi="Calibri"/>
      <w:sz w:val="20"/>
      <w:szCs w:val="24"/>
      <w:lang w:eastAsia="en-US"/>
    </w:rPr>
  </w:style>
  <w:style w:type="paragraph" w:customStyle="1" w:styleId="AITableText1">
    <w:name w:val="AI Table Text_1"/>
    <w:basedOn w:val="Normal5"/>
    <w:link w:val="AITableTextChar1"/>
    <w:rsid w:val="00FB4CEC"/>
    <w:pPr>
      <w:jc w:val="right"/>
    </w:pPr>
    <w:rPr>
      <w:sz w:val="20"/>
      <w:szCs w:val="24"/>
    </w:rPr>
  </w:style>
  <w:style w:type="paragraph" w:customStyle="1" w:styleId="BStablelist">
    <w:name w:val="BS_table list"/>
    <w:basedOn w:val="AIIndent"/>
    <w:link w:val="BStablelistChar"/>
    <w:qFormat/>
    <w:rsid w:val="009D6846"/>
    <w:pPr>
      <w:tabs>
        <w:tab w:val="clear" w:pos="360"/>
      </w:tabs>
      <w:spacing w:before="0" w:after="0"/>
      <w:ind w:left="0" w:firstLine="0"/>
    </w:pPr>
  </w:style>
  <w:style w:type="paragraph" w:customStyle="1" w:styleId="AIIndent">
    <w:name w:val="AI Indent"/>
    <w:basedOn w:val="Normal5"/>
    <w:link w:val="AIIndentChar"/>
    <w:rsid w:val="00FB4CEC"/>
    <w:pPr>
      <w:tabs>
        <w:tab w:val="num" w:pos="360"/>
      </w:tabs>
      <w:ind w:left="357" w:hanging="357"/>
    </w:pPr>
    <w:rPr>
      <w:sz w:val="20"/>
    </w:rPr>
  </w:style>
  <w:style w:type="character" w:customStyle="1" w:styleId="AIIndentChar">
    <w:name w:val="AI Indent Char"/>
    <w:link w:val="AIIndent"/>
    <w:locked/>
    <w:rsid w:val="007316E2"/>
    <w:rPr>
      <w:rFonts w:ascii="Calibri" w:hAnsi="Calibri"/>
      <w:sz w:val="20"/>
      <w:szCs w:val="20"/>
      <w:lang w:eastAsia="en-US"/>
    </w:rPr>
  </w:style>
  <w:style w:type="character" w:customStyle="1" w:styleId="BStablelistChar">
    <w:name w:val="BS_table list Char"/>
    <w:basedOn w:val="AIIndentChar"/>
    <w:link w:val="BStablelist"/>
    <w:rsid w:val="009D6846"/>
    <w:rPr>
      <w:rFonts w:ascii="Calibri" w:hAnsi="Calibri"/>
      <w:sz w:val="20"/>
      <w:szCs w:val="20"/>
      <w:lang w:eastAsia="en-US"/>
    </w:rPr>
  </w:style>
  <w:style w:type="paragraph" w:customStyle="1" w:styleId="BSnote1">
    <w:name w:val="BS_note_1"/>
    <w:basedOn w:val="Normal5"/>
    <w:link w:val="BSnoteChar1"/>
    <w:qFormat/>
    <w:rsid w:val="00F8515C"/>
    <w:pPr>
      <w:keepNext/>
      <w:spacing w:before="120" w:after="0"/>
    </w:pPr>
    <w:rPr>
      <w:b/>
      <w:sz w:val="18"/>
      <w:szCs w:val="16"/>
    </w:rPr>
  </w:style>
  <w:style w:type="character" w:customStyle="1" w:styleId="BSnoteChar1">
    <w:name w:val="BS_note Char_1"/>
    <w:link w:val="BSnote1"/>
    <w:locked/>
    <w:rsid w:val="00F8515C"/>
    <w:rPr>
      <w:rFonts w:ascii="Calibri" w:hAnsi="Calibri"/>
      <w:b/>
      <w:sz w:val="18"/>
      <w:szCs w:val="16"/>
      <w:lang w:eastAsia="en-US"/>
    </w:rPr>
  </w:style>
  <w:style w:type="paragraph" w:customStyle="1" w:styleId="Normal030">
    <w:name w:val="Normal_0_3_0"/>
    <w:qFormat/>
    <w:rsid w:val="00F8515C"/>
    <w:pPr>
      <w:spacing w:before="200" w:after="200"/>
    </w:pPr>
    <w:rPr>
      <w:rFonts w:ascii="Calibri" w:hAnsi="Calibri"/>
      <w:sz w:val="24"/>
      <w:lang w:eastAsia="en-US"/>
    </w:rPr>
  </w:style>
  <w:style w:type="paragraph" w:customStyle="1" w:styleId="BSnoteslist20">
    <w:name w:val="BS_notes list_2_0"/>
    <w:basedOn w:val="Normal5"/>
    <w:link w:val="BSnoteslistChar20"/>
    <w:qFormat/>
    <w:rsid w:val="00F8515C"/>
    <w:pPr>
      <w:numPr>
        <w:numId w:val="28"/>
      </w:numPr>
      <w:spacing w:before="0" w:after="0"/>
    </w:pPr>
    <w:rPr>
      <w:sz w:val="18"/>
      <w:szCs w:val="24"/>
    </w:rPr>
  </w:style>
  <w:style w:type="character" w:customStyle="1" w:styleId="BSnoteslistChar20">
    <w:name w:val="BS_notes list Char_2_0"/>
    <w:basedOn w:val="DefaultParagraphFont"/>
    <w:link w:val="BSnoteslist20"/>
    <w:locked/>
    <w:rsid w:val="00F8515C"/>
    <w:rPr>
      <w:rFonts w:ascii="Calibri" w:hAnsi="Calibri"/>
      <w:sz w:val="18"/>
      <w:szCs w:val="24"/>
      <w:lang w:eastAsia="en-US"/>
    </w:rPr>
  </w:style>
  <w:style w:type="paragraph" w:customStyle="1" w:styleId="BSnoteslist3">
    <w:name w:val="BS_notes list_3"/>
    <w:basedOn w:val="Alnotes2"/>
    <w:link w:val="BSnoteslistChar3"/>
    <w:qFormat/>
    <w:rsid w:val="00833051"/>
    <w:pPr>
      <w:numPr>
        <w:numId w:val="30"/>
      </w:numPr>
    </w:pPr>
  </w:style>
  <w:style w:type="paragraph" w:customStyle="1" w:styleId="Alnotes2">
    <w:name w:val="Al notes_2"/>
    <w:basedOn w:val="ListParagraph2"/>
    <w:next w:val="Normal5"/>
    <w:link w:val="AlnotesChar2"/>
    <w:autoRedefine/>
    <w:rsid w:val="00C0540A"/>
    <w:pPr>
      <w:numPr>
        <w:numId w:val="31"/>
      </w:numPr>
      <w:spacing w:before="0"/>
    </w:pPr>
    <w:rPr>
      <w:sz w:val="18"/>
    </w:rPr>
  </w:style>
  <w:style w:type="paragraph" w:customStyle="1" w:styleId="ListParagraph2">
    <w:name w:val="List Paragraph_2"/>
    <w:basedOn w:val="Normal5"/>
    <w:link w:val="ListParagraphChar2"/>
    <w:uiPriority w:val="34"/>
    <w:qFormat/>
    <w:rsid w:val="009E567D"/>
    <w:pPr>
      <w:spacing w:after="0"/>
      <w:ind w:left="357" w:hanging="357"/>
    </w:pPr>
    <w:rPr>
      <w:sz w:val="16"/>
      <w:szCs w:val="24"/>
    </w:rPr>
  </w:style>
  <w:style w:type="character" w:customStyle="1" w:styleId="ListParagraphChar2">
    <w:name w:val="List Paragraph Char_2"/>
    <w:link w:val="ListParagraph2"/>
    <w:uiPriority w:val="34"/>
    <w:rsid w:val="005B5A37"/>
    <w:rPr>
      <w:rFonts w:ascii="Calibri" w:hAnsi="Calibri"/>
      <w:sz w:val="16"/>
      <w:szCs w:val="24"/>
      <w:lang w:eastAsia="en-US"/>
    </w:rPr>
  </w:style>
  <w:style w:type="character" w:customStyle="1" w:styleId="AlnotesChar2">
    <w:name w:val="Al notes Char_2"/>
    <w:link w:val="Alnotes2"/>
    <w:rsid w:val="00C0540A"/>
    <w:rPr>
      <w:rFonts w:ascii="Calibri" w:hAnsi="Calibri"/>
      <w:sz w:val="18"/>
      <w:szCs w:val="24"/>
      <w:lang w:eastAsia="en-US"/>
    </w:rPr>
  </w:style>
  <w:style w:type="character" w:customStyle="1" w:styleId="BSnoteslistChar3">
    <w:name w:val="BS_notes list Char_3"/>
    <w:basedOn w:val="AlnotesChar2"/>
    <w:link w:val="BSnoteslist3"/>
    <w:rsid w:val="00833051"/>
    <w:rPr>
      <w:rFonts w:ascii="Calibri" w:hAnsi="Calibri"/>
      <w:sz w:val="18"/>
      <w:szCs w:val="24"/>
      <w:lang w:eastAsia="en-US"/>
    </w:rPr>
  </w:style>
  <w:style w:type="paragraph" w:customStyle="1" w:styleId="BStablefigures10">
    <w:name w:val="BS_table figures_1_0"/>
    <w:basedOn w:val="BStabletext1"/>
    <w:link w:val="BStablefiguresChar10"/>
    <w:autoRedefine/>
    <w:qFormat/>
    <w:rsid w:val="00F8515C"/>
    <w:pPr>
      <w:jc w:val="right"/>
    </w:pPr>
    <w:rPr>
      <w:bCs w:val="0"/>
    </w:rPr>
  </w:style>
  <w:style w:type="character" w:customStyle="1" w:styleId="BStablefiguresChar10">
    <w:name w:val="BS_table figures Char_1_0"/>
    <w:basedOn w:val="DefaultParagraphFont"/>
    <w:link w:val="BStablefigures10"/>
    <w:locked/>
    <w:rsid w:val="00F8515C"/>
    <w:rPr>
      <w:rFonts w:ascii="Calibri" w:hAnsi="Calibri"/>
      <w:lang w:eastAsia="en-US"/>
    </w:rPr>
  </w:style>
  <w:style w:type="paragraph" w:customStyle="1" w:styleId="Heading32">
    <w:name w:val="Heading 3_2"/>
    <w:basedOn w:val="Normal6"/>
    <w:next w:val="Normal6"/>
    <w:link w:val="Heading3Char2"/>
    <w:autoRedefine/>
    <w:qFormat/>
    <w:rsid w:val="00EE4D16"/>
    <w:pPr>
      <w:keepNext/>
      <w:keepLines/>
      <w:spacing w:before="360"/>
      <w:contextualSpacing/>
      <w:outlineLvl w:val="2"/>
    </w:pPr>
    <w:rPr>
      <w:b/>
      <w:bCs/>
      <w:sz w:val="28"/>
      <w:szCs w:val="26"/>
    </w:rPr>
  </w:style>
  <w:style w:type="paragraph" w:customStyle="1" w:styleId="Normal6">
    <w:name w:val="Normal_6"/>
    <w:qFormat/>
    <w:rsid w:val="00127A4C"/>
    <w:pPr>
      <w:spacing w:before="200" w:after="200"/>
    </w:pPr>
    <w:rPr>
      <w:rFonts w:ascii="Calibri" w:hAnsi="Calibri"/>
      <w:sz w:val="24"/>
      <w:lang w:eastAsia="en-US"/>
    </w:rPr>
  </w:style>
  <w:style w:type="character" w:customStyle="1" w:styleId="Heading3Char2">
    <w:name w:val="Heading 3 Char_2"/>
    <w:link w:val="Heading32"/>
    <w:locked/>
    <w:rsid w:val="00EE4D16"/>
    <w:rPr>
      <w:rFonts w:ascii="Calibri" w:hAnsi="Calibri" w:cs="Arial"/>
      <w:b/>
      <w:bCs/>
      <w:sz w:val="28"/>
      <w:szCs w:val="26"/>
      <w:lang w:eastAsia="en-US"/>
    </w:rPr>
  </w:style>
  <w:style w:type="paragraph" w:customStyle="1" w:styleId="BSbullet11">
    <w:name w:val="BS_bullet 1_1"/>
    <w:basedOn w:val="BodyTextIndent1"/>
    <w:link w:val="BSbullet1Char1"/>
    <w:qFormat/>
    <w:rsid w:val="009E567D"/>
    <w:pPr>
      <w:keepNext w:val="0"/>
      <w:keepLines w:val="0"/>
      <w:numPr>
        <w:numId w:val="37"/>
      </w:numPr>
    </w:pPr>
  </w:style>
  <w:style w:type="paragraph" w:customStyle="1" w:styleId="BodyTextIndent1">
    <w:name w:val="Body Text Indent_1"/>
    <w:basedOn w:val="Normal6"/>
    <w:link w:val="BodyTextIndentChar1"/>
    <w:rsid w:val="00FB4CEC"/>
    <w:pPr>
      <w:keepNext/>
      <w:keepLines/>
      <w:tabs>
        <w:tab w:val="num" w:pos="360"/>
      </w:tabs>
      <w:spacing w:after="120"/>
      <w:ind w:left="360" w:hanging="360"/>
      <w:jc w:val="both"/>
    </w:pPr>
    <w:rPr>
      <w:szCs w:val="24"/>
    </w:rPr>
  </w:style>
  <w:style w:type="character" w:customStyle="1" w:styleId="BodyTextIndentChar1">
    <w:name w:val="Body Text Indent Char_1"/>
    <w:link w:val="BodyTextIndent1"/>
    <w:locked/>
    <w:rsid w:val="00BF50D3"/>
    <w:rPr>
      <w:rFonts w:ascii="Calibri" w:hAnsi="Calibri"/>
      <w:sz w:val="24"/>
      <w:szCs w:val="24"/>
      <w:lang w:eastAsia="en-US"/>
    </w:rPr>
  </w:style>
  <w:style w:type="character" w:customStyle="1" w:styleId="BSbullet1Char1">
    <w:name w:val="BS_bullet 1 Char_1"/>
    <w:basedOn w:val="BodyTextIndentChar1"/>
    <w:link w:val="BSbullet11"/>
    <w:rsid w:val="009E567D"/>
    <w:rPr>
      <w:rFonts w:ascii="Calibri" w:hAnsi="Calibri"/>
      <w:sz w:val="24"/>
      <w:szCs w:val="24"/>
      <w:lang w:eastAsia="en-US"/>
    </w:rPr>
  </w:style>
  <w:style w:type="paragraph" w:customStyle="1" w:styleId="BSbullet2">
    <w:name w:val="BS_bullet 2"/>
    <w:basedOn w:val="BSbullet11"/>
    <w:link w:val="BSbullet2Char"/>
    <w:qFormat/>
    <w:rsid w:val="009D76F0"/>
    <w:pPr>
      <w:numPr>
        <w:numId w:val="38"/>
      </w:numPr>
      <w:ind w:left="714" w:hanging="357"/>
      <w:jc w:val="left"/>
    </w:pPr>
  </w:style>
  <w:style w:type="character" w:customStyle="1" w:styleId="BSbullet2Char">
    <w:name w:val="BS_bullet 2 Char"/>
    <w:basedOn w:val="BSbullet1Char1"/>
    <w:link w:val="BSbullet2"/>
    <w:rsid w:val="009D76F0"/>
    <w:rPr>
      <w:rFonts w:ascii="Calibri" w:hAnsi="Calibri"/>
      <w:sz w:val="24"/>
      <w:szCs w:val="24"/>
      <w:lang w:eastAsia="en-US"/>
    </w:rPr>
  </w:style>
  <w:style w:type="paragraph" w:customStyle="1" w:styleId="Heading42">
    <w:name w:val="Heading 4_2"/>
    <w:basedOn w:val="Normal6"/>
    <w:next w:val="Normal6"/>
    <w:link w:val="Heading4Char2"/>
    <w:autoRedefine/>
    <w:qFormat/>
    <w:rsid w:val="00EE4D16"/>
    <w:pPr>
      <w:keepNext/>
      <w:keepLines/>
      <w:spacing w:before="240" w:after="120"/>
      <w:outlineLvl w:val="3"/>
    </w:pPr>
    <w:rPr>
      <w:b/>
      <w:i/>
    </w:rPr>
  </w:style>
  <w:style w:type="character" w:customStyle="1" w:styleId="Heading4Char2">
    <w:name w:val="Heading 4 Char_2"/>
    <w:link w:val="Heading42"/>
    <w:locked/>
    <w:rsid w:val="00EE4D16"/>
    <w:rPr>
      <w:rFonts w:ascii="Calibri" w:hAnsi="Calibri"/>
      <w:b/>
      <w:i/>
      <w:sz w:val="24"/>
      <w:lang w:eastAsia="en-US"/>
    </w:rPr>
  </w:style>
  <w:style w:type="paragraph" w:customStyle="1" w:styleId="Heading33">
    <w:name w:val="Heading 3_3"/>
    <w:basedOn w:val="Normal7"/>
    <w:next w:val="Normal7"/>
    <w:link w:val="Heading3Char3"/>
    <w:autoRedefine/>
    <w:qFormat/>
    <w:rsid w:val="00EE4D16"/>
    <w:pPr>
      <w:keepNext/>
      <w:keepLines/>
      <w:spacing w:before="360"/>
      <w:contextualSpacing/>
      <w:outlineLvl w:val="2"/>
    </w:pPr>
    <w:rPr>
      <w:b/>
      <w:bCs/>
      <w:sz w:val="28"/>
      <w:szCs w:val="26"/>
    </w:rPr>
  </w:style>
  <w:style w:type="paragraph" w:customStyle="1" w:styleId="Normal7">
    <w:name w:val="Normal_7"/>
    <w:qFormat/>
    <w:rsid w:val="00127A4C"/>
    <w:pPr>
      <w:spacing w:before="200" w:after="200"/>
    </w:pPr>
    <w:rPr>
      <w:rFonts w:ascii="Calibri" w:hAnsi="Calibri"/>
      <w:sz w:val="24"/>
      <w:lang w:eastAsia="en-US"/>
    </w:rPr>
  </w:style>
  <w:style w:type="character" w:customStyle="1" w:styleId="Heading3Char3">
    <w:name w:val="Heading 3 Char_3"/>
    <w:link w:val="Heading33"/>
    <w:locked/>
    <w:rsid w:val="00EE4D16"/>
    <w:rPr>
      <w:rFonts w:ascii="Calibri" w:hAnsi="Calibri" w:cs="Arial"/>
      <w:b/>
      <w:bCs/>
      <w:sz w:val="28"/>
      <w:szCs w:val="26"/>
      <w:lang w:eastAsia="en-US"/>
    </w:rPr>
  </w:style>
  <w:style w:type="paragraph" w:customStyle="1" w:styleId="BSbullet12">
    <w:name w:val="BS_bullet 1_2"/>
    <w:basedOn w:val="BodyTextIndent2"/>
    <w:link w:val="BSbullet1Char2"/>
    <w:qFormat/>
    <w:rsid w:val="009E567D"/>
    <w:pPr>
      <w:keepNext w:val="0"/>
      <w:keepLines w:val="0"/>
      <w:numPr>
        <w:numId w:val="39"/>
      </w:numPr>
    </w:pPr>
  </w:style>
  <w:style w:type="paragraph" w:customStyle="1" w:styleId="BodyTextIndent2">
    <w:name w:val="Body Text Indent_2"/>
    <w:basedOn w:val="Normal7"/>
    <w:link w:val="BodyTextIndentChar2"/>
    <w:rsid w:val="00FB4CEC"/>
    <w:pPr>
      <w:keepNext/>
      <w:keepLines/>
      <w:tabs>
        <w:tab w:val="num" w:pos="360"/>
      </w:tabs>
      <w:spacing w:after="120"/>
      <w:ind w:left="360" w:hanging="360"/>
      <w:jc w:val="both"/>
    </w:pPr>
    <w:rPr>
      <w:szCs w:val="24"/>
    </w:rPr>
  </w:style>
  <w:style w:type="character" w:customStyle="1" w:styleId="BodyTextIndentChar2">
    <w:name w:val="Body Text Indent Char_2"/>
    <w:link w:val="BodyTextIndent2"/>
    <w:locked/>
    <w:rsid w:val="00BF50D3"/>
    <w:rPr>
      <w:rFonts w:ascii="Calibri" w:hAnsi="Calibri"/>
      <w:sz w:val="24"/>
      <w:szCs w:val="24"/>
      <w:lang w:eastAsia="en-US"/>
    </w:rPr>
  </w:style>
  <w:style w:type="character" w:customStyle="1" w:styleId="BSbullet1Char2">
    <w:name w:val="BS_bullet 1 Char_2"/>
    <w:basedOn w:val="BodyTextIndentChar2"/>
    <w:link w:val="BSbullet12"/>
    <w:rsid w:val="009E567D"/>
    <w:rPr>
      <w:rFonts w:ascii="Calibri" w:hAnsi="Calibri"/>
      <w:sz w:val="24"/>
      <w:szCs w:val="24"/>
      <w:lang w:eastAsia="en-US"/>
    </w:rPr>
  </w:style>
  <w:style w:type="paragraph" w:customStyle="1" w:styleId="BSbullet20">
    <w:name w:val="BS_bullet 2_0"/>
    <w:basedOn w:val="BSbullet12"/>
    <w:link w:val="BSbullet2Char0"/>
    <w:qFormat/>
    <w:rsid w:val="009D76F0"/>
    <w:pPr>
      <w:numPr>
        <w:numId w:val="41"/>
      </w:numPr>
      <w:ind w:left="714" w:hanging="357"/>
      <w:jc w:val="left"/>
    </w:pPr>
  </w:style>
  <w:style w:type="character" w:customStyle="1" w:styleId="BSbullet2Char0">
    <w:name w:val="BS_bullet 2 Char_0"/>
    <w:basedOn w:val="BSbullet1Char2"/>
    <w:link w:val="BSbullet20"/>
    <w:rsid w:val="009D76F0"/>
    <w:rPr>
      <w:rFonts w:ascii="Calibri" w:hAnsi="Calibri"/>
      <w:sz w:val="24"/>
      <w:szCs w:val="24"/>
      <w:lang w:eastAsia="en-US"/>
    </w:rPr>
  </w:style>
  <w:style w:type="paragraph" w:customStyle="1" w:styleId="Heading43">
    <w:name w:val="Heading 4_3"/>
    <w:basedOn w:val="Normal7"/>
    <w:next w:val="Normal7"/>
    <w:link w:val="Heading4Char3"/>
    <w:autoRedefine/>
    <w:qFormat/>
    <w:rsid w:val="00EE4D16"/>
    <w:pPr>
      <w:keepNext/>
      <w:keepLines/>
      <w:spacing w:before="240" w:after="120"/>
      <w:outlineLvl w:val="3"/>
    </w:pPr>
    <w:rPr>
      <w:b/>
      <w:i/>
    </w:rPr>
  </w:style>
  <w:style w:type="character" w:customStyle="1" w:styleId="Heading4Char3">
    <w:name w:val="Heading 4 Char_3"/>
    <w:link w:val="Heading43"/>
    <w:locked/>
    <w:rsid w:val="00EE4D16"/>
    <w:rPr>
      <w:rFonts w:ascii="Calibri" w:hAnsi="Calibri"/>
      <w:b/>
      <w:i/>
      <w:sz w:val="24"/>
      <w:lang w:eastAsia="en-US"/>
    </w:rPr>
  </w:style>
  <w:style w:type="paragraph" w:styleId="BalloonText">
    <w:name w:val="Balloon Text"/>
    <w:basedOn w:val="Normal"/>
    <w:link w:val="BalloonTextChar"/>
    <w:semiHidden/>
    <w:unhideWhenUsed/>
    <w:rsid w:val="00977B84"/>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977B84"/>
    <w:rPr>
      <w:rFonts w:ascii="Segoe UI" w:hAnsi="Segoe UI" w:cs="Segoe UI"/>
      <w:sz w:val="18"/>
      <w:szCs w:val="18"/>
      <w:lang w:eastAsia="en-US"/>
    </w:rPr>
  </w:style>
  <w:style w:type="paragraph" w:customStyle="1" w:styleId="SILabel">
    <w:name w:val="SI Label"/>
    <w:basedOn w:val="Normal03"/>
    <w:link w:val="SILabelChar"/>
    <w:qFormat/>
    <w:rsid w:val="00A67E34"/>
    <w:pPr>
      <w:keepNext/>
      <w:keepLines/>
      <w:spacing w:before="240" w:after="120"/>
      <w:outlineLvl w:val="0"/>
    </w:pPr>
    <w:rPr>
      <w:rFonts w:ascii="Arial" w:hAnsi="Arial" w:cs="Arial"/>
      <w:b/>
      <w:kern w:val="28"/>
      <w:sz w:val="20"/>
    </w:rPr>
  </w:style>
  <w:style w:type="character" w:customStyle="1" w:styleId="SILabelChar">
    <w:name w:val="SI Label Char"/>
    <w:link w:val="SILabel"/>
    <w:locked/>
    <w:rsid w:val="00A67E34"/>
    <w:rPr>
      <w:rFonts w:ascii="Arial" w:hAnsi="Arial" w:cs="Arial"/>
      <w:b/>
      <w:kern w:val="28"/>
      <w:lang w:eastAsia="en-US"/>
    </w:rPr>
  </w:style>
  <w:style w:type="paragraph" w:customStyle="1" w:styleId="BodyText0">
    <w:name w:val="Body Text_0"/>
    <w:basedOn w:val="Normal2"/>
    <w:link w:val="BodyTextChar0"/>
    <w:rsid w:val="00A67E34"/>
    <w:pPr>
      <w:keepNext/>
      <w:keepLines/>
      <w:spacing w:before="120" w:after="120"/>
      <w:jc w:val="both"/>
    </w:pPr>
  </w:style>
  <w:style w:type="character" w:customStyle="1" w:styleId="BodyTextChar0">
    <w:name w:val="Body Text Char_0"/>
    <w:link w:val="BodyText0"/>
    <w:locked/>
    <w:rsid w:val="00A67E34"/>
    <w:rPr>
      <w:rFonts w:ascii="Calibri" w:hAnsi="Calibri"/>
      <w:sz w:val="24"/>
      <w:lang w:eastAsia="en-US"/>
    </w:rPr>
  </w:style>
  <w:style w:type="paragraph" w:customStyle="1" w:styleId="Heading3TopofPage">
    <w:name w:val="Heading 3 Top of Page"/>
    <w:basedOn w:val="Heading3"/>
    <w:link w:val="Heading3TopofPageChar"/>
    <w:rsid w:val="00A67E34"/>
    <w:pPr>
      <w:spacing w:before="0"/>
    </w:pPr>
    <w:rPr>
      <w:rFonts w:ascii="Arial" w:hAnsi="Arial"/>
      <w:sz w:val="24"/>
    </w:rPr>
  </w:style>
  <w:style w:type="character" w:customStyle="1" w:styleId="Heading3TopofPageChar">
    <w:name w:val="Heading 3 Top of Page Char"/>
    <w:link w:val="Heading3TopofPage"/>
    <w:locked/>
    <w:rsid w:val="00A67E34"/>
    <w:rPr>
      <w:rFonts w:ascii="Arial" w:hAnsi="Arial"/>
      <w:b/>
      <w:bCs/>
      <w:sz w:val="24"/>
      <w:szCs w:val="26"/>
      <w:lang w:eastAsia="en-US"/>
    </w:rPr>
  </w:style>
  <w:style w:type="character" w:customStyle="1" w:styleId="y0nh2b">
    <w:name w:val="y0nh2b"/>
    <w:basedOn w:val="DefaultParagraphFont"/>
    <w:rsid w:val="00A67E34"/>
    <w:rPr>
      <w:rFonts w:ascii="Calibri" w:hAnsi="Calibri"/>
      <w:lang w:eastAsia="en-US"/>
    </w:rPr>
  </w:style>
  <w:style w:type="paragraph" w:customStyle="1" w:styleId="Normal04">
    <w:name w:val="Normal_0_4"/>
    <w:qFormat/>
    <w:rsid w:val="00A67E34"/>
    <w:pPr>
      <w:spacing w:before="200" w:after="200"/>
    </w:pPr>
    <w:rPr>
      <w:rFonts w:ascii="Calibri" w:hAnsi="Calibri"/>
      <w:sz w:val="24"/>
      <w:lang w:eastAsia="en-US"/>
    </w:rPr>
  </w:style>
  <w:style w:type="paragraph" w:customStyle="1" w:styleId="BSnote00">
    <w:name w:val="BS_note_0_0"/>
    <w:basedOn w:val="Normal4"/>
    <w:link w:val="BSnoteChar00"/>
    <w:qFormat/>
    <w:rsid w:val="00A67E34"/>
    <w:pPr>
      <w:keepNext/>
      <w:spacing w:before="120" w:after="0"/>
    </w:pPr>
    <w:rPr>
      <w:b/>
      <w:sz w:val="18"/>
      <w:szCs w:val="16"/>
    </w:rPr>
  </w:style>
  <w:style w:type="character" w:customStyle="1" w:styleId="BSnoteChar00">
    <w:name w:val="BS_note Char_0_0"/>
    <w:link w:val="BSnote00"/>
    <w:locked/>
    <w:rsid w:val="00A67E34"/>
    <w:rPr>
      <w:rFonts w:ascii="Calibri" w:hAnsi="Calibri"/>
      <w:b/>
      <w:sz w:val="18"/>
      <w:szCs w:val="16"/>
      <w:lang w:eastAsia="en-US"/>
    </w:rPr>
  </w:style>
  <w:style w:type="paragraph" w:styleId="TOC1">
    <w:name w:val="toc 1"/>
    <w:basedOn w:val="Normal"/>
    <w:next w:val="Normal"/>
    <w:autoRedefine/>
    <w:uiPriority w:val="39"/>
    <w:unhideWhenUsed/>
    <w:qFormat/>
    <w:locked/>
    <w:rsid w:val="00E67DD8"/>
    <w:pPr>
      <w:spacing w:after="100"/>
    </w:pPr>
  </w:style>
  <w:style w:type="paragraph" w:styleId="TOC2">
    <w:name w:val="toc 2"/>
    <w:basedOn w:val="Normal"/>
    <w:next w:val="Normal"/>
    <w:autoRedefine/>
    <w:uiPriority w:val="39"/>
    <w:unhideWhenUsed/>
    <w:qFormat/>
    <w:locked/>
    <w:rsid w:val="00E67DD8"/>
    <w:pPr>
      <w:spacing w:after="100"/>
      <w:ind w:left="240"/>
    </w:pPr>
  </w:style>
  <w:style w:type="paragraph" w:styleId="TOC3">
    <w:name w:val="toc 3"/>
    <w:basedOn w:val="Normal"/>
    <w:next w:val="Normal"/>
    <w:autoRedefine/>
    <w:uiPriority w:val="39"/>
    <w:unhideWhenUsed/>
    <w:locked/>
    <w:rsid w:val="00E67DD8"/>
    <w:pPr>
      <w:spacing w:after="100"/>
      <w:ind w:left="480"/>
    </w:pPr>
  </w:style>
  <w:style w:type="character" w:styleId="Hyperlink">
    <w:name w:val="Hyperlink"/>
    <w:basedOn w:val="DefaultParagraphFont"/>
    <w:uiPriority w:val="99"/>
    <w:unhideWhenUsed/>
    <w:rsid w:val="00E67DD8"/>
    <w:rPr>
      <w:color w:val="0000FF" w:themeColor="hyperlink"/>
      <w:u w:val="single"/>
    </w:rPr>
  </w:style>
  <w:style w:type="paragraph" w:styleId="Footer">
    <w:name w:val="footer"/>
    <w:basedOn w:val="Normal"/>
    <w:link w:val="FooterChar"/>
    <w:uiPriority w:val="99"/>
    <w:unhideWhenUsed/>
    <w:rsid w:val="00D23CE9"/>
    <w:pPr>
      <w:tabs>
        <w:tab w:val="center" w:pos="4680"/>
        <w:tab w:val="right" w:pos="9360"/>
      </w:tabs>
      <w:spacing w:before="0" w:after="0"/>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D23CE9"/>
    <w:rPr>
      <w:rFonts w:asciiTheme="minorHAnsi" w:eastAsiaTheme="minorEastAsia" w:hAnsiTheme="minorHAnsi"/>
      <w:sz w:val="22"/>
      <w:szCs w:val="22"/>
      <w:lang w:val="en-US" w:eastAsia="en-US"/>
    </w:rPr>
  </w:style>
  <w:style w:type="character" w:styleId="CommentReference">
    <w:name w:val="annotation reference"/>
    <w:basedOn w:val="DefaultParagraphFont"/>
    <w:semiHidden/>
    <w:unhideWhenUsed/>
    <w:rsid w:val="00167E13"/>
    <w:rPr>
      <w:sz w:val="16"/>
      <w:szCs w:val="16"/>
    </w:rPr>
  </w:style>
  <w:style w:type="paragraph" w:styleId="CommentText">
    <w:name w:val="annotation text"/>
    <w:basedOn w:val="Normal"/>
    <w:link w:val="CommentTextChar"/>
    <w:semiHidden/>
    <w:unhideWhenUsed/>
    <w:rsid w:val="00167E13"/>
    <w:rPr>
      <w:sz w:val="20"/>
    </w:rPr>
  </w:style>
  <w:style w:type="character" w:customStyle="1" w:styleId="CommentTextChar">
    <w:name w:val="Comment Text Char"/>
    <w:basedOn w:val="DefaultParagraphFont"/>
    <w:link w:val="CommentText"/>
    <w:semiHidden/>
    <w:rsid w:val="00167E13"/>
    <w:rPr>
      <w:rFonts w:ascii="Calibri" w:hAnsi="Calibri"/>
      <w:lang w:eastAsia="en-US"/>
    </w:rPr>
  </w:style>
  <w:style w:type="paragraph" w:styleId="CommentSubject">
    <w:name w:val="annotation subject"/>
    <w:basedOn w:val="CommentText"/>
    <w:next w:val="CommentText"/>
    <w:link w:val="CommentSubjectChar"/>
    <w:semiHidden/>
    <w:unhideWhenUsed/>
    <w:rsid w:val="00167E13"/>
    <w:rPr>
      <w:b/>
      <w:bCs/>
    </w:rPr>
  </w:style>
  <w:style w:type="character" w:customStyle="1" w:styleId="CommentSubjectChar">
    <w:name w:val="Comment Subject Char"/>
    <w:basedOn w:val="CommentTextChar"/>
    <w:link w:val="CommentSubject"/>
    <w:semiHidden/>
    <w:rsid w:val="00167E13"/>
    <w:rPr>
      <w:rFonts w:ascii="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58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E5EF5F265F7D458D1FEEFD48F7BFA4" ma:contentTypeVersion="0" ma:contentTypeDescription="Create a new document." ma:contentTypeScope="" ma:versionID="dddae15455901e30546d578d0a837a6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C4EF5B-89DB-42DE-A108-5054DD84C582}">
  <ds:schemaRefs>
    <ds:schemaRef ds:uri="http://schemas.microsoft.com/office/infopath/2007/PartnerControls"/>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3773338-2623-4C9A-81A2-2E84E09D9D45}">
  <ds:schemaRefs>
    <ds:schemaRef ds:uri="http://schemas.microsoft.com/sharepoint/v3/contenttype/forms"/>
  </ds:schemaRefs>
</ds:datastoreItem>
</file>

<file path=customXml/itemProps3.xml><?xml version="1.0" encoding="utf-8"?>
<ds:datastoreItem xmlns:ds="http://schemas.openxmlformats.org/officeDocument/2006/customXml" ds:itemID="{1E2E6925-80EF-48A9-AF59-38BCFA3F2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DCB7D66-5DB6-42F5-AE03-44CAA5B33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50</Pages>
  <Words>11273</Words>
  <Characters>66246</Characters>
  <Application>Microsoft Office Word</Application>
  <DocSecurity>0</DocSecurity>
  <Lines>552</Lines>
  <Paragraphs>154</Paragraphs>
  <ScaleCrop>false</ScaleCrop>
  <HeadingPairs>
    <vt:vector size="2" baseType="variant">
      <vt:variant>
        <vt:lpstr>Title</vt:lpstr>
      </vt:variant>
      <vt:variant>
        <vt:i4>1</vt:i4>
      </vt:variant>
    </vt:vector>
  </HeadingPairs>
  <TitlesOfParts>
    <vt:vector size="1" baseType="lpstr">
      <vt:lpstr>2018-19 Health Directorate Budget Statement</vt:lpstr>
    </vt:vector>
  </TitlesOfParts>
  <Company>ACT Government</Company>
  <LinksUpToDate>false</LinksUpToDate>
  <CharactersWithSpaces>77365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Budget 2018-19. Budget Statements C</dc:title>
  <dc:subject>2018-19 Budget Statement for Health Directorate and ACT Local Hospital Network Directorate</dc:subject>
  <dc:creator>ACT Government</dc:creator>
  <cp:keywords>2018-19 Budget Statement for Health Directorate and ACT Local Hospital Network Directorate</cp:keywords>
  <cp:lastModifiedBy>Donda, Jean-Paul (Health)</cp:lastModifiedBy>
  <cp:revision>3</cp:revision>
  <cp:lastPrinted>2018-05-30T08:29:00Z</cp:lastPrinted>
  <dcterms:created xsi:type="dcterms:W3CDTF">2018-05-30T09:01:00Z</dcterms:created>
  <dcterms:modified xsi:type="dcterms:W3CDTF">2018-05-31T05:45:00Z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Description">
    <vt:lpwstr>Health Directorate Budget Statements includes financial statements, output classes, descriptions of functions, roles and responsibilities, together with major priorities</vt:lpwstr>
  </property>
</Properties>
</file>