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C9A" w:rsidRPr="0084198B" w:rsidRDefault="004159CD" w:rsidP="00890DEA">
      <w:pPr>
        <w:pStyle w:val="Heading1"/>
      </w:pPr>
      <w:r w:rsidRPr="00890DEA">
        <w:t>4</w:t>
      </w:r>
      <w:r w:rsidR="00890DEA" w:rsidRPr="0084198B">
        <w:t>.1</w:t>
      </w:r>
      <w:r w:rsidR="00890DEA" w:rsidRPr="0084198B">
        <w:tab/>
      </w:r>
      <w:r w:rsidR="00D84C9A" w:rsidRPr="0084198B">
        <w:t>FEDERAL FINANCIAL RELATIONS</w:t>
      </w:r>
    </w:p>
    <w:p w:rsidR="00FC29C3" w:rsidRDefault="00FC29C3" w:rsidP="00FC29C3">
      <w:pPr>
        <w:pStyle w:val="BodyText"/>
      </w:pPr>
      <w:r w:rsidRPr="00FC29C3">
        <w:t>This chapter outlines developments in the ACT’s financial relations with the Commonwealth, States and the Northern Territory that occurred in 2012-13, l</w:t>
      </w:r>
      <w:r w:rsidR="001F2E73">
        <w:t>ikely flow-on effects into 2013</w:t>
      </w:r>
      <w:r w:rsidR="001F2E73">
        <w:noBreakHyphen/>
      </w:r>
      <w:r w:rsidRPr="00FC29C3">
        <w:t>14 and possible developments in the forward years.</w:t>
      </w:r>
    </w:p>
    <w:p w:rsidR="00D84C9A" w:rsidRPr="00890DEA" w:rsidRDefault="00B4368D" w:rsidP="00890DEA">
      <w:pPr>
        <w:pStyle w:val="Heading3"/>
      </w:pPr>
      <w:r w:rsidRPr="00890DEA">
        <w:t>The Structure of Australia’s Federal Financial Relations</w:t>
      </w:r>
    </w:p>
    <w:p w:rsidR="00475FA8" w:rsidRPr="0084198B" w:rsidRDefault="00BB5543" w:rsidP="0084198B">
      <w:pPr>
        <w:pStyle w:val="BodyText"/>
      </w:pPr>
      <w:r w:rsidRPr="0084198B">
        <w:t xml:space="preserve">The </w:t>
      </w:r>
      <w:r w:rsidR="002D4C0F" w:rsidRPr="0084198B">
        <w:t xml:space="preserve">Australian federal </w:t>
      </w:r>
      <w:r w:rsidR="004159CD" w:rsidRPr="0084198B">
        <w:t xml:space="preserve">financial relations </w:t>
      </w:r>
      <w:r w:rsidR="002D4C0F" w:rsidRPr="0084198B">
        <w:t xml:space="preserve">system </w:t>
      </w:r>
      <w:r w:rsidR="00E3094F" w:rsidRPr="0084198B">
        <w:t xml:space="preserve">is </w:t>
      </w:r>
      <w:r w:rsidRPr="0084198B">
        <w:t xml:space="preserve">characterised by </w:t>
      </w:r>
      <w:r w:rsidR="004C202D" w:rsidRPr="0084198B">
        <w:t xml:space="preserve">two distinct </w:t>
      </w:r>
      <w:r w:rsidR="00E53276" w:rsidRPr="0084198B">
        <w:t>features:</w:t>
      </w:r>
      <w:r w:rsidR="004C202D" w:rsidRPr="0084198B">
        <w:t xml:space="preserve"> </w:t>
      </w:r>
      <w:r w:rsidR="00A45EFE" w:rsidRPr="0084198B">
        <w:t>a </w:t>
      </w:r>
      <w:r w:rsidRPr="0084198B">
        <w:t xml:space="preserve">high </w:t>
      </w:r>
      <w:r w:rsidR="002D4C0F" w:rsidRPr="0084198B">
        <w:t>degree of vertical fiscal imbalance (VFI)</w:t>
      </w:r>
      <w:r w:rsidR="00535841" w:rsidRPr="0084198B">
        <w:t xml:space="preserve"> </w:t>
      </w:r>
      <w:r w:rsidR="00B2204C" w:rsidRPr="0084198B">
        <w:t xml:space="preserve">remedied by the transfer of revenue under a </w:t>
      </w:r>
      <w:r w:rsidR="004C202D" w:rsidRPr="0084198B">
        <w:t>horizontal fiscal equalisation (HFE)</w:t>
      </w:r>
      <w:r w:rsidR="00B2204C" w:rsidRPr="0084198B">
        <w:t xml:space="preserve"> system</w:t>
      </w:r>
      <w:r w:rsidR="004C202D" w:rsidRPr="0084198B">
        <w:t>.</w:t>
      </w:r>
    </w:p>
    <w:p w:rsidR="00E53276" w:rsidRDefault="00E53276" w:rsidP="00F702CC">
      <w:pPr>
        <w:pStyle w:val="BodyText"/>
      </w:pPr>
      <w:r w:rsidRPr="00B4368D">
        <w:t>Australia experiences a relatively high degree of VFI, partly on account of Constitutional limitations on States</w:t>
      </w:r>
      <w:r w:rsidR="00C563C7">
        <w:t>’</w:t>
      </w:r>
      <w:r w:rsidRPr="00F814B9">
        <w:rPr>
          <w:vertAlign w:val="superscript"/>
        </w:rPr>
        <w:footnoteReference w:id="1"/>
      </w:r>
      <w:r w:rsidRPr="00B4368D">
        <w:t xml:space="preserve"> revenue raising powers</w:t>
      </w:r>
      <w:r>
        <w:t xml:space="preserve">.  </w:t>
      </w:r>
      <w:r w:rsidRPr="00B4368D">
        <w:t>The Commonwealth Government has access to a relatively large tax base while having relatively low service delivery responsibilities.  In contrast, the States have significant service provision responsibilities but only a relatively small revenue base.</w:t>
      </w:r>
      <w:r>
        <w:t xml:space="preserve">  </w:t>
      </w:r>
    </w:p>
    <w:p w:rsidR="00D84C9A" w:rsidRDefault="00B94381" w:rsidP="00F702CC">
      <w:pPr>
        <w:pStyle w:val="BodyText"/>
      </w:pPr>
      <w:r w:rsidRPr="00B4368D">
        <w:t xml:space="preserve">To put </w:t>
      </w:r>
      <w:r w:rsidR="006F6CDB">
        <w:t>the</w:t>
      </w:r>
      <w:r w:rsidRPr="00B4368D">
        <w:t xml:space="preserve"> concept</w:t>
      </w:r>
      <w:r w:rsidR="006F6CDB">
        <w:t xml:space="preserve"> of VFI</w:t>
      </w:r>
      <w:r w:rsidRPr="00B4368D">
        <w:t xml:space="preserve"> into perspective, p</w:t>
      </w:r>
      <w:r w:rsidR="00CC393F" w:rsidRPr="00B4368D">
        <w:t>resently, the</w:t>
      </w:r>
      <w:r w:rsidR="00B06F95" w:rsidRPr="00B4368D">
        <w:t xml:space="preserve"> Australian Government </w:t>
      </w:r>
      <w:r w:rsidR="00B2204C">
        <w:t xml:space="preserve">collects around </w:t>
      </w:r>
      <w:r w:rsidR="002E4590">
        <w:t>69</w:t>
      </w:r>
      <w:r w:rsidR="00B2204C">
        <w:t xml:space="preserve"> per cent of </w:t>
      </w:r>
      <w:r w:rsidR="00E53276">
        <w:t xml:space="preserve">combined </w:t>
      </w:r>
      <w:r w:rsidR="00B2204C">
        <w:t>F</w:t>
      </w:r>
      <w:r w:rsidR="00B06F95" w:rsidRPr="00B4368D">
        <w:t xml:space="preserve">ederal and </w:t>
      </w:r>
      <w:r w:rsidR="00B2204C">
        <w:t>S</w:t>
      </w:r>
      <w:r w:rsidR="00B06F95" w:rsidRPr="00B4368D">
        <w:t xml:space="preserve">tate </w:t>
      </w:r>
      <w:r w:rsidR="00B2204C">
        <w:t>G</w:t>
      </w:r>
      <w:r w:rsidR="00B06F95" w:rsidRPr="00B4368D">
        <w:t xml:space="preserve">overnment </w:t>
      </w:r>
      <w:r w:rsidR="00E53276">
        <w:t xml:space="preserve">tax </w:t>
      </w:r>
      <w:r w:rsidR="00C563C7">
        <w:t>revenue (14.4 per </w:t>
      </w:r>
      <w:r w:rsidR="002E4590">
        <w:t xml:space="preserve">cent of </w:t>
      </w:r>
      <w:r w:rsidR="001E2C97">
        <w:t xml:space="preserve">Federal revenue being from </w:t>
      </w:r>
      <w:r w:rsidR="00B06F95" w:rsidRPr="00B4368D">
        <w:t xml:space="preserve">the GST) but is responsible for only about </w:t>
      </w:r>
      <w:r w:rsidR="00E91DBC">
        <w:t>55</w:t>
      </w:r>
      <w:r w:rsidR="00B06F95" w:rsidRPr="00B4368D">
        <w:t xml:space="preserve"> per cent of t</w:t>
      </w:r>
      <w:r w:rsidR="00CC393F" w:rsidRPr="00B4368D">
        <w:t>otal government spending.  In contrast, the S</w:t>
      </w:r>
      <w:r w:rsidR="00B06F95" w:rsidRPr="00B4368D">
        <w:t xml:space="preserve">tates collect around </w:t>
      </w:r>
      <w:r w:rsidR="00E91DBC">
        <w:t>31</w:t>
      </w:r>
      <w:r w:rsidR="00B06F95" w:rsidRPr="00B4368D">
        <w:t xml:space="preserve"> per cent of </w:t>
      </w:r>
      <w:r w:rsidR="00E53276">
        <w:t xml:space="preserve">combined tax </w:t>
      </w:r>
      <w:r w:rsidR="00B06F95" w:rsidRPr="00B4368D">
        <w:t xml:space="preserve">revenue, but are responsible for around </w:t>
      </w:r>
      <w:r w:rsidR="00E91DBC">
        <w:t>45</w:t>
      </w:r>
      <w:r w:rsidR="00B06F95" w:rsidRPr="00B4368D">
        <w:t xml:space="preserve"> per cent of </w:t>
      </w:r>
      <w:r w:rsidR="00BB5543" w:rsidRPr="00B4368D">
        <w:t>total government</w:t>
      </w:r>
      <w:r w:rsidR="00B06F95" w:rsidRPr="00B4368D">
        <w:t xml:space="preserve"> spending. </w:t>
      </w:r>
      <w:r w:rsidR="00CC393F" w:rsidRPr="00B4368D">
        <w:t xml:space="preserve"> </w:t>
      </w:r>
      <w:r w:rsidR="00843449">
        <w:t>F</w:t>
      </w:r>
      <w:r w:rsidR="006F6CDB">
        <w:t>igure</w:t>
      </w:r>
      <w:r w:rsidR="00C563C7">
        <w:t> </w:t>
      </w:r>
      <w:r w:rsidR="00843449">
        <w:t>4.1</w:t>
      </w:r>
      <w:r w:rsidR="00D84C9A" w:rsidRPr="00B4368D">
        <w:t xml:space="preserve"> </w:t>
      </w:r>
      <w:r w:rsidR="00D67C87">
        <w:t xml:space="preserve">below </w:t>
      </w:r>
      <w:r w:rsidR="00D84C9A" w:rsidRPr="00B4368D">
        <w:t>depict</w:t>
      </w:r>
      <w:r w:rsidR="006F6CDB">
        <w:t>s</w:t>
      </w:r>
      <w:r w:rsidR="00D84C9A" w:rsidRPr="00B4368D">
        <w:t xml:space="preserve"> the distribution of </w:t>
      </w:r>
      <w:r w:rsidR="00535841" w:rsidRPr="00B4368D">
        <w:t xml:space="preserve">Federal-State </w:t>
      </w:r>
      <w:r w:rsidR="00D84C9A" w:rsidRPr="00B4368D">
        <w:t>spending and revenue collection (</w:t>
      </w:r>
      <w:r w:rsidR="00CC393F" w:rsidRPr="00B4368D">
        <w:t xml:space="preserve">including the </w:t>
      </w:r>
      <w:r w:rsidR="00D84C9A" w:rsidRPr="00B4368D">
        <w:t>GST</w:t>
      </w:r>
      <w:r w:rsidR="004516A7">
        <w:t>).</w:t>
      </w:r>
    </w:p>
    <w:p w:rsidR="00A4037A" w:rsidRPr="00C563C7" w:rsidRDefault="00A4037A" w:rsidP="00C563C7">
      <w:pPr>
        <w:pStyle w:val="TableNumber"/>
      </w:pPr>
      <w:r w:rsidRPr="00C563C7">
        <w:t>Figure</w:t>
      </w:r>
      <w:r w:rsidR="004159CD" w:rsidRPr="00C563C7">
        <w:t xml:space="preserve"> 4.1</w:t>
      </w:r>
    </w:p>
    <w:p w:rsidR="00A4037A" w:rsidRPr="00C563C7" w:rsidRDefault="00606B6D" w:rsidP="00C563C7">
      <w:pPr>
        <w:pStyle w:val="TableName"/>
      </w:pPr>
      <w:r w:rsidRPr="00C563C7">
        <w:t>2011</w:t>
      </w:r>
      <w:r w:rsidR="00B2204C" w:rsidRPr="00C563C7">
        <w:t>-1</w:t>
      </w:r>
      <w:r w:rsidRPr="00C563C7">
        <w:t>2</w:t>
      </w:r>
      <w:r w:rsidR="00B2204C" w:rsidRPr="00C563C7">
        <w:t xml:space="preserve"> </w:t>
      </w:r>
      <w:r w:rsidR="00A4037A" w:rsidRPr="00C563C7">
        <w:t xml:space="preserve">Distribution of Federal-State </w:t>
      </w:r>
      <w:r w:rsidR="006F6CDB" w:rsidRPr="00C563C7">
        <w:t>Revenue</w:t>
      </w:r>
      <w:r w:rsidR="00A4037A" w:rsidRPr="00C563C7">
        <w:t xml:space="preserve"> </w:t>
      </w:r>
      <w:r w:rsidR="006F6CDB" w:rsidRPr="00C563C7">
        <w:t xml:space="preserve">Collection </w:t>
      </w:r>
      <w:r w:rsidR="00A4037A" w:rsidRPr="00C563C7">
        <w:t xml:space="preserve">and </w:t>
      </w:r>
      <w:r w:rsidR="006F6CDB" w:rsidRPr="00C563C7">
        <w:t>Expenditure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4C0DF7" w:rsidTr="00697F7F">
        <w:tc>
          <w:tcPr>
            <w:tcW w:w="4621" w:type="dxa"/>
          </w:tcPr>
          <w:p w:rsidR="004C0DF7" w:rsidRDefault="004C0DF7" w:rsidP="002A77F8">
            <w:pPr>
              <w:pStyle w:val="TableName"/>
              <w:spacing w:after="80"/>
            </w:pPr>
            <w:r>
              <w:t>Distribution of Revenue Collection</w:t>
            </w:r>
          </w:p>
        </w:tc>
        <w:tc>
          <w:tcPr>
            <w:tcW w:w="4621" w:type="dxa"/>
          </w:tcPr>
          <w:p w:rsidR="004C0DF7" w:rsidRDefault="004C0DF7" w:rsidP="002A77F8">
            <w:pPr>
              <w:pStyle w:val="TableName"/>
              <w:spacing w:after="80"/>
            </w:pPr>
            <w:r>
              <w:t>Distribution of Expenditure</w:t>
            </w:r>
          </w:p>
        </w:tc>
      </w:tr>
      <w:tr w:rsidR="004C0DF7" w:rsidTr="00697F7F">
        <w:tc>
          <w:tcPr>
            <w:tcW w:w="4621" w:type="dxa"/>
          </w:tcPr>
          <w:p w:rsidR="004C0DF7" w:rsidRDefault="004C0DF7" w:rsidP="002A77F8">
            <w:pPr>
              <w:pStyle w:val="TableName"/>
              <w:spacing w:after="80"/>
            </w:pPr>
            <w:r w:rsidRPr="004C0DF7">
              <w:rPr>
                <w:noProof/>
                <w:lang w:eastAsia="en-AU"/>
              </w:rPr>
              <w:drawing>
                <wp:inline distT="0" distB="0" distL="0" distR="0">
                  <wp:extent cx="2571750" cy="2316589"/>
                  <wp:effectExtent l="19050" t="0" r="19050" b="7511"/>
                  <wp:docPr id="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621" w:type="dxa"/>
          </w:tcPr>
          <w:p w:rsidR="004C0DF7" w:rsidRDefault="004C0DF7" w:rsidP="002A77F8">
            <w:pPr>
              <w:pStyle w:val="TableName"/>
              <w:spacing w:after="80"/>
            </w:pPr>
            <w:r w:rsidRPr="004C0DF7">
              <w:rPr>
                <w:noProof/>
                <w:lang w:eastAsia="en-AU"/>
              </w:rPr>
              <w:drawing>
                <wp:inline distT="0" distB="0" distL="0" distR="0">
                  <wp:extent cx="2619375" cy="2314575"/>
                  <wp:effectExtent l="1905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C563C7" w:rsidRPr="00C563C7" w:rsidRDefault="00C563C7" w:rsidP="00C563C7">
      <w:pPr>
        <w:pStyle w:val="BodyText"/>
        <w:spacing w:before="0" w:after="0"/>
        <w:rPr>
          <w:i/>
          <w:sz w:val="16"/>
          <w:szCs w:val="16"/>
        </w:rPr>
      </w:pPr>
      <w:r w:rsidRPr="00C563C7">
        <w:rPr>
          <w:i/>
          <w:sz w:val="16"/>
          <w:szCs w:val="16"/>
        </w:rPr>
        <w:t xml:space="preserve">Source: ABS, Government Financial Statistics 2011-12 (5512.0) and </w:t>
      </w:r>
      <w:r w:rsidR="00F063DC">
        <w:rPr>
          <w:i/>
          <w:sz w:val="16"/>
          <w:szCs w:val="16"/>
        </w:rPr>
        <w:t>Chief Minister and Treasury Directorate</w:t>
      </w:r>
      <w:r w:rsidRPr="00C563C7">
        <w:rPr>
          <w:i/>
          <w:sz w:val="16"/>
          <w:szCs w:val="16"/>
        </w:rPr>
        <w:t xml:space="preserve"> calculations.</w:t>
      </w:r>
    </w:p>
    <w:p w:rsidR="00C563C7" w:rsidRPr="00C563C7" w:rsidRDefault="00C563C7" w:rsidP="0084198B">
      <w:pPr>
        <w:pStyle w:val="NoteText"/>
      </w:pPr>
      <w:r w:rsidRPr="0084198B">
        <w:rPr>
          <w:rStyle w:val="NoteHeadingChar"/>
        </w:rPr>
        <w:t>Note:</w:t>
      </w:r>
      <w:r>
        <w:t xml:space="preserve">  </w:t>
      </w:r>
      <w:r w:rsidRPr="00C563C7">
        <w:t>Capital expenditure is not included.</w:t>
      </w:r>
    </w:p>
    <w:p w:rsidR="00C563C7" w:rsidRDefault="00C563C7" w:rsidP="00C563C7">
      <w:pPr>
        <w:pStyle w:val="NoteText"/>
      </w:pPr>
    </w:p>
    <w:p w:rsidR="00C574F1" w:rsidRPr="0084198B" w:rsidRDefault="00CC393F" w:rsidP="0084198B">
      <w:pPr>
        <w:pStyle w:val="BodyText"/>
      </w:pPr>
      <w:r w:rsidRPr="0084198B">
        <w:lastRenderedPageBreak/>
        <w:t xml:space="preserve">While VFI </w:t>
      </w:r>
      <w:r w:rsidR="00124519" w:rsidRPr="0084198B">
        <w:t xml:space="preserve">necessitates </w:t>
      </w:r>
      <w:r w:rsidR="00736E9A" w:rsidRPr="0084198B">
        <w:t xml:space="preserve">that, for equity and efficiency reasons, </w:t>
      </w:r>
      <w:r w:rsidR="00124519" w:rsidRPr="0084198B">
        <w:t>the Commonwealth Government distribute</w:t>
      </w:r>
      <w:r w:rsidR="00D25860" w:rsidRPr="0084198B">
        <w:t>s</w:t>
      </w:r>
      <w:r w:rsidR="00124519" w:rsidRPr="0084198B">
        <w:t xml:space="preserve"> a portion of </w:t>
      </w:r>
      <w:r w:rsidRPr="0084198B">
        <w:t xml:space="preserve">its </w:t>
      </w:r>
      <w:r w:rsidR="00124519" w:rsidRPr="0084198B">
        <w:t>revenue</w:t>
      </w:r>
      <w:r w:rsidRPr="0084198B">
        <w:t>s</w:t>
      </w:r>
      <w:r w:rsidR="00124519" w:rsidRPr="0084198B">
        <w:t xml:space="preserve"> to the States</w:t>
      </w:r>
      <w:r w:rsidRPr="0084198B">
        <w:t>,</w:t>
      </w:r>
      <w:r w:rsidR="00124519" w:rsidRPr="0084198B">
        <w:t xml:space="preserve"> the States have </w:t>
      </w:r>
      <w:r w:rsidR="00736E9A" w:rsidRPr="0084198B">
        <w:t>differing</w:t>
      </w:r>
      <w:r w:rsidR="00124519" w:rsidRPr="0084198B">
        <w:t xml:space="preserve"> capacities to raise revenues and deliver services</w:t>
      </w:r>
      <w:r w:rsidR="00B06F95" w:rsidRPr="0084198B">
        <w:t xml:space="preserve">. </w:t>
      </w:r>
      <w:r w:rsidR="00124519" w:rsidRPr="0084198B">
        <w:t xml:space="preserve"> </w:t>
      </w:r>
      <w:r w:rsidRPr="0084198B">
        <w:t xml:space="preserve">That is, </w:t>
      </w:r>
      <w:r w:rsidR="00736E9A" w:rsidRPr="0084198B">
        <w:t xml:space="preserve">as </w:t>
      </w:r>
      <w:r w:rsidR="007A6D01" w:rsidRPr="0084198B">
        <w:t>the States</w:t>
      </w:r>
      <w:r w:rsidR="00736E9A" w:rsidRPr="0084198B">
        <w:t>’</w:t>
      </w:r>
      <w:r w:rsidR="007A6D01" w:rsidRPr="0084198B">
        <w:t xml:space="preserve"> </w:t>
      </w:r>
      <w:r w:rsidR="00736E9A" w:rsidRPr="0084198B">
        <w:t>economies have evolved</w:t>
      </w:r>
      <w:r w:rsidR="00535841" w:rsidRPr="0084198B">
        <w:t xml:space="preserve">, horizontal fiscal imbalances have </w:t>
      </w:r>
      <w:r w:rsidR="004C3588" w:rsidRPr="0084198B">
        <w:t>arisen</w:t>
      </w:r>
      <w:r w:rsidR="00736E9A" w:rsidRPr="0084198B">
        <w:t xml:space="preserve"> for historical and geographical reasons</w:t>
      </w:r>
      <w:r w:rsidR="007A6D01" w:rsidRPr="0084198B">
        <w:t xml:space="preserve">.  </w:t>
      </w:r>
      <w:r w:rsidR="00736E9A" w:rsidRPr="0084198B">
        <w:t>Therefore, t</w:t>
      </w:r>
      <w:r w:rsidR="007A6D01" w:rsidRPr="0084198B">
        <w:t>o ensure all Australian residents have access to a similar level of services</w:t>
      </w:r>
      <w:r w:rsidR="004C3588" w:rsidRPr="0084198B">
        <w:t>,</w:t>
      </w:r>
      <w:r w:rsidR="007A6D01" w:rsidRPr="0084198B">
        <w:t xml:space="preserve"> </w:t>
      </w:r>
      <w:r w:rsidR="00B2204C" w:rsidRPr="0084198B">
        <w:t>GST</w:t>
      </w:r>
      <w:r w:rsidR="007A6D01" w:rsidRPr="0084198B">
        <w:t xml:space="preserve"> revenues are distributed to each of the States according to</w:t>
      </w:r>
      <w:r w:rsidR="00124519" w:rsidRPr="0084198B">
        <w:t xml:space="preserve"> HFE</w:t>
      </w:r>
      <w:r w:rsidR="002F66CB" w:rsidRPr="0084198B">
        <w:t xml:space="preserve"> </w:t>
      </w:r>
      <w:r w:rsidR="00124519" w:rsidRPr="0084198B">
        <w:t xml:space="preserve">principles which </w:t>
      </w:r>
      <w:r w:rsidR="00535841" w:rsidRPr="0084198B">
        <w:t xml:space="preserve">are designed to </w:t>
      </w:r>
      <w:r w:rsidR="00736E9A" w:rsidRPr="0084198B">
        <w:t xml:space="preserve">ensure </w:t>
      </w:r>
      <w:r w:rsidR="00124519" w:rsidRPr="0084198B">
        <w:t>State governments receive funding in proportion to the</w:t>
      </w:r>
      <w:r w:rsidR="007A6D01" w:rsidRPr="0084198B">
        <w:t>ir</w:t>
      </w:r>
      <w:r w:rsidR="00124519" w:rsidRPr="0084198B">
        <w:t xml:space="preserve"> </w:t>
      </w:r>
      <w:r w:rsidR="004C3588" w:rsidRPr="0084198B">
        <w:t xml:space="preserve">relative </w:t>
      </w:r>
      <w:r w:rsidR="00124519" w:rsidRPr="0084198B">
        <w:t>needs.</w:t>
      </w:r>
      <w:r w:rsidR="00E53276" w:rsidRPr="0084198B">
        <w:t xml:space="preserve"> </w:t>
      </w:r>
      <w:r w:rsidR="00F063DC" w:rsidRPr="0084198B">
        <w:t xml:space="preserve"> </w:t>
      </w:r>
      <w:r w:rsidR="00C574F1" w:rsidRPr="0084198B">
        <w:t>Australia’s HFE system</w:t>
      </w:r>
      <w:r w:rsidR="00736E9A" w:rsidRPr="0084198B">
        <w:t xml:space="preserve"> </w:t>
      </w:r>
      <w:r w:rsidR="00535841" w:rsidRPr="0084198B">
        <w:t xml:space="preserve">engenders </w:t>
      </w:r>
      <w:r w:rsidR="00C574F1" w:rsidRPr="0084198B">
        <w:t xml:space="preserve">stability and confidence in </w:t>
      </w:r>
      <w:r w:rsidR="00535841" w:rsidRPr="0084198B">
        <w:t xml:space="preserve">the </w:t>
      </w:r>
      <w:r w:rsidR="00C574F1" w:rsidRPr="0084198B">
        <w:t>States’ fiscal situations</w:t>
      </w:r>
      <w:r w:rsidR="00E53276" w:rsidRPr="0084198B">
        <w:t xml:space="preserve">. </w:t>
      </w:r>
      <w:r w:rsidR="00C574F1" w:rsidRPr="0084198B">
        <w:t xml:space="preserve"> </w:t>
      </w:r>
    </w:p>
    <w:p w:rsidR="002A3D73" w:rsidRPr="0084198B" w:rsidRDefault="002A3D73" w:rsidP="0084198B">
      <w:pPr>
        <w:pStyle w:val="BodyText"/>
      </w:pPr>
      <w:r w:rsidRPr="0084198B">
        <w:t>It is against this background that the ACT itself has emerged as a</w:t>
      </w:r>
      <w:r w:rsidR="00AE4A6B" w:rsidRPr="0084198B">
        <w:t>n</w:t>
      </w:r>
      <w:r w:rsidRPr="0084198B">
        <w:t xml:space="preserve"> independent member of the Federation with all the checks and balances </w:t>
      </w:r>
      <w:r w:rsidR="002F66CB" w:rsidRPr="0084198B">
        <w:t>underlining</w:t>
      </w:r>
      <w:r w:rsidRPr="0084198B">
        <w:t xml:space="preserve"> its </w:t>
      </w:r>
      <w:r w:rsidR="002F66CB" w:rsidRPr="0084198B">
        <w:t>unique</w:t>
      </w:r>
      <w:r w:rsidRPr="0084198B">
        <w:t xml:space="preserve"> </w:t>
      </w:r>
      <w:r w:rsidR="002F66CB" w:rsidRPr="0084198B">
        <w:t>circumstances</w:t>
      </w:r>
      <w:r w:rsidRPr="0084198B">
        <w:t xml:space="preserve"> as a City/State in a National Capital setting.</w:t>
      </w:r>
    </w:p>
    <w:p w:rsidR="002F66CB" w:rsidRPr="00235371" w:rsidRDefault="00987D57" w:rsidP="00F063DC">
      <w:pPr>
        <w:pStyle w:val="BodyText"/>
      </w:pPr>
      <w:r w:rsidRPr="00235371">
        <w:t xml:space="preserve">However, in the longer term, </w:t>
      </w:r>
      <w:r w:rsidR="00A27880" w:rsidRPr="00235371">
        <w:t>the ACT Government</w:t>
      </w:r>
      <w:r w:rsidR="00B2204C" w:rsidRPr="00235371">
        <w:t>,</w:t>
      </w:r>
      <w:r w:rsidR="00A27880" w:rsidRPr="00235371">
        <w:t xml:space="preserve"> in conjunction with the other States</w:t>
      </w:r>
      <w:r w:rsidR="00B2204C" w:rsidRPr="00235371">
        <w:t>,</w:t>
      </w:r>
      <w:r w:rsidR="00A27880" w:rsidRPr="00235371">
        <w:t xml:space="preserve"> </w:t>
      </w:r>
      <w:r w:rsidR="00E91DBC" w:rsidRPr="00235371">
        <w:t xml:space="preserve">is concerned </w:t>
      </w:r>
      <w:r w:rsidR="001D2CAA" w:rsidRPr="00235371">
        <w:t>cooperative federal financial relations are</w:t>
      </w:r>
      <w:r w:rsidRPr="00235371">
        <w:t xml:space="preserve"> at risk without </w:t>
      </w:r>
      <w:r w:rsidR="00B2204C" w:rsidRPr="00235371">
        <w:t xml:space="preserve">comprehensive </w:t>
      </w:r>
      <w:r w:rsidR="002F66CB" w:rsidRPr="00235371">
        <w:t xml:space="preserve">national tax reform.  </w:t>
      </w:r>
      <w:r w:rsidR="002A3D73" w:rsidRPr="00235371">
        <w:t>F</w:t>
      </w:r>
      <w:r w:rsidRPr="00235371">
        <w:t xml:space="preserve">unding adequacy is set to become a more acute problem as the population ages and pressure to increase State </w:t>
      </w:r>
      <w:r w:rsidR="002F66CB" w:rsidRPr="00235371">
        <w:t>spending grows</w:t>
      </w:r>
      <w:r w:rsidRPr="00235371">
        <w:t xml:space="preserve"> faster than States’ ability to raise revenue from their existing taxes.</w:t>
      </w:r>
      <w:r w:rsidR="0084198B">
        <w:t xml:space="preserve"> </w:t>
      </w:r>
      <w:r w:rsidR="00162F1B" w:rsidRPr="00235371">
        <w:t xml:space="preserve"> The ACT has undertaken major tax reform to establish a more sustainable revenue base, but this needs to be complemented by significant taxation reform at the national level.</w:t>
      </w:r>
    </w:p>
    <w:p w:rsidR="00987D57" w:rsidRPr="00B4368D" w:rsidRDefault="00987D57" w:rsidP="00F702CC">
      <w:pPr>
        <w:pStyle w:val="BodyText"/>
      </w:pPr>
      <w:r w:rsidRPr="00235371">
        <w:t>This outlook will only be exacerb</w:t>
      </w:r>
      <w:r w:rsidR="00207DC4" w:rsidRPr="00235371">
        <w:t xml:space="preserve">ated by the increasing costs of, and demand for, </w:t>
      </w:r>
      <w:r w:rsidRPr="00235371">
        <w:t xml:space="preserve">State service delivery, in particular in the areas of education and health. </w:t>
      </w:r>
      <w:r w:rsidR="008D269E" w:rsidRPr="00235371">
        <w:t xml:space="preserve"> </w:t>
      </w:r>
      <w:r w:rsidR="00F814B9" w:rsidRPr="00235371">
        <w:t xml:space="preserve">Major </w:t>
      </w:r>
      <w:r w:rsidR="00A27880" w:rsidRPr="00235371">
        <w:t xml:space="preserve">social </w:t>
      </w:r>
      <w:r w:rsidR="00F814B9" w:rsidRPr="00235371">
        <w:t>reforms</w:t>
      </w:r>
      <w:r w:rsidR="00A27880" w:rsidRPr="00235371">
        <w:t xml:space="preserve"> </w:t>
      </w:r>
      <w:r w:rsidR="00F814B9" w:rsidRPr="00235371">
        <w:t xml:space="preserve">are </w:t>
      </w:r>
      <w:r w:rsidR="006F6CDB" w:rsidRPr="00235371">
        <w:t xml:space="preserve">also </w:t>
      </w:r>
      <w:r w:rsidR="00F814B9" w:rsidRPr="00235371">
        <w:t>expected to have a large cost impact</w:t>
      </w:r>
      <w:r w:rsidR="00A27880" w:rsidRPr="00235371">
        <w:t>, in conjunction with demographic changes</w:t>
      </w:r>
      <w:r w:rsidR="00F814B9" w:rsidRPr="00235371">
        <w:t>.</w:t>
      </w:r>
      <w:r w:rsidR="00F814B9" w:rsidRPr="00F814B9">
        <w:t xml:space="preserve">  </w:t>
      </w:r>
    </w:p>
    <w:p w:rsidR="00D84C9A" w:rsidRPr="0084198B" w:rsidRDefault="00D84C9A" w:rsidP="0084198B">
      <w:pPr>
        <w:pStyle w:val="Heading3"/>
      </w:pPr>
      <w:r w:rsidRPr="0084198B">
        <w:t>Intergovernmental Agreement on Federal Financial Relations</w:t>
      </w:r>
      <w:r w:rsidR="006F6CDB" w:rsidRPr="0084198B">
        <w:t xml:space="preserve"> (IGA</w:t>
      </w:r>
      <w:r w:rsidR="006F6CDB" w:rsidRPr="0084198B">
        <w:noBreakHyphen/>
        <w:t>FFR)</w:t>
      </w:r>
    </w:p>
    <w:p w:rsidR="00197618" w:rsidRPr="00953876" w:rsidRDefault="00197618" w:rsidP="00953876">
      <w:pPr>
        <w:pStyle w:val="BodyText"/>
      </w:pPr>
      <w:r w:rsidRPr="00953876">
        <w:t xml:space="preserve">The distribution of </w:t>
      </w:r>
      <w:r w:rsidR="00565BE5" w:rsidRPr="00953876">
        <w:t xml:space="preserve">Commonwealth transfers, including </w:t>
      </w:r>
      <w:r w:rsidRPr="00953876">
        <w:t xml:space="preserve">GST </w:t>
      </w:r>
      <w:r w:rsidR="004F06D7" w:rsidRPr="00953876">
        <w:t>revenues</w:t>
      </w:r>
      <w:r w:rsidR="006F6CDB" w:rsidRPr="00953876">
        <w:t>,</w:t>
      </w:r>
      <w:r w:rsidR="004F06D7" w:rsidRPr="00953876">
        <w:t xml:space="preserve"> </w:t>
      </w:r>
      <w:r w:rsidRPr="00953876">
        <w:t>amongst the States is enshrined in the IGA</w:t>
      </w:r>
      <w:r w:rsidR="006F6CDB" w:rsidRPr="00953876">
        <w:noBreakHyphen/>
      </w:r>
      <w:r w:rsidRPr="00953876">
        <w:t xml:space="preserve">FFR.  </w:t>
      </w:r>
      <w:r w:rsidR="006F6CDB" w:rsidRPr="00953876">
        <w:t>The IGA</w:t>
      </w:r>
      <w:r w:rsidR="006F6CDB" w:rsidRPr="00953876">
        <w:noBreakHyphen/>
      </w:r>
      <w:r w:rsidR="004F06D7" w:rsidRPr="00953876">
        <w:t>FFR came into effect on 1 January 2009 and was agreed to by the Federal Government and all State governments</w:t>
      </w:r>
      <w:r w:rsidR="008F2188">
        <w:t>; it is ongoing unless and until terminated by all parties</w:t>
      </w:r>
      <w:r w:rsidR="004F06D7" w:rsidRPr="00953876">
        <w:t>.</w:t>
      </w:r>
      <w:r w:rsidR="00207DC4">
        <w:t xml:space="preserve">  </w:t>
      </w:r>
    </w:p>
    <w:p w:rsidR="00D84C9A" w:rsidRPr="00E548CB" w:rsidRDefault="006F6CDB" w:rsidP="00E548CB">
      <w:pPr>
        <w:pStyle w:val="BodyText"/>
      </w:pPr>
      <w:r w:rsidRPr="00E548CB">
        <w:t>The IGA</w:t>
      </w:r>
      <w:r w:rsidRPr="00E548CB">
        <w:noBreakHyphen/>
      </w:r>
      <w:r w:rsidR="00D84C9A" w:rsidRPr="00E548CB">
        <w:t>FFR provides the framework under which governments collaborate on policy development and service delivery</w:t>
      </w:r>
      <w:r w:rsidR="004C3588" w:rsidRPr="00E548CB">
        <w:t>,</w:t>
      </w:r>
      <w:r w:rsidR="00D84C9A" w:rsidRPr="00E548CB">
        <w:t xml:space="preserve"> and facilitate</w:t>
      </w:r>
      <w:r w:rsidR="00197618" w:rsidRPr="00E548CB">
        <w:t>s</w:t>
      </w:r>
      <w:r w:rsidR="00D84C9A" w:rsidRPr="00E548CB">
        <w:t xml:space="preserve"> the implementation of economic and social reforms in areas of national importance. </w:t>
      </w:r>
      <w:r w:rsidR="00197618" w:rsidRPr="00E548CB">
        <w:t xml:space="preserve"> </w:t>
      </w:r>
    </w:p>
    <w:p w:rsidR="00D84C9A" w:rsidRPr="00F063DC" w:rsidRDefault="00D84C9A" w:rsidP="00F063DC">
      <w:pPr>
        <w:pStyle w:val="BodyText"/>
      </w:pPr>
      <w:r w:rsidRPr="00F063DC">
        <w:t>The IGA</w:t>
      </w:r>
      <w:r w:rsidR="006F6CDB" w:rsidRPr="00F063DC">
        <w:noBreakHyphen/>
        <w:t>FFR</w:t>
      </w:r>
      <w:r w:rsidRPr="00F063DC">
        <w:t xml:space="preserve"> consists of a core agreement and a series of schedules that can be modified </w:t>
      </w:r>
      <w:r w:rsidR="00207DC4">
        <w:t xml:space="preserve">only </w:t>
      </w:r>
      <w:r w:rsidRPr="00F063DC">
        <w:t xml:space="preserve">by unanimous agreement of </w:t>
      </w:r>
      <w:r w:rsidR="004C3588" w:rsidRPr="00F063DC">
        <w:t>Federal and State Treasurers</w:t>
      </w:r>
      <w:r w:rsidRPr="00F063DC">
        <w:t>.</w:t>
      </w:r>
    </w:p>
    <w:p w:rsidR="00953F43" w:rsidRPr="00953876" w:rsidRDefault="00D84C9A" w:rsidP="00953876">
      <w:pPr>
        <w:pStyle w:val="BodyText"/>
      </w:pPr>
      <w:r w:rsidRPr="00953876">
        <w:t>Details of the framework are outlined in the schedules covering: institutional arrangements</w:t>
      </w:r>
      <w:r w:rsidR="004C3588" w:rsidRPr="00953876">
        <w:t>;</w:t>
      </w:r>
      <w:r w:rsidRPr="00953876">
        <w:t xml:space="preserve"> taxation reform</w:t>
      </w:r>
      <w:r w:rsidR="004C3588" w:rsidRPr="00953876">
        <w:t>;</w:t>
      </w:r>
      <w:r w:rsidRPr="00953876">
        <w:t xml:space="preserve"> public accountability and performance reporting</w:t>
      </w:r>
      <w:r w:rsidR="004C3588" w:rsidRPr="00953876">
        <w:t>;</w:t>
      </w:r>
      <w:r w:rsidRPr="00953876">
        <w:t xml:space="preserve"> payment arrangements</w:t>
      </w:r>
      <w:r w:rsidR="004C3588" w:rsidRPr="00953876">
        <w:t>;</w:t>
      </w:r>
      <w:r w:rsidRPr="00953876">
        <w:t xml:space="preserve"> funding mechanisms and policy reform objectives.  </w:t>
      </w:r>
    </w:p>
    <w:p w:rsidR="002A57C3" w:rsidRDefault="00AE4A6B" w:rsidP="00F702CC">
      <w:pPr>
        <w:pStyle w:val="BodyText"/>
      </w:pPr>
      <w:r>
        <w:t>While t</w:t>
      </w:r>
      <w:r w:rsidR="00953F43">
        <w:t>he IGA</w:t>
      </w:r>
      <w:r w:rsidR="00953F43">
        <w:noBreakHyphen/>
        <w:t xml:space="preserve">FFR has been a success </w:t>
      </w:r>
      <w:r>
        <w:t xml:space="preserve">to date </w:t>
      </w:r>
      <w:r w:rsidR="00953F43">
        <w:t>from an ACT Government perspective</w:t>
      </w:r>
      <w:r>
        <w:t xml:space="preserve">, </w:t>
      </w:r>
      <w:r w:rsidR="00953F43">
        <w:t>th</w:t>
      </w:r>
      <w:r w:rsidR="00575B0D">
        <w:t>ere is a risk of the IGA</w:t>
      </w:r>
      <w:r w:rsidR="00575B0D">
        <w:noBreakHyphen/>
        <w:t xml:space="preserve">FFR’s influence </w:t>
      </w:r>
      <w:r w:rsidR="00575B0D" w:rsidRPr="00B4368D">
        <w:t xml:space="preserve">being eroded </w:t>
      </w:r>
      <w:r w:rsidR="00575B0D">
        <w:t xml:space="preserve">by </w:t>
      </w:r>
      <w:r w:rsidR="00953F43">
        <w:t xml:space="preserve">the </w:t>
      </w:r>
      <w:r>
        <w:t xml:space="preserve">recent </w:t>
      </w:r>
      <w:r w:rsidR="00953F43">
        <w:t>tendency of new agreements to include provisions such as input controls, maintenance of effort clauses and onerous reporting requirements.  In addition,</w:t>
      </w:r>
      <w:r w:rsidR="00953F43" w:rsidRPr="00953F43">
        <w:t xml:space="preserve"> </w:t>
      </w:r>
      <w:r w:rsidR="00953F43">
        <w:t>there has been a proliferation of</w:t>
      </w:r>
      <w:r w:rsidR="00953F43" w:rsidRPr="00B4368D">
        <w:t xml:space="preserve"> agreements for relatively small amounts of funding with high administration and reporting costs.  </w:t>
      </w:r>
      <w:r w:rsidR="00A27880" w:rsidRPr="00697F7F">
        <w:t>The ACT Government believes a</w:t>
      </w:r>
      <w:r w:rsidR="002A57C3" w:rsidRPr="00697F7F">
        <w:t xml:space="preserve"> re-</w:t>
      </w:r>
      <w:r w:rsidR="002F66CB" w:rsidRPr="00697F7F">
        <w:t>commitment</w:t>
      </w:r>
      <w:r w:rsidR="002A57C3" w:rsidRPr="00697F7F">
        <w:t xml:space="preserve"> to the general reform objectives </w:t>
      </w:r>
      <w:r w:rsidR="002F66CB" w:rsidRPr="00697F7F">
        <w:t>is required at all levels of government</w:t>
      </w:r>
      <w:r w:rsidR="002F66CB" w:rsidRPr="008C5DA7">
        <w:t>.</w:t>
      </w:r>
    </w:p>
    <w:p w:rsidR="00A27880" w:rsidRPr="0001117A" w:rsidRDefault="00A27880" w:rsidP="00F702CC">
      <w:pPr>
        <w:pStyle w:val="BodyText"/>
        <w:rPr>
          <w:rFonts w:ascii="Arial" w:hAnsi="Arial"/>
          <w:b/>
          <w:bCs/>
          <w:szCs w:val="26"/>
          <w:lang w:eastAsia="en-AU"/>
        </w:rPr>
      </w:pPr>
      <w:r w:rsidRPr="00B4368D">
        <w:t>Further detail</w:t>
      </w:r>
      <w:r w:rsidR="006F6CDB">
        <w:t>s on the IGA</w:t>
      </w:r>
      <w:r w:rsidR="006F6CDB">
        <w:noBreakHyphen/>
      </w:r>
      <w:r>
        <w:t>FFR</w:t>
      </w:r>
      <w:r w:rsidRPr="00B4368D">
        <w:t xml:space="preserve"> can be found at</w:t>
      </w:r>
      <w:r>
        <w:t xml:space="preserve"> </w:t>
      </w:r>
      <w:hyperlink r:id="rId10" w:history="1">
        <w:r w:rsidRPr="0001117A">
          <w:rPr>
            <w:u w:val="single"/>
          </w:rPr>
          <w:t>www.federalfinancialrelations.gov.au</w:t>
        </w:r>
      </w:hyperlink>
      <w:r w:rsidR="0001117A" w:rsidRPr="0001117A">
        <w:t>.</w:t>
      </w:r>
      <w:r w:rsidR="008452C1" w:rsidRPr="0001117A">
        <w:rPr>
          <w:rFonts w:ascii="Arial" w:hAnsi="Arial"/>
          <w:b/>
          <w:bCs/>
          <w:szCs w:val="26"/>
          <w:lang w:eastAsia="en-AU"/>
        </w:rPr>
        <w:t xml:space="preserve"> </w:t>
      </w:r>
    </w:p>
    <w:p w:rsidR="00D84C9A" w:rsidRPr="00E548CB" w:rsidRDefault="000B153A" w:rsidP="00E548CB">
      <w:pPr>
        <w:pStyle w:val="Heading3TopofPage"/>
      </w:pPr>
      <w:r>
        <w:br w:type="page"/>
      </w:r>
      <w:r w:rsidR="00D84C9A" w:rsidRPr="00E548CB">
        <w:lastRenderedPageBreak/>
        <w:t>Intergovernmental Forums</w:t>
      </w:r>
    </w:p>
    <w:p w:rsidR="001F4788" w:rsidRPr="00953876" w:rsidRDefault="00B06F95" w:rsidP="00953876">
      <w:pPr>
        <w:pStyle w:val="BodyText"/>
      </w:pPr>
      <w:r w:rsidRPr="00953876">
        <w:t>The Commonwealth</w:t>
      </w:r>
      <w:r w:rsidR="00197618" w:rsidRPr="00953876">
        <w:t xml:space="preserve"> and </w:t>
      </w:r>
      <w:r w:rsidR="00DC3E9A" w:rsidRPr="00953876">
        <w:t>State G</w:t>
      </w:r>
      <w:r w:rsidRPr="00953876">
        <w:t xml:space="preserve">overnments have put in place </w:t>
      </w:r>
      <w:r w:rsidR="004F06D7" w:rsidRPr="00953876">
        <w:t>various</w:t>
      </w:r>
      <w:r w:rsidRPr="00953876">
        <w:t xml:space="preserve"> forums for </w:t>
      </w:r>
      <w:r w:rsidR="00197618" w:rsidRPr="00953876">
        <w:t xml:space="preserve">progressing </w:t>
      </w:r>
      <w:r w:rsidRPr="00953876">
        <w:t xml:space="preserve">issues </w:t>
      </w:r>
      <w:r w:rsidR="00197618" w:rsidRPr="00953876">
        <w:t xml:space="preserve">which </w:t>
      </w:r>
      <w:r w:rsidR="00DC3E9A" w:rsidRPr="00953876">
        <w:t>may impact on federal financial arrangements</w:t>
      </w:r>
      <w:r w:rsidRPr="00953876">
        <w:t>.  The primary forums are discussed below</w:t>
      </w:r>
      <w:r w:rsidR="00B4368D" w:rsidRPr="00953876">
        <w:t>.</w:t>
      </w:r>
    </w:p>
    <w:p w:rsidR="00D84C9A" w:rsidRPr="00E548CB" w:rsidRDefault="00D84C9A" w:rsidP="00E548CB">
      <w:pPr>
        <w:pStyle w:val="Heading4"/>
      </w:pPr>
      <w:r w:rsidRPr="00E548CB">
        <w:t>Council of Australian Governments (COAG)</w:t>
      </w:r>
    </w:p>
    <w:p w:rsidR="00D84C9A" w:rsidRPr="00E548CB" w:rsidRDefault="00BB5543" w:rsidP="00E548CB">
      <w:pPr>
        <w:pStyle w:val="BodyText"/>
      </w:pPr>
      <w:r w:rsidRPr="00E548CB">
        <w:t xml:space="preserve">COAG </w:t>
      </w:r>
      <w:r w:rsidR="00D84C9A" w:rsidRPr="00E548CB">
        <w:t xml:space="preserve">is the peak intergovernmental forum in Australia.  Its role is to initiate, develop and monitor the implementation of policy reforms that are of national significance and which require cooperative action by Australian governments.  It comprises the Prime Minister, State Premiers, Territory Chief Ministers and the President of the Australian Local Government Association.  </w:t>
      </w:r>
    </w:p>
    <w:p w:rsidR="00BB2BD8" w:rsidRPr="00E548CB" w:rsidRDefault="00BB2BD8" w:rsidP="00E548CB">
      <w:pPr>
        <w:pStyle w:val="BodyText"/>
      </w:pPr>
      <w:r w:rsidRPr="00E548CB">
        <w:t xml:space="preserve">COAG itself is serviced by a myriad of supporting </w:t>
      </w:r>
      <w:proofErr w:type="spellStart"/>
      <w:r w:rsidRPr="00E548CB">
        <w:t>fora</w:t>
      </w:r>
      <w:proofErr w:type="spellEnd"/>
      <w:r w:rsidRPr="00E548CB">
        <w:t xml:space="preserve"> including </w:t>
      </w:r>
      <w:r w:rsidR="00594DE4" w:rsidRPr="00E548CB">
        <w:t xml:space="preserve">the [State] Council for the Australian Federation, which acts as a State forum to progress COAG related issues and other State specific matters; </w:t>
      </w:r>
      <w:r w:rsidRPr="00E548CB">
        <w:t>the Business Advisory Forum</w:t>
      </w:r>
      <w:r w:rsidR="00CB636D" w:rsidRPr="00E548CB">
        <w:t xml:space="preserve"> (BAF)</w:t>
      </w:r>
      <w:r w:rsidRPr="00E548CB">
        <w:t xml:space="preserve"> Taskforce charged with reviewing progress towards completing </w:t>
      </w:r>
      <w:r w:rsidR="00CB636D" w:rsidRPr="00E548CB">
        <w:t xml:space="preserve">a number of </w:t>
      </w:r>
      <w:r w:rsidRPr="00E548CB">
        <w:t>key BAF competition and deregulation reforms</w:t>
      </w:r>
      <w:r w:rsidR="00CB636D" w:rsidRPr="00E548CB">
        <w:t xml:space="preserve">; and a Senior Officials Group comprised of the Secretaries of First Minister’s Departments. </w:t>
      </w:r>
    </w:p>
    <w:p w:rsidR="008F14D2" w:rsidRPr="00E548CB" w:rsidRDefault="007161E6" w:rsidP="00E548CB">
      <w:pPr>
        <w:pStyle w:val="BodyText"/>
      </w:pPr>
      <w:r w:rsidRPr="00E548CB">
        <w:t>During the course of 2012-13</w:t>
      </w:r>
      <w:r w:rsidR="008F14D2" w:rsidRPr="00E548CB">
        <w:t>,</w:t>
      </w:r>
      <w:r w:rsidR="00B4368D" w:rsidRPr="00E548CB">
        <w:t xml:space="preserve"> </w:t>
      </w:r>
      <w:r w:rsidR="00BB2BD8" w:rsidRPr="00E548CB">
        <w:t xml:space="preserve">the Prime Minister and </w:t>
      </w:r>
      <w:r w:rsidR="00207DC4" w:rsidRPr="00E548CB">
        <w:t xml:space="preserve">First Ministers </w:t>
      </w:r>
      <w:r w:rsidR="00B4368D" w:rsidRPr="00E548CB">
        <w:t xml:space="preserve">reaffirmed </w:t>
      </w:r>
      <w:r w:rsidR="008F14D2" w:rsidRPr="00E548CB">
        <w:t xml:space="preserve">their </w:t>
      </w:r>
      <w:r w:rsidR="00B4368D" w:rsidRPr="00E548CB">
        <w:t xml:space="preserve">ongoing commitment to </w:t>
      </w:r>
      <w:r w:rsidR="00A45EFE" w:rsidRPr="00E548CB">
        <w:t>a National Disability Insurance Scheme (NDIS)</w:t>
      </w:r>
      <w:r w:rsidR="00B4368D" w:rsidRPr="00E548CB">
        <w:t xml:space="preserve"> signing an intergovernmental agreement for its first stage.  The agreement provides the foundation for all governments to work together to develop and implement the initial phase of the NDIS.</w:t>
      </w:r>
    </w:p>
    <w:p w:rsidR="00B4368D" w:rsidRDefault="00B4368D" w:rsidP="00F702CC">
      <w:pPr>
        <w:pStyle w:val="BodyText"/>
      </w:pPr>
      <w:r w:rsidRPr="008F14D2">
        <w:t xml:space="preserve">COAG </w:t>
      </w:r>
      <w:r w:rsidR="007161E6">
        <w:t xml:space="preserve">also considered </w:t>
      </w:r>
      <w:r w:rsidRPr="008F14D2">
        <w:t>the National Education Reform Agreement</w:t>
      </w:r>
      <w:r w:rsidR="006F6CDB">
        <w:t xml:space="preserve"> (NERA)</w:t>
      </w:r>
      <w:r w:rsidRPr="008F14D2">
        <w:t xml:space="preserve">, including the National Plan for School Improvement and amendments to the </w:t>
      </w:r>
      <w:r w:rsidR="00DC3E9A">
        <w:t>IGA</w:t>
      </w:r>
      <w:r w:rsidR="00DC3E9A">
        <w:noBreakHyphen/>
        <w:t>FFR</w:t>
      </w:r>
      <w:r w:rsidRPr="008F14D2">
        <w:t xml:space="preserve"> and the National Education Agreement.</w:t>
      </w:r>
      <w:r w:rsidR="00BC0DC8">
        <w:t xml:space="preserve">  Both reforms are discussed in more detail later in the Chapter. </w:t>
      </w:r>
    </w:p>
    <w:p w:rsidR="00BC0DC8" w:rsidRDefault="00BC0DC8" w:rsidP="00F702CC">
      <w:pPr>
        <w:pStyle w:val="BodyText"/>
      </w:pPr>
      <w:r>
        <w:t>Other current matters of strategic importance subject to ongoing deliberations include a package of measures to develop a national response to gang violence and organised crime and initiatives drawn from the Australia in the Asian Century White Paper.</w:t>
      </w:r>
    </w:p>
    <w:p w:rsidR="00BC0DC8" w:rsidRPr="008F14D2" w:rsidRDefault="00575B0D" w:rsidP="00F702CC">
      <w:pPr>
        <w:pStyle w:val="BodyText"/>
      </w:pPr>
      <w:r>
        <w:t>The ACT Government supports t</w:t>
      </w:r>
      <w:r w:rsidR="00BC0DC8">
        <w:t xml:space="preserve">he COAG process </w:t>
      </w:r>
      <w:r>
        <w:t xml:space="preserve">as a model of co-operative federalism. </w:t>
      </w:r>
      <w:r w:rsidR="00D3666F">
        <w:t xml:space="preserve"> </w:t>
      </w:r>
      <w:r w:rsidR="001B142E">
        <w:t>The ACT has played a key role in a number of the policy deliberations</w:t>
      </w:r>
      <w:r w:rsidR="000909E6">
        <w:t>,</w:t>
      </w:r>
      <w:r w:rsidR="001B142E">
        <w:t xml:space="preserve"> including </w:t>
      </w:r>
      <w:r w:rsidR="000909E6">
        <w:t xml:space="preserve">being </w:t>
      </w:r>
      <w:r w:rsidR="001B142E">
        <w:t xml:space="preserve">one of the first </w:t>
      </w:r>
      <w:r w:rsidR="001D2CAA">
        <w:t>jurisdictions</w:t>
      </w:r>
      <w:r w:rsidR="001B142E">
        <w:t xml:space="preserve"> to agree </w:t>
      </w:r>
      <w:r w:rsidR="000909E6">
        <w:t>to be</w:t>
      </w:r>
      <w:r w:rsidR="001B142E">
        <w:t xml:space="preserve"> a launch site for the NDIS. </w:t>
      </w:r>
    </w:p>
    <w:p w:rsidR="00B4368D" w:rsidRDefault="008F14D2" w:rsidP="00F702CC">
      <w:pPr>
        <w:pStyle w:val="BodyText"/>
      </w:pPr>
      <w:r w:rsidRPr="00B4368D">
        <w:t>Further information on COAG can be found at</w:t>
      </w:r>
      <w:r w:rsidR="00A27880">
        <w:t xml:space="preserve"> </w:t>
      </w:r>
      <w:hyperlink r:id="rId11" w:history="1">
        <w:r w:rsidR="00A27880" w:rsidRPr="008452C1">
          <w:rPr>
            <w:u w:val="single"/>
          </w:rPr>
          <w:t>www.coag.gov.au</w:t>
        </w:r>
      </w:hyperlink>
      <w:r w:rsidRPr="008452C1">
        <w:rPr>
          <w:u w:val="single"/>
        </w:rPr>
        <w:t>.</w:t>
      </w:r>
    </w:p>
    <w:p w:rsidR="00D84C9A" w:rsidRPr="007D2A8E" w:rsidRDefault="00611401" w:rsidP="007D2A8E">
      <w:pPr>
        <w:pStyle w:val="Heading4"/>
        <w:spacing w:before="0"/>
      </w:pPr>
      <w:r>
        <w:br w:type="page"/>
      </w:r>
      <w:r w:rsidR="00D84C9A" w:rsidRPr="007D2A8E">
        <w:lastRenderedPageBreak/>
        <w:t>COAG Reform Council</w:t>
      </w:r>
      <w:r w:rsidR="001F4788" w:rsidRPr="007D2A8E">
        <w:t xml:space="preserve"> (CRC)</w:t>
      </w:r>
    </w:p>
    <w:p w:rsidR="008F14D2" w:rsidRPr="007D2A8E" w:rsidRDefault="00D84C9A" w:rsidP="007D2A8E">
      <w:pPr>
        <w:pStyle w:val="BodyText"/>
      </w:pPr>
      <w:r w:rsidRPr="007D2A8E">
        <w:t xml:space="preserve">The CRC is responsible for reporting to COAG on jurisdictions’ performance against National Agreement outcomes and performance benchmarks, and assessing whether predetermined performance benchmarks have been achieved before reward payments are made under </w:t>
      </w:r>
      <w:r w:rsidR="006F6CDB" w:rsidRPr="007D2A8E">
        <w:t>National Partnerships (NP</w:t>
      </w:r>
      <w:r w:rsidRPr="007D2A8E">
        <w:t>s</w:t>
      </w:r>
      <w:r w:rsidR="006F6CDB" w:rsidRPr="007D2A8E">
        <w:t>)</w:t>
      </w:r>
      <w:r w:rsidRPr="007D2A8E">
        <w:t xml:space="preserve">.  </w:t>
      </w:r>
    </w:p>
    <w:p w:rsidR="00A27880" w:rsidRPr="007D2A8E" w:rsidRDefault="008F14D2" w:rsidP="007D2A8E">
      <w:pPr>
        <w:pStyle w:val="BodyText"/>
      </w:pPr>
      <w:r w:rsidRPr="007D2A8E">
        <w:t>The CRC</w:t>
      </w:r>
      <w:r w:rsidR="007A5503" w:rsidRPr="007D2A8E">
        <w:t>’s latest report on progress, released in December 2012, asserted that the federal financial relations framework was still a powerful vehicle for driving change, and noted that significant progress on reform was being made, though some of the reforms were taking longer than expected.</w:t>
      </w:r>
    </w:p>
    <w:p w:rsidR="008F14D2" w:rsidRDefault="00D84C9A" w:rsidP="00F702CC">
      <w:pPr>
        <w:pStyle w:val="BodyText"/>
      </w:pPr>
      <w:r w:rsidRPr="008F14D2">
        <w:t>Further information on the CRC can be found at</w:t>
      </w:r>
      <w:r w:rsidR="00A27880">
        <w:t xml:space="preserve"> </w:t>
      </w:r>
      <w:hyperlink r:id="rId12" w:history="1">
        <w:r w:rsidR="00A27880" w:rsidRPr="008452C1">
          <w:rPr>
            <w:u w:val="single"/>
          </w:rPr>
          <w:t>www.coagreformcouncil.gov.au</w:t>
        </w:r>
      </w:hyperlink>
      <w:r w:rsidR="008F14D2" w:rsidRPr="008452C1">
        <w:rPr>
          <w:u w:val="single"/>
        </w:rPr>
        <w:t>.</w:t>
      </w:r>
    </w:p>
    <w:p w:rsidR="00D84C9A" w:rsidRPr="007D2A8E" w:rsidRDefault="00D84C9A" w:rsidP="007D2A8E">
      <w:pPr>
        <w:pStyle w:val="Heading4"/>
      </w:pPr>
      <w:r w:rsidRPr="007D2A8E">
        <w:t xml:space="preserve">Standing Council on Federal Financial Relations </w:t>
      </w:r>
      <w:r w:rsidR="001F4788" w:rsidRPr="007D2A8E">
        <w:t>(SCFFR)</w:t>
      </w:r>
    </w:p>
    <w:p w:rsidR="00C034FA" w:rsidRPr="00D3666F" w:rsidRDefault="00D84C9A" w:rsidP="00D3666F">
      <w:pPr>
        <w:pStyle w:val="BodyText"/>
      </w:pPr>
      <w:r w:rsidRPr="00D3666F">
        <w:t xml:space="preserve">SCFFR </w:t>
      </w:r>
      <w:r w:rsidR="00052436" w:rsidRPr="00D3666F">
        <w:t xml:space="preserve">is comprised of </w:t>
      </w:r>
      <w:r w:rsidR="00C034FA" w:rsidRPr="00D3666F">
        <w:t xml:space="preserve">Federal and State Treasurers and plays an important supporting role to </w:t>
      </w:r>
      <w:r w:rsidR="00052436" w:rsidRPr="00D3666F">
        <w:t>COAG</w:t>
      </w:r>
      <w:r w:rsidR="00C034FA" w:rsidRPr="00D3666F">
        <w:t>.</w:t>
      </w:r>
    </w:p>
    <w:p w:rsidR="00C034FA" w:rsidRPr="00D3666F" w:rsidRDefault="00C034FA" w:rsidP="00D3666F">
      <w:pPr>
        <w:pStyle w:val="BodyText"/>
      </w:pPr>
      <w:r w:rsidRPr="00D3666F">
        <w:t xml:space="preserve">In addition to monitoring economic conditions and coordinating and sharing information to inform fiscal policy settings across jurisdictions, SCFFR is also responsible for monitoring and </w:t>
      </w:r>
      <w:proofErr w:type="gramStart"/>
      <w:r w:rsidRPr="00D3666F">
        <w:t>progressing</w:t>
      </w:r>
      <w:proofErr w:type="gramEnd"/>
      <w:r w:rsidRPr="00D3666F">
        <w:t xml:space="preserve"> a range of policy items of interest to COAG</w:t>
      </w:r>
      <w:r w:rsidR="00283D8A" w:rsidRPr="00D3666F">
        <w:t xml:space="preserve">.  </w:t>
      </w:r>
      <w:r w:rsidR="00CB636D" w:rsidRPr="00D3666F">
        <w:t xml:space="preserve">Current </w:t>
      </w:r>
      <w:r w:rsidR="00283D8A" w:rsidRPr="00D3666F">
        <w:t xml:space="preserve">agenda </w:t>
      </w:r>
      <w:r w:rsidR="00CB636D" w:rsidRPr="00D3666F">
        <w:t>issues comprise</w:t>
      </w:r>
      <w:r w:rsidRPr="00D3666F">
        <w:t>:</w:t>
      </w:r>
    </w:p>
    <w:p w:rsidR="00C034FA" w:rsidRPr="007D2A8E" w:rsidRDefault="00C034FA" w:rsidP="007D2A8E">
      <w:pPr>
        <w:pStyle w:val="BodyTextIndent"/>
      </w:pPr>
      <w:r w:rsidRPr="007D2A8E">
        <w:t>general oversight of the operation of the IGA</w:t>
      </w:r>
      <w:r w:rsidR="006F6CDB" w:rsidRPr="007D2A8E">
        <w:noBreakHyphen/>
      </w:r>
      <w:r w:rsidRPr="007D2A8E">
        <w:t>FFR;</w:t>
      </w:r>
    </w:p>
    <w:p w:rsidR="004F06D7" w:rsidRPr="007D2A8E" w:rsidRDefault="00C034FA" w:rsidP="007D2A8E">
      <w:pPr>
        <w:pStyle w:val="BodyTextIndent"/>
      </w:pPr>
      <w:r w:rsidRPr="007D2A8E">
        <w:t>progressing the recommendations in the GST Distribution Review Report</w:t>
      </w:r>
      <w:r w:rsidR="004F06D7" w:rsidRPr="007D2A8E">
        <w:t>;</w:t>
      </w:r>
    </w:p>
    <w:p w:rsidR="00D84C9A" w:rsidRPr="007D2A8E" w:rsidRDefault="004F06D7" w:rsidP="007D2A8E">
      <w:pPr>
        <w:pStyle w:val="BodyTextIndent"/>
      </w:pPr>
      <w:r w:rsidRPr="007D2A8E">
        <w:t xml:space="preserve">Commonwealth Grants Commission </w:t>
      </w:r>
      <w:r w:rsidR="00DC3E9A" w:rsidRPr="007D2A8E">
        <w:t xml:space="preserve">(CGC) </w:t>
      </w:r>
      <w:r w:rsidR="00565BE5" w:rsidRPr="007D2A8E">
        <w:t xml:space="preserve">Annual </w:t>
      </w:r>
      <w:r w:rsidRPr="007D2A8E">
        <w:t>Report</w:t>
      </w:r>
      <w:r w:rsidR="00565BE5" w:rsidRPr="007D2A8E">
        <w:t>s</w:t>
      </w:r>
      <w:r w:rsidRPr="007D2A8E">
        <w:t xml:space="preserve"> on GST Revenue Sharing Relativities; </w:t>
      </w:r>
    </w:p>
    <w:p w:rsidR="00091AC8" w:rsidRPr="007D2A8E" w:rsidRDefault="00C034FA" w:rsidP="007D2A8E">
      <w:pPr>
        <w:pStyle w:val="BodyTextIndent"/>
      </w:pPr>
      <w:r w:rsidRPr="007D2A8E">
        <w:t xml:space="preserve">promoting </w:t>
      </w:r>
      <w:r w:rsidR="00D84C9A" w:rsidRPr="007D2A8E">
        <w:t>State tax reform</w:t>
      </w:r>
      <w:r w:rsidR="004F06D7" w:rsidRPr="007D2A8E">
        <w:t>s within the bounds of existing fiscal constraints</w:t>
      </w:r>
      <w:r w:rsidR="00FB362E" w:rsidRPr="007D2A8E">
        <w:t xml:space="preserve"> currently </w:t>
      </w:r>
      <w:r w:rsidR="00DC3E9A" w:rsidRPr="007D2A8E">
        <w:t>challenging</w:t>
      </w:r>
      <w:r w:rsidR="00FB362E" w:rsidRPr="007D2A8E">
        <w:t xml:space="preserve"> all economies</w:t>
      </w:r>
      <w:r w:rsidR="00D84C9A" w:rsidRPr="007D2A8E">
        <w:t>;</w:t>
      </w:r>
      <w:r w:rsidR="001F4788" w:rsidRPr="007D2A8E">
        <w:t xml:space="preserve"> </w:t>
      </w:r>
    </w:p>
    <w:p w:rsidR="00D84C9A" w:rsidRPr="007D2A8E" w:rsidRDefault="00C034FA" w:rsidP="007D2A8E">
      <w:pPr>
        <w:pStyle w:val="BodyTextIndent"/>
      </w:pPr>
      <w:r w:rsidRPr="007D2A8E">
        <w:t>the development of minimum N</w:t>
      </w:r>
      <w:r w:rsidR="00283D8A" w:rsidRPr="007D2A8E">
        <w:t>ational Injury Insurance Scheme</w:t>
      </w:r>
      <w:r w:rsidRPr="007D2A8E">
        <w:t xml:space="preserve"> benchmarks for medical, workplace accidents and general injury;</w:t>
      </w:r>
      <w:r w:rsidR="00091AC8" w:rsidRPr="007D2A8E">
        <w:t xml:space="preserve"> </w:t>
      </w:r>
      <w:r w:rsidR="001F4788" w:rsidRPr="007D2A8E">
        <w:t>and</w:t>
      </w:r>
    </w:p>
    <w:p w:rsidR="00D84C9A" w:rsidRPr="007D2A8E" w:rsidRDefault="005B17C5" w:rsidP="007D2A8E">
      <w:pPr>
        <w:pStyle w:val="BodyTextIndent"/>
      </w:pPr>
      <w:proofErr w:type="gramStart"/>
      <w:r w:rsidRPr="007D2A8E">
        <w:t>reviewing</w:t>
      </w:r>
      <w:proofErr w:type="gramEnd"/>
      <w:r w:rsidR="004F06D7" w:rsidRPr="007D2A8E">
        <w:t xml:space="preserve"> </w:t>
      </w:r>
      <w:r w:rsidR="00C034FA" w:rsidRPr="007D2A8E">
        <w:t xml:space="preserve">the appropriateness of </w:t>
      </w:r>
      <w:r w:rsidR="004F06D7" w:rsidRPr="007D2A8E">
        <w:t xml:space="preserve">the low value </w:t>
      </w:r>
      <w:r w:rsidR="00D84C9A" w:rsidRPr="007D2A8E">
        <w:t>GST threshold</w:t>
      </w:r>
      <w:r w:rsidR="004F06D7" w:rsidRPr="007D2A8E">
        <w:t>.</w:t>
      </w:r>
    </w:p>
    <w:p w:rsidR="001D2CAA" w:rsidRPr="00D3666F" w:rsidRDefault="001D2CAA" w:rsidP="00D3666F">
      <w:pPr>
        <w:pStyle w:val="BodyText"/>
      </w:pPr>
      <w:r w:rsidRPr="00D3666F">
        <w:t xml:space="preserve">SCFFR itself is serviced by the Heads of Treasuries forum and other sub-groups with the ACT </w:t>
      </w:r>
      <w:r w:rsidR="0001117A">
        <w:t>Chief Minister and Treasury Directorate</w:t>
      </w:r>
      <w:r w:rsidRPr="00D3666F">
        <w:t xml:space="preserve"> fully represented in all major groups including all deliberations with the Commonwealth Grants Commission.</w:t>
      </w:r>
    </w:p>
    <w:p w:rsidR="00A27880" w:rsidRPr="00A27880" w:rsidRDefault="00A27880" w:rsidP="001E0B9C">
      <w:pPr>
        <w:pStyle w:val="BodyText"/>
        <w:jc w:val="left"/>
      </w:pPr>
      <w:r>
        <w:t>Further information</w:t>
      </w:r>
      <w:r w:rsidR="008452C1">
        <w:t xml:space="preserve"> regarding SCFFR can be found at</w:t>
      </w:r>
      <w:r w:rsidR="001E0B9C">
        <w:t xml:space="preserve"> </w:t>
      </w:r>
      <w:hyperlink r:id="rId13" w:history="1">
        <w:r w:rsidR="001E0B9C" w:rsidRPr="008452C1">
          <w:rPr>
            <w:u w:val="single"/>
          </w:rPr>
          <w:t>www.federalfinancialrelations.gov.au</w:t>
        </w:r>
      </w:hyperlink>
      <w:r w:rsidRPr="0001117A">
        <w:t>.</w:t>
      </w:r>
    </w:p>
    <w:p w:rsidR="00D84C9A" w:rsidRPr="0001117A" w:rsidRDefault="00D84C9A" w:rsidP="0001117A">
      <w:pPr>
        <w:pStyle w:val="Heading4"/>
      </w:pPr>
      <w:r w:rsidRPr="0001117A">
        <w:t xml:space="preserve">Australian Loan Council </w:t>
      </w:r>
    </w:p>
    <w:p w:rsidR="001F4788" w:rsidRPr="00D3666F" w:rsidRDefault="00D84C9A" w:rsidP="00D3666F">
      <w:pPr>
        <w:pStyle w:val="BodyText"/>
      </w:pPr>
      <w:r w:rsidRPr="00D3666F">
        <w:t xml:space="preserve">The Australian Loan Council was established under the </w:t>
      </w:r>
      <w:r w:rsidRPr="00D3666F">
        <w:rPr>
          <w:i/>
        </w:rPr>
        <w:t>Financial Agreement Act 1927</w:t>
      </w:r>
      <w:r w:rsidRPr="00D3666F">
        <w:t xml:space="preserve"> </w:t>
      </w:r>
      <w:r w:rsidRPr="00D3666F">
        <w:rPr>
          <w:i/>
        </w:rPr>
        <w:t>(</w:t>
      </w:r>
      <w:proofErr w:type="spellStart"/>
      <w:r w:rsidRPr="00D3666F">
        <w:rPr>
          <w:i/>
        </w:rPr>
        <w:t>C’wealth</w:t>
      </w:r>
      <w:proofErr w:type="spellEnd"/>
      <w:r w:rsidRPr="00D3666F">
        <w:rPr>
          <w:i/>
        </w:rPr>
        <w:t>)</w:t>
      </w:r>
      <w:r w:rsidRPr="00D3666F">
        <w:t xml:space="preserve"> to manage the call on national savings by the Australian public sector as a whole and is comprised of Federal</w:t>
      </w:r>
      <w:r w:rsidR="00B2204C" w:rsidRPr="00D3666F">
        <w:t xml:space="preserve"> and </w:t>
      </w:r>
      <w:r w:rsidRPr="00D3666F">
        <w:t xml:space="preserve">State Treasurers.  </w:t>
      </w:r>
    </w:p>
    <w:p w:rsidR="00D84C9A" w:rsidRPr="00D3666F" w:rsidRDefault="00D84C9A" w:rsidP="00D3666F">
      <w:pPr>
        <w:pStyle w:val="BodyText"/>
      </w:pPr>
      <w:r w:rsidRPr="00D3666F">
        <w:t>Each year, the Commonwealth and States nominate their proposed borrowings for the coming financial year for all general government and public trading entities in their jurisdiction.  The estimated Loan Council Allocations</w:t>
      </w:r>
      <w:r w:rsidR="00DD1742">
        <w:t xml:space="preserve"> (LCA)</w:t>
      </w:r>
      <w:r w:rsidRPr="00D3666F">
        <w:t xml:space="preserve"> </w:t>
      </w:r>
      <w:proofErr w:type="gramStart"/>
      <w:r w:rsidRPr="00D3666F">
        <w:t>measure</w:t>
      </w:r>
      <w:proofErr w:type="gramEnd"/>
      <w:r w:rsidRPr="00D3666F">
        <w:t xml:space="preserve"> each jurisdiction’s call on financial markets.</w:t>
      </w:r>
    </w:p>
    <w:p w:rsidR="00D84C9A" w:rsidRPr="007D2A8E" w:rsidRDefault="00D84C9A" w:rsidP="007D2A8E">
      <w:pPr>
        <w:pStyle w:val="BodyText"/>
      </w:pPr>
      <w:r w:rsidRPr="007D2A8E">
        <w:lastRenderedPageBreak/>
        <w:t xml:space="preserve">The Loan Council also considers the macroeconomic implications of proposed expenditure </w:t>
      </w:r>
      <w:r w:rsidR="007D2A8E" w:rsidRPr="007D2A8E">
        <w:t xml:space="preserve">from the nation building funds: </w:t>
      </w:r>
      <w:r w:rsidRPr="007D2A8E">
        <w:t xml:space="preserve">the Building Australia Fund; the Health and Hospitals Fund; and the Education Investment Fund. </w:t>
      </w:r>
      <w:r w:rsidR="006D6A1B" w:rsidRPr="007D2A8E">
        <w:t xml:space="preserve"> </w:t>
      </w:r>
      <w:r w:rsidRPr="007D2A8E">
        <w:t>The Loan Council then reports to the Commonwealth to inform the Government’s final decision regarding funding of projects from these funds.</w:t>
      </w:r>
    </w:p>
    <w:p w:rsidR="00D84C9A" w:rsidRDefault="00B2204C" w:rsidP="00F702CC">
      <w:pPr>
        <w:pStyle w:val="BodyText"/>
      </w:pPr>
      <w:r>
        <w:t>At</w:t>
      </w:r>
      <w:r w:rsidR="00FB362E" w:rsidRPr="00853638">
        <w:t xml:space="preserve"> the annual meeting </w:t>
      </w:r>
      <w:r w:rsidR="00853638">
        <w:t xml:space="preserve">of 3 April 2013 </w:t>
      </w:r>
      <w:r w:rsidR="00FB362E" w:rsidRPr="00853638">
        <w:t xml:space="preserve">all parties </w:t>
      </w:r>
      <w:r w:rsidR="00853638" w:rsidRPr="00853638">
        <w:t xml:space="preserve">agreed to their nominated borrowings </w:t>
      </w:r>
      <w:r w:rsidR="001E3344" w:rsidRPr="00853638">
        <w:t xml:space="preserve">while noting </w:t>
      </w:r>
      <w:r w:rsidR="00FB362E" w:rsidRPr="00853638">
        <w:t>each jurisdiction’s fiscal position and infrastructure requirements</w:t>
      </w:r>
      <w:r w:rsidR="00D3666F">
        <w:t>,</w:t>
      </w:r>
      <w:r w:rsidR="00FB362E" w:rsidRPr="00853638">
        <w:t xml:space="preserve"> and the </w:t>
      </w:r>
      <w:r w:rsidR="001E3344" w:rsidRPr="00853638">
        <w:t xml:space="preserve">associated </w:t>
      </w:r>
      <w:r w:rsidR="00FB362E" w:rsidRPr="00853638">
        <w:t xml:space="preserve">underlying macroeconomic </w:t>
      </w:r>
      <w:r w:rsidR="001E3344" w:rsidRPr="00853638">
        <w:t>settings.</w:t>
      </w:r>
    </w:p>
    <w:p w:rsidR="004E7D80" w:rsidRDefault="001D2CAA" w:rsidP="00D3666F">
      <w:pPr>
        <w:pStyle w:val="BodyText"/>
      </w:pPr>
      <w:proofErr w:type="gramStart"/>
      <w:r w:rsidRPr="00D3666F">
        <w:t>The 2013-14 LCA Nomination for the ACT</w:t>
      </w:r>
      <w:proofErr w:type="gramEnd"/>
      <w:r w:rsidRPr="00D3666F">
        <w:t xml:space="preserve"> was $427 million based on the 2012-13 Budget Review</w:t>
      </w:r>
      <w:r w:rsidR="00575B0D" w:rsidRPr="00D3666F">
        <w:t xml:space="preserve"> (a </w:t>
      </w:r>
      <w:r w:rsidR="004E7D80" w:rsidRPr="00D3666F">
        <w:t>positive allocation indicates a net borrowing position and cash being drawn from financial markets or investments</w:t>
      </w:r>
      <w:r w:rsidR="00575B0D" w:rsidRPr="00D3666F">
        <w:t>)</w:t>
      </w:r>
      <w:r w:rsidR="004E7D80" w:rsidRPr="00D3666F">
        <w:t>.</w:t>
      </w:r>
    </w:p>
    <w:p w:rsidR="007E0B2B" w:rsidRPr="00D3666F" w:rsidRDefault="007E0B2B" w:rsidP="00D3666F">
      <w:pPr>
        <w:pStyle w:val="BodyText"/>
      </w:pPr>
      <w:r>
        <w:t>The Budget time estimate has been revised to $642 million reflective of the impact of Government policy decisions and decreased taxation receipts due to a softening housing market.</w:t>
      </w:r>
    </w:p>
    <w:p w:rsidR="00D67290" w:rsidRPr="007D2A8E" w:rsidRDefault="00D67290" w:rsidP="007D2A8E">
      <w:pPr>
        <w:pStyle w:val="Heading3"/>
      </w:pPr>
      <w:r w:rsidRPr="007D2A8E">
        <w:t>Federal Financial Relations Update</w:t>
      </w:r>
    </w:p>
    <w:p w:rsidR="00D67290" w:rsidRPr="007D2A8E" w:rsidRDefault="00D67290" w:rsidP="007D2A8E">
      <w:pPr>
        <w:pStyle w:val="Heading4"/>
      </w:pPr>
      <w:r w:rsidRPr="007D2A8E">
        <w:t>GST Distribution Review</w:t>
      </w:r>
    </w:p>
    <w:p w:rsidR="00D67290" w:rsidRPr="007D2A8E" w:rsidRDefault="00D67290" w:rsidP="007D2A8E">
      <w:pPr>
        <w:pStyle w:val="BodyText"/>
      </w:pPr>
      <w:r w:rsidRPr="007D2A8E">
        <w:t>On 30 March 2011 the Commonwealth Government announced a review of the GST distribution system.  Specifically, the GST Distribution Review (the Review) was to consider whether the current form of HFE ensures Australia is best placed to respond to significant structural changes in the economy and maintain public confidence in the federation’s financial relationships.</w:t>
      </w:r>
    </w:p>
    <w:p w:rsidR="00D67290" w:rsidRPr="00D3666F" w:rsidRDefault="00D67290" w:rsidP="00D3666F">
      <w:pPr>
        <w:pStyle w:val="BodyText"/>
      </w:pPr>
      <w:r w:rsidRPr="00D3666F">
        <w:t xml:space="preserve">The Review was initiated </w:t>
      </w:r>
      <w:r w:rsidR="005B17C5" w:rsidRPr="00D3666F">
        <w:t xml:space="preserve">because of the contention from </w:t>
      </w:r>
      <w:r w:rsidR="00DC3E9A" w:rsidRPr="00D3666F">
        <w:t>‘</w:t>
      </w:r>
      <w:r w:rsidR="005B17C5" w:rsidRPr="00D3666F">
        <w:t>d</w:t>
      </w:r>
      <w:r w:rsidRPr="00D3666F">
        <w:t>onor</w:t>
      </w:r>
      <w:r w:rsidR="00DC3E9A" w:rsidRPr="00D3666F">
        <w:t>’</w:t>
      </w:r>
      <w:r w:rsidRPr="00D3666F">
        <w:t xml:space="preserve"> States (NSW, V</w:t>
      </w:r>
      <w:r w:rsidR="006D6A1B">
        <w:t>IC</w:t>
      </w:r>
      <w:r w:rsidRPr="00D3666F">
        <w:t>, Q</w:t>
      </w:r>
      <w:r w:rsidR="006D6A1B">
        <w:t>LD</w:t>
      </w:r>
      <w:r w:rsidRPr="00D3666F">
        <w:t xml:space="preserve"> and WA) that the present HFE system was inequitable and inefficient.  In particular, WA and Q</w:t>
      </w:r>
      <w:r w:rsidR="006D6A1B">
        <w:t>LD</w:t>
      </w:r>
      <w:r w:rsidRPr="00D3666F">
        <w:t xml:space="preserve"> argued for changes to HFE on efficiency grounds, claiming that the mining States were being ‘penalised’ and the system was broken as </w:t>
      </w:r>
      <w:r w:rsidR="005B17C5" w:rsidRPr="00D3666F">
        <w:t>a significant proportion of</w:t>
      </w:r>
      <w:r w:rsidRPr="00D3666F">
        <w:t xml:space="preserve"> their mining revenues were being redistributed away to other States, </w:t>
      </w:r>
      <w:r w:rsidR="005B17C5" w:rsidRPr="00D3666F">
        <w:t>through reduced</w:t>
      </w:r>
      <w:r w:rsidRPr="00D3666F">
        <w:t xml:space="preserve"> share</w:t>
      </w:r>
      <w:r w:rsidR="005B17C5" w:rsidRPr="00D3666F">
        <w:t>s</w:t>
      </w:r>
      <w:r w:rsidRPr="00D3666F">
        <w:t xml:space="preserve"> of GST funding. </w:t>
      </w:r>
    </w:p>
    <w:p w:rsidR="001E3344" w:rsidRPr="00D3666F" w:rsidRDefault="00D67290" w:rsidP="00D3666F">
      <w:pPr>
        <w:pStyle w:val="BodyText"/>
      </w:pPr>
      <w:r w:rsidRPr="00D3666F">
        <w:t>The Review</w:t>
      </w:r>
      <w:r w:rsidR="00B2204C" w:rsidRPr="00D3666F">
        <w:t>’s</w:t>
      </w:r>
      <w:r w:rsidRPr="00D3666F">
        <w:t xml:space="preserve"> </w:t>
      </w:r>
      <w:r w:rsidR="001E3344" w:rsidRPr="00D3666F">
        <w:t xml:space="preserve">findings were released in a final report in October 2012 which generally </w:t>
      </w:r>
      <w:r w:rsidRPr="00D3666F">
        <w:t xml:space="preserve">supported the stance taken by the ACT </w:t>
      </w:r>
      <w:r w:rsidR="001E3344" w:rsidRPr="00D3666F">
        <w:t xml:space="preserve">from the outset of the review </w:t>
      </w:r>
      <w:r w:rsidRPr="00D3666F">
        <w:t>that the principle of HFE and its current application is not fractured.</w:t>
      </w:r>
      <w:r w:rsidR="007D2A8E">
        <w:t xml:space="preserve">  </w:t>
      </w:r>
      <w:r w:rsidR="00D47407" w:rsidRPr="00D3666F">
        <w:t xml:space="preserve">The </w:t>
      </w:r>
      <w:r w:rsidR="00DC3E9A" w:rsidRPr="00D3666F">
        <w:t>Review</w:t>
      </w:r>
      <w:r w:rsidR="00D47407" w:rsidRPr="00D3666F">
        <w:t xml:space="preserve"> concluded that many of the concerns about HFE have tu</w:t>
      </w:r>
      <w:r w:rsidR="00E62AAF" w:rsidRPr="00D3666F">
        <w:t xml:space="preserve">rned out to be </w:t>
      </w:r>
      <w:r w:rsidR="00091AC8" w:rsidRPr="00D3666F">
        <w:t>overstated</w:t>
      </w:r>
      <w:r w:rsidR="00B2204C" w:rsidRPr="00D3666F">
        <w:t>.  I</w:t>
      </w:r>
      <w:r w:rsidR="00D47407" w:rsidRPr="00D3666F">
        <w:t xml:space="preserve">n the </w:t>
      </w:r>
      <w:r w:rsidR="00B2204C" w:rsidRPr="00D3666F">
        <w:t>P</w:t>
      </w:r>
      <w:r w:rsidR="00D47407" w:rsidRPr="00D3666F">
        <w:t xml:space="preserve">anel’s view, </w:t>
      </w:r>
      <w:r w:rsidR="00DC3E9A" w:rsidRPr="00D3666F">
        <w:t xml:space="preserve">these concerns </w:t>
      </w:r>
      <w:r w:rsidR="00D47407" w:rsidRPr="00D3666F">
        <w:t xml:space="preserve">represented </w:t>
      </w:r>
      <w:r w:rsidR="00091AC8" w:rsidRPr="00D3666F">
        <w:t>symptoms</w:t>
      </w:r>
      <w:r w:rsidR="00D47407" w:rsidRPr="00D3666F">
        <w:t xml:space="preserve"> of the present economic times rather than problems with HFE.</w:t>
      </w:r>
    </w:p>
    <w:p w:rsidR="00D67290" w:rsidRPr="00D3666F" w:rsidRDefault="00D67290" w:rsidP="00D3666F">
      <w:pPr>
        <w:pStyle w:val="BodyText"/>
      </w:pPr>
      <w:r w:rsidRPr="00D3666F">
        <w:t xml:space="preserve">Importantly, the Review considered that mining revenues should continue to be equalised through the HFE system on the same basis as other </w:t>
      </w:r>
      <w:r w:rsidR="00091AC8" w:rsidRPr="00D3666F">
        <w:t>own source</w:t>
      </w:r>
      <w:r w:rsidRPr="00D3666F">
        <w:t xml:space="preserve"> revenue.</w:t>
      </w:r>
      <w:r w:rsidR="003C2D38" w:rsidRPr="00D3666F">
        <w:t xml:space="preserve">  </w:t>
      </w:r>
    </w:p>
    <w:p w:rsidR="00E62AAF" w:rsidRPr="00853638" w:rsidRDefault="00D67290" w:rsidP="00F702CC">
      <w:pPr>
        <w:pStyle w:val="BodyText"/>
      </w:pPr>
      <w:r w:rsidRPr="00D3666F">
        <w:t xml:space="preserve">The Review’s recommendations are relatively modest with no </w:t>
      </w:r>
      <w:r w:rsidR="00E62AAF" w:rsidRPr="00D3666F">
        <w:t xml:space="preserve">radical </w:t>
      </w:r>
      <w:r w:rsidRPr="00D3666F">
        <w:t xml:space="preserve">changes to the </w:t>
      </w:r>
      <w:r w:rsidR="00E62AAF" w:rsidRPr="00D3666F">
        <w:t xml:space="preserve">way GST is </w:t>
      </w:r>
      <w:r w:rsidR="00091AC8" w:rsidRPr="00D3666F">
        <w:t>distributed.</w:t>
      </w:r>
      <w:r w:rsidR="00E62AAF" w:rsidRPr="00D3666F">
        <w:t xml:space="preserve">  Instead the recommendations set out to provide substantive improvements to the </w:t>
      </w:r>
      <w:r w:rsidRPr="00D3666F">
        <w:t>HFE system</w:t>
      </w:r>
      <w:r w:rsidR="00E62AAF" w:rsidRPr="00D3666F">
        <w:t xml:space="preserve"> </w:t>
      </w:r>
      <w:r w:rsidR="00091AC8" w:rsidRPr="00D3666F">
        <w:t>designed</w:t>
      </w:r>
      <w:r w:rsidR="0056551B" w:rsidRPr="00D3666F">
        <w:t xml:space="preserve"> to</w:t>
      </w:r>
      <w:r w:rsidR="00E62AAF" w:rsidRPr="00853638">
        <w:t>:</w:t>
      </w:r>
    </w:p>
    <w:p w:rsidR="00E62AAF" w:rsidRPr="00693CF1" w:rsidRDefault="00E62AAF" w:rsidP="00693CF1">
      <w:pPr>
        <w:pStyle w:val="BodyTextIndent"/>
      </w:pPr>
      <w:r w:rsidRPr="00693CF1">
        <w:t>improve understanding of the HFE system in Australia; increase the transparency of the process and strengthen governance arrangements;</w:t>
      </w:r>
      <w:r w:rsidR="00A7683C" w:rsidRPr="00693CF1">
        <w:t xml:space="preserve"> and</w:t>
      </w:r>
    </w:p>
    <w:p w:rsidR="00A7683C" w:rsidRPr="00693CF1" w:rsidRDefault="00E62AAF" w:rsidP="00693CF1">
      <w:pPr>
        <w:pStyle w:val="BodyTextIndent"/>
      </w:pPr>
      <w:proofErr w:type="gramStart"/>
      <w:r w:rsidRPr="00693CF1">
        <w:t>help</w:t>
      </w:r>
      <w:proofErr w:type="gramEnd"/>
      <w:r w:rsidRPr="00693CF1">
        <w:t xml:space="preserve"> simplify the system; improve the assessment of costs related to mining and also increase the stability of </w:t>
      </w:r>
      <w:r w:rsidR="00091AC8" w:rsidRPr="00693CF1">
        <w:t>State</w:t>
      </w:r>
      <w:r w:rsidR="00DC3E9A" w:rsidRPr="00693CF1">
        <w:t>s</w:t>
      </w:r>
      <w:r w:rsidR="00091AC8" w:rsidRPr="00693CF1">
        <w:t>’</w:t>
      </w:r>
      <w:r w:rsidRPr="00693CF1">
        <w:t xml:space="preserve"> shares</w:t>
      </w:r>
      <w:r w:rsidR="00283D8A" w:rsidRPr="00693CF1">
        <w:t>.</w:t>
      </w:r>
    </w:p>
    <w:p w:rsidR="00D67290" w:rsidRPr="00693CF1" w:rsidRDefault="00D67290" w:rsidP="00693CF1">
      <w:pPr>
        <w:pStyle w:val="BodyText"/>
      </w:pPr>
      <w:r w:rsidRPr="00693CF1">
        <w:lastRenderedPageBreak/>
        <w:t xml:space="preserve">The operational, governance and communication recommendations are to be </w:t>
      </w:r>
      <w:proofErr w:type="gramStart"/>
      <w:r w:rsidRPr="00693CF1">
        <w:t>progressed</w:t>
      </w:r>
      <w:proofErr w:type="gramEnd"/>
      <w:r w:rsidRPr="00693CF1">
        <w:t xml:space="preserve"> by Commonwealth and State officials in conjunction with the Federal Treasurer to enhance the overall understanding of the HFE system.  These are des</w:t>
      </w:r>
      <w:r w:rsidR="007D2A8E">
        <w:t>irable objectives which the ACT </w:t>
      </w:r>
      <w:r w:rsidRPr="00693CF1">
        <w:t>Government supports.</w:t>
      </w:r>
    </w:p>
    <w:p w:rsidR="00D67290" w:rsidRPr="00693CF1" w:rsidRDefault="00DC3E9A" w:rsidP="003A5E63">
      <w:pPr>
        <w:pStyle w:val="BodyText"/>
        <w:spacing w:before="0"/>
      </w:pPr>
      <w:r w:rsidRPr="00B8548F">
        <w:t xml:space="preserve">At </w:t>
      </w:r>
      <w:r w:rsidR="003A5E63">
        <w:t xml:space="preserve">its </w:t>
      </w:r>
      <w:r w:rsidRPr="00B8548F">
        <w:t>April 2013 meeting, t</w:t>
      </w:r>
      <w:r w:rsidR="00D67290" w:rsidRPr="00B8548F">
        <w:t xml:space="preserve">he SCFFR agreed that the </w:t>
      </w:r>
      <w:r w:rsidR="005B17C5" w:rsidRPr="00B8548F">
        <w:t xml:space="preserve">recommendations on assessment methods </w:t>
      </w:r>
      <w:r w:rsidR="00D67290" w:rsidRPr="00B8548F">
        <w:t>from the GST Distribution Review would form part of a shortened 18 month CGC Method</w:t>
      </w:r>
      <w:r w:rsidR="00843449" w:rsidRPr="00B8548F">
        <w:t>ology</w:t>
      </w:r>
      <w:r w:rsidR="00D67290" w:rsidRPr="00B8548F">
        <w:t xml:space="preserve"> Review, as opposed to a normal </w:t>
      </w:r>
      <w:r w:rsidRPr="00B8548F">
        <w:t>five</w:t>
      </w:r>
      <w:r w:rsidR="00D67290" w:rsidRPr="00B8548F">
        <w:t xml:space="preserve"> year process.  Enhanced reporting will form part of the arrangements with a </w:t>
      </w:r>
      <w:r w:rsidR="00343F4D" w:rsidRPr="00B8548F">
        <w:t xml:space="preserve">12 </w:t>
      </w:r>
      <w:r w:rsidR="00D67290" w:rsidRPr="00B8548F">
        <w:t xml:space="preserve">month interim report to be provided to Treasurers.  Consideration </w:t>
      </w:r>
      <w:r w:rsidR="00EE68EE" w:rsidRPr="00B8548F">
        <w:t xml:space="preserve">of the recommendations </w:t>
      </w:r>
      <w:r w:rsidR="00D67290" w:rsidRPr="00B8548F">
        <w:t xml:space="preserve">as part of a </w:t>
      </w:r>
      <w:r w:rsidR="00EE68EE" w:rsidRPr="00B8548F">
        <w:t>M</w:t>
      </w:r>
      <w:r w:rsidR="00D67290" w:rsidRPr="00B8548F">
        <w:t>ethod</w:t>
      </w:r>
      <w:r w:rsidR="00843449" w:rsidRPr="00B8548F">
        <w:t>ology</w:t>
      </w:r>
      <w:r w:rsidR="00D67290" w:rsidRPr="00B8548F">
        <w:t xml:space="preserve"> </w:t>
      </w:r>
      <w:r w:rsidR="00EE68EE" w:rsidRPr="00B8548F">
        <w:t>R</w:t>
      </w:r>
      <w:r w:rsidR="00D67290" w:rsidRPr="00B8548F">
        <w:t>eview was deemed crucial to ensure there is recognition of the linkages and interactions between the recommendations and to avoid any unintended consequences</w:t>
      </w:r>
      <w:r w:rsidR="003A5E63">
        <w:t>.</w:t>
      </w:r>
      <w:r w:rsidR="00697F7F">
        <w:t xml:space="preserve">  </w:t>
      </w:r>
      <w:r w:rsidR="00182233" w:rsidRPr="009D455D">
        <w:t>It is expected</w:t>
      </w:r>
      <w:r w:rsidR="00D67290" w:rsidRPr="00693CF1">
        <w:t xml:space="preserve"> that changed assessment methods as a result of the </w:t>
      </w:r>
      <w:r w:rsidR="006F6CDB" w:rsidRPr="00693CF1">
        <w:t>M</w:t>
      </w:r>
      <w:r w:rsidR="00D67290" w:rsidRPr="00693CF1">
        <w:t>ethod</w:t>
      </w:r>
      <w:r w:rsidR="00843449" w:rsidRPr="00693CF1">
        <w:t>ology</w:t>
      </w:r>
      <w:r w:rsidR="00D67290" w:rsidRPr="00693CF1">
        <w:t xml:space="preserve"> </w:t>
      </w:r>
      <w:r w:rsidR="006F6CDB" w:rsidRPr="00693CF1">
        <w:t>R</w:t>
      </w:r>
      <w:r w:rsidR="00D67290" w:rsidRPr="00693CF1">
        <w:t xml:space="preserve">eview would be implemented to distribute the 2015-16 GST Pool.  </w:t>
      </w:r>
      <w:r w:rsidR="007D2A8E">
        <w:t xml:space="preserve">The </w:t>
      </w:r>
      <w:r w:rsidR="0001117A">
        <w:t>Chief Minister and Treasury</w:t>
      </w:r>
      <w:r w:rsidR="00D67290" w:rsidRPr="00693CF1">
        <w:t xml:space="preserve"> </w:t>
      </w:r>
      <w:r w:rsidR="0001117A">
        <w:t xml:space="preserve">Directorate </w:t>
      </w:r>
      <w:r w:rsidR="00D67290" w:rsidRPr="00693CF1">
        <w:t xml:space="preserve">will be fully engaged with the </w:t>
      </w:r>
      <w:r w:rsidR="00826FEA" w:rsidRPr="00693CF1">
        <w:t>Methodology Review</w:t>
      </w:r>
      <w:r w:rsidR="00D67290" w:rsidRPr="00693CF1">
        <w:t xml:space="preserve"> process to ensure a fair and equitable outcome for the Territory.</w:t>
      </w:r>
    </w:p>
    <w:p w:rsidR="00D67290" w:rsidRPr="00693CF1" w:rsidRDefault="00D4702C" w:rsidP="00693CF1">
      <w:pPr>
        <w:pStyle w:val="BodyText"/>
      </w:pPr>
      <w:r w:rsidRPr="00693CF1">
        <w:t xml:space="preserve">Arising from the issue </w:t>
      </w:r>
      <w:r w:rsidR="003A5E63">
        <w:t xml:space="preserve">raised </w:t>
      </w:r>
      <w:r w:rsidRPr="00693CF1">
        <w:t xml:space="preserve">by the Federal Treasurer of supplementary terms of reference to the Review Panel in </w:t>
      </w:r>
      <w:r w:rsidR="00576F21" w:rsidRPr="00693CF1">
        <w:t xml:space="preserve">November 2011, which asked the Panel to examine </w:t>
      </w:r>
      <w:r w:rsidR="00A93FFC" w:rsidRPr="00693CF1">
        <w:t>the interaction</w:t>
      </w:r>
      <w:r w:rsidR="00EE68EE" w:rsidRPr="00693CF1">
        <w:t xml:space="preserve"> of Commonwealth resource rent taxes and State royalties</w:t>
      </w:r>
      <w:r w:rsidR="00D67290" w:rsidRPr="00693CF1">
        <w:t xml:space="preserve">, </w:t>
      </w:r>
      <w:r w:rsidR="00A93FFC" w:rsidRPr="00693CF1">
        <w:t>discussions about</w:t>
      </w:r>
      <w:r w:rsidR="00576F21" w:rsidRPr="00693CF1">
        <w:t xml:space="preserve"> </w:t>
      </w:r>
      <w:r w:rsidR="00D67290" w:rsidRPr="00693CF1">
        <w:t>how they might best operate in tandem will continue.</w:t>
      </w:r>
    </w:p>
    <w:p w:rsidR="00D67290" w:rsidRPr="00B8548F" w:rsidRDefault="00D67290" w:rsidP="00B8548F">
      <w:pPr>
        <w:pStyle w:val="BodyText"/>
      </w:pPr>
      <w:r w:rsidRPr="00B8548F">
        <w:t>The Panel also laid out a longer term fiscal vision which mooted more significant changes.  The Review stated that a longer term vision need not necessarily include the current concept of HFE, although it will still need to recognise and accommodate the needs of fiscally weaker States.  This vision is predicated on a number of key changes to fundamental fiscal characteristics such as national tax reform; changes in overall government size; roles and responsibilities; and a reduction in V</w:t>
      </w:r>
      <w:r w:rsidR="00EE68EE" w:rsidRPr="00B8548F">
        <w:t>FI</w:t>
      </w:r>
      <w:r w:rsidRPr="00B8548F">
        <w:t xml:space="preserve"> through changes in revenue-raising responsibilities between the levels of government.</w:t>
      </w:r>
    </w:p>
    <w:p w:rsidR="00D67290" w:rsidRPr="004B24EB" w:rsidRDefault="00565BE5" w:rsidP="004B24EB">
      <w:pPr>
        <w:pStyle w:val="Heading4"/>
      </w:pPr>
      <w:r w:rsidRPr="004B24EB">
        <w:t xml:space="preserve">The Principle of </w:t>
      </w:r>
      <w:r w:rsidR="00DC3E9A" w:rsidRPr="004B24EB">
        <w:t>HFE</w:t>
      </w:r>
    </w:p>
    <w:p w:rsidR="00D67290" w:rsidRPr="004B24EB" w:rsidRDefault="00D456E8" w:rsidP="004B24EB">
      <w:pPr>
        <w:pStyle w:val="BodyText"/>
      </w:pPr>
      <w:r w:rsidRPr="004B24EB">
        <w:t xml:space="preserve">The </w:t>
      </w:r>
      <w:r w:rsidR="00D67290" w:rsidRPr="004B24EB">
        <w:t>CGC Reports are based on the principle of HFE and recommend a distribution of GST revenue which will give each of the States the fiscal capacity to deliver services and associated infrastructure at the same standard to their population irrespective of where they live.</w:t>
      </w:r>
    </w:p>
    <w:p w:rsidR="00D456E8" w:rsidRPr="004B24EB" w:rsidRDefault="00D456E8" w:rsidP="004B24EB">
      <w:pPr>
        <w:pStyle w:val="BodyText"/>
      </w:pPr>
      <w:r w:rsidRPr="004B24EB">
        <w:t>The assessments take into account existing differences between State economies such as natural resource endowments, population characteristics and remoteness.</w:t>
      </w:r>
    </w:p>
    <w:p w:rsidR="00D456E8" w:rsidRPr="004B24EB" w:rsidRDefault="00D456E8" w:rsidP="004B24EB">
      <w:pPr>
        <w:pStyle w:val="BodyText"/>
      </w:pPr>
      <w:r w:rsidRPr="004B24EB">
        <w:t xml:space="preserve">State capacities are compared to the Australian average in order to determine whether a jurisdiction needs more or less than its population share of GST.  </w:t>
      </w:r>
    </w:p>
    <w:p w:rsidR="00D67290" w:rsidRPr="004B24EB" w:rsidRDefault="00D67290" w:rsidP="004B24EB">
      <w:pPr>
        <w:pStyle w:val="BodyText"/>
      </w:pPr>
      <w:r w:rsidRPr="004B24EB">
        <w:t xml:space="preserve">A State’s fiscal capacity is determined by the sum of its assessed needs, </w:t>
      </w:r>
      <w:r w:rsidR="00E76EC6" w:rsidRPr="004B24EB">
        <w:t>relative to an assessed average policy or an average level of activity.</w:t>
      </w:r>
    </w:p>
    <w:p w:rsidR="00D67290" w:rsidRPr="004B24EB" w:rsidRDefault="00D67290" w:rsidP="004B24EB">
      <w:pPr>
        <w:pStyle w:val="BodyText"/>
      </w:pPr>
      <w:r w:rsidRPr="004B24EB">
        <w:t xml:space="preserve">The advice </w:t>
      </w:r>
      <w:r w:rsidR="00DC3E9A" w:rsidRPr="004B24EB">
        <w:t>on achieving equal</w:t>
      </w:r>
      <w:r w:rsidRPr="004B24EB">
        <w:t xml:space="preserve"> fiscal capacities is provided in terms of ‘relativities’, which are per capita weights used to calculate the share of the GST revenue a State requires to achieve </w:t>
      </w:r>
      <w:r w:rsidR="00DC3E9A" w:rsidRPr="004B24EB">
        <w:t>HFE</w:t>
      </w:r>
      <w:r w:rsidRPr="004B24EB">
        <w:t>.  A State’s GST entitlement is calculated by multiplying a State’s population by the respective relativity to derive its weighted population.  Its share of the national population is then calculated and applied to the national GST collections to determine its GST entitlement.</w:t>
      </w:r>
    </w:p>
    <w:p w:rsidR="0036201E" w:rsidRPr="004B24EB" w:rsidRDefault="00106C8F" w:rsidP="004B24EB">
      <w:pPr>
        <w:pStyle w:val="BodyText"/>
      </w:pPr>
      <w:r w:rsidRPr="004B24EB">
        <w:lastRenderedPageBreak/>
        <w:t>T</w:t>
      </w:r>
      <w:r w:rsidR="0036201E" w:rsidRPr="004B24EB">
        <w:t xml:space="preserve">he ACT </w:t>
      </w:r>
      <w:r w:rsidRPr="004B24EB">
        <w:t>has a lower fiscal capacity than four of the other States and Territories, in part because the Commonwealth Government is exempt from State taxes such as payroll tax. T</w:t>
      </w:r>
      <w:r w:rsidR="0036201E" w:rsidRPr="004B24EB">
        <w:t xml:space="preserve">he </w:t>
      </w:r>
      <w:r w:rsidRPr="004B24EB">
        <w:t xml:space="preserve">other </w:t>
      </w:r>
      <w:r w:rsidR="0036201E" w:rsidRPr="004B24EB">
        <w:t xml:space="preserve">specific factors which </w:t>
      </w:r>
      <w:r w:rsidR="006D08A7" w:rsidRPr="004B24EB">
        <w:t>nega</w:t>
      </w:r>
      <w:r w:rsidR="0036201E" w:rsidRPr="004B24EB">
        <w:t>tively influence the ACT’s fiscal capacity, leading to an above equal per capita amount of GST funding,</w:t>
      </w:r>
      <w:r w:rsidR="00697F7F" w:rsidRPr="004B24EB">
        <w:t xml:space="preserve"> </w:t>
      </w:r>
      <w:r w:rsidRPr="004B24EB">
        <w:t>are</w:t>
      </w:r>
      <w:r w:rsidR="0036201E" w:rsidRPr="004B24EB">
        <w:t>:</w:t>
      </w:r>
    </w:p>
    <w:p w:rsidR="0036201E" w:rsidRPr="00693CF1" w:rsidRDefault="0036201E" w:rsidP="00693CF1">
      <w:pPr>
        <w:pStyle w:val="BodyTextIndent"/>
      </w:pPr>
      <w:r w:rsidRPr="00693CF1">
        <w:t>below average capacity to raise revenue:</w:t>
      </w:r>
    </w:p>
    <w:p w:rsidR="0036201E" w:rsidRPr="004B24EB" w:rsidRDefault="0036201E" w:rsidP="004B24EB">
      <w:pPr>
        <w:pStyle w:val="BodyTextIndent2"/>
      </w:pPr>
      <w:r w:rsidRPr="004B24EB">
        <w:t>mining – the absence of a mining industry in the ACT means it lacks a major revenue source available to other resource rich jurisdictions;</w:t>
      </w:r>
    </w:p>
    <w:p w:rsidR="0036201E" w:rsidRPr="004B24EB" w:rsidRDefault="0036201E" w:rsidP="004B24EB">
      <w:pPr>
        <w:pStyle w:val="BodyTextIndent2"/>
      </w:pPr>
      <w:r w:rsidRPr="004B24EB">
        <w:t>land tax – reduced revenue raising capacity stems from the lower than average value of taxable land in the Territory; and</w:t>
      </w:r>
    </w:p>
    <w:p w:rsidR="0036201E" w:rsidRPr="004B24EB" w:rsidRDefault="0036201E" w:rsidP="004B24EB">
      <w:pPr>
        <w:pStyle w:val="BodyTextIndent2"/>
      </w:pPr>
      <w:proofErr w:type="gramStart"/>
      <w:r w:rsidRPr="004B24EB">
        <w:t>motor</w:t>
      </w:r>
      <w:proofErr w:type="gramEnd"/>
      <w:r w:rsidRPr="004B24EB">
        <w:t xml:space="preserve"> taxes – low revenue raising capacity is associated with low heavy vehicle ownership, reflective of a low level of manufacturing and the absence of minin</w:t>
      </w:r>
      <w:r w:rsidR="002E1C03" w:rsidRPr="004B24EB">
        <w:t>g.</w:t>
      </w:r>
    </w:p>
    <w:p w:rsidR="0036201E" w:rsidRPr="00693CF1" w:rsidRDefault="006F334C" w:rsidP="00693CF1">
      <w:pPr>
        <w:pStyle w:val="BodyTextIndent"/>
      </w:pPr>
      <w:r w:rsidRPr="00693CF1">
        <w:t>a number of expense disabilities, such as</w:t>
      </w:r>
      <w:r w:rsidR="0036201E" w:rsidRPr="00693CF1">
        <w:t>:</w:t>
      </w:r>
    </w:p>
    <w:p w:rsidR="0036201E" w:rsidRPr="002E1C03" w:rsidRDefault="0036201E" w:rsidP="002E1C03">
      <w:pPr>
        <w:pStyle w:val="BodyTextIndent2"/>
      </w:pPr>
      <w:r w:rsidRPr="002E1C03">
        <w:t>the relatively small population, leading to diseconomies of a small scale;</w:t>
      </w:r>
    </w:p>
    <w:p w:rsidR="0036201E" w:rsidRPr="002E1C03" w:rsidRDefault="0036201E" w:rsidP="002E1C03">
      <w:pPr>
        <w:pStyle w:val="BodyTextIndent2"/>
      </w:pPr>
      <w:r w:rsidRPr="002E1C03">
        <w:t xml:space="preserve">Canberra’s status as a regional centre within southeast </w:t>
      </w:r>
      <w:r w:rsidR="00693CF1">
        <w:t>NSW</w:t>
      </w:r>
      <w:r w:rsidRPr="002E1C03">
        <w:t>, which inevitably leads to the provision of services to non</w:t>
      </w:r>
      <w:r w:rsidRPr="002E1C03">
        <w:noBreakHyphen/>
        <w:t>ACT residents; and</w:t>
      </w:r>
    </w:p>
    <w:p w:rsidR="00611401" w:rsidRPr="002E1C03" w:rsidRDefault="0036201E" w:rsidP="002E1C03">
      <w:pPr>
        <w:pStyle w:val="BodyTextIndent2"/>
      </w:pPr>
      <w:proofErr w:type="gramStart"/>
      <w:r w:rsidRPr="002E1C03">
        <w:t>the</w:t>
      </w:r>
      <w:proofErr w:type="gramEnd"/>
      <w:r w:rsidRPr="002E1C03">
        <w:t xml:space="preserve"> role and status of Canberra as the national capital and the unavoidable imposts this place on the Territory, as well as the legacies inherited from the Commonwealth at self</w:t>
      </w:r>
      <w:r w:rsidRPr="002E1C03">
        <w:noBreakHyphen/>
        <w:t>government</w:t>
      </w:r>
      <w:r w:rsidRPr="002E1C03">
        <w:rPr>
          <w:vertAlign w:val="superscript"/>
        </w:rPr>
        <w:footnoteReference w:id="2"/>
      </w:r>
      <w:r w:rsidR="002E1C03" w:rsidRPr="002E1C03">
        <w:rPr>
          <w:vertAlign w:val="superscript"/>
        </w:rPr>
        <w:t>.</w:t>
      </w:r>
    </w:p>
    <w:p w:rsidR="0036201E" w:rsidRDefault="00611401" w:rsidP="008E2B47">
      <w:pPr>
        <w:pStyle w:val="BodyTextIndent"/>
        <w:keepNext w:val="0"/>
        <w:numPr>
          <w:ilvl w:val="0"/>
          <w:numId w:val="1"/>
        </w:numPr>
        <w:tabs>
          <w:tab w:val="num" w:pos="360"/>
        </w:tabs>
        <w:spacing w:before="120"/>
        <w:ind w:left="357" w:hanging="357"/>
      </w:pPr>
      <w:r w:rsidRPr="00FC7A85">
        <w:t>lower per capita</w:t>
      </w:r>
      <w:r>
        <w:t xml:space="preserve"> share of Commonwealth payments:</w:t>
      </w:r>
    </w:p>
    <w:p w:rsidR="0036201E" w:rsidRPr="002E1C03" w:rsidRDefault="0036201E" w:rsidP="002E1C03">
      <w:pPr>
        <w:pStyle w:val="BodyTextIndent2"/>
      </w:pPr>
      <w:r w:rsidRPr="002E1C03">
        <w:t>of those Specific Purpose Payments (SPPs) included in the CGC’s assessments, the ACT received less than an average per capita amount over the three year assessment period:</w:t>
      </w:r>
    </w:p>
    <w:p w:rsidR="00953F43" w:rsidRPr="0010295F" w:rsidRDefault="0036201E" w:rsidP="00953F43">
      <w:pPr>
        <w:pStyle w:val="dot"/>
        <w:numPr>
          <w:ilvl w:val="0"/>
          <w:numId w:val="0"/>
        </w:numPr>
        <w:spacing w:before="120"/>
        <w:ind w:left="1134" w:hanging="425"/>
        <w:jc w:val="both"/>
        <w:rPr>
          <w:rStyle w:val="BodyTextIndent3Char"/>
        </w:rPr>
      </w:pPr>
      <w:r>
        <w:t>:</w:t>
      </w:r>
      <w:r>
        <w:tab/>
      </w:r>
      <w:r w:rsidRPr="0010295F">
        <w:rPr>
          <w:rStyle w:val="BodyTextIndent3Char"/>
        </w:rPr>
        <w:t>by 2014-15, the new IGA</w:t>
      </w:r>
      <w:r w:rsidRPr="0010295F">
        <w:rPr>
          <w:rStyle w:val="BodyTextIndent3Char"/>
        </w:rPr>
        <w:noBreakHyphen/>
        <w:t>FFR requires an equal per capita distribution of the National SPPs to be fully phased in</w:t>
      </w:r>
      <w:r w:rsidR="00A91100" w:rsidRPr="0010295F">
        <w:rPr>
          <w:rStyle w:val="BodyTextIndent3Char"/>
        </w:rPr>
        <w:t xml:space="preserve"> – this will increase the ACT’s share of the SPP pool because</w:t>
      </w:r>
      <w:r w:rsidRPr="0010295F">
        <w:rPr>
          <w:rStyle w:val="BodyTextIndent3Char"/>
        </w:rPr>
        <w:t xml:space="preserve"> </w:t>
      </w:r>
      <w:r w:rsidR="00A91100" w:rsidRPr="0010295F">
        <w:rPr>
          <w:rStyle w:val="BodyTextIndent3Char"/>
        </w:rPr>
        <w:t>the Territory currently receives a b</w:t>
      </w:r>
      <w:r w:rsidR="003F067A" w:rsidRPr="0010295F">
        <w:rPr>
          <w:rStyle w:val="BodyTextIndent3Char"/>
        </w:rPr>
        <w:t>elow population share of the</w:t>
      </w:r>
      <w:r w:rsidR="00A91100" w:rsidRPr="0010295F">
        <w:rPr>
          <w:rStyle w:val="BodyTextIndent3Char"/>
        </w:rPr>
        <w:t xml:space="preserve"> pool</w:t>
      </w:r>
      <w:r w:rsidR="00216E2A" w:rsidRPr="0010295F">
        <w:rPr>
          <w:rStyle w:val="BodyTextIndent3Char"/>
        </w:rPr>
        <w:t xml:space="preserve">, but it </w:t>
      </w:r>
      <w:r w:rsidRPr="0010295F">
        <w:rPr>
          <w:rStyle w:val="BodyTextIndent3Char"/>
        </w:rPr>
        <w:t xml:space="preserve">will </w:t>
      </w:r>
      <w:r w:rsidR="00216E2A" w:rsidRPr="0010295F">
        <w:rPr>
          <w:rStyle w:val="BodyTextIndent3Char"/>
        </w:rPr>
        <w:t xml:space="preserve">be offset by a </w:t>
      </w:r>
      <w:r w:rsidRPr="0010295F">
        <w:rPr>
          <w:rStyle w:val="BodyTextIndent3Char"/>
        </w:rPr>
        <w:t>reduc</w:t>
      </w:r>
      <w:r w:rsidR="00216E2A" w:rsidRPr="0010295F">
        <w:rPr>
          <w:rStyle w:val="BodyTextIndent3Char"/>
        </w:rPr>
        <w:t>tion</w:t>
      </w:r>
      <w:r w:rsidR="00ED24D8" w:rsidRPr="0010295F">
        <w:rPr>
          <w:rStyle w:val="BodyTextIndent3Char"/>
        </w:rPr>
        <w:t xml:space="preserve"> in</w:t>
      </w:r>
      <w:r w:rsidRPr="0010295F">
        <w:rPr>
          <w:rStyle w:val="BodyTextIndent3Char"/>
        </w:rPr>
        <w:t xml:space="preserve"> the ACT’s per capita relativity</w:t>
      </w:r>
      <w:r w:rsidR="00216E2A" w:rsidRPr="0010295F">
        <w:rPr>
          <w:rStyle w:val="BodyTextIndent3Char"/>
        </w:rPr>
        <w:t>.</w:t>
      </w:r>
      <w:r w:rsidRPr="0010295F">
        <w:rPr>
          <w:rStyle w:val="BodyTextIndent3Char"/>
        </w:rPr>
        <w:t xml:space="preserve"> </w:t>
      </w:r>
    </w:p>
    <w:p w:rsidR="008D00F9" w:rsidRPr="008D00F9" w:rsidRDefault="008D00F9" w:rsidP="002E1C03">
      <w:pPr>
        <w:pStyle w:val="BodyText"/>
        <w:keepNext w:val="0"/>
      </w:pPr>
      <w:r w:rsidRPr="008D00F9">
        <w:t>The above effects are partly offset by a below average assessed cost of providing services.</w:t>
      </w:r>
    </w:p>
    <w:p w:rsidR="008D00F9" w:rsidRPr="008D00F9" w:rsidRDefault="008D00F9" w:rsidP="002E1C03">
      <w:pPr>
        <w:pStyle w:val="BodyText"/>
        <w:keepNext w:val="0"/>
      </w:pPr>
      <w:r w:rsidRPr="008D00F9">
        <w:t xml:space="preserve">Hence, as explained, HFE is crucial to the smaller States </w:t>
      </w:r>
      <w:r w:rsidR="003A5E63">
        <w:t xml:space="preserve">like the ACT </w:t>
      </w:r>
      <w:r w:rsidRPr="008D00F9">
        <w:t>and delivers significantly more GST funding than what would be allocated if the GST pool was distributed on a population share basis.  The four smaller States (SA,</w:t>
      </w:r>
      <w:r w:rsidR="00693CF1">
        <w:t xml:space="preserve"> TAS</w:t>
      </w:r>
      <w:r w:rsidRPr="008D00F9">
        <w:t>, the ACT and the NT) all strongly support HFE.  Allocation of the GST based on population share would lead to either sub</w:t>
      </w:r>
      <w:r w:rsidRPr="008D00F9">
        <w:noBreakHyphen/>
      </w:r>
      <w:proofErr w:type="spellStart"/>
      <w:r w:rsidRPr="008D00F9">
        <w:t>standard</w:t>
      </w:r>
      <w:proofErr w:type="spellEnd"/>
      <w:r w:rsidRPr="008D00F9">
        <w:t xml:space="preserve"> government services being provided in some parts of Australia or a significant variation in the extent and effort required of tax regimes in </w:t>
      </w:r>
      <w:r w:rsidR="00E76EC6">
        <w:t xml:space="preserve">some </w:t>
      </w:r>
      <w:r w:rsidRPr="008D00F9">
        <w:t>jurisdictions with significant ramifications for many Australians.</w:t>
      </w:r>
    </w:p>
    <w:p w:rsidR="008D00F9" w:rsidRPr="004B24EB" w:rsidRDefault="008D00F9" w:rsidP="004B24EB">
      <w:pPr>
        <w:pStyle w:val="BodyText"/>
      </w:pPr>
      <w:r w:rsidRPr="004B24EB">
        <w:lastRenderedPageBreak/>
        <w:t xml:space="preserve">Figure 4.2 below illustrates that the redistribution to the four smaller States has been stable over time and </w:t>
      </w:r>
      <w:r w:rsidR="002E1C03" w:rsidRPr="004B24EB">
        <w:t>small, within the bounds of 7</w:t>
      </w:r>
      <w:r w:rsidR="00DD1742" w:rsidRPr="004B24EB">
        <w:t>-8</w:t>
      </w:r>
      <w:r w:rsidRPr="004B24EB">
        <w:t xml:space="preserve">.5 per cent of the pool.  The redistribution has increased </w:t>
      </w:r>
      <w:r w:rsidR="00E76EC6" w:rsidRPr="004B24EB">
        <w:t>above</w:t>
      </w:r>
      <w:r w:rsidRPr="004B24EB">
        <w:t xml:space="preserve"> this level predominantly when </w:t>
      </w:r>
      <w:r w:rsidR="00E76EC6" w:rsidRPr="004B24EB">
        <w:t xml:space="preserve">large States </w:t>
      </w:r>
      <w:r w:rsidRPr="004B24EB">
        <w:t>ha</w:t>
      </w:r>
      <w:r w:rsidR="00E76EC6" w:rsidRPr="004B24EB">
        <w:t>ve</w:t>
      </w:r>
      <w:r w:rsidR="00BB7027" w:rsidRPr="004B24EB">
        <w:t xml:space="preserve"> become</w:t>
      </w:r>
      <w:r w:rsidRPr="004B24EB">
        <w:t xml:space="preserve"> recipient</w:t>
      </w:r>
      <w:r w:rsidR="00BB7027" w:rsidRPr="004B24EB">
        <w:t>s</w:t>
      </w:r>
      <w:r w:rsidRPr="004B24EB">
        <w:t xml:space="preserve">.  </w:t>
      </w:r>
      <w:r w:rsidR="00E76EC6" w:rsidRPr="004B24EB">
        <w:t>F</w:t>
      </w:r>
      <w:r w:rsidRPr="004B24EB">
        <w:t>or example, when Q</w:t>
      </w:r>
      <w:r w:rsidR="00693CF1" w:rsidRPr="004B24EB">
        <w:t>LD</w:t>
      </w:r>
      <w:r w:rsidRPr="004B24EB">
        <w:t xml:space="preserve"> and WA were recipient States together during the period 2004-05 to 2006-07, this added to the redistribution above that of the four smaller States.  Despite this, the proportion of the pool redistributed has still remained small.</w:t>
      </w:r>
    </w:p>
    <w:p w:rsidR="00953F43" w:rsidRPr="004B24EB" w:rsidRDefault="00953F43" w:rsidP="004B24EB">
      <w:pPr>
        <w:pStyle w:val="TableNumber"/>
      </w:pPr>
      <w:r w:rsidRPr="004B24EB">
        <w:t>Figure 4.2</w:t>
      </w:r>
    </w:p>
    <w:p w:rsidR="00953F43" w:rsidRPr="002E1C03" w:rsidRDefault="00953F43" w:rsidP="002E1C03">
      <w:pPr>
        <w:pStyle w:val="TableName"/>
      </w:pPr>
      <w:r w:rsidRPr="002E1C03">
        <w:t>Proportion of the GST redistributed to States with below average fiscal capacities, 2000-01 to 2013-14</w:t>
      </w:r>
    </w:p>
    <w:p w:rsidR="00953F43" w:rsidRDefault="00C23321" w:rsidP="004B24EB">
      <w:pPr>
        <w:autoSpaceDE w:val="0"/>
        <w:autoSpaceDN w:val="0"/>
        <w:adjustRightInd w:val="0"/>
        <w:ind w:left="-284" w:firstLine="284"/>
        <w:jc w:val="both"/>
        <w:rPr>
          <w:rFonts w:cs="Calibri"/>
          <w:szCs w:val="24"/>
          <w:lang w:eastAsia="en-AU"/>
        </w:rPr>
      </w:pPr>
      <w:r>
        <w:rPr>
          <w:rFonts w:cs="Calibri"/>
          <w:noProof/>
          <w:szCs w:val="24"/>
          <w:lang w:eastAsia="en-AU"/>
        </w:rPr>
        <w:drawing>
          <wp:inline distT="0" distB="0" distL="0" distR="0">
            <wp:extent cx="5943600" cy="3657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943600" cy="3657600"/>
                    </a:xfrm>
                    <a:prstGeom prst="rect">
                      <a:avLst/>
                    </a:prstGeom>
                    <a:noFill/>
                    <a:ln w="9525">
                      <a:noFill/>
                      <a:miter lim="800000"/>
                      <a:headEnd/>
                      <a:tailEnd/>
                    </a:ln>
                  </pic:spPr>
                </pic:pic>
              </a:graphicData>
            </a:graphic>
          </wp:inline>
        </w:drawing>
      </w:r>
    </w:p>
    <w:p w:rsidR="009E7462" w:rsidRPr="004B24EB" w:rsidRDefault="00565BE5" w:rsidP="004B24EB">
      <w:pPr>
        <w:pStyle w:val="Heading4"/>
      </w:pPr>
      <w:r w:rsidRPr="004B24EB">
        <w:t xml:space="preserve">Report on GST Revenue Sharing Relativities - </w:t>
      </w:r>
      <w:r w:rsidR="00D67290" w:rsidRPr="004B24EB">
        <w:t>2013 Update</w:t>
      </w:r>
    </w:p>
    <w:p w:rsidR="001449F9" w:rsidRPr="004B24EB" w:rsidRDefault="001449F9" w:rsidP="004B24EB">
      <w:pPr>
        <w:pStyle w:val="BodyText"/>
      </w:pPr>
      <w:r w:rsidRPr="004B24EB">
        <w:t xml:space="preserve">Within the five year methodology cycle, </w:t>
      </w:r>
      <w:r w:rsidR="00D456E8" w:rsidRPr="004B24EB">
        <w:t xml:space="preserve">the CGC advises the Commonwealth Government </w:t>
      </w:r>
      <w:r w:rsidRPr="004B24EB">
        <w:t xml:space="preserve">each year </w:t>
      </w:r>
      <w:r w:rsidR="00D456E8" w:rsidRPr="004B24EB">
        <w:t>on the distribution of the GST pool among the States.</w:t>
      </w:r>
      <w:r w:rsidRPr="004B24EB">
        <w:t xml:space="preserve"> </w:t>
      </w:r>
    </w:p>
    <w:p w:rsidR="00D67290" w:rsidRPr="00853638" w:rsidRDefault="00D456E8" w:rsidP="00A45EFE">
      <w:pPr>
        <w:pStyle w:val="BodyText"/>
        <w:keepNext w:val="0"/>
      </w:pPr>
      <w:r w:rsidRPr="00853638">
        <w:t xml:space="preserve">The latest assessments in the </w:t>
      </w:r>
      <w:r w:rsidRPr="00E069AE">
        <w:rPr>
          <w:i/>
        </w:rPr>
        <w:t>Report on GST Revenue Sharing Relativities – 2013 Update</w:t>
      </w:r>
      <w:r w:rsidRPr="00853638">
        <w:t xml:space="preserve"> </w:t>
      </w:r>
      <w:r w:rsidR="001449F9">
        <w:t xml:space="preserve">were </w:t>
      </w:r>
      <w:r w:rsidRPr="00853638">
        <w:t>calculated on the basis of the latest three years (2009-10 to 2011-12) of soci</w:t>
      </w:r>
      <w:r w:rsidR="001449F9">
        <w:t>o</w:t>
      </w:r>
      <w:r w:rsidR="0000544C">
        <w:noBreakHyphen/>
      </w:r>
      <w:r w:rsidR="001449F9">
        <w:t>economic and demographic data and led to</w:t>
      </w:r>
      <w:r w:rsidRPr="00853638">
        <w:t xml:space="preserve"> </w:t>
      </w:r>
      <w:bookmarkStart w:id="0" w:name="_Toc156814255"/>
      <w:r w:rsidR="001449F9" w:rsidRPr="001449F9">
        <w:t>an increase in the ACT’s GST relativity from 1.19757 (2012 Update) to 1.22083 (2013 Update)</w:t>
      </w:r>
      <w:r w:rsidR="0075374F">
        <w:t xml:space="preserve">.  The relativities </w:t>
      </w:r>
      <w:r w:rsidR="00D67290" w:rsidRPr="00853638">
        <w:t xml:space="preserve">were </w:t>
      </w:r>
      <w:r w:rsidR="001449F9">
        <w:t xml:space="preserve">subsequently </w:t>
      </w:r>
      <w:r w:rsidR="00D67290" w:rsidRPr="00853638">
        <w:t xml:space="preserve">adopted by the SCFFR at </w:t>
      </w:r>
      <w:r w:rsidR="003A5E63">
        <w:t xml:space="preserve">its </w:t>
      </w:r>
      <w:r w:rsidR="00D67290" w:rsidRPr="00853638">
        <w:t xml:space="preserve">3 April 2013 </w:t>
      </w:r>
      <w:r w:rsidR="003A5E63">
        <w:t xml:space="preserve">meeting </w:t>
      </w:r>
      <w:r w:rsidR="00D67290" w:rsidRPr="00853638">
        <w:t xml:space="preserve">and will be used to distribute the 2013-14 GST pool.  </w:t>
      </w:r>
    </w:p>
    <w:bookmarkEnd w:id="0"/>
    <w:p w:rsidR="00D67290" w:rsidRPr="001B1073" w:rsidRDefault="00D67290" w:rsidP="00A45EFE">
      <w:pPr>
        <w:pStyle w:val="BodyText"/>
        <w:keepNext w:val="0"/>
      </w:pPr>
      <w:r w:rsidRPr="001B1073">
        <w:t>Table </w:t>
      </w:r>
      <w:r w:rsidR="00DC3E9A">
        <w:t>4.</w:t>
      </w:r>
      <w:r w:rsidRPr="001B1073">
        <w:t xml:space="preserve">1 </w:t>
      </w:r>
      <w:r w:rsidR="005E1E46">
        <w:t xml:space="preserve">below </w:t>
      </w:r>
      <w:r w:rsidRPr="001B1073">
        <w:t xml:space="preserve">illustrates the jurisdictional relativities, implied shares of GST revenue and GST impacts. </w:t>
      </w:r>
      <w:r w:rsidR="0000544C">
        <w:t xml:space="preserve"> </w:t>
      </w:r>
      <w:r w:rsidRPr="001B1073">
        <w:t>The updated assessment increases the shares most notably for Q</w:t>
      </w:r>
      <w:r w:rsidR="00693CF1">
        <w:t>LD</w:t>
      </w:r>
      <w:r w:rsidRPr="001B1073">
        <w:t xml:space="preserve"> but also for the ACT, T</w:t>
      </w:r>
      <w:r w:rsidR="00693CF1">
        <w:t>AS</w:t>
      </w:r>
      <w:r w:rsidRPr="001B1073">
        <w:t xml:space="preserve"> and </w:t>
      </w:r>
      <w:r w:rsidR="00693CF1">
        <w:t>NSW</w:t>
      </w:r>
      <w:r w:rsidRPr="001B1073">
        <w:t xml:space="preserve">.  It reduces the shares most notably for the </w:t>
      </w:r>
      <w:r w:rsidR="00693CF1">
        <w:t>NT</w:t>
      </w:r>
      <w:r w:rsidRPr="001B1073">
        <w:t xml:space="preserve"> and W</w:t>
      </w:r>
      <w:r w:rsidR="006F6CDB">
        <w:t>A</w:t>
      </w:r>
      <w:r w:rsidRPr="001B1073">
        <w:t xml:space="preserve">, but also for </w:t>
      </w:r>
      <w:r w:rsidR="00DD1742">
        <w:t>SA</w:t>
      </w:r>
      <w:r w:rsidRPr="001B1073">
        <w:t xml:space="preserve"> and V</w:t>
      </w:r>
      <w:r w:rsidR="00693CF1">
        <w:t>IC</w:t>
      </w:r>
      <w:r w:rsidRPr="001B1073">
        <w:t>.</w:t>
      </w:r>
    </w:p>
    <w:p w:rsidR="00D67290" w:rsidRDefault="00D67290" w:rsidP="00A45EFE">
      <w:pPr>
        <w:pStyle w:val="BodyText"/>
        <w:keepNext w:val="0"/>
      </w:pPr>
      <w:r w:rsidRPr="001B1073">
        <w:t xml:space="preserve">Importantly, </w:t>
      </w:r>
      <w:r w:rsidR="00EB5C1E">
        <w:t xml:space="preserve">HFE </w:t>
      </w:r>
      <w:r w:rsidRPr="001B1073">
        <w:t>delivers $191 million to the ACT above what would be delivered if the GST were allocated</w:t>
      </w:r>
      <w:r w:rsidR="00571D0F">
        <w:t xml:space="preserve"> on a population share basis.  </w:t>
      </w:r>
    </w:p>
    <w:p w:rsidR="004159CD" w:rsidRPr="004B24EB" w:rsidRDefault="004159CD" w:rsidP="004B24EB">
      <w:pPr>
        <w:pStyle w:val="TableNumber"/>
      </w:pPr>
      <w:r w:rsidRPr="004B24EB">
        <w:lastRenderedPageBreak/>
        <w:t>Table 4.1</w:t>
      </w:r>
    </w:p>
    <w:p w:rsidR="004159CD" w:rsidRPr="001B1073" w:rsidRDefault="004159CD" w:rsidP="004159CD">
      <w:pPr>
        <w:pStyle w:val="TableName"/>
        <w:spacing w:after="80"/>
      </w:pPr>
      <w:r w:rsidRPr="001B1073">
        <w:t>Comparison of GST Relativities and Impact on 2013-14 GST Funding</w:t>
      </w:r>
    </w:p>
    <w:tbl>
      <w:tblPr>
        <w:tblW w:w="9100" w:type="dxa"/>
        <w:tblLook w:val="04A0"/>
      </w:tblPr>
      <w:tblGrid>
        <w:gridCol w:w="1073"/>
        <w:gridCol w:w="1175"/>
        <w:gridCol w:w="1175"/>
        <w:gridCol w:w="1097"/>
        <w:gridCol w:w="1097"/>
        <w:gridCol w:w="1157"/>
        <w:gridCol w:w="1203"/>
        <w:gridCol w:w="1123"/>
      </w:tblGrid>
      <w:tr w:rsidR="004159CD" w:rsidRPr="007161E6" w:rsidTr="00793B5E">
        <w:tc>
          <w:tcPr>
            <w:tcW w:w="820" w:type="dxa"/>
            <w:tcBorders>
              <w:top w:val="single" w:sz="4" w:space="0" w:color="auto"/>
              <w:bottom w:val="single" w:sz="4" w:space="0" w:color="auto"/>
            </w:tcBorders>
            <w:vAlign w:val="center"/>
          </w:tcPr>
          <w:p w:rsidR="004159CD" w:rsidRPr="007161E6" w:rsidRDefault="004159CD" w:rsidP="00793B5E">
            <w:pPr>
              <w:spacing w:before="60" w:after="60"/>
              <w:jc w:val="center"/>
              <w:rPr>
                <w:rFonts w:eastAsia="MS Mincho"/>
                <w:b/>
                <w:sz w:val="18"/>
                <w:szCs w:val="18"/>
                <w:lang w:eastAsia="ja-JP"/>
              </w:rPr>
            </w:pPr>
          </w:p>
        </w:tc>
        <w:tc>
          <w:tcPr>
            <w:tcW w:w="1228" w:type="dxa"/>
            <w:tcBorders>
              <w:top w:val="single" w:sz="4" w:space="0" w:color="auto"/>
              <w:bottom w:val="single" w:sz="4" w:space="0" w:color="auto"/>
            </w:tcBorders>
            <w:vAlign w:val="center"/>
          </w:tcPr>
          <w:p w:rsidR="004159CD" w:rsidRPr="004B24EB" w:rsidRDefault="00793B5E" w:rsidP="00793B5E">
            <w:pPr>
              <w:pStyle w:val="TableTextRightBold-BP3"/>
              <w:jc w:val="center"/>
              <w:rPr>
                <w:rFonts w:eastAsia="MS Mincho"/>
                <w:szCs w:val="18"/>
              </w:rPr>
            </w:pPr>
            <w:r w:rsidRPr="004B24EB">
              <w:rPr>
                <w:rFonts w:eastAsia="MS Mincho"/>
                <w:szCs w:val="18"/>
              </w:rPr>
              <w:t xml:space="preserve">2012 </w:t>
            </w:r>
            <w:r w:rsidR="004159CD" w:rsidRPr="004B24EB">
              <w:rPr>
                <w:rFonts w:eastAsia="MS Mincho"/>
                <w:szCs w:val="18"/>
              </w:rPr>
              <w:t>Update</w:t>
            </w:r>
          </w:p>
        </w:tc>
        <w:tc>
          <w:tcPr>
            <w:tcW w:w="1071" w:type="dxa"/>
            <w:tcBorders>
              <w:top w:val="single" w:sz="4" w:space="0" w:color="auto"/>
              <w:bottom w:val="single" w:sz="4" w:space="0" w:color="auto"/>
            </w:tcBorders>
            <w:vAlign w:val="center"/>
          </w:tcPr>
          <w:p w:rsidR="004159CD" w:rsidRPr="004B24EB" w:rsidRDefault="004159CD" w:rsidP="00793B5E">
            <w:pPr>
              <w:pStyle w:val="TableTextRightBold-BP3"/>
              <w:jc w:val="center"/>
              <w:rPr>
                <w:rFonts w:eastAsia="MS Mincho"/>
                <w:szCs w:val="18"/>
              </w:rPr>
            </w:pPr>
            <w:r w:rsidRPr="004B24EB">
              <w:rPr>
                <w:rFonts w:eastAsia="MS Mincho"/>
                <w:szCs w:val="18"/>
              </w:rPr>
              <w:t>2013</w:t>
            </w:r>
            <w:r w:rsidRPr="004B24EB">
              <w:rPr>
                <w:rFonts w:eastAsia="MS Mincho"/>
                <w:szCs w:val="18"/>
              </w:rPr>
              <w:br/>
              <w:t>Update</w:t>
            </w:r>
          </w:p>
        </w:tc>
        <w:tc>
          <w:tcPr>
            <w:tcW w:w="1067" w:type="dxa"/>
            <w:tcBorders>
              <w:top w:val="single" w:sz="4" w:space="0" w:color="auto"/>
              <w:bottom w:val="single" w:sz="4" w:space="0" w:color="auto"/>
            </w:tcBorders>
            <w:vAlign w:val="center"/>
          </w:tcPr>
          <w:p w:rsidR="004159CD" w:rsidRPr="004B24EB" w:rsidRDefault="004159CD" w:rsidP="00793B5E">
            <w:pPr>
              <w:pStyle w:val="TableTextRightBold-BP3"/>
              <w:jc w:val="center"/>
              <w:rPr>
                <w:rFonts w:eastAsia="MS Mincho"/>
                <w:szCs w:val="18"/>
              </w:rPr>
            </w:pPr>
            <w:r w:rsidRPr="004B24EB">
              <w:rPr>
                <w:rFonts w:eastAsia="MS Mincho"/>
                <w:szCs w:val="18"/>
              </w:rPr>
              <w:t>2012-13 share of GST</w:t>
            </w:r>
            <w:r w:rsidRPr="004B24EB">
              <w:rPr>
                <w:rFonts w:eastAsia="MS Mincho"/>
                <w:szCs w:val="18"/>
              </w:rPr>
              <w:br/>
              <w:t>%</w:t>
            </w:r>
          </w:p>
        </w:tc>
        <w:tc>
          <w:tcPr>
            <w:tcW w:w="994" w:type="dxa"/>
            <w:tcBorders>
              <w:top w:val="single" w:sz="4" w:space="0" w:color="auto"/>
              <w:bottom w:val="single" w:sz="4" w:space="0" w:color="auto"/>
            </w:tcBorders>
            <w:vAlign w:val="center"/>
          </w:tcPr>
          <w:p w:rsidR="004159CD" w:rsidRPr="004B24EB" w:rsidRDefault="004159CD" w:rsidP="00793B5E">
            <w:pPr>
              <w:pStyle w:val="TableTextRightBold-BP3"/>
              <w:jc w:val="center"/>
              <w:rPr>
                <w:rFonts w:eastAsia="MS Mincho"/>
                <w:szCs w:val="18"/>
              </w:rPr>
            </w:pPr>
            <w:r w:rsidRPr="004B24EB">
              <w:rPr>
                <w:rFonts w:eastAsia="MS Mincho"/>
                <w:szCs w:val="18"/>
              </w:rPr>
              <w:t>2013-14 share of GST %</w:t>
            </w:r>
          </w:p>
        </w:tc>
        <w:tc>
          <w:tcPr>
            <w:tcW w:w="1165" w:type="dxa"/>
            <w:tcBorders>
              <w:top w:val="single" w:sz="4" w:space="0" w:color="auto"/>
              <w:bottom w:val="single" w:sz="4" w:space="0" w:color="auto"/>
            </w:tcBorders>
            <w:vAlign w:val="center"/>
          </w:tcPr>
          <w:p w:rsidR="004159CD" w:rsidRPr="004B24EB" w:rsidRDefault="004159CD" w:rsidP="00793B5E">
            <w:pPr>
              <w:pStyle w:val="TableTextRightBold-BP3"/>
              <w:jc w:val="center"/>
              <w:rPr>
                <w:rFonts w:eastAsia="MS Mincho"/>
                <w:szCs w:val="18"/>
              </w:rPr>
            </w:pPr>
            <w:r w:rsidRPr="004B24EB">
              <w:rPr>
                <w:rFonts w:eastAsia="MS Mincho"/>
                <w:szCs w:val="18"/>
              </w:rPr>
              <w:t>Change</w:t>
            </w:r>
            <w:r w:rsidRPr="004B24EB">
              <w:rPr>
                <w:rFonts w:eastAsia="MS Mincho"/>
                <w:szCs w:val="18"/>
              </w:rPr>
              <w:br/>
              <w:t>2012-13</w:t>
            </w:r>
            <w:r w:rsidRPr="004B24EB">
              <w:rPr>
                <w:rFonts w:eastAsia="MS Mincho"/>
                <w:szCs w:val="18"/>
              </w:rPr>
              <w:br/>
              <w:t>to</w:t>
            </w:r>
            <w:r w:rsidR="00793B5E" w:rsidRPr="004B24EB">
              <w:rPr>
                <w:rFonts w:eastAsia="MS Mincho"/>
                <w:szCs w:val="18"/>
              </w:rPr>
              <w:t xml:space="preserve"> </w:t>
            </w:r>
            <w:r w:rsidRPr="004B24EB">
              <w:rPr>
                <w:rFonts w:eastAsia="MS Mincho"/>
                <w:szCs w:val="18"/>
              </w:rPr>
              <w:t>2013-14</w:t>
            </w:r>
            <w:r w:rsidRPr="004B24EB">
              <w:rPr>
                <w:rFonts w:eastAsia="MS Mincho"/>
                <w:szCs w:val="18"/>
              </w:rPr>
              <w:br/>
              <w:t>$m</w:t>
            </w:r>
          </w:p>
        </w:tc>
        <w:tc>
          <w:tcPr>
            <w:tcW w:w="1558" w:type="dxa"/>
            <w:tcBorders>
              <w:top w:val="single" w:sz="4" w:space="0" w:color="auto"/>
              <w:bottom w:val="single" w:sz="4" w:space="0" w:color="auto"/>
            </w:tcBorders>
            <w:vAlign w:val="center"/>
          </w:tcPr>
          <w:p w:rsidR="00793B5E" w:rsidRPr="004B24EB" w:rsidRDefault="00793B5E" w:rsidP="00793B5E">
            <w:pPr>
              <w:pStyle w:val="TableTextRightBold-BP3"/>
              <w:jc w:val="center"/>
              <w:rPr>
                <w:rFonts w:eastAsia="MS Mincho"/>
                <w:szCs w:val="18"/>
              </w:rPr>
            </w:pPr>
            <w:r w:rsidRPr="004B24EB">
              <w:rPr>
                <w:rFonts w:eastAsia="MS Mincho"/>
                <w:szCs w:val="18"/>
              </w:rPr>
              <w:t>Change</w:t>
            </w:r>
            <w:r w:rsidRPr="004B24EB">
              <w:rPr>
                <w:rFonts w:eastAsia="MS Mincho"/>
                <w:szCs w:val="18"/>
              </w:rPr>
              <w:br/>
              <w:t>2012-13</w:t>
            </w:r>
            <w:r w:rsidRPr="004B24EB">
              <w:rPr>
                <w:rFonts w:eastAsia="MS Mincho"/>
                <w:szCs w:val="18"/>
              </w:rPr>
              <w:br/>
              <w:t>to 2013-14</w:t>
            </w:r>
          </w:p>
          <w:p w:rsidR="004159CD" w:rsidRPr="004B24EB" w:rsidRDefault="004159CD" w:rsidP="00793B5E">
            <w:pPr>
              <w:pStyle w:val="TableTextRightBold-BP3"/>
              <w:jc w:val="center"/>
              <w:rPr>
                <w:rFonts w:eastAsia="MS Mincho"/>
                <w:szCs w:val="18"/>
              </w:rPr>
            </w:pPr>
            <w:r w:rsidRPr="004B24EB">
              <w:rPr>
                <w:rFonts w:eastAsia="MS Mincho"/>
                <w:szCs w:val="18"/>
              </w:rPr>
              <w:t>$pc</w:t>
            </w:r>
          </w:p>
        </w:tc>
        <w:tc>
          <w:tcPr>
            <w:tcW w:w="1197" w:type="dxa"/>
            <w:tcBorders>
              <w:top w:val="single" w:sz="4" w:space="0" w:color="auto"/>
              <w:bottom w:val="single" w:sz="4" w:space="0" w:color="auto"/>
            </w:tcBorders>
            <w:vAlign w:val="center"/>
          </w:tcPr>
          <w:p w:rsidR="004159CD" w:rsidRPr="004B24EB" w:rsidRDefault="004159CD" w:rsidP="00793B5E">
            <w:pPr>
              <w:pStyle w:val="TableTextRightBold-BP3"/>
              <w:jc w:val="center"/>
              <w:rPr>
                <w:rFonts w:eastAsia="MS Mincho"/>
                <w:szCs w:val="18"/>
              </w:rPr>
            </w:pPr>
            <w:r w:rsidRPr="004B24EB">
              <w:rPr>
                <w:rFonts w:eastAsia="MS Mincho"/>
                <w:szCs w:val="18"/>
              </w:rPr>
              <w:t>Above /</w:t>
            </w:r>
            <w:r w:rsidRPr="004B24EB">
              <w:rPr>
                <w:rFonts w:eastAsia="MS Mincho"/>
                <w:szCs w:val="18"/>
              </w:rPr>
              <w:br/>
              <w:t>below EPC share $m</w:t>
            </w:r>
          </w:p>
        </w:tc>
      </w:tr>
      <w:tr w:rsidR="004159CD" w:rsidRPr="00793B5E" w:rsidTr="00793B5E">
        <w:tc>
          <w:tcPr>
            <w:tcW w:w="1406" w:type="dxa"/>
            <w:tcBorders>
              <w:top w:val="single" w:sz="4" w:space="0" w:color="auto"/>
            </w:tcBorders>
            <w:vAlign w:val="center"/>
          </w:tcPr>
          <w:p w:rsidR="004159CD" w:rsidRPr="004B24EB" w:rsidRDefault="004159CD" w:rsidP="00793B5E">
            <w:pPr>
              <w:pStyle w:val="TableTextLeftBold-BP3"/>
              <w:jc w:val="center"/>
              <w:rPr>
                <w:rFonts w:eastAsia="MS Mincho"/>
                <w:b w:val="0"/>
                <w:sz w:val="18"/>
                <w:szCs w:val="18"/>
                <w:lang w:eastAsia="ja-JP"/>
              </w:rPr>
            </w:pPr>
            <w:r w:rsidRPr="004B24EB">
              <w:rPr>
                <w:rFonts w:eastAsia="MS Mincho"/>
                <w:sz w:val="18"/>
                <w:szCs w:val="18"/>
                <w:lang w:eastAsia="ja-JP"/>
              </w:rPr>
              <w:t>NSW</w:t>
            </w:r>
          </w:p>
        </w:tc>
        <w:tc>
          <w:tcPr>
            <w:tcW w:w="1474" w:type="dxa"/>
            <w:tcBorders>
              <w:top w:val="single" w:sz="4" w:space="0" w:color="auto"/>
            </w:tcBorders>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0.95312</w:t>
            </w:r>
          </w:p>
        </w:tc>
        <w:tc>
          <w:tcPr>
            <w:tcW w:w="1474" w:type="dxa"/>
            <w:tcBorders>
              <w:top w:val="single" w:sz="4" w:space="0" w:color="auto"/>
            </w:tcBorders>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0.96576</w:t>
            </w:r>
          </w:p>
        </w:tc>
        <w:tc>
          <w:tcPr>
            <w:tcW w:w="1474" w:type="dxa"/>
            <w:tcBorders>
              <w:top w:val="single" w:sz="4" w:space="0" w:color="auto"/>
            </w:tcBorders>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30.6</w:t>
            </w:r>
          </w:p>
        </w:tc>
        <w:tc>
          <w:tcPr>
            <w:tcW w:w="1474" w:type="dxa"/>
            <w:tcBorders>
              <w:top w:val="single" w:sz="4" w:space="0" w:color="auto"/>
            </w:tcBorders>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30.9</w:t>
            </w:r>
          </w:p>
        </w:tc>
        <w:tc>
          <w:tcPr>
            <w:tcW w:w="1474" w:type="dxa"/>
            <w:tcBorders>
              <w:top w:val="single" w:sz="4" w:space="0" w:color="auto"/>
            </w:tcBorders>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193</w:t>
            </w:r>
          </w:p>
        </w:tc>
        <w:tc>
          <w:tcPr>
            <w:tcW w:w="1474" w:type="dxa"/>
            <w:tcBorders>
              <w:top w:val="single" w:sz="4" w:space="0" w:color="auto"/>
            </w:tcBorders>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26.13</w:t>
            </w:r>
          </w:p>
        </w:tc>
        <w:tc>
          <w:tcPr>
            <w:tcW w:w="1474" w:type="dxa"/>
            <w:tcBorders>
              <w:top w:val="single" w:sz="4" w:space="0" w:color="auto"/>
            </w:tcBorders>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-495</w:t>
            </w:r>
          </w:p>
        </w:tc>
      </w:tr>
      <w:tr w:rsidR="004159CD" w:rsidRPr="00793B5E" w:rsidTr="00793B5E">
        <w:tc>
          <w:tcPr>
            <w:tcW w:w="1474" w:type="dxa"/>
            <w:vAlign w:val="center"/>
          </w:tcPr>
          <w:p w:rsidR="004159CD" w:rsidRPr="004B24EB" w:rsidRDefault="004159CD" w:rsidP="00793B5E">
            <w:pPr>
              <w:pStyle w:val="TableTextLeftBold-BP3"/>
              <w:jc w:val="center"/>
              <w:rPr>
                <w:rFonts w:eastAsia="MS Mincho"/>
                <w:sz w:val="18"/>
                <w:szCs w:val="18"/>
                <w:lang w:eastAsia="ja-JP"/>
              </w:rPr>
            </w:pPr>
            <w:r w:rsidRPr="004B24EB">
              <w:rPr>
                <w:rFonts w:eastAsia="MS Mincho"/>
                <w:sz w:val="18"/>
                <w:szCs w:val="18"/>
                <w:lang w:eastAsia="ja-JP"/>
              </w:rPr>
              <w:t>Vic</w:t>
            </w:r>
          </w:p>
        </w:tc>
        <w:tc>
          <w:tcPr>
            <w:tcW w:w="1474" w:type="dxa"/>
            <w:vAlign w:val="center"/>
          </w:tcPr>
          <w:p w:rsidR="004159CD" w:rsidRPr="004B24EB" w:rsidRDefault="004159CD" w:rsidP="00793B5E">
            <w:pPr>
              <w:pStyle w:val="TableTextLeftBold-BP3"/>
              <w:jc w:val="center"/>
              <w:rPr>
                <w:rFonts w:eastAsia="MS Mincho"/>
                <w:b w:val="0"/>
                <w:sz w:val="18"/>
                <w:szCs w:val="18"/>
                <w:lang w:eastAsia="ja-JP"/>
              </w:rPr>
            </w:pPr>
            <w:r w:rsidRPr="004B24EB">
              <w:rPr>
                <w:rFonts w:eastAsia="MS Mincho"/>
                <w:b w:val="0"/>
                <w:sz w:val="18"/>
                <w:szCs w:val="18"/>
                <w:lang w:eastAsia="ja-JP"/>
              </w:rPr>
              <w:t>0.92106</w:t>
            </w:r>
          </w:p>
        </w:tc>
        <w:tc>
          <w:tcPr>
            <w:tcW w:w="1474" w:type="dxa"/>
            <w:vAlign w:val="center"/>
          </w:tcPr>
          <w:p w:rsidR="004159CD" w:rsidRPr="004B24EB" w:rsidRDefault="004159CD" w:rsidP="00793B5E">
            <w:pPr>
              <w:pStyle w:val="TableTextLeftBold-BP3"/>
              <w:jc w:val="center"/>
              <w:rPr>
                <w:rFonts w:eastAsia="MS Mincho"/>
                <w:b w:val="0"/>
                <w:sz w:val="18"/>
                <w:szCs w:val="18"/>
                <w:lang w:eastAsia="ja-JP"/>
              </w:rPr>
            </w:pPr>
            <w:r w:rsidRPr="004B24EB">
              <w:rPr>
                <w:rFonts w:eastAsia="MS Mincho"/>
                <w:b w:val="0"/>
                <w:sz w:val="18"/>
                <w:szCs w:val="18"/>
                <w:lang w:eastAsia="ja-JP"/>
              </w:rPr>
              <w:t>0.90398</w:t>
            </w:r>
          </w:p>
        </w:tc>
        <w:tc>
          <w:tcPr>
            <w:tcW w:w="1474" w:type="dxa"/>
            <w:vAlign w:val="center"/>
          </w:tcPr>
          <w:p w:rsidR="004159CD" w:rsidRPr="004B24EB" w:rsidRDefault="004159CD" w:rsidP="00793B5E">
            <w:pPr>
              <w:pStyle w:val="TableTextLeftBold-BP3"/>
              <w:jc w:val="center"/>
              <w:rPr>
                <w:rFonts w:eastAsia="MS Mincho"/>
                <w:b w:val="0"/>
                <w:sz w:val="18"/>
                <w:szCs w:val="18"/>
                <w:lang w:eastAsia="ja-JP"/>
              </w:rPr>
            </w:pPr>
            <w:r w:rsidRPr="004B24EB">
              <w:rPr>
                <w:rFonts w:eastAsia="MS Mincho"/>
                <w:b w:val="0"/>
                <w:sz w:val="18"/>
                <w:szCs w:val="18"/>
                <w:lang w:eastAsia="ja-JP"/>
              </w:rPr>
              <w:t>22.9</w:t>
            </w:r>
          </w:p>
        </w:tc>
        <w:tc>
          <w:tcPr>
            <w:tcW w:w="1474" w:type="dxa"/>
            <w:vAlign w:val="center"/>
          </w:tcPr>
          <w:p w:rsidR="004159CD" w:rsidRPr="004B24EB" w:rsidRDefault="004159CD" w:rsidP="00793B5E">
            <w:pPr>
              <w:pStyle w:val="TableTextLeftBold-BP3"/>
              <w:jc w:val="center"/>
              <w:rPr>
                <w:rFonts w:eastAsia="MS Mincho"/>
                <w:b w:val="0"/>
                <w:sz w:val="18"/>
                <w:szCs w:val="18"/>
                <w:lang w:eastAsia="ja-JP"/>
              </w:rPr>
            </w:pPr>
            <w:r w:rsidRPr="004B24EB">
              <w:rPr>
                <w:rFonts w:eastAsia="MS Mincho"/>
                <w:b w:val="0"/>
                <w:sz w:val="18"/>
                <w:szCs w:val="18"/>
                <w:lang w:eastAsia="ja-JP"/>
              </w:rPr>
              <w:t>22.6</w:t>
            </w:r>
          </w:p>
        </w:tc>
        <w:tc>
          <w:tcPr>
            <w:tcW w:w="1474" w:type="dxa"/>
            <w:vAlign w:val="center"/>
          </w:tcPr>
          <w:p w:rsidR="004159CD" w:rsidRPr="004B24EB" w:rsidRDefault="004159CD" w:rsidP="00793B5E">
            <w:pPr>
              <w:pStyle w:val="TableTextLeftBold-BP3"/>
              <w:jc w:val="center"/>
              <w:rPr>
                <w:rFonts w:eastAsia="MS Mincho"/>
                <w:b w:val="0"/>
                <w:sz w:val="18"/>
                <w:szCs w:val="18"/>
                <w:lang w:eastAsia="ja-JP"/>
              </w:rPr>
            </w:pPr>
            <w:r w:rsidRPr="004B24EB">
              <w:rPr>
                <w:rFonts w:eastAsia="MS Mincho"/>
                <w:b w:val="0"/>
                <w:sz w:val="18"/>
                <w:szCs w:val="18"/>
                <w:lang w:eastAsia="ja-JP"/>
              </w:rPr>
              <w:t>-207</w:t>
            </w:r>
          </w:p>
        </w:tc>
        <w:tc>
          <w:tcPr>
            <w:tcW w:w="1474" w:type="dxa"/>
            <w:vAlign w:val="center"/>
          </w:tcPr>
          <w:p w:rsidR="004159CD" w:rsidRPr="004B24EB" w:rsidRDefault="004159CD" w:rsidP="00793B5E">
            <w:pPr>
              <w:pStyle w:val="TableTextLeftBold-BP3"/>
              <w:jc w:val="center"/>
              <w:rPr>
                <w:rFonts w:eastAsia="MS Mincho"/>
                <w:b w:val="0"/>
                <w:sz w:val="18"/>
                <w:szCs w:val="18"/>
                <w:lang w:eastAsia="ja-JP"/>
              </w:rPr>
            </w:pPr>
            <w:r w:rsidRPr="004B24EB">
              <w:rPr>
                <w:rFonts w:eastAsia="MS Mincho"/>
                <w:b w:val="0"/>
                <w:sz w:val="18"/>
                <w:szCs w:val="18"/>
                <w:lang w:eastAsia="ja-JP"/>
              </w:rPr>
              <w:t>-35.90</w:t>
            </w:r>
          </w:p>
        </w:tc>
        <w:tc>
          <w:tcPr>
            <w:tcW w:w="1474" w:type="dxa"/>
            <w:vAlign w:val="center"/>
          </w:tcPr>
          <w:p w:rsidR="004159CD" w:rsidRPr="004B24EB" w:rsidRDefault="004159CD" w:rsidP="00793B5E">
            <w:pPr>
              <w:pStyle w:val="TableTextLeftBold-BP3"/>
              <w:jc w:val="center"/>
              <w:rPr>
                <w:rFonts w:eastAsia="MS Mincho"/>
                <w:b w:val="0"/>
                <w:sz w:val="18"/>
                <w:szCs w:val="18"/>
                <w:lang w:eastAsia="ja-JP"/>
              </w:rPr>
            </w:pPr>
            <w:r w:rsidRPr="004B24EB">
              <w:rPr>
                <w:rFonts w:eastAsia="MS Mincho"/>
                <w:b w:val="0"/>
                <w:sz w:val="18"/>
                <w:szCs w:val="18"/>
                <w:lang w:eastAsia="ja-JP"/>
              </w:rPr>
              <w:t>-1,173</w:t>
            </w:r>
          </w:p>
        </w:tc>
      </w:tr>
      <w:tr w:rsidR="004159CD" w:rsidRPr="00793B5E" w:rsidTr="00793B5E">
        <w:tc>
          <w:tcPr>
            <w:tcW w:w="1474" w:type="dxa"/>
            <w:vAlign w:val="center"/>
          </w:tcPr>
          <w:p w:rsidR="004159CD" w:rsidRPr="004B24EB" w:rsidRDefault="004159CD" w:rsidP="00793B5E">
            <w:pPr>
              <w:pStyle w:val="TableTextLeft-BP3"/>
              <w:jc w:val="center"/>
              <w:rPr>
                <w:rFonts w:eastAsia="MS Mincho"/>
                <w:b/>
                <w:sz w:val="18"/>
                <w:lang w:eastAsia="ja-JP"/>
              </w:rPr>
            </w:pPr>
            <w:r w:rsidRPr="004B24EB">
              <w:rPr>
                <w:rFonts w:eastAsia="MS Mincho"/>
                <w:b/>
                <w:sz w:val="18"/>
                <w:lang w:eastAsia="ja-JP"/>
              </w:rPr>
              <w:t>Qld</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0.98477</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1.05624</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19.9</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21.5</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696</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148.12</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624</w:t>
            </w:r>
          </w:p>
        </w:tc>
      </w:tr>
      <w:tr w:rsidR="004159CD" w:rsidRPr="00793B5E" w:rsidTr="00793B5E">
        <w:tc>
          <w:tcPr>
            <w:tcW w:w="1474" w:type="dxa"/>
            <w:vAlign w:val="center"/>
          </w:tcPr>
          <w:p w:rsidR="004159CD" w:rsidRPr="004B24EB" w:rsidRDefault="004159CD" w:rsidP="00793B5E">
            <w:pPr>
              <w:pStyle w:val="TableTextLeft-BP3"/>
              <w:jc w:val="center"/>
              <w:rPr>
                <w:rFonts w:eastAsia="MS Mincho"/>
                <w:b/>
                <w:sz w:val="18"/>
                <w:lang w:eastAsia="ja-JP"/>
              </w:rPr>
            </w:pPr>
            <w:r w:rsidRPr="004B24EB">
              <w:rPr>
                <w:rFonts w:eastAsia="MS Mincho"/>
                <w:b/>
                <w:sz w:val="18"/>
                <w:lang w:eastAsia="ja-JP"/>
              </w:rPr>
              <w:t>WA</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0.55105</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0.44581</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5.9</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4.9</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-549</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-216.91</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-3,075</w:t>
            </w:r>
          </w:p>
        </w:tc>
      </w:tr>
      <w:tr w:rsidR="004159CD" w:rsidRPr="00793B5E" w:rsidTr="00793B5E">
        <w:tc>
          <w:tcPr>
            <w:tcW w:w="1474" w:type="dxa"/>
            <w:vAlign w:val="center"/>
          </w:tcPr>
          <w:p w:rsidR="004159CD" w:rsidRPr="004B24EB" w:rsidRDefault="004159CD" w:rsidP="00793B5E">
            <w:pPr>
              <w:pStyle w:val="TableTextLeft-BP3"/>
              <w:jc w:val="center"/>
              <w:rPr>
                <w:rFonts w:eastAsia="MS Mincho"/>
                <w:b/>
                <w:sz w:val="18"/>
                <w:lang w:eastAsia="ja-JP"/>
              </w:rPr>
            </w:pPr>
            <w:r w:rsidRPr="004B24EB">
              <w:rPr>
                <w:rFonts w:eastAsia="MS Mincho"/>
                <w:b/>
                <w:sz w:val="18"/>
                <w:lang w:eastAsia="ja-JP"/>
              </w:rPr>
              <w:t>SA</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1.28472</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1.26167</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9.4</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9.1</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-82</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-49.07</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980</w:t>
            </w:r>
          </w:p>
        </w:tc>
      </w:tr>
      <w:tr w:rsidR="004159CD" w:rsidRPr="00793B5E" w:rsidTr="00793B5E">
        <w:tc>
          <w:tcPr>
            <w:tcW w:w="1474" w:type="dxa"/>
            <w:vAlign w:val="center"/>
          </w:tcPr>
          <w:p w:rsidR="004159CD" w:rsidRPr="004B24EB" w:rsidRDefault="004159CD" w:rsidP="00793B5E">
            <w:pPr>
              <w:pStyle w:val="TableTextLeft-BP3"/>
              <w:jc w:val="center"/>
              <w:rPr>
                <w:rFonts w:eastAsia="MS Mincho"/>
                <w:b/>
                <w:sz w:val="18"/>
                <w:lang w:eastAsia="ja-JP"/>
              </w:rPr>
            </w:pPr>
            <w:r w:rsidRPr="004B24EB">
              <w:rPr>
                <w:rFonts w:eastAsia="MS Mincho"/>
                <w:b/>
                <w:sz w:val="18"/>
                <w:lang w:eastAsia="ja-JP"/>
              </w:rPr>
              <w:t>Tas</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1.58088</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1.61454</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3.6</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3.6</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36</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69.77</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704</w:t>
            </w:r>
          </w:p>
        </w:tc>
      </w:tr>
      <w:tr w:rsidR="004159CD" w:rsidRPr="00793B5E" w:rsidTr="00793B5E">
        <w:tc>
          <w:tcPr>
            <w:tcW w:w="1474" w:type="dxa"/>
            <w:vAlign w:val="center"/>
          </w:tcPr>
          <w:p w:rsidR="004159CD" w:rsidRPr="004B24EB" w:rsidRDefault="004159CD" w:rsidP="00793B5E">
            <w:pPr>
              <w:pStyle w:val="TableTextLeft-BP3"/>
              <w:jc w:val="center"/>
              <w:rPr>
                <w:rFonts w:eastAsia="MS Mincho"/>
                <w:b/>
                <w:sz w:val="18"/>
                <w:lang w:eastAsia="ja-JP"/>
              </w:rPr>
            </w:pPr>
            <w:r w:rsidRPr="004B24EB">
              <w:rPr>
                <w:rFonts w:eastAsia="MS Mincho"/>
                <w:b/>
                <w:sz w:val="18"/>
                <w:lang w:eastAsia="ja-JP"/>
              </w:rPr>
              <w:t>ACT</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1.19757</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1.22083</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2.0</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2.0</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18</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46.75</w:t>
            </w:r>
          </w:p>
        </w:tc>
        <w:tc>
          <w:tcPr>
            <w:tcW w:w="1474" w:type="dxa"/>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191</w:t>
            </w:r>
          </w:p>
        </w:tc>
      </w:tr>
      <w:tr w:rsidR="004159CD" w:rsidRPr="00793B5E" w:rsidTr="00793B5E">
        <w:tc>
          <w:tcPr>
            <w:tcW w:w="1474" w:type="dxa"/>
            <w:tcBorders>
              <w:bottom w:val="single" w:sz="4" w:space="0" w:color="auto"/>
            </w:tcBorders>
            <w:vAlign w:val="center"/>
          </w:tcPr>
          <w:p w:rsidR="004159CD" w:rsidRPr="004B24EB" w:rsidRDefault="004159CD" w:rsidP="00793B5E">
            <w:pPr>
              <w:pStyle w:val="TableTextLeft-BP3"/>
              <w:jc w:val="center"/>
              <w:rPr>
                <w:rFonts w:eastAsia="MS Mincho"/>
                <w:b/>
                <w:sz w:val="18"/>
                <w:lang w:eastAsia="ja-JP"/>
              </w:rPr>
            </w:pPr>
            <w:r w:rsidRPr="004B24EB">
              <w:rPr>
                <w:rFonts w:eastAsia="MS Mincho"/>
                <w:b/>
                <w:sz w:val="18"/>
                <w:lang w:eastAsia="ja-JP"/>
              </w:rPr>
              <w:t>NT</w:t>
            </w:r>
          </w:p>
        </w:tc>
        <w:tc>
          <w:tcPr>
            <w:tcW w:w="1474" w:type="dxa"/>
            <w:tcBorders>
              <w:bottom w:val="single" w:sz="4" w:space="0" w:color="auto"/>
            </w:tcBorders>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5.52818</w:t>
            </w:r>
          </w:p>
        </w:tc>
        <w:tc>
          <w:tcPr>
            <w:tcW w:w="1474" w:type="dxa"/>
            <w:tcBorders>
              <w:bottom w:val="single" w:sz="4" w:space="0" w:color="auto"/>
            </w:tcBorders>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5.31414</w:t>
            </w:r>
          </w:p>
        </w:tc>
        <w:tc>
          <w:tcPr>
            <w:tcW w:w="1474" w:type="dxa"/>
            <w:tcBorders>
              <w:bottom w:val="single" w:sz="4" w:space="0" w:color="auto"/>
            </w:tcBorders>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5.7</w:t>
            </w:r>
          </w:p>
        </w:tc>
        <w:tc>
          <w:tcPr>
            <w:tcW w:w="1474" w:type="dxa"/>
            <w:tcBorders>
              <w:bottom w:val="single" w:sz="4" w:space="0" w:color="auto"/>
            </w:tcBorders>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5.4</w:t>
            </w:r>
          </w:p>
        </w:tc>
        <w:tc>
          <w:tcPr>
            <w:tcW w:w="1474" w:type="dxa"/>
            <w:tcBorders>
              <w:bottom w:val="single" w:sz="4" w:space="0" w:color="auto"/>
            </w:tcBorders>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-107</w:t>
            </w:r>
          </w:p>
        </w:tc>
        <w:tc>
          <w:tcPr>
            <w:tcW w:w="1474" w:type="dxa"/>
            <w:tcBorders>
              <w:bottom w:val="single" w:sz="4" w:space="0" w:color="auto"/>
            </w:tcBorders>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-453.39</w:t>
            </w:r>
          </w:p>
        </w:tc>
        <w:tc>
          <w:tcPr>
            <w:tcW w:w="1474" w:type="dxa"/>
            <w:tcBorders>
              <w:bottom w:val="single" w:sz="4" w:space="0" w:color="auto"/>
            </w:tcBorders>
            <w:vAlign w:val="center"/>
          </w:tcPr>
          <w:p w:rsidR="004159CD" w:rsidRPr="004B24EB" w:rsidRDefault="004159CD" w:rsidP="00793B5E">
            <w:pPr>
              <w:pStyle w:val="TableTextLeft-BP3"/>
              <w:jc w:val="center"/>
              <w:rPr>
                <w:rFonts w:eastAsia="MS Mincho"/>
                <w:sz w:val="18"/>
                <w:lang w:eastAsia="ja-JP"/>
              </w:rPr>
            </w:pPr>
            <w:r w:rsidRPr="004B24EB">
              <w:rPr>
                <w:rFonts w:eastAsia="MS Mincho"/>
                <w:sz w:val="18"/>
                <w:lang w:eastAsia="ja-JP"/>
              </w:rPr>
              <w:t>2,245</w:t>
            </w:r>
          </w:p>
        </w:tc>
      </w:tr>
    </w:tbl>
    <w:p w:rsidR="004159CD" w:rsidRPr="00A45EFE" w:rsidRDefault="004159CD" w:rsidP="004159CD">
      <w:pPr>
        <w:pStyle w:val="NoteText"/>
        <w:rPr>
          <w:i/>
        </w:rPr>
      </w:pPr>
      <w:r w:rsidRPr="00A45EFE">
        <w:rPr>
          <w:i/>
        </w:rPr>
        <w:t xml:space="preserve">Source: CGC Report on GST Revenue Sharing Relativities 2013 Update and </w:t>
      </w:r>
      <w:r w:rsidR="00A45EFE">
        <w:rPr>
          <w:i/>
        </w:rPr>
        <w:t>Chief Minister and Treasury Directorate</w:t>
      </w:r>
      <w:r w:rsidRPr="00A45EFE">
        <w:rPr>
          <w:i/>
        </w:rPr>
        <w:t xml:space="preserve"> calculations.</w:t>
      </w:r>
      <w:r w:rsidR="00343F4D" w:rsidRPr="00A45EFE">
        <w:rPr>
          <w:i/>
        </w:rPr>
        <w:t xml:space="preserve"> Note that these figures were calculated using the 2012-13 MYEFO GST Pool Estimate.</w:t>
      </w:r>
    </w:p>
    <w:p w:rsidR="00D67290" w:rsidRPr="00A45EFE" w:rsidRDefault="00D67290" w:rsidP="00A45EFE">
      <w:pPr>
        <w:pStyle w:val="BodyText"/>
      </w:pPr>
      <w:r w:rsidRPr="00A45EFE">
        <w:t>The major reasons for the increase in the ACT’s 2013 Update relativity were the:</w:t>
      </w:r>
    </w:p>
    <w:p w:rsidR="00D67290" w:rsidRPr="0067142A" w:rsidRDefault="001B1073" w:rsidP="0067142A">
      <w:pPr>
        <w:pStyle w:val="BodyTextIndent"/>
      </w:pPr>
      <w:r w:rsidRPr="0067142A">
        <w:t>i</w:t>
      </w:r>
      <w:r w:rsidR="00D67290" w:rsidRPr="0067142A">
        <w:t>ncrease in the ACT’s population growth relative to other States, increasing its requirement for new infrastructure;</w:t>
      </w:r>
    </w:p>
    <w:p w:rsidR="00D67290" w:rsidRPr="0067142A" w:rsidRDefault="001B1073" w:rsidP="0067142A">
      <w:pPr>
        <w:pStyle w:val="BodyTextIndent"/>
      </w:pPr>
      <w:r w:rsidRPr="0067142A">
        <w:t>i</w:t>
      </w:r>
      <w:r w:rsidR="00D67290" w:rsidRPr="0067142A">
        <w:t>ncreased burden on the ACT government to supply community health services as a result of below average Commonwealth and private commu</w:t>
      </w:r>
      <w:r w:rsidR="00EE68EE" w:rsidRPr="0067142A">
        <w:t>nity health services provision;</w:t>
      </w:r>
    </w:p>
    <w:p w:rsidR="00D67290" w:rsidRPr="0067142A" w:rsidRDefault="001B1073" w:rsidP="0067142A">
      <w:pPr>
        <w:pStyle w:val="BodyTextIndent"/>
      </w:pPr>
      <w:proofErr w:type="gramStart"/>
      <w:r w:rsidRPr="0067142A">
        <w:t>n</w:t>
      </w:r>
      <w:r w:rsidR="00D67290" w:rsidRPr="0067142A">
        <w:t>ew</w:t>
      </w:r>
      <w:proofErr w:type="gramEnd"/>
      <w:r w:rsidR="00D67290" w:rsidRPr="0067142A">
        <w:t xml:space="preserve"> </w:t>
      </w:r>
      <w:r w:rsidRPr="0067142A">
        <w:t>c</w:t>
      </w:r>
      <w:r w:rsidR="00D67290" w:rsidRPr="0067142A">
        <w:t xml:space="preserve">ensus </w:t>
      </w:r>
      <w:r w:rsidRPr="0067142A">
        <w:t>d</w:t>
      </w:r>
      <w:r w:rsidR="00D67290" w:rsidRPr="0067142A">
        <w:t>ata which led to an 18</w:t>
      </w:r>
      <w:r w:rsidR="00C97AAD" w:rsidRPr="0067142A">
        <w:t xml:space="preserve"> per cent</w:t>
      </w:r>
      <w:r w:rsidR="00D67290" w:rsidRPr="0067142A">
        <w:t xml:space="preserve"> increase in the national estimate of Indigenous people, resulting in a downward revision to average spending per Indigenous person.  The overall impact is a redistribution of GST towards States with relatively small Indigeno</w:t>
      </w:r>
      <w:r w:rsidRPr="0067142A">
        <w:t>us populations, such as the ACT; and</w:t>
      </w:r>
    </w:p>
    <w:p w:rsidR="00A7683C" w:rsidRPr="0067142A" w:rsidRDefault="001B1073" w:rsidP="0067142A">
      <w:pPr>
        <w:pStyle w:val="BodyTextIndent"/>
      </w:pPr>
      <w:proofErr w:type="gramStart"/>
      <w:r w:rsidRPr="0067142A">
        <w:t>t</w:t>
      </w:r>
      <w:r w:rsidR="00D67290" w:rsidRPr="0067142A">
        <w:t>hese</w:t>
      </w:r>
      <w:proofErr w:type="gramEnd"/>
      <w:r w:rsidR="00D67290" w:rsidRPr="0067142A">
        <w:t xml:space="preserve"> positive impacts were partially offset by major upward revisions to the ABS estimates of private sector payrolls for the ACT, leading to a higher revenue raising capacity </w:t>
      </w:r>
      <w:r w:rsidR="00DC3E9A" w:rsidRPr="0067142A">
        <w:t>from</w:t>
      </w:r>
      <w:r w:rsidR="00D67290" w:rsidRPr="0067142A">
        <w:t xml:space="preserve"> payroll tax </w:t>
      </w:r>
      <w:r w:rsidR="005B17C5" w:rsidRPr="0067142A">
        <w:t xml:space="preserve">for </w:t>
      </w:r>
      <w:r w:rsidR="00D67290" w:rsidRPr="0067142A">
        <w:t>the Territory.</w:t>
      </w:r>
    </w:p>
    <w:p w:rsidR="00A7683C" w:rsidRPr="00A45EFE" w:rsidRDefault="00A7683C" w:rsidP="00A45EFE">
      <w:pPr>
        <w:pStyle w:val="BodyText"/>
      </w:pPr>
      <w:r w:rsidRPr="00A45EFE">
        <w:t xml:space="preserve">A further pleasing result in the </w:t>
      </w:r>
      <w:r w:rsidR="0085543D" w:rsidRPr="00A45EFE">
        <w:t xml:space="preserve">Update </w:t>
      </w:r>
      <w:r w:rsidRPr="00A45EFE">
        <w:t>Report was the decision b</w:t>
      </w:r>
      <w:r w:rsidR="00617B86" w:rsidRPr="00A45EFE">
        <w:t xml:space="preserve">y the CGC to </w:t>
      </w:r>
      <w:r w:rsidR="00091AC8" w:rsidRPr="00A45EFE">
        <w:t>quarantine</w:t>
      </w:r>
      <w:r w:rsidR="00617B86" w:rsidRPr="00A45EFE">
        <w:t xml:space="preserve"> the $55.2</w:t>
      </w:r>
      <w:r w:rsidRPr="00A45EFE">
        <w:t xml:space="preserve"> million of Centenary Grant Funding paid to the ACT in 2011-12</w:t>
      </w:r>
      <w:r w:rsidR="00DC3E9A" w:rsidRPr="00A45EFE">
        <w:t>,</w:t>
      </w:r>
      <w:r w:rsidRPr="00A45EFE">
        <w:t xml:space="preserve"> after a</w:t>
      </w:r>
      <w:r w:rsidR="00DF2770" w:rsidRPr="00A45EFE">
        <w:t xml:space="preserve"> decision by the Commonwealth</w:t>
      </w:r>
      <w:r w:rsidR="00641A8A" w:rsidRPr="00A45EFE">
        <w:t xml:space="preserve"> Government</w:t>
      </w:r>
      <w:r w:rsidRPr="00A45EFE">
        <w:t xml:space="preserve">.  </w:t>
      </w:r>
      <w:r w:rsidR="008E4867" w:rsidRPr="00A45EFE">
        <w:t xml:space="preserve">This decision was made on the basis that it was a gift to the nation, from which all Australians would benefit.  </w:t>
      </w:r>
      <w:r w:rsidRPr="00A45EFE">
        <w:t>Failur</w:t>
      </w:r>
      <w:r w:rsidR="00617B86" w:rsidRPr="00A45EFE">
        <w:t xml:space="preserve">e to do this would have seen </w:t>
      </w:r>
      <w:r w:rsidR="0000544C" w:rsidRPr="00A45EFE">
        <w:br/>
      </w:r>
      <w:r w:rsidR="00E76EC6" w:rsidRPr="00A45EFE">
        <w:t xml:space="preserve">the </w:t>
      </w:r>
      <w:r w:rsidR="00617B86" w:rsidRPr="00A45EFE">
        <w:t xml:space="preserve">$55.2 </w:t>
      </w:r>
      <w:r w:rsidRPr="00A45EFE">
        <w:t xml:space="preserve">million </w:t>
      </w:r>
      <w:r w:rsidR="00E76EC6" w:rsidRPr="00A45EFE">
        <w:t>redistributed amongst States</w:t>
      </w:r>
      <w:r w:rsidR="00617B86" w:rsidRPr="00A45EFE">
        <w:t>.</w:t>
      </w:r>
      <w:r w:rsidRPr="00A45EFE">
        <w:t xml:space="preserve"> </w:t>
      </w:r>
    </w:p>
    <w:p w:rsidR="00A45EFE" w:rsidRDefault="001449F9" w:rsidP="00F702CC">
      <w:pPr>
        <w:pStyle w:val="BodyText"/>
      </w:pPr>
      <w:r>
        <w:t>Table 4.2</w:t>
      </w:r>
      <w:r w:rsidR="00D67290" w:rsidRPr="001B1073">
        <w:t xml:space="preserve"> </w:t>
      </w:r>
      <w:r w:rsidR="005E1E46">
        <w:t xml:space="preserve">below </w:t>
      </w:r>
      <w:r w:rsidR="00D67290" w:rsidRPr="001B1073">
        <w:t>based on Table 27 of the</w:t>
      </w:r>
      <w:r w:rsidR="0085543D">
        <w:t xml:space="preserve"> Update</w:t>
      </w:r>
      <w:r w:rsidR="00D67290" w:rsidRPr="001B1073">
        <w:t xml:space="preserve"> Report, shows the impact of the components contributing to the ACT’s assessed GST funding of $1,037 million</w:t>
      </w:r>
      <w:r w:rsidR="00B165CB">
        <w:rPr>
          <w:rStyle w:val="FootnoteReference"/>
          <w:b/>
        </w:rPr>
        <w:footnoteReference w:id="3"/>
      </w:r>
      <w:r w:rsidR="00B165CB">
        <w:t xml:space="preserve"> </w:t>
      </w:r>
      <w:r w:rsidR="00D67290" w:rsidRPr="001B1073">
        <w:t xml:space="preserve">and how this </w:t>
      </w:r>
      <w:r w:rsidR="005B17C5" w:rsidRPr="001B1073">
        <w:t xml:space="preserve">results in </w:t>
      </w:r>
      <w:r w:rsidR="00D67290" w:rsidRPr="001B1073">
        <w:t>a figure of $191 million above an equal per capita share.</w:t>
      </w:r>
    </w:p>
    <w:p w:rsidR="00A45EFE" w:rsidRDefault="00A45EFE">
      <w:r>
        <w:br w:type="page"/>
      </w:r>
    </w:p>
    <w:p w:rsidR="00D67290" w:rsidRPr="0067142A" w:rsidRDefault="00544482" w:rsidP="0067142A">
      <w:pPr>
        <w:pStyle w:val="TableNumber"/>
      </w:pPr>
      <w:r w:rsidRPr="0067142A">
        <w:lastRenderedPageBreak/>
        <w:t>Table</w:t>
      </w:r>
      <w:r w:rsidR="00565BE5" w:rsidRPr="0067142A">
        <w:t xml:space="preserve"> 4.2</w:t>
      </w:r>
    </w:p>
    <w:p w:rsidR="00D67290" w:rsidRPr="0067142A" w:rsidRDefault="00D67290" w:rsidP="0067142A">
      <w:pPr>
        <w:pStyle w:val="TableName"/>
      </w:pPr>
      <w:r w:rsidRPr="0067142A">
        <w:t xml:space="preserve">ACT Assessed GST Funding and Above </w:t>
      </w:r>
      <w:proofErr w:type="gramStart"/>
      <w:r w:rsidRPr="0067142A">
        <w:t>Equal</w:t>
      </w:r>
      <w:proofErr w:type="gramEnd"/>
      <w:r w:rsidRPr="0067142A">
        <w:t xml:space="preserve"> Per Capita funding 2013-14</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000"/>
        <w:gridCol w:w="2053"/>
        <w:gridCol w:w="3047"/>
      </w:tblGrid>
      <w:tr w:rsidR="00D67290" w:rsidRPr="007161E6" w:rsidTr="0067142A">
        <w:tc>
          <w:tcPr>
            <w:tcW w:w="3987" w:type="dxa"/>
            <w:tcBorders>
              <w:left w:val="nil"/>
              <w:right w:val="nil"/>
            </w:tcBorders>
            <w:vAlign w:val="center"/>
          </w:tcPr>
          <w:p w:rsidR="00D67290" w:rsidRPr="007161E6" w:rsidRDefault="00D67290" w:rsidP="0067142A">
            <w:pPr>
              <w:spacing w:before="120" w:after="120"/>
              <w:ind w:left="1026"/>
              <w:rPr>
                <w:sz w:val="18"/>
                <w:szCs w:val="18"/>
              </w:rPr>
            </w:pPr>
          </w:p>
        </w:tc>
        <w:tc>
          <w:tcPr>
            <w:tcW w:w="2047" w:type="dxa"/>
            <w:tcBorders>
              <w:left w:val="nil"/>
              <w:right w:val="nil"/>
            </w:tcBorders>
            <w:vAlign w:val="center"/>
          </w:tcPr>
          <w:p w:rsidR="00D67290" w:rsidRPr="007161E6" w:rsidRDefault="00D67290" w:rsidP="00492E38">
            <w:pPr>
              <w:pStyle w:val="TableTextLeftBold-BP3"/>
              <w:jc w:val="right"/>
              <w:rPr>
                <w:sz w:val="18"/>
                <w:szCs w:val="18"/>
              </w:rPr>
            </w:pPr>
            <w:r w:rsidRPr="007161E6">
              <w:rPr>
                <w:sz w:val="18"/>
                <w:szCs w:val="18"/>
              </w:rPr>
              <w:t>$pc</w:t>
            </w:r>
          </w:p>
        </w:tc>
        <w:tc>
          <w:tcPr>
            <w:tcW w:w="3038" w:type="dxa"/>
            <w:tcBorders>
              <w:left w:val="nil"/>
              <w:right w:val="nil"/>
            </w:tcBorders>
            <w:vAlign w:val="center"/>
          </w:tcPr>
          <w:p w:rsidR="00D67290" w:rsidRPr="007161E6" w:rsidRDefault="00D67290" w:rsidP="00492E38">
            <w:pPr>
              <w:pStyle w:val="TableTextLeftBold-BP3"/>
              <w:jc w:val="right"/>
              <w:rPr>
                <w:sz w:val="18"/>
                <w:szCs w:val="18"/>
              </w:rPr>
            </w:pPr>
            <w:r w:rsidRPr="007161E6">
              <w:rPr>
                <w:sz w:val="18"/>
                <w:szCs w:val="18"/>
              </w:rPr>
              <w:t>$m</w:t>
            </w:r>
          </w:p>
        </w:tc>
      </w:tr>
      <w:tr w:rsidR="00D67290" w:rsidRPr="007161E6" w:rsidTr="0067142A">
        <w:tc>
          <w:tcPr>
            <w:tcW w:w="0" w:type="auto"/>
            <w:tcBorders>
              <w:left w:val="nil"/>
              <w:bottom w:val="nil"/>
              <w:right w:val="nil"/>
            </w:tcBorders>
          </w:tcPr>
          <w:p w:rsidR="00D67290" w:rsidRPr="007161E6" w:rsidRDefault="00D67290" w:rsidP="0067142A">
            <w:pPr>
              <w:spacing w:before="120"/>
              <w:rPr>
                <w:rFonts w:cs="Arial"/>
                <w:b/>
                <w:sz w:val="18"/>
                <w:szCs w:val="18"/>
              </w:rPr>
            </w:pPr>
            <w:r w:rsidRPr="007161E6">
              <w:rPr>
                <w:rFonts w:cs="Arial"/>
                <w:b/>
                <w:sz w:val="18"/>
                <w:szCs w:val="18"/>
              </w:rPr>
              <w:t>Equal per capita share (1.66%)</w:t>
            </w:r>
          </w:p>
        </w:tc>
        <w:tc>
          <w:tcPr>
            <w:tcW w:w="2047" w:type="dxa"/>
            <w:tcBorders>
              <w:left w:val="nil"/>
              <w:bottom w:val="nil"/>
              <w:right w:val="nil"/>
            </w:tcBorders>
            <w:vAlign w:val="center"/>
          </w:tcPr>
          <w:p w:rsidR="00D67290" w:rsidRPr="007161E6" w:rsidRDefault="00D67290" w:rsidP="0067142A">
            <w:pPr>
              <w:pStyle w:val="TableTextLeftBold-BP3"/>
              <w:ind w:left="0"/>
              <w:jc w:val="right"/>
              <w:rPr>
                <w:rFonts w:cs="Arial"/>
                <w:sz w:val="18"/>
                <w:szCs w:val="18"/>
              </w:rPr>
            </w:pPr>
            <w:r w:rsidRPr="007161E6">
              <w:rPr>
                <w:rFonts w:cs="Arial"/>
                <w:sz w:val="18"/>
                <w:szCs w:val="18"/>
              </w:rPr>
              <w:t>2,199</w:t>
            </w:r>
          </w:p>
        </w:tc>
        <w:tc>
          <w:tcPr>
            <w:tcW w:w="3038" w:type="dxa"/>
            <w:tcBorders>
              <w:left w:val="nil"/>
              <w:bottom w:val="nil"/>
              <w:right w:val="nil"/>
            </w:tcBorders>
            <w:vAlign w:val="center"/>
          </w:tcPr>
          <w:p w:rsidR="00D67290" w:rsidRPr="007161E6" w:rsidRDefault="00D67290" w:rsidP="0067142A">
            <w:pPr>
              <w:pStyle w:val="TableTextLeftBold-BP3"/>
              <w:ind w:left="0"/>
              <w:jc w:val="right"/>
              <w:rPr>
                <w:rFonts w:cs="Arial"/>
                <w:sz w:val="18"/>
                <w:szCs w:val="18"/>
              </w:rPr>
            </w:pPr>
            <w:r w:rsidRPr="007161E6">
              <w:rPr>
                <w:rFonts w:cs="Arial"/>
                <w:sz w:val="18"/>
                <w:szCs w:val="18"/>
              </w:rPr>
              <w:t>846</w:t>
            </w:r>
          </w:p>
        </w:tc>
      </w:tr>
      <w:tr w:rsidR="00D67290" w:rsidRPr="007161E6" w:rsidTr="0067142A">
        <w:tc>
          <w:tcPr>
            <w:tcW w:w="0" w:type="auto"/>
            <w:tcBorders>
              <w:top w:val="nil"/>
              <w:left w:val="nil"/>
              <w:bottom w:val="nil"/>
              <w:right w:val="nil"/>
            </w:tcBorders>
          </w:tcPr>
          <w:p w:rsidR="00D67290" w:rsidRPr="007161E6" w:rsidRDefault="00D67290" w:rsidP="0067142A">
            <w:pPr>
              <w:rPr>
                <w:rFonts w:cs="Arial"/>
                <w:sz w:val="18"/>
                <w:szCs w:val="18"/>
              </w:rPr>
            </w:pPr>
            <w:r w:rsidRPr="007161E6">
              <w:rPr>
                <w:rFonts w:cs="Arial"/>
                <w:sz w:val="18"/>
                <w:szCs w:val="18"/>
              </w:rPr>
              <w:t>Expense requirement</w:t>
            </w:r>
          </w:p>
        </w:tc>
        <w:tc>
          <w:tcPr>
            <w:tcW w:w="2047" w:type="dxa"/>
            <w:tcBorders>
              <w:top w:val="nil"/>
              <w:left w:val="nil"/>
              <w:bottom w:val="nil"/>
              <w:right w:val="nil"/>
            </w:tcBorders>
            <w:vAlign w:val="center"/>
          </w:tcPr>
          <w:p w:rsidR="00D67290" w:rsidRPr="007161E6" w:rsidRDefault="00D67290" w:rsidP="0067142A">
            <w:pPr>
              <w:pStyle w:val="TableTextLeftBold-BP3"/>
              <w:ind w:left="0"/>
              <w:jc w:val="right"/>
              <w:rPr>
                <w:rFonts w:cs="Arial"/>
                <w:b w:val="0"/>
                <w:sz w:val="18"/>
                <w:szCs w:val="18"/>
              </w:rPr>
            </w:pPr>
            <w:r w:rsidRPr="007161E6">
              <w:rPr>
                <w:rFonts w:cs="Arial"/>
                <w:b w:val="0"/>
                <w:sz w:val="18"/>
                <w:szCs w:val="18"/>
              </w:rPr>
              <w:t>-208</w:t>
            </w:r>
          </w:p>
        </w:tc>
        <w:tc>
          <w:tcPr>
            <w:tcW w:w="3038" w:type="dxa"/>
            <w:tcBorders>
              <w:top w:val="nil"/>
              <w:left w:val="nil"/>
              <w:bottom w:val="nil"/>
              <w:right w:val="nil"/>
            </w:tcBorders>
            <w:vAlign w:val="center"/>
          </w:tcPr>
          <w:p w:rsidR="00D67290" w:rsidRPr="007161E6" w:rsidRDefault="00D67290" w:rsidP="0067142A">
            <w:pPr>
              <w:pStyle w:val="TableTextLeftBold-BP3"/>
              <w:ind w:left="0"/>
              <w:jc w:val="right"/>
              <w:rPr>
                <w:rFonts w:cs="Arial"/>
                <w:b w:val="0"/>
                <w:sz w:val="18"/>
                <w:szCs w:val="18"/>
              </w:rPr>
            </w:pPr>
            <w:r w:rsidRPr="007161E6">
              <w:rPr>
                <w:rFonts w:cs="Arial"/>
                <w:b w:val="0"/>
                <w:sz w:val="18"/>
                <w:szCs w:val="18"/>
              </w:rPr>
              <w:t>-80</w:t>
            </w:r>
          </w:p>
        </w:tc>
      </w:tr>
      <w:tr w:rsidR="00D67290" w:rsidRPr="007161E6" w:rsidTr="0067142A">
        <w:tc>
          <w:tcPr>
            <w:tcW w:w="0" w:type="auto"/>
            <w:tcBorders>
              <w:top w:val="nil"/>
              <w:left w:val="nil"/>
              <w:bottom w:val="nil"/>
              <w:right w:val="nil"/>
            </w:tcBorders>
          </w:tcPr>
          <w:p w:rsidR="00D67290" w:rsidRPr="007161E6" w:rsidRDefault="00D67290" w:rsidP="0067142A">
            <w:pPr>
              <w:rPr>
                <w:rFonts w:cs="Arial"/>
                <w:sz w:val="18"/>
                <w:szCs w:val="18"/>
              </w:rPr>
            </w:pPr>
            <w:r w:rsidRPr="007161E6">
              <w:rPr>
                <w:rFonts w:cs="Arial"/>
                <w:sz w:val="18"/>
                <w:szCs w:val="18"/>
              </w:rPr>
              <w:t>Investment</w:t>
            </w:r>
            <w:r w:rsidRPr="007161E6">
              <w:rPr>
                <w:rFonts w:cs="Arial"/>
                <w:sz w:val="18"/>
                <w:szCs w:val="18"/>
                <w:vertAlign w:val="superscript"/>
              </w:rPr>
              <w:t>1</w:t>
            </w:r>
          </w:p>
        </w:tc>
        <w:tc>
          <w:tcPr>
            <w:tcW w:w="2047" w:type="dxa"/>
            <w:tcBorders>
              <w:top w:val="nil"/>
              <w:left w:val="nil"/>
              <w:bottom w:val="nil"/>
              <w:right w:val="nil"/>
            </w:tcBorders>
            <w:vAlign w:val="center"/>
          </w:tcPr>
          <w:p w:rsidR="00D67290" w:rsidRPr="007161E6" w:rsidRDefault="00D67290" w:rsidP="0067142A">
            <w:pPr>
              <w:pStyle w:val="TableTextLeftBold-BP3"/>
              <w:ind w:left="0"/>
              <w:jc w:val="right"/>
              <w:rPr>
                <w:rFonts w:cs="Arial"/>
                <w:b w:val="0"/>
                <w:sz w:val="18"/>
                <w:szCs w:val="18"/>
              </w:rPr>
            </w:pPr>
            <w:r w:rsidRPr="007161E6">
              <w:rPr>
                <w:rFonts w:cs="Arial"/>
                <w:b w:val="0"/>
                <w:sz w:val="18"/>
                <w:szCs w:val="18"/>
              </w:rPr>
              <w:t>36</w:t>
            </w:r>
          </w:p>
        </w:tc>
        <w:tc>
          <w:tcPr>
            <w:tcW w:w="3038" w:type="dxa"/>
            <w:tcBorders>
              <w:top w:val="nil"/>
              <w:left w:val="nil"/>
              <w:bottom w:val="nil"/>
              <w:right w:val="nil"/>
            </w:tcBorders>
            <w:vAlign w:val="center"/>
          </w:tcPr>
          <w:p w:rsidR="00D67290" w:rsidRPr="007161E6" w:rsidRDefault="00D67290" w:rsidP="0067142A">
            <w:pPr>
              <w:pStyle w:val="TableTextLeftBold-BP3"/>
              <w:ind w:left="0"/>
              <w:jc w:val="right"/>
              <w:rPr>
                <w:rFonts w:cs="Arial"/>
                <w:b w:val="0"/>
                <w:sz w:val="18"/>
                <w:szCs w:val="18"/>
              </w:rPr>
            </w:pPr>
            <w:r w:rsidRPr="007161E6">
              <w:rPr>
                <w:rFonts w:cs="Arial"/>
                <w:b w:val="0"/>
                <w:sz w:val="18"/>
                <w:szCs w:val="18"/>
              </w:rPr>
              <w:t>-14</w:t>
            </w:r>
          </w:p>
        </w:tc>
      </w:tr>
      <w:tr w:rsidR="00D67290" w:rsidRPr="007161E6" w:rsidTr="0067142A">
        <w:tc>
          <w:tcPr>
            <w:tcW w:w="0" w:type="auto"/>
            <w:tcBorders>
              <w:top w:val="nil"/>
              <w:left w:val="nil"/>
              <w:bottom w:val="nil"/>
              <w:right w:val="nil"/>
            </w:tcBorders>
          </w:tcPr>
          <w:p w:rsidR="00D67290" w:rsidRPr="007161E6" w:rsidRDefault="00D67290" w:rsidP="0067142A">
            <w:pPr>
              <w:rPr>
                <w:rFonts w:cs="Arial"/>
                <w:sz w:val="18"/>
                <w:szCs w:val="18"/>
              </w:rPr>
            </w:pPr>
            <w:r w:rsidRPr="007161E6">
              <w:rPr>
                <w:rFonts w:cs="Arial"/>
                <w:sz w:val="18"/>
                <w:szCs w:val="18"/>
              </w:rPr>
              <w:t>Net lending</w:t>
            </w:r>
            <w:r w:rsidRPr="007161E6">
              <w:rPr>
                <w:rFonts w:cs="Arial"/>
                <w:sz w:val="18"/>
                <w:szCs w:val="18"/>
                <w:vertAlign w:val="superscript"/>
              </w:rPr>
              <w:t>2</w:t>
            </w:r>
          </w:p>
        </w:tc>
        <w:tc>
          <w:tcPr>
            <w:tcW w:w="2047" w:type="dxa"/>
            <w:tcBorders>
              <w:top w:val="nil"/>
              <w:left w:val="nil"/>
              <w:bottom w:val="nil"/>
              <w:right w:val="nil"/>
            </w:tcBorders>
            <w:vAlign w:val="center"/>
          </w:tcPr>
          <w:p w:rsidR="00D67290" w:rsidRPr="007161E6" w:rsidRDefault="00D67290" w:rsidP="0067142A">
            <w:pPr>
              <w:pStyle w:val="TableTextLeftBold-BP3"/>
              <w:ind w:left="0"/>
              <w:jc w:val="right"/>
              <w:rPr>
                <w:rFonts w:cs="Arial"/>
                <w:b w:val="0"/>
                <w:sz w:val="18"/>
                <w:szCs w:val="18"/>
              </w:rPr>
            </w:pPr>
            <w:r w:rsidRPr="007161E6">
              <w:rPr>
                <w:rFonts w:cs="Arial"/>
                <w:b w:val="0"/>
                <w:sz w:val="18"/>
                <w:szCs w:val="18"/>
              </w:rPr>
              <w:t>+9</w:t>
            </w:r>
          </w:p>
        </w:tc>
        <w:tc>
          <w:tcPr>
            <w:tcW w:w="3038" w:type="dxa"/>
            <w:tcBorders>
              <w:top w:val="nil"/>
              <w:left w:val="nil"/>
              <w:bottom w:val="nil"/>
              <w:right w:val="nil"/>
            </w:tcBorders>
            <w:vAlign w:val="center"/>
          </w:tcPr>
          <w:p w:rsidR="00D67290" w:rsidRPr="007161E6" w:rsidRDefault="00D67290" w:rsidP="0067142A">
            <w:pPr>
              <w:pStyle w:val="TableTextLeftBold-BP3"/>
              <w:ind w:left="0"/>
              <w:jc w:val="right"/>
              <w:rPr>
                <w:rFonts w:cs="Arial"/>
                <w:b w:val="0"/>
                <w:sz w:val="18"/>
                <w:szCs w:val="18"/>
              </w:rPr>
            </w:pPr>
            <w:r w:rsidRPr="007161E6">
              <w:rPr>
                <w:rFonts w:cs="Arial"/>
                <w:b w:val="0"/>
                <w:sz w:val="18"/>
                <w:szCs w:val="18"/>
              </w:rPr>
              <w:t>+4</w:t>
            </w:r>
          </w:p>
        </w:tc>
      </w:tr>
      <w:tr w:rsidR="00D67290" w:rsidRPr="007161E6" w:rsidTr="0067142A">
        <w:tc>
          <w:tcPr>
            <w:tcW w:w="0" w:type="auto"/>
            <w:tcBorders>
              <w:top w:val="nil"/>
              <w:left w:val="nil"/>
              <w:bottom w:val="nil"/>
              <w:right w:val="nil"/>
            </w:tcBorders>
          </w:tcPr>
          <w:p w:rsidR="00D67290" w:rsidRPr="007161E6" w:rsidRDefault="00D67290" w:rsidP="0067142A">
            <w:pPr>
              <w:rPr>
                <w:rFonts w:cs="Arial"/>
                <w:sz w:val="18"/>
                <w:szCs w:val="18"/>
              </w:rPr>
            </w:pPr>
            <w:r w:rsidRPr="007161E6">
              <w:rPr>
                <w:rFonts w:cs="Arial"/>
                <w:sz w:val="18"/>
                <w:szCs w:val="18"/>
              </w:rPr>
              <w:t>Revenue</w:t>
            </w:r>
          </w:p>
        </w:tc>
        <w:tc>
          <w:tcPr>
            <w:tcW w:w="2047" w:type="dxa"/>
            <w:tcBorders>
              <w:top w:val="nil"/>
              <w:left w:val="nil"/>
              <w:bottom w:val="nil"/>
              <w:right w:val="nil"/>
            </w:tcBorders>
            <w:vAlign w:val="center"/>
          </w:tcPr>
          <w:p w:rsidR="00D67290" w:rsidRPr="007161E6" w:rsidRDefault="00D67290" w:rsidP="0067142A">
            <w:pPr>
              <w:pStyle w:val="TableTextLeftBold-BP3"/>
              <w:ind w:left="0"/>
              <w:jc w:val="right"/>
              <w:rPr>
                <w:rFonts w:cs="Arial"/>
                <w:b w:val="0"/>
                <w:sz w:val="18"/>
                <w:szCs w:val="18"/>
              </w:rPr>
            </w:pPr>
            <w:r w:rsidRPr="007161E6">
              <w:rPr>
                <w:rFonts w:cs="Arial"/>
                <w:b w:val="0"/>
                <w:sz w:val="18"/>
                <w:szCs w:val="18"/>
              </w:rPr>
              <w:t>+531</w:t>
            </w:r>
          </w:p>
        </w:tc>
        <w:tc>
          <w:tcPr>
            <w:tcW w:w="3038" w:type="dxa"/>
            <w:tcBorders>
              <w:top w:val="nil"/>
              <w:left w:val="nil"/>
              <w:bottom w:val="nil"/>
              <w:right w:val="nil"/>
            </w:tcBorders>
            <w:vAlign w:val="center"/>
          </w:tcPr>
          <w:p w:rsidR="00D67290" w:rsidRPr="007161E6" w:rsidRDefault="00D67290" w:rsidP="0067142A">
            <w:pPr>
              <w:pStyle w:val="TableTextLeftBold-BP3"/>
              <w:ind w:left="0"/>
              <w:jc w:val="right"/>
              <w:rPr>
                <w:rFonts w:cs="Arial"/>
                <w:b w:val="0"/>
                <w:sz w:val="18"/>
                <w:szCs w:val="18"/>
              </w:rPr>
            </w:pPr>
            <w:r w:rsidRPr="007161E6">
              <w:rPr>
                <w:rFonts w:cs="Arial"/>
                <w:b w:val="0"/>
                <w:sz w:val="18"/>
                <w:szCs w:val="18"/>
              </w:rPr>
              <w:t>+204</w:t>
            </w:r>
          </w:p>
        </w:tc>
      </w:tr>
      <w:tr w:rsidR="00D67290" w:rsidRPr="007161E6" w:rsidTr="0067142A">
        <w:tc>
          <w:tcPr>
            <w:tcW w:w="0" w:type="auto"/>
            <w:tcBorders>
              <w:top w:val="nil"/>
              <w:left w:val="nil"/>
              <w:bottom w:val="nil"/>
              <w:right w:val="nil"/>
            </w:tcBorders>
          </w:tcPr>
          <w:p w:rsidR="00D67290" w:rsidRPr="007161E6" w:rsidRDefault="00D67290" w:rsidP="0067142A">
            <w:pPr>
              <w:rPr>
                <w:rFonts w:cs="Arial"/>
                <w:sz w:val="18"/>
                <w:szCs w:val="18"/>
              </w:rPr>
            </w:pPr>
            <w:r w:rsidRPr="007161E6">
              <w:rPr>
                <w:rFonts w:cs="Arial"/>
                <w:sz w:val="18"/>
                <w:szCs w:val="18"/>
              </w:rPr>
              <w:t>Commonwealth payments</w:t>
            </w:r>
            <w:r w:rsidRPr="007161E6">
              <w:rPr>
                <w:rFonts w:cs="Arial"/>
                <w:sz w:val="18"/>
                <w:szCs w:val="18"/>
                <w:vertAlign w:val="superscript"/>
              </w:rPr>
              <w:t>3</w:t>
            </w:r>
          </w:p>
        </w:tc>
        <w:tc>
          <w:tcPr>
            <w:tcW w:w="2047" w:type="dxa"/>
            <w:tcBorders>
              <w:top w:val="nil"/>
              <w:left w:val="nil"/>
              <w:bottom w:val="nil"/>
              <w:right w:val="nil"/>
            </w:tcBorders>
            <w:vAlign w:val="center"/>
          </w:tcPr>
          <w:p w:rsidR="00D67290" w:rsidRPr="007161E6" w:rsidRDefault="00D67290" w:rsidP="0067142A">
            <w:pPr>
              <w:pStyle w:val="TableTextLeftBold-BP3"/>
              <w:ind w:left="0"/>
              <w:jc w:val="right"/>
              <w:rPr>
                <w:rFonts w:cs="Arial"/>
                <w:b w:val="0"/>
                <w:sz w:val="18"/>
                <w:szCs w:val="18"/>
              </w:rPr>
            </w:pPr>
            <w:r w:rsidRPr="007161E6">
              <w:rPr>
                <w:rFonts w:cs="Arial"/>
                <w:b w:val="0"/>
                <w:sz w:val="18"/>
                <w:szCs w:val="18"/>
              </w:rPr>
              <w:t>+201</w:t>
            </w:r>
          </w:p>
        </w:tc>
        <w:tc>
          <w:tcPr>
            <w:tcW w:w="3038" w:type="dxa"/>
            <w:tcBorders>
              <w:top w:val="nil"/>
              <w:left w:val="nil"/>
              <w:bottom w:val="nil"/>
              <w:right w:val="nil"/>
            </w:tcBorders>
            <w:vAlign w:val="center"/>
          </w:tcPr>
          <w:p w:rsidR="00D67290" w:rsidRPr="007161E6" w:rsidRDefault="00D67290" w:rsidP="0067142A">
            <w:pPr>
              <w:pStyle w:val="TableTextLeftBold-BP3"/>
              <w:ind w:left="0"/>
              <w:jc w:val="right"/>
              <w:rPr>
                <w:rFonts w:cs="Arial"/>
                <w:b w:val="0"/>
                <w:sz w:val="18"/>
                <w:szCs w:val="18"/>
              </w:rPr>
            </w:pPr>
            <w:r w:rsidRPr="007161E6">
              <w:rPr>
                <w:rFonts w:cs="Arial"/>
                <w:b w:val="0"/>
                <w:sz w:val="18"/>
                <w:szCs w:val="18"/>
              </w:rPr>
              <w:t>+77</w:t>
            </w:r>
          </w:p>
        </w:tc>
      </w:tr>
      <w:tr w:rsidR="00D67290" w:rsidRPr="007161E6" w:rsidTr="0067142A">
        <w:tc>
          <w:tcPr>
            <w:tcW w:w="0" w:type="auto"/>
            <w:tcBorders>
              <w:top w:val="nil"/>
              <w:left w:val="nil"/>
              <w:bottom w:val="single" w:sz="4" w:space="0" w:color="auto"/>
              <w:right w:val="nil"/>
            </w:tcBorders>
          </w:tcPr>
          <w:p w:rsidR="00D67290" w:rsidRPr="007161E6" w:rsidRDefault="00D67290" w:rsidP="0067142A">
            <w:pPr>
              <w:rPr>
                <w:rFonts w:cs="Arial"/>
                <w:b/>
                <w:bCs/>
                <w:color w:val="000000"/>
                <w:sz w:val="18"/>
                <w:szCs w:val="18"/>
              </w:rPr>
            </w:pPr>
            <w:r w:rsidRPr="007161E6">
              <w:rPr>
                <w:rFonts w:cs="Arial"/>
                <w:b/>
                <w:bCs/>
                <w:color w:val="000000"/>
                <w:sz w:val="18"/>
                <w:szCs w:val="18"/>
              </w:rPr>
              <w:t>Assessed GST (2.03%)</w:t>
            </w:r>
            <w:r w:rsidRPr="007161E6">
              <w:rPr>
                <w:rFonts w:cs="Arial"/>
                <w:bCs/>
                <w:color w:val="000000"/>
                <w:sz w:val="18"/>
                <w:szCs w:val="18"/>
                <w:vertAlign w:val="superscript"/>
              </w:rPr>
              <w:t>4</w:t>
            </w:r>
          </w:p>
        </w:tc>
        <w:tc>
          <w:tcPr>
            <w:tcW w:w="2047" w:type="dxa"/>
            <w:tcBorders>
              <w:top w:val="nil"/>
              <w:left w:val="nil"/>
              <w:bottom w:val="single" w:sz="4" w:space="0" w:color="auto"/>
              <w:right w:val="nil"/>
            </w:tcBorders>
            <w:vAlign w:val="center"/>
          </w:tcPr>
          <w:p w:rsidR="00D67290" w:rsidRPr="007161E6" w:rsidRDefault="00D67290" w:rsidP="0067142A">
            <w:pPr>
              <w:pStyle w:val="TableTextLeftBold-BP3"/>
              <w:ind w:left="0"/>
              <w:jc w:val="right"/>
              <w:rPr>
                <w:rFonts w:cs="Arial"/>
                <w:sz w:val="18"/>
                <w:szCs w:val="18"/>
              </w:rPr>
            </w:pPr>
            <w:r w:rsidRPr="007161E6">
              <w:rPr>
                <w:rFonts w:cs="Arial"/>
                <w:sz w:val="18"/>
                <w:szCs w:val="18"/>
              </w:rPr>
              <w:t>2,695</w:t>
            </w:r>
          </w:p>
        </w:tc>
        <w:tc>
          <w:tcPr>
            <w:tcW w:w="3038" w:type="dxa"/>
            <w:tcBorders>
              <w:top w:val="nil"/>
              <w:left w:val="nil"/>
              <w:bottom w:val="single" w:sz="4" w:space="0" w:color="auto"/>
              <w:right w:val="nil"/>
            </w:tcBorders>
            <w:vAlign w:val="center"/>
          </w:tcPr>
          <w:p w:rsidR="00D67290" w:rsidRPr="007161E6" w:rsidRDefault="00D67290" w:rsidP="0067142A">
            <w:pPr>
              <w:pStyle w:val="TableTextLeftBold-BP3"/>
              <w:ind w:left="0"/>
              <w:jc w:val="right"/>
              <w:rPr>
                <w:rFonts w:cs="Arial"/>
                <w:sz w:val="18"/>
                <w:szCs w:val="18"/>
              </w:rPr>
            </w:pPr>
            <w:r w:rsidRPr="007161E6">
              <w:rPr>
                <w:rFonts w:cs="Arial"/>
                <w:sz w:val="18"/>
                <w:szCs w:val="18"/>
              </w:rPr>
              <w:t>1,037</w:t>
            </w:r>
          </w:p>
        </w:tc>
      </w:tr>
      <w:tr w:rsidR="00D67290" w:rsidRPr="007161E6" w:rsidTr="0067142A">
        <w:tc>
          <w:tcPr>
            <w:tcW w:w="0" w:type="auto"/>
            <w:tcBorders>
              <w:top w:val="single" w:sz="4" w:space="0" w:color="auto"/>
              <w:left w:val="nil"/>
              <w:bottom w:val="single" w:sz="4" w:space="0" w:color="auto"/>
              <w:right w:val="nil"/>
            </w:tcBorders>
          </w:tcPr>
          <w:p w:rsidR="00D67290" w:rsidRPr="007161E6" w:rsidRDefault="00D67290" w:rsidP="0067142A">
            <w:pPr>
              <w:rPr>
                <w:rFonts w:cs="Arial"/>
                <w:b/>
                <w:bCs/>
                <w:color w:val="000000"/>
                <w:sz w:val="18"/>
                <w:szCs w:val="18"/>
              </w:rPr>
            </w:pPr>
            <w:r w:rsidRPr="007161E6">
              <w:rPr>
                <w:rFonts w:cs="Arial"/>
                <w:b/>
                <w:bCs/>
                <w:color w:val="000000"/>
                <w:sz w:val="18"/>
                <w:szCs w:val="18"/>
              </w:rPr>
              <w:t>Total difference from EPC distribution</w:t>
            </w:r>
          </w:p>
        </w:tc>
        <w:tc>
          <w:tcPr>
            <w:tcW w:w="2047" w:type="dxa"/>
            <w:tcBorders>
              <w:top w:val="single" w:sz="4" w:space="0" w:color="auto"/>
              <w:left w:val="nil"/>
              <w:bottom w:val="single" w:sz="4" w:space="0" w:color="auto"/>
              <w:right w:val="nil"/>
            </w:tcBorders>
            <w:vAlign w:val="center"/>
          </w:tcPr>
          <w:p w:rsidR="00D67290" w:rsidRPr="007161E6" w:rsidRDefault="00D67290" w:rsidP="0067142A">
            <w:pPr>
              <w:pStyle w:val="TableTextLeftBold-BP3"/>
              <w:ind w:left="0"/>
              <w:jc w:val="right"/>
              <w:rPr>
                <w:rFonts w:cs="Arial"/>
                <w:sz w:val="18"/>
                <w:szCs w:val="18"/>
              </w:rPr>
            </w:pPr>
            <w:r w:rsidRPr="007161E6">
              <w:rPr>
                <w:rFonts w:cs="Arial"/>
                <w:sz w:val="18"/>
                <w:szCs w:val="18"/>
              </w:rPr>
              <w:t>496</w:t>
            </w:r>
          </w:p>
        </w:tc>
        <w:tc>
          <w:tcPr>
            <w:tcW w:w="3038" w:type="dxa"/>
            <w:tcBorders>
              <w:top w:val="single" w:sz="4" w:space="0" w:color="auto"/>
              <w:left w:val="nil"/>
              <w:bottom w:val="single" w:sz="4" w:space="0" w:color="auto"/>
              <w:right w:val="nil"/>
            </w:tcBorders>
            <w:vAlign w:val="center"/>
          </w:tcPr>
          <w:p w:rsidR="00D67290" w:rsidRPr="007161E6" w:rsidRDefault="00D67290" w:rsidP="0067142A">
            <w:pPr>
              <w:pStyle w:val="TableTextLeftBold-BP3"/>
              <w:ind w:left="0"/>
              <w:jc w:val="right"/>
              <w:rPr>
                <w:rFonts w:cs="Arial"/>
                <w:sz w:val="18"/>
                <w:szCs w:val="18"/>
              </w:rPr>
            </w:pPr>
            <w:r w:rsidRPr="007161E6">
              <w:rPr>
                <w:rFonts w:cs="Arial"/>
                <w:sz w:val="18"/>
                <w:szCs w:val="18"/>
              </w:rPr>
              <w:t>191</w:t>
            </w:r>
          </w:p>
        </w:tc>
      </w:tr>
    </w:tbl>
    <w:p w:rsidR="00D67290" w:rsidRDefault="00D67290" w:rsidP="00863C05">
      <w:pPr>
        <w:pStyle w:val="NoteText"/>
      </w:pPr>
      <w:r w:rsidRPr="00863C05">
        <w:rPr>
          <w:rStyle w:val="NoteHeadingChar"/>
        </w:rPr>
        <w:t>Note:</w:t>
      </w:r>
      <w:r w:rsidRPr="00CD1C1C">
        <w:t xml:space="preserve">  Table may not add due to rounding.</w:t>
      </w:r>
    </w:p>
    <w:p w:rsidR="00D67290" w:rsidRPr="0067142A" w:rsidRDefault="00D67290" w:rsidP="0067142A">
      <w:pPr>
        <w:pStyle w:val="AINotes"/>
      </w:pPr>
      <w:r w:rsidRPr="0067142A">
        <w:t xml:space="preserve">The investment assessment provides each State with the capacity to acquire the average level of </w:t>
      </w:r>
      <w:r w:rsidR="00BF6001" w:rsidRPr="0067142A">
        <w:t xml:space="preserve">new </w:t>
      </w:r>
      <w:r w:rsidRPr="0067142A">
        <w:t>physical infrastructure.</w:t>
      </w:r>
      <w:r w:rsidR="00BF6001" w:rsidRPr="0067142A">
        <w:t xml:space="preserve">  It is the equivalent to ‘net acquisition of non-financial assets’ </w:t>
      </w:r>
      <w:r w:rsidR="00351934" w:rsidRPr="0067142A">
        <w:t>that appears in the ABS Government Finance Statistics State operating statement.</w:t>
      </w:r>
    </w:p>
    <w:p w:rsidR="00D67290" w:rsidRPr="0067142A" w:rsidRDefault="00D67290" w:rsidP="0067142A">
      <w:pPr>
        <w:pStyle w:val="AINotes"/>
      </w:pPr>
      <w:r w:rsidRPr="0067142A">
        <w:t>The net lending assessment provides each State with the capacity to acquire the average level of income from their net financial assets</w:t>
      </w:r>
      <w:r w:rsidR="00DD1742" w:rsidRPr="0067142A">
        <w:t>, i</w:t>
      </w:r>
      <w:r w:rsidR="00351934" w:rsidRPr="0067142A">
        <w:t>.e</w:t>
      </w:r>
      <w:r w:rsidR="00DD1742" w:rsidRPr="0067142A">
        <w:t>. the</w:t>
      </w:r>
      <w:r w:rsidR="00351934" w:rsidRPr="0067142A">
        <w:t xml:space="preserve"> outcome of an operating budget calculated as expenses and expenditures on non-financial assets, change in </w:t>
      </w:r>
      <w:r w:rsidR="00826FEA" w:rsidRPr="0067142A">
        <w:t>inventories</w:t>
      </w:r>
      <w:r w:rsidR="00351934" w:rsidRPr="0067142A">
        <w:t xml:space="preserve">, etc less State own source revenues and revenues received </w:t>
      </w:r>
      <w:r w:rsidR="00826FEA" w:rsidRPr="0067142A">
        <w:t>from</w:t>
      </w:r>
      <w:r w:rsidR="00351934" w:rsidRPr="0067142A">
        <w:t xml:space="preserve"> the Australian Government.</w:t>
      </w:r>
    </w:p>
    <w:p w:rsidR="00D67290" w:rsidRPr="0067142A" w:rsidRDefault="00D67290" w:rsidP="0067142A">
      <w:pPr>
        <w:pStyle w:val="AINotes"/>
      </w:pPr>
      <w:r w:rsidRPr="0067142A">
        <w:t xml:space="preserve">Includes the impact on the revenue side only.  The impact on the expense side is incorporated in the expense requirement line. </w:t>
      </w:r>
    </w:p>
    <w:p w:rsidR="00D67290" w:rsidRPr="0067142A" w:rsidRDefault="00D67290" w:rsidP="0067142A">
      <w:pPr>
        <w:pStyle w:val="AINotes"/>
      </w:pPr>
      <w:r w:rsidRPr="0067142A">
        <w:t>GST = equal per capita share plus sum of needs.</w:t>
      </w:r>
    </w:p>
    <w:p w:rsidR="005467F9" w:rsidRPr="0067142A" w:rsidRDefault="00D67290" w:rsidP="0067142A">
      <w:pPr>
        <w:pStyle w:val="BodyText"/>
      </w:pPr>
      <w:r w:rsidRPr="0067142A">
        <w:t>Fur</w:t>
      </w:r>
      <w:r w:rsidR="00E069AE" w:rsidRPr="0067142A">
        <w:t>ther information on the CGC 2013</w:t>
      </w:r>
      <w:r w:rsidRPr="0067142A">
        <w:t xml:space="preserve"> Update Report can be found at</w:t>
      </w:r>
      <w:r w:rsidR="00A27880" w:rsidRPr="0067142A">
        <w:t xml:space="preserve"> </w:t>
      </w:r>
      <w:hyperlink r:id="rId15" w:history="1">
        <w:r w:rsidR="00A27880" w:rsidRPr="0067142A">
          <w:t>www.cgc.gov.au</w:t>
        </w:r>
      </w:hyperlink>
      <w:r w:rsidRPr="0067142A">
        <w:t>.</w:t>
      </w:r>
    </w:p>
    <w:p w:rsidR="008D00F9" w:rsidRPr="0067142A" w:rsidRDefault="008D00F9" w:rsidP="0067142A">
      <w:pPr>
        <w:pStyle w:val="Heading3"/>
      </w:pPr>
      <w:r w:rsidRPr="0067142A">
        <w:t>Sources of Federal Funding</w:t>
      </w:r>
    </w:p>
    <w:p w:rsidR="00A443AC" w:rsidRDefault="00ED79B1">
      <w:pPr>
        <w:pStyle w:val="BodyText"/>
      </w:pPr>
      <w:r>
        <w:t xml:space="preserve">Sources of Federal funding are </w:t>
      </w:r>
      <w:r w:rsidR="008C5DB2">
        <w:t>G</w:t>
      </w:r>
      <w:r>
        <w:t xml:space="preserve">eneral </w:t>
      </w:r>
      <w:r w:rsidR="008C5DB2">
        <w:t>R</w:t>
      </w:r>
      <w:r>
        <w:t>evenue</w:t>
      </w:r>
      <w:r w:rsidR="008C5DB2">
        <w:t xml:space="preserve"> Assistance</w:t>
      </w:r>
      <w:r>
        <w:t>, inclusive of GST</w:t>
      </w:r>
      <w:proofErr w:type="gramStart"/>
      <w:r w:rsidR="008C5DB2">
        <w:t>,</w:t>
      </w:r>
      <w:r>
        <w:t xml:space="preserve">  </w:t>
      </w:r>
      <w:r w:rsidR="00BF26E0">
        <w:t>F</w:t>
      </w:r>
      <w:r>
        <w:t>inancial</w:t>
      </w:r>
      <w:proofErr w:type="gramEnd"/>
      <w:r>
        <w:t xml:space="preserve"> </w:t>
      </w:r>
      <w:r w:rsidR="00BF26E0">
        <w:t>A</w:t>
      </w:r>
      <w:r>
        <w:t xml:space="preserve">ssistance </w:t>
      </w:r>
      <w:r w:rsidR="00BF26E0">
        <w:t>G</w:t>
      </w:r>
      <w:r>
        <w:t xml:space="preserve">rants, </w:t>
      </w:r>
      <w:r w:rsidR="00BF26E0">
        <w:t>National Specific Purpose Payments (SPPs) and National Partnership Payments (</w:t>
      </w:r>
      <w:r>
        <w:t>NPPs</w:t>
      </w:r>
      <w:r w:rsidR="00BF26E0">
        <w:t>)</w:t>
      </w:r>
      <w:r>
        <w:t>.</w:t>
      </w:r>
    </w:p>
    <w:p w:rsidR="008D00F9" w:rsidRPr="001B1073" w:rsidRDefault="008D00F9" w:rsidP="00F702CC">
      <w:pPr>
        <w:pStyle w:val="BodyText"/>
      </w:pPr>
      <w:r>
        <w:t xml:space="preserve">Figure 4.3 below </w:t>
      </w:r>
      <w:r w:rsidRPr="001B1073">
        <w:t xml:space="preserve">illustrates the sources of Commonwealth revenue payments to the States for 2012-13.  On average, the States received </w:t>
      </w:r>
      <w:r>
        <w:t>44.5</w:t>
      </w:r>
      <w:r w:rsidRPr="001B1073">
        <w:t> per cent of their funding from the Commonwealth.</w:t>
      </w:r>
    </w:p>
    <w:p w:rsidR="008D00F9" w:rsidRDefault="008D00F9" w:rsidP="00F702CC">
      <w:pPr>
        <w:pStyle w:val="BodyText"/>
      </w:pPr>
      <w:r w:rsidRPr="001B1073">
        <w:t xml:space="preserve">Interestingly, the </w:t>
      </w:r>
      <w:r>
        <w:t>figure</w:t>
      </w:r>
      <w:r w:rsidRPr="001B1073">
        <w:t xml:space="preserve"> shows that the ACT is less dependent on Commonwealth funding than most other States. </w:t>
      </w:r>
      <w:r w:rsidR="0010295F">
        <w:t xml:space="preserve"> </w:t>
      </w:r>
      <w:r w:rsidR="008D3666">
        <w:t>The ACT’</w:t>
      </w:r>
      <w:r w:rsidRPr="001B1073">
        <w:t>s relatively high GST allocation is offset by relatively lower SPP and NPP funding compared with other States</w:t>
      </w:r>
      <w:r>
        <w:t>.</w:t>
      </w:r>
    </w:p>
    <w:p w:rsidR="008D00F9" w:rsidRPr="00611401" w:rsidRDefault="008D00F9" w:rsidP="00611401">
      <w:pPr>
        <w:pStyle w:val="dot"/>
        <w:numPr>
          <w:ilvl w:val="0"/>
          <w:numId w:val="0"/>
        </w:numPr>
        <w:spacing w:before="120"/>
        <w:jc w:val="both"/>
      </w:pPr>
      <w:r w:rsidRPr="00611401">
        <w:t xml:space="preserve">An understanding of the aggregate transfer to jurisdictions is particularly important when </w:t>
      </w:r>
      <w:r w:rsidR="008D3666">
        <w:t xml:space="preserve">comparing </w:t>
      </w:r>
      <w:r w:rsidRPr="00611401">
        <w:t>respective shares of any one individual stream of transfers suc</w:t>
      </w:r>
      <w:r w:rsidR="00B165CB">
        <w:t xml:space="preserve">h as the GST redistribution. </w:t>
      </w:r>
      <w:r w:rsidRPr="00611401">
        <w:t xml:space="preserve"> </w:t>
      </w:r>
    </w:p>
    <w:p w:rsidR="001B1073" w:rsidRPr="0067142A" w:rsidRDefault="00A4037A" w:rsidP="0067142A">
      <w:pPr>
        <w:pStyle w:val="TableNumber"/>
      </w:pPr>
      <w:r w:rsidRPr="0067142A">
        <w:lastRenderedPageBreak/>
        <w:t>Figure</w:t>
      </w:r>
      <w:r w:rsidR="004159CD" w:rsidRPr="0067142A">
        <w:t xml:space="preserve"> 4.3</w:t>
      </w:r>
    </w:p>
    <w:p w:rsidR="001B1073" w:rsidRPr="0067142A" w:rsidRDefault="001B1073" w:rsidP="0067142A">
      <w:pPr>
        <w:pStyle w:val="TableName"/>
      </w:pPr>
      <w:r w:rsidRPr="0067142A">
        <w:t>State-Territory Revenue Profile from the Commonwealth 2012-13</w:t>
      </w:r>
    </w:p>
    <w:p w:rsidR="004C0DF7" w:rsidRPr="001B1073" w:rsidRDefault="004C0DF7" w:rsidP="00A27880">
      <w:pPr>
        <w:pStyle w:val="TableName"/>
      </w:pPr>
      <w:r w:rsidRPr="004C0DF7">
        <w:rPr>
          <w:noProof/>
          <w:lang w:eastAsia="en-AU"/>
        </w:rPr>
        <w:drawing>
          <wp:inline distT="0" distB="0" distL="0" distR="0">
            <wp:extent cx="5731510" cy="4331444"/>
            <wp:effectExtent l="19050" t="0" r="2540" b="0"/>
            <wp:docPr id="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srcRect/>
                    <a:stretch>
                      <a:fillRect/>
                    </a:stretch>
                  </pic:blipFill>
                  <pic:spPr bwMode="auto">
                    <a:xfrm>
                      <a:off x="0" y="0"/>
                      <a:ext cx="5731510" cy="4331444"/>
                    </a:xfrm>
                    <a:prstGeom prst="rect">
                      <a:avLst/>
                    </a:prstGeom>
                    <a:noFill/>
                    <a:ln w="9525">
                      <a:noFill/>
                      <a:miter lim="800000"/>
                      <a:headEnd/>
                      <a:tailEnd/>
                    </a:ln>
                  </pic:spPr>
                </pic:pic>
              </a:graphicData>
            </a:graphic>
          </wp:inline>
        </w:drawing>
      </w:r>
    </w:p>
    <w:p w:rsidR="00492E38" w:rsidRPr="006A6BAD" w:rsidRDefault="005B17C5" w:rsidP="0067142A">
      <w:pPr>
        <w:pStyle w:val="BodyText"/>
        <w:rPr>
          <w:szCs w:val="24"/>
        </w:rPr>
      </w:pPr>
      <w:r w:rsidRPr="0067142A">
        <w:t xml:space="preserve">For 2013-14, </w:t>
      </w:r>
      <w:r w:rsidR="00492E38" w:rsidRPr="0067142A">
        <w:t>the ACT</w:t>
      </w:r>
      <w:r w:rsidRPr="0067142A">
        <w:t xml:space="preserve"> will receive the following </w:t>
      </w:r>
      <w:r w:rsidR="00492E38" w:rsidRPr="0067142A">
        <w:t>receipts from the Federal Government</w:t>
      </w:r>
      <w:r w:rsidR="00492E38" w:rsidRPr="006A6BAD">
        <w:rPr>
          <w:szCs w:val="24"/>
        </w:rPr>
        <w:t>:</w:t>
      </w:r>
    </w:p>
    <w:p w:rsidR="009737E3" w:rsidRPr="0067142A" w:rsidRDefault="009737E3" w:rsidP="0067142A">
      <w:pPr>
        <w:pStyle w:val="BodyTextIndent"/>
      </w:pPr>
      <w:r w:rsidRPr="0067142A">
        <w:t>General Revenue Assistance, comprising:</w:t>
      </w:r>
    </w:p>
    <w:p w:rsidR="00F71B48" w:rsidRPr="0067142A" w:rsidRDefault="00F71B48" w:rsidP="0067142A">
      <w:pPr>
        <w:pStyle w:val="BodyTextIndent2"/>
      </w:pPr>
      <w:r w:rsidRPr="0067142A">
        <w:t>GST of $1,021.8 million; representing an increase of $51.1 million over 2012-13;</w:t>
      </w:r>
      <w:r w:rsidR="009737E3" w:rsidRPr="0067142A">
        <w:t xml:space="preserve"> and</w:t>
      </w:r>
    </w:p>
    <w:p w:rsidR="009737E3" w:rsidRPr="0067142A" w:rsidRDefault="009737E3" w:rsidP="0067142A">
      <w:pPr>
        <w:pStyle w:val="BodyTextIndent2"/>
      </w:pPr>
      <w:r w:rsidRPr="0067142A">
        <w:t>ACT Municipal Services payments of $37.5 million; representing an increase of</w:t>
      </w:r>
      <w:r w:rsidR="00810C98" w:rsidRPr="0067142A">
        <w:t xml:space="preserve"> </w:t>
      </w:r>
      <w:r w:rsidR="00DD1742" w:rsidRPr="0067142A">
        <w:t>$0.7 </w:t>
      </w:r>
      <w:r w:rsidRPr="0067142A">
        <w:t>million over 2012-13;</w:t>
      </w:r>
    </w:p>
    <w:p w:rsidR="00F71B48" w:rsidRPr="0067142A" w:rsidRDefault="00F71B48" w:rsidP="0067142A">
      <w:pPr>
        <w:pStyle w:val="BodyTextIndent"/>
      </w:pPr>
      <w:r w:rsidRPr="0067142A">
        <w:t>National Specific Purpose Payments of $534.7 million; representing an increase of $57.3</w:t>
      </w:r>
      <w:r w:rsidR="00DD1742" w:rsidRPr="0067142A">
        <w:t> </w:t>
      </w:r>
      <w:r w:rsidRPr="0067142A">
        <w:t xml:space="preserve">million over 2012-13; </w:t>
      </w:r>
      <w:r w:rsidR="009737E3" w:rsidRPr="0067142A">
        <w:t>and</w:t>
      </w:r>
    </w:p>
    <w:p w:rsidR="00F71B48" w:rsidRPr="0067142A" w:rsidRDefault="00F71B48" w:rsidP="0067142A">
      <w:pPr>
        <w:pStyle w:val="BodyTextIndent"/>
      </w:pPr>
      <w:r w:rsidRPr="0067142A">
        <w:t>N</w:t>
      </w:r>
      <w:r w:rsidR="004C5D51" w:rsidRPr="0067142A">
        <w:t xml:space="preserve">ational </w:t>
      </w:r>
      <w:r w:rsidRPr="0067142A">
        <w:t>P</w:t>
      </w:r>
      <w:r w:rsidR="004C5D51" w:rsidRPr="0067142A">
        <w:t>artnership</w:t>
      </w:r>
      <w:r w:rsidRPr="0067142A">
        <w:t xml:space="preserve"> Payments of $141.9 million; representing an increase of $51.1</w:t>
      </w:r>
      <w:r w:rsidR="00DD1742" w:rsidRPr="0067142A">
        <w:t> </w:t>
      </w:r>
      <w:r w:rsidRPr="0067142A">
        <w:t>million over 2012</w:t>
      </w:r>
      <w:r w:rsidRPr="0067142A">
        <w:noBreakHyphen/>
        <w:t>13</w:t>
      </w:r>
      <w:r w:rsidR="009737E3" w:rsidRPr="0067142A">
        <w:t>.</w:t>
      </w:r>
    </w:p>
    <w:p w:rsidR="00492E38" w:rsidRPr="00DD1742" w:rsidRDefault="00BB7C41" w:rsidP="0067142A">
      <w:pPr>
        <w:pStyle w:val="BodyTextIndent2"/>
        <w:keepNext w:val="0"/>
        <w:numPr>
          <w:ilvl w:val="0"/>
          <w:numId w:val="0"/>
        </w:numPr>
        <w:jc w:val="left"/>
        <w:rPr>
          <w:rStyle w:val="Heading4Char"/>
        </w:rPr>
      </w:pPr>
      <w:r w:rsidRPr="0067142A">
        <w:rPr>
          <w:rStyle w:val="BodyTextChar"/>
        </w:rPr>
        <w:t>Each of these streams of funding and the movement</w:t>
      </w:r>
      <w:r w:rsidR="00DD1742" w:rsidRPr="0067142A">
        <w:rPr>
          <w:rStyle w:val="BodyTextChar"/>
        </w:rPr>
        <w:t xml:space="preserve">s between the </w:t>
      </w:r>
      <w:proofErr w:type="gramStart"/>
      <w:r w:rsidR="00DD1742" w:rsidRPr="0067142A">
        <w:rPr>
          <w:rStyle w:val="BodyTextChar"/>
        </w:rPr>
        <w:t>Estimated</w:t>
      </w:r>
      <w:proofErr w:type="gramEnd"/>
      <w:r w:rsidR="00DD1742" w:rsidRPr="0067142A">
        <w:rPr>
          <w:rStyle w:val="BodyTextChar"/>
        </w:rPr>
        <w:t xml:space="preserve"> 2012</w:t>
      </w:r>
      <w:r w:rsidR="00DD1742" w:rsidRPr="0067142A">
        <w:rPr>
          <w:rStyle w:val="BodyTextChar"/>
        </w:rPr>
        <w:noBreakHyphen/>
        <w:t xml:space="preserve">13 </w:t>
      </w:r>
      <w:r w:rsidRPr="0067142A">
        <w:rPr>
          <w:rStyle w:val="BodyTextChar"/>
        </w:rPr>
        <w:t>Outcome and Budget year 2013-14 are discussed below in more detail.</w:t>
      </w:r>
      <w:r w:rsidR="008D00F9">
        <w:rPr>
          <w:rFonts w:cs="Arial"/>
          <w:i/>
        </w:rPr>
        <w:br w:type="page"/>
      </w:r>
      <w:r w:rsidR="00492E38" w:rsidRPr="0067142A">
        <w:rPr>
          <w:rStyle w:val="Heading4Char"/>
        </w:rPr>
        <w:lastRenderedPageBreak/>
        <w:t>General Revenue Assistance</w:t>
      </w:r>
      <w:r w:rsidR="00F86D94" w:rsidRPr="0067142A">
        <w:rPr>
          <w:rStyle w:val="Heading4Char"/>
        </w:rPr>
        <w:t xml:space="preserve"> (GRA)</w:t>
      </w:r>
    </w:p>
    <w:p w:rsidR="00492E38" w:rsidRPr="0010295F" w:rsidRDefault="00565BE5" w:rsidP="0067142A">
      <w:pPr>
        <w:pStyle w:val="BodyText"/>
      </w:pPr>
      <w:r w:rsidRPr="0010295F">
        <w:t>GRA</w:t>
      </w:r>
      <w:r w:rsidR="00492E38" w:rsidRPr="0010295F">
        <w:t xml:space="preserve"> transfers from the Commonwealth Government provide a major source of revenue for the Territory, and will comprise </w:t>
      </w:r>
      <w:r w:rsidR="00DD1742">
        <w:t>43</w:t>
      </w:r>
      <w:r w:rsidR="00492E38" w:rsidRPr="0010295F">
        <w:t xml:space="preserve"> per cent of the ACT’s General Government Sector revenues in 2013</w:t>
      </w:r>
      <w:r w:rsidR="00492E38" w:rsidRPr="0010295F">
        <w:noBreakHyphen/>
        <w:t xml:space="preserve">14.  Table </w:t>
      </w:r>
      <w:r w:rsidR="00EE68EE" w:rsidRPr="0010295F">
        <w:t>4.3</w:t>
      </w:r>
      <w:r w:rsidR="00492E38" w:rsidRPr="0010295F">
        <w:t xml:space="preserve"> </w:t>
      </w:r>
      <w:r w:rsidR="00453BF8" w:rsidRPr="0010295F">
        <w:t xml:space="preserve">below </w:t>
      </w:r>
      <w:r w:rsidR="00492E38" w:rsidRPr="0010295F">
        <w:t xml:space="preserve">summarises the expected level of </w:t>
      </w:r>
      <w:r w:rsidR="00F86D94" w:rsidRPr="0010295F">
        <w:t>GRA</w:t>
      </w:r>
      <w:r w:rsidR="00492E38" w:rsidRPr="0010295F">
        <w:t xml:space="preserve"> funding to the ACT across the Budget and Forward Estimates.</w:t>
      </w:r>
    </w:p>
    <w:p w:rsidR="00F71B48" w:rsidRPr="00DA3616" w:rsidRDefault="00F71B48" w:rsidP="00AC7278">
      <w:pPr>
        <w:pStyle w:val="TableNumber"/>
      </w:pPr>
      <w:r>
        <w:t>T</w:t>
      </w:r>
      <w:r w:rsidRPr="00DA3616">
        <w:t>able</w:t>
      </w:r>
      <w:r>
        <w:t xml:space="preserve"> 4.3</w:t>
      </w:r>
    </w:p>
    <w:p w:rsidR="00F71B48" w:rsidRPr="00AC7278" w:rsidRDefault="00F71B48" w:rsidP="00AC7278">
      <w:pPr>
        <w:pStyle w:val="TableName"/>
      </w:pPr>
      <w:r w:rsidRPr="00AC7278">
        <w:t>Commonwealth Government General Revenue Assistance Funding to the ACT</w:t>
      </w:r>
    </w:p>
    <w:tbl>
      <w:tblPr>
        <w:tblW w:w="9100" w:type="dxa"/>
        <w:jc w:val="center"/>
        <w:tblLayout w:type="fixed"/>
        <w:tblLook w:val="04A0"/>
      </w:tblPr>
      <w:tblGrid>
        <w:gridCol w:w="2811"/>
        <w:gridCol w:w="913"/>
        <w:gridCol w:w="913"/>
        <w:gridCol w:w="913"/>
        <w:gridCol w:w="663"/>
        <w:gridCol w:w="913"/>
        <w:gridCol w:w="913"/>
        <w:gridCol w:w="1061"/>
      </w:tblGrid>
      <w:tr w:rsidR="00F71B48" w:rsidRPr="007161E6" w:rsidTr="00A443AC">
        <w:trPr>
          <w:jc w:val="center"/>
        </w:trPr>
        <w:tc>
          <w:tcPr>
            <w:tcW w:w="2866" w:type="dxa"/>
            <w:tcBorders>
              <w:top w:val="single" w:sz="8" w:space="0" w:color="auto"/>
              <w:left w:val="nil"/>
              <w:bottom w:val="nil"/>
              <w:right w:val="nil"/>
            </w:tcBorders>
            <w:shd w:val="clear" w:color="auto" w:fill="auto"/>
            <w:vAlign w:val="bottom"/>
          </w:tcPr>
          <w:p w:rsidR="00F71B48" w:rsidRPr="007161E6" w:rsidRDefault="00F71B48" w:rsidP="00782B63">
            <w:pPr>
              <w:rPr>
                <w:rFonts w:cs="Calibri"/>
                <w:b/>
                <w:bCs/>
                <w:color w:val="000000"/>
                <w:sz w:val="18"/>
                <w:szCs w:val="18"/>
                <w:lang w:eastAsia="en-AU"/>
              </w:rPr>
            </w:pPr>
            <w:r w:rsidRPr="007161E6">
              <w:rPr>
                <w:rFonts w:cs="Calibri"/>
                <w:b/>
                <w:bCs/>
                <w:color w:val="000000"/>
                <w:sz w:val="18"/>
                <w:szCs w:val="18"/>
                <w:lang w:eastAsia="en-AU"/>
              </w:rPr>
              <w:t> </w:t>
            </w:r>
          </w:p>
        </w:tc>
        <w:tc>
          <w:tcPr>
            <w:tcW w:w="927" w:type="dxa"/>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2012-13</w:t>
            </w:r>
          </w:p>
        </w:tc>
        <w:tc>
          <w:tcPr>
            <w:tcW w:w="927" w:type="dxa"/>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2013-14</w:t>
            </w:r>
          </w:p>
        </w:tc>
        <w:tc>
          <w:tcPr>
            <w:tcW w:w="1599" w:type="dxa"/>
            <w:gridSpan w:val="2"/>
            <w:tcBorders>
              <w:top w:val="single" w:sz="8" w:space="0" w:color="auto"/>
              <w:left w:val="nil"/>
              <w:bottom w:val="nil"/>
              <w:right w:val="nil"/>
            </w:tcBorders>
            <w:shd w:val="clear" w:color="auto" w:fill="D9D9D9" w:themeFill="background1" w:themeFillShade="D9"/>
            <w:vAlign w:val="bottom"/>
          </w:tcPr>
          <w:p w:rsidR="00F71B48" w:rsidRPr="00A443AC" w:rsidRDefault="00C97549" w:rsidP="00782B63">
            <w:pPr>
              <w:jc w:val="center"/>
              <w:rPr>
                <w:rFonts w:cs="Calibri"/>
                <w:b/>
                <w:bCs/>
                <w:color w:val="000000"/>
                <w:sz w:val="18"/>
                <w:szCs w:val="18"/>
                <w:lang w:eastAsia="en-AU"/>
              </w:rPr>
            </w:pPr>
            <w:r w:rsidRPr="00A443AC">
              <w:rPr>
                <w:rFonts w:cs="Calibri"/>
                <w:b/>
                <w:bCs/>
                <w:color w:val="000000"/>
                <w:sz w:val="18"/>
                <w:szCs w:val="18"/>
                <w:lang w:eastAsia="en-AU"/>
              </w:rPr>
              <w:t>Variation</w:t>
            </w:r>
          </w:p>
        </w:tc>
        <w:tc>
          <w:tcPr>
            <w:tcW w:w="927" w:type="dxa"/>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2014-15</w:t>
            </w:r>
          </w:p>
        </w:tc>
        <w:tc>
          <w:tcPr>
            <w:tcW w:w="927" w:type="dxa"/>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2015-16</w:t>
            </w:r>
          </w:p>
        </w:tc>
        <w:tc>
          <w:tcPr>
            <w:tcW w:w="1078" w:type="dxa"/>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2016-17</w:t>
            </w:r>
          </w:p>
        </w:tc>
      </w:tr>
      <w:tr w:rsidR="00F71B48" w:rsidRPr="007161E6" w:rsidTr="00A443AC">
        <w:trPr>
          <w:jc w:val="center"/>
        </w:trPr>
        <w:tc>
          <w:tcPr>
            <w:tcW w:w="2866" w:type="dxa"/>
            <w:tcBorders>
              <w:top w:val="nil"/>
              <w:left w:val="nil"/>
              <w:bottom w:val="nil"/>
              <w:right w:val="nil"/>
            </w:tcBorders>
            <w:shd w:val="clear" w:color="auto" w:fill="auto"/>
            <w:vAlign w:val="bottom"/>
          </w:tcPr>
          <w:p w:rsidR="00F71B48" w:rsidRPr="007161E6" w:rsidRDefault="00F71B48" w:rsidP="00782B63">
            <w:pPr>
              <w:rPr>
                <w:rFonts w:cs="Calibri"/>
                <w:b/>
                <w:bCs/>
                <w:color w:val="000000"/>
                <w:sz w:val="18"/>
                <w:szCs w:val="18"/>
                <w:lang w:eastAsia="en-AU"/>
              </w:rPr>
            </w:pPr>
          </w:p>
        </w:tc>
        <w:tc>
          <w:tcPr>
            <w:tcW w:w="927"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Est. Out.</w:t>
            </w:r>
          </w:p>
        </w:tc>
        <w:tc>
          <w:tcPr>
            <w:tcW w:w="927"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Budget</w:t>
            </w:r>
          </w:p>
        </w:tc>
        <w:tc>
          <w:tcPr>
            <w:tcW w:w="927" w:type="dxa"/>
            <w:tcBorders>
              <w:top w:val="nil"/>
              <w:left w:val="nil"/>
              <w:bottom w:val="nil"/>
              <w:right w:val="nil"/>
            </w:tcBorders>
            <w:shd w:val="clear" w:color="auto" w:fill="D9D9D9" w:themeFill="background1" w:themeFillShade="D9"/>
            <w:vAlign w:val="bottom"/>
          </w:tcPr>
          <w:p w:rsidR="00F71B48" w:rsidRPr="00A443AC" w:rsidRDefault="00F71B48" w:rsidP="00782B63">
            <w:pPr>
              <w:jc w:val="right"/>
              <w:rPr>
                <w:rFonts w:cs="Calibri"/>
                <w:b/>
                <w:bCs/>
                <w:color w:val="000000"/>
                <w:sz w:val="18"/>
                <w:szCs w:val="18"/>
                <w:lang w:eastAsia="en-AU"/>
              </w:rPr>
            </w:pPr>
          </w:p>
        </w:tc>
        <w:tc>
          <w:tcPr>
            <w:tcW w:w="672" w:type="dxa"/>
            <w:tcBorders>
              <w:top w:val="nil"/>
              <w:left w:val="nil"/>
              <w:bottom w:val="nil"/>
              <w:right w:val="nil"/>
            </w:tcBorders>
            <w:shd w:val="clear" w:color="auto" w:fill="D9D9D9" w:themeFill="background1" w:themeFillShade="D9"/>
            <w:vAlign w:val="bottom"/>
          </w:tcPr>
          <w:p w:rsidR="00F71B48" w:rsidRPr="00A443AC" w:rsidRDefault="00F71B48" w:rsidP="00782B63">
            <w:pPr>
              <w:jc w:val="right"/>
              <w:rPr>
                <w:rFonts w:cs="Calibri"/>
                <w:b/>
                <w:bCs/>
                <w:color w:val="000000"/>
                <w:sz w:val="18"/>
                <w:szCs w:val="18"/>
                <w:lang w:eastAsia="en-AU"/>
              </w:rPr>
            </w:pPr>
          </w:p>
        </w:tc>
        <w:tc>
          <w:tcPr>
            <w:tcW w:w="927"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Estimate</w:t>
            </w:r>
          </w:p>
        </w:tc>
        <w:tc>
          <w:tcPr>
            <w:tcW w:w="927"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Estimate</w:t>
            </w:r>
          </w:p>
        </w:tc>
        <w:tc>
          <w:tcPr>
            <w:tcW w:w="1078"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Estimate</w:t>
            </w:r>
          </w:p>
        </w:tc>
      </w:tr>
      <w:tr w:rsidR="00F71B48" w:rsidRPr="007161E6" w:rsidTr="00A443AC">
        <w:trPr>
          <w:jc w:val="center"/>
        </w:trPr>
        <w:tc>
          <w:tcPr>
            <w:tcW w:w="2866" w:type="dxa"/>
            <w:tcBorders>
              <w:top w:val="nil"/>
              <w:left w:val="nil"/>
              <w:bottom w:val="single" w:sz="8" w:space="0" w:color="auto"/>
              <w:right w:val="nil"/>
            </w:tcBorders>
            <w:shd w:val="clear" w:color="auto" w:fill="auto"/>
            <w:vAlign w:val="bottom"/>
          </w:tcPr>
          <w:p w:rsidR="00F71B48" w:rsidRPr="007161E6" w:rsidRDefault="00F71B48" w:rsidP="00782B63">
            <w:pPr>
              <w:rPr>
                <w:rFonts w:cs="Calibri"/>
                <w:b/>
                <w:bCs/>
                <w:color w:val="000000"/>
                <w:sz w:val="18"/>
                <w:szCs w:val="18"/>
                <w:lang w:eastAsia="en-AU"/>
              </w:rPr>
            </w:pPr>
            <w:r w:rsidRPr="007161E6">
              <w:rPr>
                <w:rFonts w:cs="Calibri"/>
                <w:b/>
                <w:bCs/>
                <w:color w:val="000000"/>
                <w:sz w:val="18"/>
                <w:szCs w:val="18"/>
                <w:lang w:eastAsia="en-AU"/>
              </w:rPr>
              <w:t> </w:t>
            </w:r>
          </w:p>
        </w:tc>
        <w:tc>
          <w:tcPr>
            <w:tcW w:w="927"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927"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927" w:type="dxa"/>
            <w:tcBorders>
              <w:top w:val="nil"/>
              <w:left w:val="nil"/>
              <w:bottom w:val="single" w:sz="8" w:space="0" w:color="auto"/>
              <w:right w:val="nil"/>
            </w:tcBorders>
            <w:shd w:val="clear" w:color="auto" w:fill="D9D9D9" w:themeFill="background1" w:themeFillShade="D9"/>
            <w:vAlign w:val="bottom"/>
          </w:tcPr>
          <w:p w:rsidR="00F71B48" w:rsidRPr="00A443AC" w:rsidRDefault="00C97549" w:rsidP="00782B63">
            <w:pPr>
              <w:jc w:val="right"/>
              <w:rPr>
                <w:rFonts w:cs="Calibri"/>
                <w:b/>
                <w:bCs/>
                <w:color w:val="000000"/>
                <w:sz w:val="18"/>
                <w:szCs w:val="18"/>
                <w:lang w:eastAsia="en-AU"/>
              </w:rPr>
            </w:pPr>
            <w:r w:rsidRPr="00A443AC">
              <w:rPr>
                <w:rFonts w:cs="Calibri"/>
                <w:b/>
                <w:bCs/>
                <w:color w:val="000000"/>
                <w:sz w:val="18"/>
                <w:szCs w:val="18"/>
                <w:lang w:eastAsia="en-AU"/>
              </w:rPr>
              <w:t>$m</w:t>
            </w:r>
          </w:p>
        </w:tc>
        <w:tc>
          <w:tcPr>
            <w:tcW w:w="672" w:type="dxa"/>
            <w:tcBorders>
              <w:top w:val="nil"/>
              <w:left w:val="nil"/>
              <w:bottom w:val="single" w:sz="8" w:space="0" w:color="auto"/>
              <w:right w:val="nil"/>
            </w:tcBorders>
            <w:shd w:val="clear" w:color="auto" w:fill="D9D9D9" w:themeFill="background1" w:themeFillShade="D9"/>
            <w:vAlign w:val="bottom"/>
          </w:tcPr>
          <w:p w:rsidR="00F71B48" w:rsidRPr="00A443AC" w:rsidRDefault="00C97549" w:rsidP="00782B63">
            <w:pPr>
              <w:jc w:val="right"/>
              <w:rPr>
                <w:rFonts w:cs="Calibri"/>
                <w:b/>
                <w:bCs/>
                <w:color w:val="000000"/>
                <w:sz w:val="18"/>
                <w:szCs w:val="18"/>
                <w:lang w:eastAsia="en-AU"/>
              </w:rPr>
            </w:pPr>
            <w:r w:rsidRPr="00A443AC">
              <w:rPr>
                <w:rFonts w:cs="Calibri"/>
                <w:b/>
                <w:bCs/>
                <w:color w:val="000000"/>
                <w:sz w:val="18"/>
                <w:szCs w:val="18"/>
                <w:lang w:eastAsia="en-AU"/>
              </w:rPr>
              <w:t>%</w:t>
            </w:r>
          </w:p>
        </w:tc>
        <w:tc>
          <w:tcPr>
            <w:tcW w:w="927"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927"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1078"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r>
      <w:tr w:rsidR="00F71B48" w:rsidRPr="007161E6" w:rsidTr="00A443AC">
        <w:trPr>
          <w:jc w:val="center"/>
        </w:trPr>
        <w:tc>
          <w:tcPr>
            <w:tcW w:w="2866" w:type="dxa"/>
            <w:tcBorders>
              <w:top w:val="nil"/>
              <w:left w:val="nil"/>
              <w:bottom w:val="nil"/>
              <w:right w:val="nil"/>
            </w:tcBorders>
            <w:shd w:val="clear" w:color="auto" w:fill="auto"/>
          </w:tcPr>
          <w:p w:rsidR="00F71B48" w:rsidRPr="00AC7278" w:rsidRDefault="00F71B48" w:rsidP="0010295F">
            <w:pPr>
              <w:pStyle w:val="TableTextLeft-BP3"/>
              <w:rPr>
                <w:b/>
                <w:sz w:val="18"/>
                <w:lang w:eastAsia="en-AU"/>
              </w:rPr>
            </w:pPr>
            <w:r w:rsidRPr="00AC7278">
              <w:rPr>
                <w:b/>
                <w:sz w:val="18"/>
                <w:lang w:eastAsia="en-AU"/>
              </w:rPr>
              <w:t>General Revenue Assistance</w:t>
            </w:r>
          </w:p>
        </w:tc>
        <w:tc>
          <w:tcPr>
            <w:tcW w:w="927" w:type="dxa"/>
            <w:tcBorders>
              <w:top w:val="nil"/>
              <w:left w:val="nil"/>
              <w:bottom w:val="nil"/>
              <w:right w:val="nil"/>
            </w:tcBorders>
            <w:shd w:val="clear" w:color="auto" w:fill="auto"/>
            <w:vAlign w:val="bottom"/>
          </w:tcPr>
          <w:p w:rsidR="00F71B48" w:rsidRPr="007161E6" w:rsidRDefault="00F71B48" w:rsidP="00782B63">
            <w:pPr>
              <w:ind w:left="146"/>
              <w:jc w:val="right"/>
              <w:rPr>
                <w:rFonts w:cs="Calibri"/>
                <w:b/>
                <w:bCs/>
                <w:color w:val="000000"/>
                <w:sz w:val="18"/>
                <w:szCs w:val="18"/>
                <w:lang w:eastAsia="en-AU"/>
              </w:rPr>
            </w:pPr>
          </w:p>
        </w:tc>
        <w:tc>
          <w:tcPr>
            <w:tcW w:w="927" w:type="dxa"/>
            <w:tcBorders>
              <w:top w:val="nil"/>
              <w:left w:val="nil"/>
              <w:bottom w:val="nil"/>
              <w:right w:val="nil"/>
            </w:tcBorders>
            <w:shd w:val="clear" w:color="auto" w:fill="auto"/>
            <w:vAlign w:val="bottom"/>
          </w:tcPr>
          <w:p w:rsidR="00F71B48" w:rsidRPr="007161E6" w:rsidRDefault="00F71B48" w:rsidP="00782B63">
            <w:pPr>
              <w:ind w:left="146"/>
              <w:jc w:val="right"/>
              <w:rPr>
                <w:rFonts w:cs="Calibri"/>
                <w:b/>
                <w:bCs/>
                <w:color w:val="000000"/>
                <w:sz w:val="18"/>
                <w:szCs w:val="18"/>
                <w:lang w:eastAsia="en-AU"/>
              </w:rPr>
            </w:pPr>
          </w:p>
        </w:tc>
        <w:tc>
          <w:tcPr>
            <w:tcW w:w="927" w:type="dxa"/>
            <w:tcBorders>
              <w:top w:val="nil"/>
              <w:left w:val="nil"/>
              <w:bottom w:val="nil"/>
              <w:right w:val="nil"/>
            </w:tcBorders>
            <w:shd w:val="clear" w:color="auto" w:fill="D9D9D9" w:themeFill="background1" w:themeFillShade="D9"/>
            <w:vAlign w:val="bottom"/>
          </w:tcPr>
          <w:p w:rsidR="00F71B48" w:rsidRPr="00A443AC" w:rsidRDefault="00F71B48" w:rsidP="00782B63">
            <w:pPr>
              <w:ind w:left="146"/>
              <w:jc w:val="right"/>
              <w:rPr>
                <w:rFonts w:cs="Calibri"/>
                <w:b/>
                <w:bCs/>
                <w:color w:val="000000"/>
                <w:sz w:val="18"/>
                <w:szCs w:val="18"/>
                <w:lang w:eastAsia="en-AU"/>
              </w:rPr>
            </w:pPr>
          </w:p>
        </w:tc>
        <w:tc>
          <w:tcPr>
            <w:tcW w:w="672" w:type="dxa"/>
            <w:tcBorders>
              <w:top w:val="nil"/>
              <w:left w:val="nil"/>
              <w:bottom w:val="nil"/>
              <w:right w:val="nil"/>
            </w:tcBorders>
            <w:shd w:val="clear" w:color="auto" w:fill="D9D9D9" w:themeFill="background1" w:themeFillShade="D9"/>
            <w:vAlign w:val="bottom"/>
          </w:tcPr>
          <w:p w:rsidR="00F71B48" w:rsidRPr="00A443AC" w:rsidRDefault="00F71B48" w:rsidP="00782B63">
            <w:pPr>
              <w:ind w:left="146"/>
              <w:jc w:val="right"/>
              <w:rPr>
                <w:rFonts w:cs="Calibri"/>
                <w:b/>
                <w:bCs/>
                <w:color w:val="000000"/>
                <w:sz w:val="18"/>
                <w:szCs w:val="18"/>
                <w:lang w:eastAsia="en-AU"/>
              </w:rPr>
            </w:pPr>
          </w:p>
        </w:tc>
        <w:tc>
          <w:tcPr>
            <w:tcW w:w="927" w:type="dxa"/>
            <w:tcBorders>
              <w:top w:val="nil"/>
              <w:left w:val="nil"/>
              <w:bottom w:val="nil"/>
              <w:right w:val="nil"/>
            </w:tcBorders>
            <w:shd w:val="clear" w:color="auto" w:fill="auto"/>
            <w:vAlign w:val="bottom"/>
          </w:tcPr>
          <w:p w:rsidR="00F71B48" w:rsidRPr="007161E6" w:rsidRDefault="00F71B48" w:rsidP="00782B63">
            <w:pPr>
              <w:ind w:left="146"/>
              <w:jc w:val="right"/>
              <w:rPr>
                <w:rFonts w:cs="Calibri"/>
                <w:b/>
                <w:bCs/>
                <w:color w:val="000000"/>
                <w:sz w:val="18"/>
                <w:szCs w:val="18"/>
                <w:lang w:eastAsia="en-AU"/>
              </w:rPr>
            </w:pPr>
          </w:p>
        </w:tc>
        <w:tc>
          <w:tcPr>
            <w:tcW w:w="927" w:type="dxa"/>
            <w:tcBorders>
              <w:top w:val="nil"/>
              <w:left w:val="nil"/>
              <w:bottom w:val="nil"/>
              <w:right w:val="nil"/>
            </w:tcBorders>
            <w:shd w:val="clear" w:color="auto" w:fill="auto"/>
            <w:vAlign w:val="bottom"/>
          </w:tcPr>
          <w:p w:rsidR="00F71B48" w:rsidRPr="007161E6" w:rsidRDefault="00F71B48" w:rsidP="00782B63">
            <w:pPr>
              <w:ind w:left="146"/>
              <w:jc w:val="right"/>
              <w:rPr>
                <w:rFonts w:cs="Calibri"/>
                <w:b/>
                <w:bCs/>
                <w:color w:val="000000"/>
                <w:sz w:val="18"/>
                <w:szCs w:val="18"/>
                <w:lang w:eastAsia="en-AU"/>
              </w:rPr>
            </w:pPr>
          </w:p>
        </w:tc>
        <w:tc>
          <w:tcPr>
            <w:tcW w:w="1078" w:type="dxa"/>
            <w:tcBorders>
              <w:top w:val="nil"/>
              <w:left w:val="nil"/>
              <w:bottom w:val="nil"/>
              <w:right w:val="nil"/>
            </w:tcBorders>
            <w:shd w:val="clear" w:color="auto" w:fill="auto"/>
            <w:vAlign w:val="bottom"/>
          </w:tcPr>
          <w:p w:rsidR="00F71B48" w:rsidRPr="007161E6" w:rsidRDefault="00F71B48" w:rsidP="00782B63">
            <w:pPr>
              <w:ind w:left="146"/>
              <w:jc w:val="right"/>
              <w:rPr>
                <w:rFonts w:cs="Calibri"/>
                <w:b/>
                <w:bCs/>
                <w:color w:val="000000"/>
                <w:sz w:val="18"/>
                <w:szCs w:val="18"/>
                <w:lang w:eastAsia="en-AU"/>
              </w:rPr>
            </w:pPr>
          </w:p>
        </w:tc>
      </w:tr>
      <w:tr w:rsidR="00F71B48" w:rsidRPr="007161E6" w:rsidTr="00A443AC">
        <w:trPr>
          <w:jc w:val="center"/>
        </w:trPr>
        <w:tc>
          <w:tcPr>
            <w:tcW w:w="2866" w:type="dxa"/>
            <w:tcBorders>
              <w:top w:val="nil"/>
              <w:left w:val="nil"/>
              <w:bottom w:val="nil"/>
              <w:right w:val="nil"/>
            </w:tcBorders>
            <w:shd w:val="clear" w:color="auto" w:fill="auto"/>
          </w:tcPr>
          <w:p w:rsidR="00F71B48" w:rsidRPr="00AC7278" w:rsidRDefault="00F71B48" w:rsidP="0010295F">
            <w:pPr>
              <w:pStyle w:val="TableTextLeft-BP3"/>
              <w:rPr>
                <w:sz w:val="18"/>
                <w:lang w:eastAsia="en-AU"/>
              </w:rPr>
            </w:pPr>
            <w:r w:rsidRPr="00AC7278">
              <w:rPr>
                <w:sz w:val="18"/>
                <w:lang w:eastAsia="en-AU"/>
              </w:rPr>
              <w:t>GST Revenue</w:t>
            </w:r>
          </w:p>
        </w:tc>
        <w:tc>
          <w:tcPr>
            <w:tcW w:w="927" w:type="dxa"/>
            <w:tcBorders>
              <w:top w:val="nil"/>
              <w:left w:val="nil"/>
              <w:bottom w:val="nil"/>
              <w:right w:val="nil"/>
            </w:tcBorders>
            <w:shd w:val="clear" w:color="auto" w:fill="auto"/>
          </w:tcPr>
          <w:p w:rsidR="00F71B48" w:rsidRPr="00AC7278" w:rsidRDefault="00F71B48" w:rsidP="00AC7278">
            <w:pPr>
              <w:pStyle w:val="TableTextRight"/>
              <w:rPr>
                <w:sz w:val="18"/>
                <w:szCs w:val="18"/>
              </w:rPr>
            </w:pPr>
            <w:r w:rsidRPr="00AC7278">
              <w:rPr>
                <w:sz w:val="18"/>
                <w:szCs w:val="18"/>
              </w:rPr>
              <w:t>970.7</w:t>
            </w:r>
          </w:p>
        </w:tc>
        <w:tc>
          <w:tcPr>
            <w:tcW w:w="927" w:type="dxa"/>
            <w:tcBorders>
              <w:top w:val="nil"/>
              <w:left w:val="nil"/>
              <w:bottom w:val="nil"/>
              <w:right w:val="nil"/>
            </w:tcBorders>
            <w:shd w:val="clear" w:color="auto" w:fill="auto"/>
          </w:tcPr>
          <w:p w:rsidR="00F71B48" w:rsidRPr="00AC7278" w:rsidRDefault="00F71B48" w:rsidP="00AC7278">
            <w:pPr>
              <w:pStyle w:val="TableTextRight"/>
              <w:rPr>
                <w:sz w:val="18"/>
                <w:szCs w:val="18"/>
              </w:rPr>
            </w:pPr>
            <w:r w:rsidRPr="00AC7278">
              <w:rPr>
                <w:sz w:val="18"/>
                <w:szCs w:val="18"/>
              </w:rPr>
              <w:t>1,021.8</w:t>
            </w:r>
          </w:p>
        </w:tc>
        <w:tc>
          <w:tcPr>
            <w:tcW w:w="927" w:type="dxa"/>
            <w:tcBorders>
              <w:top w:val="nil"/>
              <w:left w:val="nil"/>
              <w:bottom w:val="nil"/>
              <w:right w:val="nil"/>
            </w:tcBorders>
            <w:shd w:val="clear" w:color="auto" w:fill="D9D9D9" w:themeFill="background1" w:themeFillShade="D9"/>
          </w:tcPr>
          <w:p w:rsidR="00F71B48" w:rsidRPr="00A443AC" w:rsidRDefault="00C97549" w:rsidP="00AC7278">
            <w:pPr>
              <w:pStyle w:val="TableTextRight"/>
              <w:rPr>
                <w:sz w:val="18"/>
                <w:szCs w:val="18"/>
              </w:rPr>
            </w:pPr>
            <w:r w:rsidRPr="00A443AC">
              <w:rPr>
                <w:sz w:val="18"/>
                <w:szCs w:val="18"/>
              </w:rPr>
              <w:t>51.1</w:t>
            </w:r>
          </w:p>
        </w:tc>
        <w:tc>
          <w:tcPr>
            <w:tcW w:w="672" w:type="dxa"/>
            <w:tcBorders>
              <w:top w:val="nil"/>
              <w:left w:val="nil"/>
              <w:bottom w:val="nil"/>
              <w:right w:val="nil"/>
            </w:tcBorders>
            <w:shd w:val="clear" w:color="auto" w:fill="D9D9D9" w:themeFill="background1" w:themeFillShade="D9"/>
          </w:tcPr>
          <w:p w:rsidR="00F71B48" w:rsidRPr="00A443AC" w:rsidRDefault="00C97549" w:rsidP="00AC7278">
            <w:pPr>
              <w:pStyle w:val="TableTextRight"/>
              <w:rPr>
                <w:sz w:val="18"/>
                <w:szCs w:val="18"/>
              </w:rPr>
            </w:pPr>
            <w:r w:rsidRPr="00A443AC">
              <w:rPr>
                <w:sz w:val="18"/>
                <w:szCs w:val="18"/>
              </w:rPr>
              <w:t>5.3</w:t>
            </w:r>
          </w:p>
        </w:tc>
        <w:tc>
          <w:tcPr>
            <w:tcW w:w="927" w:type="dxa"/>
            <w:tcBorders>
              <w:top w:val="nil"/>
              <w:left w:val="nil"/>
              <w:bottom w:val="nil"/>
              <w:right w:val="nil"/>
            </w:tcBorders>
            <w:shd w:val="clear" w:color="auto" w:fill="auto"/>
          </w:tcPr>
          <w:p w:rsidR="00F71B48" w:rsidRPr="00AC7278" w:rsidRDefault="00F71B48" w:rsidP="00AC7278">
            <w:pPr>
              <w:pStyle w:val="TableTextRight"/>
              <w:rPr>
                <w:sz w:val="18"/>
                <w:szCs w:val="18"/>
              </w:rPr>
            </w:pPr>
            <w:r w:rsidRPr="00AC7278">
              <w:rPr>
                <w:sz w:val="18"/>
                <w:szCs w:val="18"/>
              </w:rPr>
              <w:t>1,078.9</w:t>
            </w:r>
          </w:p>
        </w:tc>
        <w:tc>
          <w:tcPr>
            <w:tcW w:w="927" w:type="dxa"/>
            <w:tcBorders>
              <w:top w:val="nil"/>
              <w:left w:val="nil"/>
              <w:bottom w:val="nil"/>
              <w:right w:val="nil"/>
            </w:tcBorders>
            <w:shd w:val="clear" w:color="auto" w:fill="auto"/>
          </w:tcPr>
          <w:p w:rsidR="00F71B48" w:rsidRPr="00AC7278" w:rsidRDefault="00F71B48" w:rsidP="00AC7278">
            <w:pPr>
              <w:pStyle w:val="TableTextRight"/>
              <w:rPr>
                <w:sz w:val="18"/>
                <w:szCs w:val="18"/>
              </w:rPr>
            </w:pPr>
            <w:r w:rsidRPr="00AC7278">
              <w:rPr>
                <w:sz w:val="18"/>
                <w:szCs w:val="18"/>
              </w:rPr>
              <w:t>1,144.6</w:t>
            </w:r>
          </w:p>
        </w:tc>
        <w:tc>
          <w:tcPr>
            <w:tcW w:w="1078" w:type="dxa"/>
            <w:tcBorders>
              <w:top w:val="nil"/>
              <w:left w:val="nil"/>
              <w:bottom w:val="nil"/>
              <w:right w:val="nil"/>
            </w:tcBorders>
            <w:shd w:val="clear" w:color="auto" w:fill="auto"/>
          </w:tcPr>
          <w:p w:rsidR="00F71B48" w:rsidRPr="00AC7278" w:rsidRDefault="00F71B48" w:rsidP="00AC7278">
            <w:pPr>
              <w:pStyle w:val="TableTextRight"/>
              <w:rPr>
                <w:sz w:val="18"/>
                <w:szCs w:val="18"/>
              </w:rPr>
            </w:pPr>
            <w:r w:rsidRPr="00AC7278">
              <w:rPr>
                <w:sz w:val="18"/>
                <w:szCs w:val="18"/>
              </w:rPr>
              <w:t>1,208.5</w:t>
            </w:r>
          </w:p>
        </w:tc>
      </w:tr>
      <w:tr w:rsidR="00F71B48" w:rsidRPr="007161E6" w:rsidTr="00A443AC">
        <w:trPr>
          <w:jc w:val="center"/>
        </w:trPr>
        <w:tc>
          <w:tcPr>
            <w:tcW w:w="2866" w:type="dxa"/>
            <w:tcBorders>
              <w:top w:val="nil"/>
              <w:left w:val="nil"/>
              <w:bottom w:val="nil"/>
              <w:right w:val="nil"/>
            </w:tcBorders>
            <w:shd w:val="clear" w:color="auto" w:fill="auto"/>
          </w:tcPr>
          <w:p w:rsidR="00F71B48" w:rsidRPr="00AC7278" w:rsidRDefault="00F71B48" w:rsidP="0010295F">
            <w:pPr>
              <w:pStyle w:val="TableTextLeft-BP3"/>
              <w:rPr>
                <w:sz w:val="18"/>
                <w:lang w:eastAsia="en-AU"/>
              </w:rPr>
            </w:pPr>
            <w:r w:rsidRPr="00AC7278">
              <w:rPr>
                <w:sz w:val="18"/>
                <w:lang w:eastAsia="en-AU"/>
              </w:rPr>
              <w:t>ACT Municipal Services</w:t>
            </w:r>
          </w:p>
        </w:tc>
        <w:tc>
          <w:tcPr>
            <w:tcW w:w="927" w:type="dxa"/>
            <w:tcBorders>
              <w:top w:val="nil"/>
              <w:left w:val="nil"/>
              <w:bottom w:val="single" w:sz="8" w:space="0" w:color="auto"/>
              <w:right w:val="nil"/>
            </w:tcBorders>
            <w:shd w:val="clear" w:color="auto" w:fill="auto"/>
          </w:tcPr>
          <w:p w:rsidR="00F71B48" w:rsidRPr="00AC7278" w:rsidRDefault="00F71B48" w:rsidP="00AC7278">
            <w:pPr>
              <w:pStyle w:val="TableTextRight"/>
              <w:rPr>
                <w:sz w:val="18"/>
                <w:szCs w:val="18"/>
              </w:rPr>
            </w:pPr>
            <w:r w:rsidRPr="00AC7278">
              <w:rPr>
                <w:sz w:val="18"/>
                <w:szCs w:val="18"/>
              </w:rPr>
              <w:t>36.8</w:t>
            </w:r>
          </w:p>
        </w:tc>
        <w:tc>
          <w:tcPr>
            <w:tcW w:w="927" w:type="dxa"/>
            <w:tcBorders>
              <w:top w:val="nil"/>
              <w:left w:val="nil"/>
              <w:bottom w:val="single" w:sz="8" w:space="0" w:color="auto"/>
              <w:right w:val="nil"/>
            </w:tcBorders>
            <w:shd w:val="clear" w:color="auto" w:fill="auto"/>
          </w:tcPr>
          <w:p w:rsidR="00F71B48" w:rsidRPr="00AC7278" w:rsidRDefault="00F71B48" w:rsidP="00AC7278">
            <w:pPr>
              <w:pStyle w:val="TableTextRight"/>
              <w:rPr>
                <w:sz w:val="18"/>
                <w:szCs w:val="18"/>
              </w:rPr>
            </w:pPr>
            <w:r w:rsidRPr="00AC7278">
              <w:rPr>
                <w:sz w:val="18"/>
                <w:szCs w:val="18"/>
              </w:rPr>
              <w:t>37.5</w:t>
            </w:r>
          </w:p>
        </w:tc>
        <w:tc>
          <w:tcPr>
            <w:tcW w:w="927" w:type="dxa"/>
            <w:tcBorders>
              <w:top w:val="nil"/>
              <w:left w:val="nil"/>
              <w:bottom w:val="single" w:sz="8" w:space="0" w:color="auto"/>
              <w:right w:val="nil"/>
            </w:tcBorders>
            <w:shd w:val="clear" w:color="auto" w:fill="D9D9D9" w:themeFill="background1" w:themeFillShade="D9"/>
          </w:tcPr>
          <w:p w:rsidR="00F71B48" w:rsidRPr="00A443AC" w:rsidRDefault="00C97549" w:rsidP="00AC7278">
            <w:pPr>
              <w:pStyle w:val="TableTextRight"/>
              <w:rPr>
                <w:sz w:val="18"/>
                <w:szCs w:val="18"/>
              </w:rPr>
            </w:pPr>
            <w:r w:rsidRPr="00A443AC">
              <w:rPr>
                <w:sz w:val="18"/>
                <w:szCs w:val="18"/>
              </w:rPr>
              <w:t>0.7</w:t>
            </w:r>
          </w:p>
        </w:tc>
        <w:tc>
          <w:tcPr>
            <w:tcW w:w="672" w:type="dxa"/>
            <w:tcBorders>
              <w:top w:val="nil"/>
              <w:left w:val="nil"/>
              <w:bottom w:val="single" w:sz="8" w:space="0" w:color="auto"/>
              <w:right w:val="nil"/>
            </w:tcBorders>
            <w:shd w:val="clear" w:color="auto" w:fill="D9D9D9" w:themeFill="background1" w:themeFillShade="D9"/>
          </w:tcPr>
          <w:p w:rsidR="00F71B48" w:rsidRPr="00A443AC" w:rsidRDefault="00C97549" w:rsidP="00AC7278">
            <w:pPr>
              <w:pStyle w:val="TableTextRight"/>
              <w:rPr>
                <w:sz w:val="18"/>
                <w:szCs w:val="18"/>
              </w:rPr>
            </w:pPr>
            <w:r w:rsidRPr="00A443AC">
              <w:rPr>
                <w:sz w:val="18"/>
                <w:szCs w:val="18"/>
              </w:rPr>
              <w:t>1.9</w:t>
            </w:r>
          </w:p>
        </w:tc>
        <w:tc>
          <w:tcPr>
            <w:tcW w:w="927" w:type="dxa"/>
            <w:tcBorders>
              <w:top w:val="nil"/>
              <w:left w:val="nil"/>
              <w:bottom w:val="single" w:sz="8" w:space="0" w:color="auto"/>
              <w:right w:val="nil"/>
            </w:tcBorders>
            <w:shd w:val="clear" w:color="auto" w:fill="auto"/>
          </w:tcPr>
          <w:p w:rsidR="00F71B48" w:rsidRPr="00AC7278" w:rsidRDefault="00F71B48" w:rsidP="00AC7278">
            <w:pPr>
              <w:pStyle w:val="TableTextRight"/>
              <w:rPr>
                <w:sz w:val="18"/>
                <w:szCs w:val="18"/>
              </w:rPr>
            </w:pPr>
            <w:r w:rsidRPr="00AC7278">
              <w:rPr>
                <w:sz w:val="18"/>
                <w:szCs w:val="18"/>
              </w:rPr>
              <w:t>38.2</w:t>
            </w:r>
          </w:p>
        </w:tc>
        <w:tc>
          <w:tcPr>
            <w:tcW w:w="927" w:type="dxa"/>
            <w:tcBorders>
              <w:top w:val="nil"/>
              <w:left w:val="nil"/>
              <w:bottom w:val="single" w:sz="8" w:space="0" w:color="auto"/>
              <w:right w:val="nil"/>
            </w:tcBorders>
            <w:shd w:val="clear" w:color="auto" w:fill="auto"/>
          </w:tcPr>
          <w:p w:rsidR="00F71B48" w:rsidRPr="00AC7278" w:rsidRDefault="00F71B48" w:rsidP="00AC7278">
            <w:pPr>
              <w:pStyle w:val="TableTextRight"/>
              <w:rPr>
                <w:sz w:val="18"/>
                <w:szCs w:val="18"/>
              </w:rPr>
            </w:pPr>
            <w:r w:rsidRPr="00AC7278">
              <w:rPr>
                <w:sz w:val="18"/>
                <w:szCs w:val="18"/>
              </w:rPr>
              <w:t>38.9</w:t>
            </w:r>
          </w:p>
        </w:tc>
        <w:tc>
          <w:tcPr>
            <w:tcW w:w="1078" w:type="dxa"/>
            <w:tcBorders>
              <w:top w:val="nil"/>
              <w:left w:val="nil"/>
              <w:bottom w:val="single" w:sz="8" w:space="0" w:color="auto"/>
              <w:right w:val="nil"/>
            </w:tcBorders>
            <w:shd w:val="clear" w:color="auto" w:fill="auto"/>
          </w:tcPr>
          <w:p w:rsidR="00F71B48" w:rsidRPr="00AC7278" w:rsidRDefault="00F71B48" w:rsidP="00AC7278">
            <w:pPr>
              <w:pStyle w:val="TableTextRight"/>
              <w:rPr>
                <w:sz w:val="18"/>
                <w:szCs w:val="18"/>
              </w:rPr>
            </w:pPr>
            <w:r w:rsidRPr="00AC7278">
              <w:rPr>
                <w:sz w:val="18"/>
                <w:szCs w:val="18"/>
              </w:rPr>
              <w:t>39.6</w:t>
            </w:r>
          </w:p>
        </w:tc>
      </w:tr>
      <w:tr w:rsidR="00F71B48" w:rsidRPr="007161E6" w:rsidTr="00A443AC">
        <w:trPr>
          <w:jc w:val="center"/>
        </w:trPr>
        <w:tc>
          <w:tcPr>
            <w:tcW w:w="2866" w:type="dxa"/>
            <w:tcBorders>
              <w:top w:val="nil"/>
              <w:left w:val="nil"/>
              <w:bottom w:val="nil"/>
              <w:right w:val="nil"/>
            </w:tcBorders>
            <w:shd w:val="clear" w:color="auto" w:fill="auto"/>
            <w:noWrap/>
          </w:tcPr>
          <w:p w:rsidR="00F71B48" w:rsidRPr="00AC7278" w:rsidRDefault="00F71B48" w:rsidP="0010295F">
            <w:pPr>
              <w:pStyle w:val="TableTextLeft-BP3"/>
              <w:rPr>
                <w:b/>
                <w:sz w:val="18"/>
                <w:lang w:eastAsia="en-AU"/>
              </w:rPr>
            </w:pPr>
            <w:r w:rsidRPr="00AC7278">
              <w:rPr>
                <w:b/>
                <w:sz w:val="18"/>
                <w:lang w:eastAsia="en-AU"/>
              </w:rPr>
              <w:t>Total General Revenue Assistance</w:t>
            </w:r>
          </w:p>
        </w:tc>
        <w:tc>
          <w:tcPr>
            <w:tcW w:w="927" w:type="dxa"/>
            <w:tcBorders>
              <w:top w:val="nil"/>
              <w:left w:val="nil"/>
              <w:bottom w:val="single" w:sz="8" w:space="0" w:color="auto"/>
              <w:right w:val="nil"/>
            </w:tcBorders>
            <w:shd w:val="clear" w:color="auto" w:fill="auto"/>
          </w:tcPr>
          <w:p w:rsidR="00F71B48" w:rsidRPr="00AC7278" w:rsidRDefault="00F71B48" w:rsidP="00782B63">
            <w:pPr>
              <w:ind w:left="146"/>
              <w:jc w:val="right"/>
              <w:rPr>
                <w:rFonts w:cs="Calibri"/>
                <w:b/>
                <w:bCs/>
                <w:color w:val="000000"/>
                <w:sz w:val="18"/>
                <w:szCs w:val="18"/>
                <w:lang w:eastAsia="en-AU"/>
              </w:rPr>
            </w:pPr>
            <w:r w:rsidRPr="00AC7278">
              <w:rPr>
                <w:rFonts w:cs="Calibri"/>
                <w:b/>
                <w:bCs/>
                <w:color w:val="000000"/>
                <w:sz w:val="18"/>
                <w:szCs w:val="18"/>
                <w:lang w:eastAsia="en-AU"/>
              </w:rPr>
              <w:t>1,007.5</w:t>
            </w:r>
          </w:p>
        </w:tc>
        <w:tc>
          <w:tcPr>
            <w:tcW w:w="927" w:type="dxa"/>
            <w:tcBorders>
              <w:top w:val="nil"/>
              <w:left w:val="nil"/>
              <w:bottom w:val="single" w:sz="8" w:space="0" w:color="auto"/>
              <w:right w:val="nil"/>
            </w:tcBorders>
            <w:shd w:val="clear" w:color="auto" w:fill="auto"/>
          </w:tcPr>
          <w:p w:rsidR="00F71B48" w:rsidRPr="00AC7278" w:rsidRDefault="00F71B48" w:rsidP="00782B63">
            <w:pPr>
              <w:ind w:left="146"/>
              <w:jc w:val="right"/>
              <w:rPr>
                <w:rFonts w:cs="Calibri"/>
                <w:b/>
                <w:bCs/>
                <w:color w:val="000000"/>
                <w:sz w:val="18"/>
                <w:szCs w:val="18"/>
                <w:lang w:eastAsia="en-AU"/>
              </w:rPr>
            </w:pPr>
            <w:r w:rsidRPr="00AC7278">
              <w:rPr>
                <w:rFonts w:cs="Calibri"/>
                <w:b/>
                <w:bCs/>
                <w:color w:val="000000"/>
                <w:sz w:val="18"/>
                <w:szCs w:val="18"/>
                <w:lang w:eastAsia="en-AU"/>
              </w:rPr>
              <w:t>1,059.3</w:t>
            </w:r>
          </w:p>
        </w:tc>
        <w:tc>
          <w:tcPr>
            <w:tcW w:w="927" w:type="dxa"/>
            <w:tcBorders>
              <w:top w:val="nil"/>
              <w:left w:val="nil"/>
              <w:bottom w:val="single" w:sz="8" w:space="0" w:color="auto"/>
              <w:right w:val="nil"/>
            </w:tcBorders>
            <w:shd w:val="clear" w:color="auto" w:fill="D9D9D9" w:themeFill="background1" w:themeFillShade="D9"/>
          </w:tcPr>
          <w:p w:rsidR="00F71B48" w:rsidRPr="00A443AC" w:rsidRDefault="00C97549" w:rsidP="00782B63">
            <w:pPr>
              <w:ind w:left="146"/>
              <w:jc w:val="right"/>
              <w:rPr>
                <w:rFonts w:cs="Calibri"/>
                <w:b/>
                <w:bCs/>
                <w:color w:val="000000"/>
                <w:sz w:val="18"/>
                <w:szCs w:val="18"/>
                <w:lang w:eastAsia="en-AU"/>
              </w:rPr>
            </w:pPr>
            <w:r w:rsidRPr="00A443AC">
              <w:rPr>
                <w:rFonts w:cs="Calibri"/>
                <w:b/>
                <w:bCs/>
                <w:color w:val="000000"/>
                <w:sz w:val="18"/>
                <w:szCs w:val="18"/>
                <w:lang w:eastAsia="en-AU"/>
              </w:rPr>
              <w:t>51.8</w:t>
            </w:r>
          </w:p>
        </w:tc>
        <w:tc>
          <w:tcPr>
            <w:tcW w:w="672" w:type="dxa"/>
            <w:tcBorders>
              <w:top w:val="nil"/>
              <w:left w:val="nil"/>
              <w:bottom w:val="single" w:sz="8" w:space="0" w:color="auto"/>
              <w:right w:val="nil"/>
            </w:tcBorders>
            <w:shd w:val="clear" w:color="auto" w:fill="D9D9D9" w:themeFill="background1" w:themeFillShade="D9"/>
          </w:tcPr>
          <w:p w:rsidR="00F71B48" w:rsidRPr="00A443AC" w:rsidRDefault="00C97549" w:rsidP="00782B63">
            <w:pPr>
              <w:ind w:left="146" w:right="-139"/>
              <w:jc w:val="center"/>
              <w:rPr>
                <w:rFonts w:cs="Calibri"/>
                <w:b/>
                <w:bCs/>
                <w:color w:val="000000"/>
                <w:sz w:val="18"/>
                <w:szCs w:val="18"/>
                <w:lang w:eastAsia="en-AU"/>
              </w:rPr>
            </w:pPr>
            <w:r w:rsidRPr="00A443AC">
              <w:rPr>
                <w:rFonts w:cs="Calibri"/>
                <w:b/>
                <w:bCs/>
                <w:color w:val="000000"/>
                <w:sz w:val="18"/>
                <w:szCs w:val="18"/>
                <w:lang w:eastAsia="en-AU"/>
              </w:rPr>
              <w:t>5.1</w:t>
            </w:r>
          </w:p>
        </w:tc>
        <w:tc>
          <w:tcPr>
            <w:tcW w:w="927" w:type="dxa"/>
            <w:tcBorders>
              <w:top w:val="nil"/>
              <w:left w:val="nil"/>
              <w:bottom w:val="single" w:sz="8" w:space="0" w:color="auto"/>
              <w:right w:val="nil"/>
            </w:tcBorders>
            <w:shd w:val="clear" w:color="auto" w:fill="auto"/>
          </w:tcPr>
          <w:p w:rsidR="00F71B48" w:rsidRPr="00AC7278" w:rsidRDefault="00F71B48" w:rsidP="00782B63">
            <w:pPr>
              <w:ind w:left="146"/>
              <w:jc w:val="right"/>
              <w:rPr>
                <w:rFonts w:cs="Calibri"/>
                <w:b/>
                <w:bCs/>
                <w:color w:val="000000"/>
                <w:sz w:val="18"/>
                <w:szCs w:val="18"/>
                <w:lang w:eastAsia="en-AU"/>
              </w:rPr>
            </w:pPr>
            <w:r w:rsidRPr="00AC7278">
              <w:rPr>
                <w:rFonts w:cs="Calibri"/>
                <w:b/>
                <w:bCs/>
                <w:color w:val="000000"/>
                <w:sz w:val="18"/>
                <w:szCs w:val="18"/>
                <w:lang w:eastAsia="en-AU"/>
              </w:rPr>
              <w:t>1,117.1</w:t>
            </w:r>
          </w:p>
        </w:tc>
        <w:tc>
          <w:tcPr>
            <w:tcW w:w="927" w:type="dxa"/>
            <w:tcBorders>
              <w:top w:val="nil"/>
              <w:left w:val="nil"/>
              <w:bottom w:val="single" w:sz="8" w:space="0" w:color="auto"/>
              <w:right w:val="nil"/>
            </w:tcBorders>
            <w:shd w:val="clear" w:color="auto" w:fill="auto"/>
          </w:tcPr>
          <w:p w:rsidR="00F71B48" w:rsidRPr="00AC7278" w:rsidRDefault="00F71B48" w:rsidP="00782B63">
            <w:pPr>
              <w:ind w:left="146"/>
              <w:jc w:val="right"/>
              <w:rPr>
                <w:rFonts w:cs="Calibri"/>
                <w:b/>
                <w:bCs/>
                <w:color w:val="000000"/>
                <w:sz w:val="18"/>
                <w:szCs w:val="18"/>
                <w:lang w:eastAsia="en-AU"/>
              </w:rPr>
            </w:pPr>
            <w:r w:rsidRPr="00AC7278">
              <w:rPr>
                <w:rFonts w:cs="Calibri"/>
                <w:b/>
                <w:bCs/>
                <w:color w:val="000000"/>
                <w:sz w:val="18"/>
                <w:szCs w:val="18"/>
                <w:lang w:eastAsia="en-AU"/>
              </w:rPr>
              <w:t>1,183.5</w:t>
            </w:r>
          </w:p>
        </w:tc>
        <w:tc>
          <w:tcPr>
            <w:tcW w:w="1078" w:type="dxa"/>
            <w:tcBorders>
              <w:top w:val="nil"/>
              <w:left w:val="nil"/>
              <w:bottom w:val="single" w:sz="8" w:space="0" w:color="auto"/>
              <w:right w:val="nil"/>
            </w:tcBorders>
            <w:shd w:val="clear" w:color="auto" w:fill="auto"/>
          </w:tcPr>
          <w:p w:rsidR="00F71B48" w:rsidRPr="00AC7278" w:rsidRDefault="00F71B48" w:rsidP="00782B63">
            <w:pPr>
              <w:ind w:left="146"/>
              <w:jc w:val="right"/>
              <w:rPr>
                <w:rFonts w:cs="Calibri"/>
                <w:b/>
                <w:bCs/>
                <w:color w:val="000000"/>
                <w:sz w:val="18"/>
                <w:szCs w:val="18"/>
                <w:lang w:eastAsia="en-AU"/>
              </w:rPr>
            </w:pPr>
            <w:r w:rsidRPr="00AC7278">
              <w:rPr>
                <w:rFonts w:cs="Calibri"/>
                <w:b/>
                <w:bCs/>
                <w:color w:val="000000"/>
                <w:sz w:val="18"/>
                <w:szCs w:val="18"/>
                <w:lang w:eastAsia="en-AU"/>
              </w:rPr>
              <w:t>1,248.1</w:t>
            </w:r>
          </w:p>
        </w:tc>
      </w:tr>
      <w:tr w:rsidR="00F71B48" w:rsidRPr="00587EA3" w:rsidTr="0010295F">
        <w:trPr>
          <w:jc w:val="center"/>
        </w:trPr>
        <w:tc>
          <w:tcPr>
            <w:tcW w:w="3793" w:type="dxa"/>
            <w:gridSpan w:val="2"/>
            <w:tcBorders>
              <w:top w:val="single" w:sz="8" w:space="0" w:color="auto"/>
              <w:left w:val="nil"/>
              <w:bottom w:val="nil"/>
              <w:right w:val="nil"/>
            </w:tcBorders>
            <w:shd w:val="clear" w:color="auto" w:fill="auto"/>
          </w:tcPr>
          <w:p w:rsidR="00F71B48" w:rsidRPr="00587EA3" w:rsidRDefault="00F71B48" w:rsidP="00AC7278">
            <w:pPr>
              <w:pStyle w:val="NoteText"/>
              <w:rPr>
                <w:lang w:eastAsia="en-AU"/>
              </w:rPr>
            </w:pPr>
            <w:r w:rsidRPr="006D6EDB">
              <w:rPr>
                <w:b/>
                <w:lang w:eastAsia="en-AU"/>
              </w:rPr>
              <w:t>Note:</w:t>
            </w:r>
            <w:r w:rsidRPr="00587EA3">
              <w:rPr>
                <w:lang w:eastAsia="en-AU"/>
              </w:rPr>
              <w:t xml:space="preserve">  Table may not add due to rounding.</w:t>
            </w:r>
          </w:p>
        </w:tc>
        <w:tc>
          <w:tcPr>
            <w:tcW w:w="927" w:type="dxa"/>
            <w:tcBorders>
              <w:top w:val="nil"/>
              <w:left w:val="nil"/>
              <w:bottom w:val="nil"/>
              <w:right w:val="nil"/>
            </w:tcBorders>
            <w:shd w:val="clear" w:color="auto" w:fill="auto"/>
            <w:noWrap/>
            <w:vAlign w:val="bottom"/>
          </w:tcPr>
          <w:p w:rsidR="00F71B48" w:rsidRPr="0067142A" w:rsidRDefault="00F71B48" w:rsidP="00782B63">
            <w:pPr>
              <w:rPr>
                <w:rFonts w:cs="Calibri"/>
                <w:color w:val="000000"/>
                <w:sz w:val="20"/>
                <w:lang w:eastAsia="en-AU"/>
              </w:rPr>
            </w:pPr>
          </w:p>
        </w:tc>
        <w:tc>
          <w:tcPr>
            <w:tcW w:w="927" w:type="dxa"/>
            <w:tcBorders>
              <w:top w:val="nil"/>
              <w:left w:val="nil"/>
              <w:bottom w:val="nil"/>
              <w:right w:val="nil"/>
            </w:tcBorders>
            <w:shd w:val="clear" w:color="auto" w:fill="auto"/>
            <w:noWrap/>
            <w:vAlign w:val="bottom"/>
          </w:tcPr>
          <w:p w:rsidR="00F71B48" w:rsidRPr="0067142A" w:rsidRDefault="00F71B48" w:rsidP="00782B63">
            <w:pPr>
              <w:rPr>
                <w:rFonts w:cs="Calibri"/>
                <w:color w:val="000000"/>
                <w:sz w:val="20"/>
                <w:lang w:eastAsia="en-AU"/>
              </w:rPr>
            </w:pPr>
          </w:p>
        </w:tc>
        <w:tc>
          <w:tcPr>
            <w:tcW w:w="672" w:type="dxa"/>
            <w:tcBorders>
              <w:top w:val="nil"/>
              <w:left w:val="nil"/>
              <w:bottom w:val="nil"/>
              <w:right w:val="nil"/>
            </w:tcBorders>
            <w:shd w:val="clear" w:color="auto" w:fill="auto"/>
            <w:noWrap/>
            <w:vAlign w:val="bottom"/>
          </w:tcPr>
          <w:p w:rsidR="00F71B48" w:rsidRPr="0067142A" w:rsidRDefault="00F71B48" w:rsidP="00782B63">
            <w:pPr>
              <w:rPr>
                <w:rFonts w:cs="Calibri"/>
                <w:color w:val="000000"/>
                <w:sz w:val="20"/>
                <w:lang w:eastAsia="en-AU"/>
              </w:rPr>
            </w:pPr>
          </w:p>
        </w:tc>
        <w:tc>
          <w:tcPr>
            <w:tcW w:w="927" w:type="dxa"/>
            <w:tcBorders>
              <w:top w:val="nil"/>
              <w:left w:val="nil"/>
              <w:bottom w:val="nil"/>
              <w:right w:val="nil"/>
            </w:tcBorders>
            <w:shd w:val="clear" w:color="auto" w:fill="auto"/>
            <w:noWrap/>
            <w:vAlign w:val="bottom"/>
          </w:tcPr>
          <w:p w:rsidR="00F71B48" w:rsidRPr="0067142A" w:rsidRDefault="00F71B48" w:rsidP="00782B63">
            <w:pPr>
              <w:rPr>
                <w:rFonts w:cs="Calibri"/>
                <w:color w:val="000000"/>
                <w:sz w:val="20"/>
                <w:lang w:eastAsia="en-AU"/>
              </w:rPr>
            </w:pPr>
          </w:p>
        </w:tc>
        <w:tc>
          <w:tcPr>
            <w:tcW w:w="927" w:type="dxa"/>
            <w:tcBorders>
              <w:top w:val="nil"/>
              <w:left w:val="nil"/>
              <w:bottom w:val="nil"/>
              <w:right w:val="nil"/>
            </w:tcBorders>
            <w:shd w:val="clear" w:color="auto" w:fill="auto"/>
            <w:noWrap/>
            <w:vAlign w:val="bottom"/>
          </w:tcPr>
          <w:p w:rsidR="00F71B48" w:rsidRPr="0067142A" w:rsidRDefault="00F71B48" w:rsidP="00782B63">
            <w:pPr>
              <w:rPr>
                <w:rFonts w:cs="Calibri"/>
                <w:color w:val="000000"/>
                <w:sz w:val="20"/>
                <w:lang w:eastAsia="en-AU"/>
              </w:rPr>
            </w:pPr>
          </w:p>
        </w:tc>
        <w:tc>
          <w:tcPr>
            <w:tcW w:w="1078" w:type="dxa"/>
            <w:tcBorders>
              <w:top w:val="nil"/>
              <w:left w:val="nil"/>
              <w:bottom w:val="nil"/>
              <w:right w:val="nil"/>
            </w:tcBorders>
            <w:shd w:val="clear" w:color="auto" w:fill="auto"/>
            <w:noWrap/>
            <w:vAlign w:val="bottom"/>
          </w:tcPr>
          <w:p w:rsidR="00F71B48" w:rsidRPr="0067142A" w:rsidRDefault="00F71B48" w:rsidP="00782B63">
            <w:pPr>
              <w:rPr>
                <w:rFonts w:cs="Calibri"/>
                <w:color w:val="000000"/>
                <w:sz w:val="20"/>
                <w:lang w:eastAsia="en-AU"/>
              </w:rPr>
            </w:pPr>
          </w:p>
        </w:tc>
      </w:tr>
    </w:tbl>
    <w:p w:rsidR="00492E38" w:rsidRPr="0067142A" w:rsidRDefault="00492E38" w:rsidP="0067142A">
      <w:pPr>
        <w:pStyle w:val="Heading3"/>
      </w:pPr>
      <w:r w:rsidRPr="0067142A">
        <w:t>GST Revenues</w:t>
      </w:r>
    </w:p>
    <w:p w:rsidR="00492E38" w:rsidRPr="0067142A" w:rsidRDefault="00492E38" w:rsidP="0067142A">
      <w:pPr>
        <w:pStyle w:val="BodyText"/>
      </w:pPr>
      <w:r w:rsidRPr="0067142A">
        <w:t>GST payments to the ACT in any year reflect the total national GST pool</w:t>
      </w:r>
      <w:r w:rsidR="00DC3E9A" w:rsidRPr="0067142A">
        <w:t>;</w:t>
      </w:r>
      <w:r w:rsidRPr="0067142A">
        <w:t xml:space="preserve"> the ACT’s GST relativity; and the Australia Bureau of Statistics</w:t>
      </w:r>
      <w:r w:rsidR="00EE68EE" w:rsidRPr="0067142A">
        <w:t>’</w:t>
      </w:r>
      <w:r w:rsidRPr="0067142A">
        <w:t xml:space="preserve"> </w:t>
      </w:r>
      <w:r w:rsidR="00DC3E9A" w:rsidRPr="0067142A">
        <w:t xml:space="preserve">estimates of </w:t>
      </w:r>
      <w:r w:rsidR="00237A58" w:rsidRPr="0067142A">
        <w:t xml:space="preserve">the </w:t>
      </w:r>
      <w:r w:rsidR="00DC3E9A" w:rsidRPr="0067142A">
        <w:t xml:space="preserve">ACT and national </w:t>
      </w:r>
      <w:r w:rsidRPr="0067142A">
        <w:t>population</w:t>
      </w:r>
      <w:r w:rsidR="00237A58" w:rsidRPr="0067142A">
        <w:t>s</w:t>
      </w:r>
      <w:r w:rsidRPr="0067142A">
        <w:t>.</w:t>
      </w:r>
    </w:p>
    <w:p w:rsidR="00492E38" w:rsidRPr="0067142A" w:rsidRDefault="00492E38" w:rsidP="0067142A">
      <w:pPr>
        <w:pStyle w:val="BodyText"/>
      </w:pPr>
      <w:r w:rsidRPr="0067142A">
        <w:t>The GST is distributed to the States as ‘untied’ payments consistent with the principle of HFE.</w:t>
      </w:r>
    </w:p>
    <w:p w:rsidR="00F86D94" w:rsidRPr="0067142A" w:rsidRDefault="00F86D94" w:rsidP="0067142A">
      <w:pPr>
        <w:pStyle w:val="BodyText"/>
      </w:pPr>
      <w:r w:rsidRPr="0067142A">
        <w:t xml:space="preserve">For forward estimates, the GST revenue receipts to the ACT are based on the </w:t>
      </w:r>
      <w:r w:rsidR="00320F61" w:rsidRPr="0067142A">
        <w:t>2013</w:t>
      </w:r>
      <w:r w:rsidR="00320F61" w:rsidRPr="0067142A">
        <w:noBreakHyphen/>
        <w:t>14 </w:t>
      </w:r>
      <w:r w:rsidRPr="0067142A">
        <w:t xml:space="preserve">Federal Budget estimates of the GST pool and of the ACT’s population as a percentage of the national total. </w:t>
      </w:r>
      <w:r w:rsidR="00DD1742" w:rsidRPr="0067142A">
        <w:t xml:space="preserve"> </w:t>
      </w:r>
      <w:r w:rsidRPr="0067142A">
        <w:t xml:space="preserve">However, the relativity </w:t>
      </w:r>
      <w:r w:rsidR="008D3666" w:rsidRPr="0067142A">
        <w:t>is held constant at the 2013-14 level</w:t>
      </w:r>
      <w:r w:rsidR="000B153A" w:rsidRPr="0067142A">
        <w:t xml:space="preserve"> </w:t>
      </w:r>
      <w:r w:rsidRPr="0067142A">
        <w:t>through the out</w:t>
      </w:r>
      <w:r w:rsidR="00B165CB" w:rsidRPr="0067142A">
        <w:noBreakHyphen/>
      </w:r>
      <w:proofErr w:type="spellStart"/>
      <w:r w:rsidRPr="0067142A">
        <w:t>years</w:t>
      </w:r>
      <w:proofErr w:type="spellEnd"/>
      <w:r w:rsidRPr="0067142A">
        <w:t xml:space="preserve"> as it is </w:t>
      </w:r>
      <w:r w:rsidR="008D3666" w:rsidRPr="0067142A">
        <w:t xml:space="preserve">difficult </w:t>
      </w:r>
      <w:r w:rsidRPr="0067142A">
        <w:t xml:space="preserve">to forecast future relativities </w:t>
      </w:r>
      <w:r w:rsidR="008D3666" w:rsidRPr="0067142A">
        <w:t>with any degree of accuracy</w:t>
      </w:r>
      <w:r w:rsidRPr="0067142A">
        <w:t>.</w:t>
      </w:r>
    </w:p>
    <w:p w:rsidR="00953DA1" w:rsidRPr="0067142A" w:rsidRDefault="00953DA1" w:rsidP="0067142A">
      <w:pPr>
        <w:pStyle w:val="BodyText"/>
      </w:pPr>
      <w:r w:rsidRPr="0067142A">
        <w:t>The overall movement throughout the year</w:t>
      </w:r>
      <w:r w:rsidR="00417361" w:rsidRPr="0067142A">
        <w:t xml:space="preserve"> since the 2012</w:t>
      </w:r>
      <w:r w:rsidR="00417361" w:rsidRPr="0067142A">
        <w:noBreakHyphen/>
        <w:t>13 Budget release is illustrated in Table 4.4 below.</w:t>
      </w:r>
    </w:p>
    <w:p w:rsidR="00F71B48" w:rsidRPr="00F26670" w:rsidRDefault="00F86D94" w:rsidP="00F26670">
      <w:pPr>
        <w:pStyle w:val="TableNumber"/>
      </w:pPr>
      <w:r>
        <w:br w:type="page"/>
      </w:r>
      <w:r w:rsidR="00F71B48" w:rsidRPr="00F26670">
        <w:lastRenderedPageBreak/>
        <w:t>Table 4.4</w:t>
      </w:r>
    </w:p>
    <w:p w:rsidR="00F71B48" w:rsidRPr="00F26670" w:rsidRDefault="00F71B48" w:rsidP="00F26670">
      <w:pPr>
        <w:pStyle w:val="TableName"/>
      </w:pPr>
      <w:r w:rsidRPr="00F26670">
        <w:t>Reconciliation of GST Revenue Grants to the ACT</w:t>
      </w:r>
    </w:p>
    <w:tbl>
      <w:tblPr>
        <w:tblW w:w="9100" w:type="dxa"/>
        <w:tblLayout w:type="fixed"/>
        <w:tblLook w:val="04A0"/>
      </w:tblPr>
      <w:tblGrid>
        <w:gridCol w:w="2069"/>
        <w:gridCol w:w="1451"/>
        <w:gridCol w:w="910"/>
        <w:gridCol w:w="230"/>
        <w:gridCol w:w="680"/>
        <w:gridCol w:w="457"/>
        <w:gridCol w:w="453"/>
        <w:gridCol w:w="684"/>
        <w:gridCol w:w="226"/>
        <w:gridCol w:w="911"/>
        <w:gridCol w:w="1029"/>
      </w:tblGrid>
      <w:tr w:rsidR="00F71B48" w:rsidRPr="007161E6" w:rsidTr="00AC7278">
        <w:trPr>
          <w:trHeight w:val="300"/>
        </w:trPr>
        <w:tc>
          <w:tcPr>
            <w:tcW w:w="3677" w:type="dxa"/>
            <w:gridSpan w:val="2"/>
            <w:vMerge w:val="restart"/>
            <w:tcBorders>
              <w:top w:val="single" w:sz="4" w:space="0" w:color="auto"/>
              <w:left w:val="nil"/>
              <w:bottom w:val="single" w:sz="4" w:space="0" w:color="000000"/>
              <w:right w:val="nil"/>
            </w:tcBorders>
            <w:shd w:val="clear" w:color="auto" w:fill="auto"/>
            <w:vAlign w:val="center"/>
            <w:hideMark/>
          </w:tcPr>
          <w:p w:rsidR="00F71B48" w:rsidRPr="007161E6" w:rsidRDefault="00F71B48" w:rsidP="00782B63">
            <w:pPr>
              <w:rPr>
                <w:rFonts w:cs="Calibri"/>
                <w:b/>
                <w:bCs/>
                <w:color w:val="000000"/>
                <w:sz w:val="18"/>
                <w:szCs w:val="18"/>
                <w:lang w:eastAsia="en-AU"/>
              </w:rPr>
            </w:pPr>
            <w:r w:rsidRPr="007161E6">
              <w:rPr>
                <w:rFonts w:cs="Calibri"/>
                <w:b/>
                <w:bCs/>
                <w:color w:val="000000"/>
                <w:sz w:val="18"/>
                <w:szCs w:val="18"/>
                <w:lang w:eastAsia="en-AU"/>
              </w:rPr>
              <w:t>GST Grants to the ACT</w:t>
            </w:r>
          </w:p>
        </w:tc>
        <w:tc>
          <w:tcPr>
            <w:tcW w:w="944" w:type="dxa"/>
            <w:tcBorders>
              <w:top w:val="single" w:sz="4" w:space="0" w:color="auto"/>
              <w:left w:val="nil"/>
              <w:bottom w:val="nil"/>
              <w:right w:val="nil"/>
            </w:tcBorders>
            <w:shd w:val="clear" w:color="auto" w:fill="auto"/>
            <w:vAlign w:val="center"/>
            <w:hideMark/>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2012-13</w:t>
            </w:r>
          </w:p>
        </w:tc>
        <w:tc>
          <w:tcPr>
            <w:tcW w:w="944" w:type="dxa"/>
            <w:gridSpan w:val="2"/>
            <w:tcBorders>
              <w:top w:val="single" w:sz="4" w:space="0" w:color="auto"/>
              <w:left w:val="nil"/>
              <w:bottom w:val="nil"/>
              <w:right w:val="nil"/>
            </w:tcBorders>
            <w:shd w:val="clear" w:color="auto" w:fill="auto"/>
            <w:vAlign w:val="center"/>
            <w:hideMark/>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2013-14</w:t>
            </w:r>
          </w:p>
        </w:tc>
        <w:tc>
          <w:tcPr>
            <w:tcW w:w="944" w:type="dxa"/>
            <w:gridSpan w:val="2"/>
            <w:tcBorders>
              <w:top w:val="single" w:sz="4" w:space="0" w:color="auto"/>
              <w:left w:val="nil"/>
              <w:bottom w:val="nil"/>
              <w:right w:val="nil"/>
            </w:tcBorders>
            <w:shd w:val="clear" w:color="auto" w:fill="auto"/>
            <w:vAlign w:val="center"/>
            <w:hideMark/>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2014-15</w:t>
            </w:r>
          </w:p>
        </w:tc>
        <w:tc>
          <w:tcPr>
            <w:tcW w:w="944" w:type="dxa"/>
            <w:gridSpan w:val="2"/>
            <w:tcBorders>
              <w:top w:val="single" w:sz="4" w:space="0" w:color="auto"/>
              <w:left w:val="nil"/>
              <w:bottom w:val="nil"/>
              <w:right w:val="nil"/>
            </w:tcBorders>
            <w:shd w:val="clear" w:color="auto" w:fill="auto"/>
            <w:vAlign w:val="center"/>
            <w:hideMark/>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2015-16</w:t>
            </w:r>
          </w:p>
        </w:tc>
        <w:tc>
          <w:tcPr>
            <w:tcW w:w="945" w:type="dxa"/>
            <w:tcBorders>
              <w:top w:val="single" w:sz="4" w:space="0" w:color="auto"/>
              <w:left w:val="nil"/>
              <w:bottom w:val="nil"/>
              <w:right w:val="nil"/>
            </w:tcBorders>
            <w:shd w:val="clear" w:color="auto" w:fill="auto"/>
            <w:vAlign w:val="center"/>
            <w:hideMark/>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2016-17</w:t>
            </w:r>
          </w:p>
        </w:tc>
        <w:tc>
          <w:tcPr>
            <w:tcW w:w="1069" w:type="dxa"/>
            <w:tcBorders>
              <w:top w:val="single" w:sz="4" w:space="0" w:color="auto"/>
              <w:left w:val="nil"/>
              <w:bottom w:val="nil"/>
              <w:right w:val="nil"/>
            </w:tcBorders>
            <w:vAlign w:val="center"/>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Total</w:t>
            </w:r>
          </w:p>
        </w:tc>
      </w:tr>
      <w:tr w:rsidR="00F71B48" w:rsidRPr="007161E6" w:rsidTr="00AC7278">
        <w:trPr>
          <w:trHeight w:val="300"/>
        </w:trPr>
        <w:tc>
          <w:tcPr>
            <w:tcW w:w="3677" w:type="dxa"/>
            <w:gridSpan w:val="2"/>
            <w:vMerge/>
            <w:tcBorders>
              <w:top w:val="single" w:sz="4" w:space="0" w:color="auto"/>
              <w:left w:val="nil"/>
              <w:bottom w:val="single" w:sz="4" w:space="0" w:color="000000"/>
              <w:right w:val="nil"/>
            </w:tcBorders>
            <w:vAlign w:val="center"/>
            <w:hideMark/>
          </w:tcPr>
          <w:p w:rsidR="00F71B48" w:rsidRPr="007161E6" w:rsidRDefault="00F71B48" w:rsidP="00782B63">
            <w:pPr>
              <w:rPr>
                <w:rFonts w:cs="Calibri"/>
                <w:b/>
                <w:bCs/>
                <w:color w:val="000000"/>
                <w:sz w:val="18"/>
                <w:szCs w:val="18"/>
                <w:lang w:eastAsia="en-AU"/>
              </w:rPr>
            </w:pPr>
          </w:p>
        </w:tc>
        <w:tc>
          <w:tcPr>
            <w:tcW w:w="944" w:type="dxa"/>
            <w:tcBorders>
              <w:top w:val="nil"/>
              <w:left w:val="nil"/>
              <w:bottom w:val="single" w:sz="4" w:space="0" w:color="auto"/>
              <w:right w:val="nil"/>
            </w:tcBorders>
            <w:shd w:val="clear" w:color="auto" w:fill="auto"/>
            <w:noWrap/>
            <w:vAlign w:val="center"/>
            <w:hideMark/>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944" w:type="dxa"/>
            <w:gridSpan w:val="2"/>
            <w:tcBorders>
              <w:top w:val="nil"/>
              <w:left w:val="nil"/>
              <w:bottom w:val="single" w:sz="4" w:space="0" w:color="auto"/>
              <w:right w:val="nil"/>
            </w:tcBorders>
            <w:shd w:val="clear" w:color="auto" w:fill="auto"/>
            <w:noWrap/>
            <w:vAlign w:val="center"/>
            <w:hideMark/>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944" w:type="dxa"/>
            <w:gridSpan w:val="2"/>
            <w:tcBorders>
              <w:top w:val="nil"/>
              <w:left w:val="nil"/>
              <w:bottom w:val="single" w:sz="4" w:space="0" w:color="auto"/>
              <w:right w:val="nil"/>
            </w:tcBorders>
            <w:shd w:val="clear" w:color="auto" w:fill="auto"/>
            <w:noWrap/>
            <w:vAlign w:val="center"/>
            <w:hideMark/>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944" w:type="dxa"/>
            <w:gridSpan w:val="2"/>
            <w:tcBorders>
              <w:top w:val="nil"/>
              <w:left w:val="nil"/>
              <w:bottom w:val="single" w:sz="4" w:space="0" w:color="auto"/>
              <w:right w:val="nil"/>
            </w:tcBorders>
            <w:shd w:val="clear" w:color="auto" w:fill="auto"/>
            <w:noWrap/>
            <w:vAlign w:val="center"/>
            <w:hideMark/>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945" w:type="dxa"/>
            <w:tcBorders>
              <w:top w:val="nil"/>
              <w:left w:val="nil"/>
              <w:bottom w:val="single" w:sz="4" w:space="0" w:color="auto"/>
              <w:right w:val="nil"/>
            </w:tcBorders>
            <w:shd w:val="clear" w:color="auto" w:fill="auto"/>
            <w:noWrap/>
            <w:vAlign w:val="center"/>
            <w:hideMark/>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1069" w:type="dxa"/>
            <w:tcBorders>
              <w:top w:val="nil"/>
              <w:left w:val="nil"/>
              <w:bottom w:val="single" w:sz="4" w:space="0" w:color="auto"/>
              <w:right w:val="nil"/>
            </w:tcBorders>
            <w:vAlign w:val="center"/>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r>
      <w:tr w:rsidR="00F71B48" w:rsidRPr="007161E6" w:rsidTr="00AC7278">
        <w:trPr>
          <w:trHeight w:hRule="exact" w:val="170"/>
        </w:trPr>
        <w:tc>
          <w:tcPr>
            <w:tcW w:w="2163" w:type="dxa"/>
            <w:tcBorders>
              <w:top w:val="nil"/>
              <w:left w:val="nil"/>
              <w:bottom w:val="nil"/>
              <w:right w:val="nil"/>
            </w:tcBorders>
            <w:shd w:val="clear" w:color="auto" w:fill="auto"/>
            <w:vAlign w:val="center"/>
            <w:hideMark/>
          </w:tcPr>
          <w:p w:rsidR="00F71B48" w:rsidRPr="007161E6" w:rsidRDefault="00F71B48" w:rsidP="00782B63">
            <w:pPr>
              <w:jc w:val="center"/>
              <w:rPr>
                <w:rFonts w:cs="Calibri"/>
                <w:b/>
                <w:bCs/>
                <w:color w:val="000000"/>
                <w:sz w:val="18"/>
                <w:szCs w:val="18"/>
                <w:lang w:eastAsia="en-AU"/>
              </w:rPr>
            </w:pPr>
          </w:p>
        </w:tc>
        <w:tc>
          <w:tcPr>
            <w:tcW w:w="1514" w:type="dxa"/>
            <w:tcBorders>
              <w:top w:val="nil"/>
              <w:left w:val="nil"/>
              <w:bottom w:val="nil"/>
              <w:right w:val="nil"/>
            </w:tcBorders>
            <w:shd w:val="clear" w:color="auto" w:fill="auto"/>
            <w:vAlign w:val="center"/>
            <w:hideMark/>
          </w:tcPr>
          <w:p w:rsidR="00F71B48" w:rsidRPr="007161E6" w:rsidRDefault="00F71B48" w:rsidP="00782B63">
            <w:pPr>
              <w:jc w:val="center"/>
              <w:rPr>
                <w:rFonts w:cs="Calibri"/>
                <w:b/>
                <w:bCs/>
                <w:color w:val="000000"/>
                <w:sz w:val="18"/>
                <w:szCs w:val="18"/>
                <w:lang w:eastAsia="en-AU"/>
              </w:rPr>
            </w:pPr>
          </w:p>
        </w:tc>
        <w:tc>
          <w:tcPr>
            <w:tcW w:w="944" w:type="dxa"/>
            <w:tcBorders>
              <w:top w:val="nil"/>
              <w:left w:val="nil"/>
              <w:bottom w:val="nil"/>
              <w:right w:val="nil"/>
            </w:tcBorders>
            <w:shd w:val="clear" w:color="auto" w:fill="auto"/>
            <w:noWrap/>
            <w:vAlign w:val="bottom"/>
            <w:hideMark/>
          </w:tcPr>
          <w:p w:rsidR="00F71B48" w:rsidRPr="007161E6" w:rsidRDefault="00F71B48" w:rsidP="00782B63">
            <w:pPr>
              <w:rPr>
                <w:rFonts w:cs="Calibri"/>
                <w:b/>
                <w:bCs/>
                <w:color w:val="000000"/>
                <w:sz w:val="18"/>
                <w:szCs w:val="18"/>
                <w:lang w:eastAsia="en-AU"/>
              </w:rPr>
            </w:pPr>
          </w:p>
        </w:tc>
        <w:tc>
          <w:tcPr>
            <w:tcW w:w="944" w:type="dxa"/>
            <w:gridSpan w:val="2"/>
            <w:tcBorders>
              <w:top w:val="nil"/>
              <w:left w:val="nil"/>
              <w:bottom w:val="nil"/>
              <w:right w:val="nil"/>
            </w:tcBorders>
            <w:shd w:val="clear" w:color="auto" w:fill="auto"/>
            <w:noWrap/>
            <w:vAlign w:val="bottom"/>
            <w:hideMark/>
          </w:tcPr>
          <w:p w:rsidR="00F71B48" w:rsidRPr="007161E6" w:rsidRDefault="00F71B48" w:rsidP="00782B63">
            <w:pPr>
              <w:jc w:val="center"/>
              <w:rPr>
                <w:rFonts w:cs="Calibri"/>
                <w:b/>
                <w:bCs/>
                <w:color w:val="000000"/>
                <w:sz w:val="18"/>
                <w:szCs w:val="18"/>
                <w:lang w:eastAsia="en-AU"/>
              </w:rPr>
            </w:pPr>
          </w:p>
        </w:tc>
        <w:tc>
          <w:tcPr>
            <w:tcW w:w="944" w:type="dxa"/>
            <w:gridSpan w:val="2"/>
            <w:tcBorders>
              <w:top w:val="nil"/>
              <w:left w:val="nil"/>
              <w:bottom w:val="nil"/>
              <w:right w:val="nil"/>
            </w:tcBorders>
            <w:shd w:val="clear" w:color="auto" w:fill="auto"/>
            <w:noWrap/>
            <w:vAlign w:val="bottom"/>
            <w:hideMark/>
          </w:tcPr>
          <w:p w:rsidR="00F71B48" w:rsidRPr="007161E6" w:rsidRDefault="00F71B48" w:rsidP="00782B63">
            <w:pPr>
              <w:jc w:val="center"/>
              <w:rPr>
                <w:rFonts w:cs="Calibri"/>
                <w:b/>
                <w:bCs/>
                <w:color w:val="000000"/>
                <w:sz w:val="18"/>
                <w:szCs w:val="18"/>
                <w:lang w:eastAsia="en-AU"/>
              </w:rPr>
            </w:pPr>
          </w:p>
        </w:tc>
        <w:tc>
          <w:tcPr>
            <w:tcW w:w="944" w:type="dxa"/>
            <w:gridSpan w:val="2"/>
            <w:tcBorders>
              <w:top w:val="nil"/>
              <w:left w:val="nil"/>
              <w:bottom w:val="nil"/>
              <w:right w:val="nil"/>
            </w:tcBorders>
            <w:shd w:val="clear" w:color="auto" w:fill="auto"/>
            <w:noWrap/>
            <w:vAlign w:val="bottom"/>
            <w:hideMark/>
          </w:tcPr>
          <w:p w:rsidR="00F71B48" w:rsidRPr="007161E6" w:rsidRDefault="00F71B48" w:rsidP="00782B63">
            <w:pPr>
              <w:jc w:val="center"/>
              <w:rPr>
                <w:rFonts w:cs="Calibri"/>
                <w:b/>
                <w:bCs/>
                <w:color w:val="000000"/>
                <w:sz w:val="18"/>
                <w:szCs w:val="18"/>
                <w:lang w:eastAsia="en-AU"/>
              </w:rPr>
            </w:pPr>
          </w:p>
        </w:tc>
        <w:tc>
          <w:tcPr>
            <w:tcW w:w="945" w:type="dxa"/>
            <w:tcBorders>
              <w:top w:val="nil"/>
              <w:left w:val="nil"/>
              <w:bottom w:val="nil"/>
              <w:right w:val="nil"/>
            </w:tcBorders>
            <w:shd w:val="clear" w:color="auto" w:fill="auto"/>
            <w:noWrap/>
            <w:vAlign w:val="bottom"/>
            <w:hideMark/>
          </w:tcPr>
          <w:p w:rsidR="00F71B48" w:rsidRPr="007161E6" w:rsidRDefault="00F71B48" w:rsidP="00782B63">
            <w:pPr>
              <w:jc w:val="center"/>
              <w:rPr>
                <w:rFonts w:cs="Calibri"/>
                <w:b/>
                <w:bCs/>
                <w:color w:val="000000"/>
                <w:sz w:val="18"/>
                <w:szCs w:val="18"/>
                <w:lang w:eastAsia="en-AU"/>
              </w:rPr>
            </w:pPr>
          </w:p>
        </w:tc>
        <w:tc>
          <w:tcPr>
            <w:tcW w:w="1069" w:type="dxa"/>
            <w:tcBorders>
              <w:top w:val="nil"/>
              <w:left w:val="nil"/>
              <w:bottom w:val="nil"/>
              <w:right w:val="nil"/>
            </w:tcBorders>
          </w:tcPr>
          <w:p w:rsidR="00F71B48" w:rsidRPr="007161E6" w:rsidRDefault="00F71B48" w:rsidP="00782B63">
            <w:pPr>
              <w:jc w:val="center"/>
              <w:rPr>
                <w:rFonts w:cs="Calibri"/>
                <w:b/>
                <w:bCs/>
                <w:color w:val="000000"/>
                <w:sz w:val="18"/>
                <w:szCs w:val="18"/>
                <w:lang w:eastAsia="en-AU"/>
              </w:rPr>
            </w:pPr>
          </w:p>
        </w:tc>
      </w:tr>
      <w:tr w:rsidR="00F71B48" w:rsidRPr="007161E6" w:rsidTr="00AC7278">
        <w:trPr>
          <w:trHeight w:val="300"/>
        </w:trPr>
        <w:tc>
          <w:tcPr>
            <w:tcW w:w="2163" w:type="dxa"/>
            <w:tcBorders>
              <w:top w:val="nil"/>
              <w:left w:val="nil"/>
              <w:bottom w:val="nil"/>
              <w:right w:val="nil"/>
            </w:tcBorders>
            <w:shd w:val="clear" w:color="000000" w:fill="D8D8D8"/>
            <w:noWrap/>
            <w:hideMark/>
          </w:tcPr>
          <w:p w:rsidR="00F71B48" w:rsidRPr="007161E6" w:rsidRDefault="00F71B48" w:rsidP="00AC7278">
            <w:pPr>
              <w:rPr>
                <w:rFonts w:cs="Calibri"/>
                <w:b/>
                <w:color w:val="000000"/>
                <w:sz w:val="18"/>
                <w:szCs w:val="18"/>
                <w:lang w:eastAsia="en-AU"/>
              </w:rPr>
            </w:pPr>
            <w:r w:rsidRPr="007161E6">
              <w:rPr>
                <w:rFonts w:cs="Calibri"/>
                <w:b/>
                <w:color w:val="000000"/>
                <w:sz w:val="18"/>
                <w:szCs w:val="18"/>
                <w:lang w:eastAsia="en-AU"/>
              </w:rPr>
              <w:t xml:space="preserve">2012-13 ACT Budget </w:t>
            </w:r>
          </w:p>
        </w:tc>
        <w:tc>
          <w:tcPr>
            <w:tcW w:w="1514" w:type="dxa"/>
            <w:tcBorders>
              <w:top w:val="nil"/>
              <w:left w:val="nil"/>
              <w:bottom w:val="nil"/>
              <w:right w:val="nil"/>
            </w:tcBorders>
            <w:shd w:val="clear" w:color="000000" w:fill="D8D8D8"/>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5 June 2012</w:t>
            </w:r>
          </w:p>
        </w:tc>
        <w:tc>
          <w:tcPr>
            <w:tcW w:w="944" w:type="dxa"/>
            <w:tcBorders>
              <w:top w:val="nil"/>
              <w:left w:val="nil"/>
              <w:bottom w:val="nil"/>
              <w:right w:val="nil"/>
            </w:tcBorders>
            <w:shd w:val="clear" w:color="000000" w:fill="D8D8D8"/>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938.1</w:t>
            </w:r>
          </w:p>
        </w:tc>
        <w:tc>
          <w:tcPr>
            <w:tcW w:w="944" w:type="dxa"/>
            <w:gridSpan w:val="2"/>
            <w:tcBorders>
              <w:top w:val="nil"/>
              <w:left w:val="nil"/>
              <w:bottom w:val="nil"/>
              <w:right w:val="nil"/>
            </w:tcBorders>
            <w:shd w:val="clear" w:color="000000" w:fill="D8D8D8"/>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993.7</w:t>
            </w:r>
          </w:p>
        </w:tc>
        <w:tc>
          <w:tcPr>
            <w:tcW w:w="944" w:type="dxa"/>
            <w:gridSpan w:val="2"/>
            <w:tcBorders>
              <w:top w:val="nil"/>
              <w:left w:val="nil"/>
              <w:bottom w:val="nil"/>
              <w:right w:val="nil"/>
            </w:tcBorders>
            <w:shd w:val="clear" w:color="000000" w:fill="D8D8D8"/>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1,047.5</w:t>
            </w:r>
          </w:p>
        </w:tc>
        <w:tc>
          <w:tcPr>
            <w:tcW w:w="944" w:type="dxa"/>
            <w:gridSpan w:val="2"/>
            <w:tcBorders>
              <w:top w:val="nil"/>
              <w:left w:val="nil"/>
              <w:bottom w:val="nil"/>
              <w:right w:val="nil"/>
            </w:tcBorders>
            <w:shd w:val="clear" w:color="000000" w:fill="D8D8D8"/>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1,101.0</w:t>
            </w:r>
          </w:p>
        </w:tc>
        <w:tc>
          <w:tcPr>
            <w:tcW w:w="945" w:type="dxa"/>
            <w:tcBorders>
              <w:top w:val="nil"/>
              <w:left w:val="nil"/>
              <w:bottom w:val="nil"/>
              <w:right w:val="nil"/>
            </w:tcBorders>
            <w:shd w:val="clear" w:color="000000" w:fill="D8D8D8"/>
            <w:noWrap/>
            <w:hideMark/>
          </w:tcPr>
          <w:p w:rsidR="00F71B48" w:rsidRPr="007161E6" w:rsidRDefault="00F71B48" w:rsidP="00AC7278">
            <w:pPr>
              <w:jc w:val="right"/>
              <w:rPr>
                <w:rFonts w:cs="Calibri"/>
                <w:b/>
                <w:color w:val="000000"/>
                <w:sz w:val="18"/>
                <w:szCs w:val="18"/>
                <w:lang w:eastAsia="en-AU"/>
              </w:rPr>
            </w:pPr>
          </w:p>
        </w:tc>
        <w:tc>
          <w:tcPr>
            <w:tcW w:w="1069" w:type="dxa"/>
            <w:tcBorders>
              <w:top w:val="nil"/>
              <w:left w:val="nil"/>
              <w:bottom w:val="nil"/>
              <w:right w:val="nil"/>
            </w:tcBorders>
            <w:shd w:val="clear" w:color="000000" w:fill="D8D8D8"/>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4,080.3</w:t>
            </w:r>
          </w:p>
        </w:tc>
      </w:tr>
      <w:tr w:rsidR="00F71B48" w:rsidRPr="007161E6" w:rsidTr="00AC7278">
        <w:trPr>
          <w:trHeight w:val="300"/>
        </w:trPr>
        <w:tc>
          <w:tcPr>
            <w:tcW w:w="2163" w:type="dxa"/>
            <w:tcBorders>
              <w:top w:val="nil"/>
              <w:left w:val="nil"/>
              <w:bottom w:val="nil"/>
              <w:right w:val="nil"/>
            </w:tcBorders>
            <w:shd w:val="clear" w:color="auto" w:fill="auto"/>
            <w:noWrap/>
            <w:hideMark/>
          </w:tcPr>
          <w:p w:rsidR="00F71B48" w:rsidRPr="007161E6" w:rsidRDefault="00F71B48" w:rsidP="00AC7278">
            <w:pPr>
              <w:rPr>
                <w:rFonts w:cs="Calibri"/>
                <w:i/>
                <w:iCs/>
                <w:color w:val="000000"/>
                <w:sz w:val="18"/>
                <w:szCs w:val="18"/>
                <w:lang w:eastAsia="en-AU"/>
              </w:rPr>
            </w:pPr>
          </w:p>
        </w:tc>
        <w:tc>
          <w:tcPr>
            <w:tcW w:w="1514"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Variation (1)</w:t>
            </w:r>
          </w:p>
        </w:tc>
        <w:tc>
          <w:tcPr>
            <w:tcW w:w="944"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17.1</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14.5</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17.2</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20.1</w:t>
            </w:r>
          </w:p>
        </w:tc>
        <w:tc>
          <w:tcPr>
            <w:tcW w:w="945"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p>
        </w:tc>
        <w:tc>
          <w:tcPr>
            <w:tcW w:w="1069" w:type="dxa"/>
            <w:tcBorders>
              <w:top w:val="nil"/>
              <w:left w:val="nil"/>
              <w:bottom w:val="nil"/>
              <w:right w:val="nil"/>
            </w:tcBorders>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68.9</w:t>
            </w:r>
          </w:p>
        </w:tc>
      </w:tr>
      <w:tr w:rsidR="00F71B48" w:rsidRPr="007161E6" w:rsidTr="00AC7278">
        <w:trPr>
          <w:trHeight w:val="300"/>
        </w:trPr>
        <w:tc>
          <w:tcPr>
            <w:tcW w:w="2163" w:type="dxa"/>
            <w:tcBorders>
              <w:top w:val="nil"/>
              <w:left w:val="nil"/>
              <w:bottom w:val="nil"/>
              <w:right w:val="nil"/>
            </w:tcBorders>
            <w:shd w:val="clear" w:color="auto" w:fill="auto"/>
            <w:noWrap/>
            <w:hideMark/>
          </w:tcPr>
          <w:p w:rsidR="00F71B48" w:rsidRPr="007161E6" w:rsidRDefault="00F71B48" w:rsidP="00AC7278">
            <w:pPr>
              <w:rPr>
                <w:rFonts w:cs="Calibri"/>
                <w:b/>
                <w:color w:val="000000"/>
                <w:sz w:val="18"/>
                <w:szCs w:val="18"/>
                <w:lang w:eastAsia="en-AU"/>
              </w:rPr>
            </w:pPr>
            <w:r w:rsidRPr="007161E6">
              <w:rPr>
                <w:rFonts w:cs="Calibri"/>
                <w:b/>
                <w:color w:val="000000"/>
                <w:sz w:val="18"/>
                <w:szCs w:val="18"/>
                <w:lang w:eastAsia="en-AU"/>
              </w:rPr>
              <w:t>2012-13 ACT PEBU</w:t>
            </w:r>
          </w:p>
        </w:tc>
        <w:tc>
          <w:tcPr>
            <w:tcW w:w="1514" w:type="dxa"/>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31 August 2012</w:t>
            </w:r>
          </w:p>
        </w:tc>
        <w:tc>
          <w:tcPr>
            <w:tcW w:w="944" w:type="dxa"/>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955.2</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1,008.2</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1,064.7</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1,121.1</w:t>
            </w:r>
          </w:p>
        </w:tc>
        <w:tc>
          <w:tcPr>
            <w:tcW w:w="945" w:type="dxa"/>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w:t>
            </w:r>
          </w:p>
        </w:tc>
        <w:tc>
          <w:tcPr>
            <w:tcW w:w="1069" w:type="dxa"/>
            <w:tcBorders>
              <w:top w:val="nil"/>
              <w:left w:val="nil"/>
              <w:bottom w:val="nil"/>
              <w:right w:val="nil"/>
            </w:tcBorders>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4,149.2</w:t>
            </w:r>
          </w:p>
        </w:tc>
      </w:tr>
      <w:tr w:rsidR="00F71B48" w:rsidRPr="007161E6" w:rsidTr="00AC7278">
        <w:trPr>
          <w:trHeight w:val="300"/>
        </w:trPr>
        <w:tc>
          <w:tcPr>
            <w:tcW w:w="2163" w:type="dxa"/>
            <w:tcBorders>
              <w:top w:val="nil"/>
              <w:left w:val="nil"/>
              <w:bottom w:val="nil"/>
              <w:right w:val="nil"/>
            </w:tcBorders>
            <w:shd w:val="clear" w:color="auto" w:fill="auto"/>
            <w:noWrap/>
            <w:hideMark/>
          </w:tcPr>
          <w:p w:rsidR="00F71B48" w:rsidRPr="007161E6" w:rsidRDefault="00F71B48" w:rsidP="00AC7278">
            <w:pPr>
              <w:rPr>
                <w:rFonts w:cs="Calibri"/>
                <w:i/>
                <w:iCs/>
                <w:color w:val="000000"/>
                <w:sz w:val="18"/>
                <w:szCs w:val="18"/>
                <w:lang w:eastAsia="en-AU"/>
              </w:rPr>
            </w:pPr>
          </w:p>
        </w:tc>
        <w:tc>
          <w:tcPr>
            <w:tcW w:w="1514"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Variation (2)</w:t>
            </w:r>
          </w:p>
        </w:tc>
        <w:tc>
          <w:tcPr>
            <w:tcW w:w="944"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26.7</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9.2</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11.2</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13.6</w:t>
            </w:r>
          </w:p>
        </w:tc>
        <w:tc>
          <w:tcPr>
            <w:tcW w:w="945"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p>
        </w:tc>
        <w:tc>
          <w:tcPr>
            <w:tcW w:w="1069" w:type="dxa"/>
            <w:tcBorders>
              <w:top w:val="nil"/>
              <w:left w:val="nil"/>
              <w:bottom w:val="nil"/>
              <w:right w:val="nil"/>
            </w:tcBorders>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60.7</w:t>
            </w:r>
          </w:p>
        </w:tc>
      </w:tr>
      <w:tr w:rsidR="00F71B48" w:rsidRPr="007161E6" w:rsidTr="00AC7278">
        <w:trPr>
          <w:trHeight w:val="300"/>
        </w:trPr>
        <w:tc>
          <w:tcPr>
            <w:tcW w:w="2163" w:type="dxa"/>
            <w:tcBorders>
              <w:top w:val="nil"/>
              <w:left w:val="nil"/>
              <w:bottom w:val="nil"/>
              <w:right w:val="nil"/>
            </w:tcBorders>
            <w:shd w:val="clear" w:color="auto" w:fill="auto"/>
            <w:noWrap/>
            <w:hideMark/>
          </w:tcPr>
          <w:p w:rsidR="00F71B48" w:rsidRPr="007161E6" w:rsidRDefault="00F71B48" w:rsidP="00AC7278">
            <w:pPr>
              <w:rPr>
                <w:rFonts w:cs="Calibri"/>
                <w:b/>
                <w:color w:val="000000"/>
                <w:sz w:val="18"/>
                <w:szCs w:val="18"/>
                <w:lang w:eastAsia="en-AU"/>
              </w:rPr>
            </w:pPr>
            <w:r w:rsidRPr="007161E6">
              <w:rPr>
                <w:rFonts w:cs="Calibri"/>
                <w:b/>
                <w:color w:val="000000"/>
                <w:sz w:val="18"/>
                <w:szCs w:val="18"/>
                <w:lang w:eastAsia="en-AU"/>
              </w:rPr>
              <w:t>2012-13 MYEFO</w:t>
            </w:r>
          </w:p>
        </w:tc>
        <w:tc>
          <w:tcPr>
            <w:tcW w:w="1514" w:type="dxa"/>
            <w:tcBorders>
              <w:top w:val="nil"/>
              <w:left w:val="nil"/>
              <w:bottom w:val="nil"/>
              <w:right w:val="nil"/>
            </w:tcBorders>
            <w:shd w:val="clear" w:color="auto" w:fill="auto"/>
            <w:noWrap/>
            <w:hideMark/>
          </w:tcPr>
          <w:p w:rsidR="00F71B48" w:rsidRPr="007161E6" w:rsidRDefault="00F71B48" w:rsidP="00AC7278">
            <w:pPr>
              <w:ind w:hanging="65"/>
              <w:jc w:val="right"/>
              <w:rPr>
                <w:rFonts w:cs="Calibri"/>
                <w:b/>
                <w:color w:val="000000"/>
                <w:sz w:val="18"/>
                <w:szCs w:val="18"/>
                <w:lang w:eastAsia="en-AU"/>
              </w:rPr>
            </w:pPr>
            <w:r w:rsidRPr="007161E6">
              <w:rPr>
                <w:rFonts w:cs="Calibri"/>
                <w:b/>
                <w:color w:val="000000"/>
                <w:sz w:val="18"/>
                <w:szCs w:val="18"/>
                <w:lang w:eastAsia="en-AU"/>
              </w:rPr>
              <w:t>22 October 2012*</w:t>
            </w:r>
          </w:p>
        </w:tc>
        <w:tc>
          <w:tcPr>
            <w:tcW w:w="944" w:type="dxa"/>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981.9</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1,017.4</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1,075.9</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1,134.7</w:t>
            </w:r>
          </w:p>
        </w:tc>
        <w:tc>
          <w:tcPr>
            <w:tcW w:w="945" w:type="dxa"/>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w:t>
            </w:r>
          </w:p>
        </w:tc>
        <w:tc>
          <w:tcPr>
            <w:tcW w:w="1069" w:type="dxa"/>
            <w:tcBorders>
              <w:top w:val="nil"/>
              <w:left w:val="nil"/>
              <w:bottom w:val="nil"/>
              <w:right w:val="nil"/>
            </w:tcBorders>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4,209.9</w:t>
            </w:r>
          </w:p>
        </w:tc>
      </w:tr>
      <w:tr w:rsidR="00F71B48" w:rsidRPr="007161E6" w:rsidTr="00AC7278">
        <w:trPr>
          <w:trHeight w:val="170"/>
        </w:trPr>
        <w:tc>
          <w:tcPr>
            <w:tcW w:w="2163"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p>
        </w:tc>
        <w:tc>
          <w:tcPr>
            <w:tcW w:w="1514"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p>
        </w:tc>
        <w:tc>
          <w:tcPr>
            <w:tcW w:w="944"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p>
        </w:tc>
        <w:tc>
          <w:tcPr>
            <w:tcW w:w="945" w:type="dxa"/>
            <w:tcBorders>
              <w:top w:val="nil"/>
              <w:left w:val="nil"/>
              <w:bottom w:val="nil"/>
              <w:right w:val="nil"/>
            </w:tcBorders>
            <w:shd w:val="clear" w:color="auto" w:fill="auto"/>
            <w:noWrap/>
            <w:hideMark/>
          </w:tcPr>
          <w:p w:rsidR="00F71B48" w:rsidRPr="007161E6" w:rsidRDefault="00F71B48" w:rsidP="00AC7278">
            <w:pPr>
              <w:jc w:val="right"/>
              <w:rPr>
                <w:rFonts w:cs="Calibri"/>
                <w:color w:val="000000"/>
                <w:sz w:val="18"/>
                <w:szCs w:val="18"/>
                <w:lang w:eastAsia="en-AU"/>
              </w:rPr>
            </w:pPr>
          </w:p>
        </w:tc>
        <w:tc>
          <w:tcPr>
            <w:tcW w:w="1069" w:type="dxa"/>
            <w:tcBorders>
              <w:top w:val="nil"/>
              <w:left w:val="nil"/>
              <w:bottom w:val="nil"/>
              <w:right w:val="nil"/>
            </w:tcBorders>
          </w:tcPr>
          <w:p w:rsidR="00F71B48" w:rsidRPr="007161E6" w:rsidRDefault="00F71B48" w:rsidP="00AC7278">
            <w:pPr>
              <w:jc w:val="right"/>
              <w:rPr>
                <w:rFonts w:cs="Calibri"/>
                <w:color w:val="000000"/>
                <w:sz w:val="18"/>
                <w:szCs w:val="18"/>
                <w:lang w:eastAsia="en-AU"/>
              </w:rPr>
            </w:pPr>
          </w:p>
        </w:tc>
      </w:tr>
      <w:tr w:rsidR="00F71B48" w:rsidRPr="007161E6" w:rsidTr="00AC7278">
        <w:trPr>
          <w:trHeight w:val="300"/>
        </w:trPr>
        <w:tc>
          <w:tcPr>
            <w:tcW w:w="3677" w:type="dxa"/>
            <w:gridSpan w:val="2"/>
            <w:tcBorders>
              <w:top w:val="nil"/>
              <w:left w:val="nil"/>
              <w:bottom w:val="nil"/>
              <w:right w:val="nil"/>
            </w:tcBorders>
            <w:shd w:val="clear" w:color="auto" w:fill="auto"/>
            <w:noWrap/>
            <w:hideMark/>
          </w:tcPr>
          <w:p w:rsidR="00F71B48" w:rsidRPr="007161E6" w:rsidRDefault="00F71B48" w:rsidP="00863C05">
            <w:pPr>
              <w:jc w:val="right"/>
              <w:rPr>
                <w:rFonts w:cs="Calibri"/>
                <w:i/>
                <w:color w:val="000000"/>
                <w:sz w:val="18"/>
                <w:szCs w:val="18"/>
                <w:lang w:eastAsia="en-AU"/>
              </w:rPr>
            </w:pPr>
            <w:r w:rsidRPr="007161E6">
              <w:rPr>
                <w:rFonts w:cs="Calibri"/>
                <w:i/>
                <w:color w:val="000000"/>
                <w:sz w:val="18"/>
                <w:szCs w:val="18"/>
                <w:lang w:eastAsia="en-AU"/>
              </w:rPr>
              <w:t>Accumulated Variation (1+2)</w:t>
            </w:r>
          </w:p>
        </w:tc>
        <w:tc>
          <w:tcPr>
            <w:tcW w:w="944" w:type="dxa"/>
            <w:tcBorders>
              <w:top w:val="nil"/>
              <w:left w:val="nil"/>
              <w:bottom w:val="nil"/>
              <w:right w:val="nil"/>
            </w:tcBorders>
            <w:shd w:val="clear" w:color="auto" w:fill="auto"/>
            <w:noWrap/>
            <w:hideMark/>
          </w:tcPr>
          <w:p w:rsidR="00F71B48" w:rsidRPr="007161E6" w:rsidRDefault="00F71B48" w:rsidP="00AC7278">
            <w:pPr>
              <w:jc w:val="right"/>
              <w:rPr>
                <w:rFonts w:cs="Calibri"/>
                <w:i/>
                <w:color w:val="000000"/>
                <w:sz w:val="18"/>
                <w:szCs w:val="18"/>
                <w:lang w:eastAsia="en-AU"/>
              </w:rPr>
            </w:pPr>
            <w:r w:rsidRPr="007161E6">
              <w:rPr>
                <w:rFonts w:cs="Calibri"/>
                <w:i/>
                <w:color w:val="000000"/>
                <w:sz w:val="18"/>
                <w:szCs w:val="18"/>
                <w:lang w:eastAsia="en-AU"/>
              </w:rPr>
              <w:t>43.8</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color w:val="000000"/>
                <w:sz w:val="18"/>
                <w:szCs w:val="18"/>
                <w:lang w:eastAsia="en-AU"/>
              </w:rPr>
            </w:pPr>
            <w:r w:rsidRPr="007161E6">
              <w:rPr>
                <w:rFonts w:cs="Calibri"/>
                <w:i/>
                <w:color w:val="000000"/>
                <w:sz w:val="18"/>
                <w:szCs w:val="18"/>
                <w:lang w:eastAsia="en-AU"/>
              </w:rPr>
              <w:t>23.7</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color w:val="000000"/>
                <w:sz w:val="18"/>
                <w:szCs w:val="18"/>
                <w:lang w:eastAsia="en-AU"/>
              </w:rPr>
            </w:pPr>
            <w:r w:rsidRPr="007161E6">
              <w:rPr>
                <w:rFonts w:cs="Calibri"/>
                <w:i/>
                <w:color w:val="000000"/>
                <w:sz w:val="18"/>
                <w:szCs w:val="18"/>
                <w:lang w:eastAsia="en-AU"/>
              </w:rPr>
              <w:t>28.4</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color w:val="000000"/>
                <w:sz w:val="18"/>
                <w:szCs w:val="18"/>
                <w:lang w:eastAsia="en-AU"/>
              </w:rPr>
            </w:pPr>
            <w:r w:rsidRPr="007161E6">
              <w:rPr>
                <w:rFonts w:cs="Calibri"/>
                <w:i/>
                <w:color w:val="000000"/>
                <w:sz w:val="18"/>
                <w:szCs w:val="18"/>
                <w:lang w:eastAsia="en-AU"/>
              </w:rPr>
              <w:t>33.7</w:t>
            </w:r>
          </w:p>
        </w:tc>
        <w:tc>
          <w:tcPr>
            <w:tcW w:w="945" w:type="dxa"/>
            <w:tcBorders>
              <w:top w:val="nil"/>
              <w:left w:val="nil"/>
              <w:bottom w:val="nil"/>
              <w:right w:val="nil"/>
            </w:tcBorders>
            <w:shd w:val="clear" w:color="auto" w:fill="auto"/>
            <w:noWrap/>
            <w:hideMark/>
          </w:tcPr>
          <w:p w:rsidR="00F71B48" w:rsidRPr="007161E6" w:rsidRDefault="00F71B48" w:rsidP="00AC7278">
            <w:pPr>
              <w:jc w:val="right"/>
              <w:rPr>
                <w:rFonts w:cs="Calibri"/>
                <w:i/>
                <w:color w:val="000000"/>
                <w:sz w:val="18"/>
                <w:szCs w:val="18"/>
                <w:lang w:eastAsia="en-AU"/>
              </w:rPr>
            </w:pPr>
          </w:p>
        </w:tc>
        <w:tc>
          <w:tcPr>
            <w:tcW w:w="1069" w:type="dxa"/>
            <w:tcBorders>
              <w:top w:val="nil"/>
              <w:left w:val="nil"/>
              <w:bottom w:val="nil"/>
              <w:right w:val="nil"/>
            </w:tcBorders>
          </w:tcPr>
          <w:p w:rsidR="00F71B48" w:rsidRPr="007161E6" w:rsidRDefault="00F71B48" w:rsidP="00AC7278">
            <w:pPr>
              <w:jc w:val="right"/>
              <w:rPr>
                <w:rFonts w:cs="Calibri"/>
                <w:i/>
                <w:color w:val="000000"/>
                <w:sz w:val="18"/>
                <w:szCs w:val="18"/>
                <w:lang w:eastAsia="en-AU"/>
              </w:rPr>
            </w:pPr>
            <w:r w:rsidRPr="007161E6">
              <w:rPr>
                <w:rFonts w:cs="Calibri"/>
                <w:i/>
                <w:color w:val="000000"/>
                <w:sz w:val="18"/>
                <w:szCs w:val="18"/>
                <w:lang w:eastAsia="en-AU"/>
              </w:rPr>
              <w:t>129.6</w:t>
            </w:r>
          </w:p>
        </w:tc>
      </w:tr>
      <w:tr w:rsidR="00F71B48" w:rsidRPr="007161E6" w:rsidTr="00AC7278">
        <w:trPr>
          <w:trHeight w:val="80"/>
        </w:trPr>
        <w:tc>
          <w:tcPr>
            <w:tcW w:w="2163" w:type="dxa"/>
            <w:tcBorders>
              <w:top w:val="nil"/>
              <w:left w:val="nil"/>
              <w:bottom w:val="nil"/>
              <w:right w:val="nil"/>
            </w:tcBorders>
            <w:shd w:val="clear" w:color="auto" w:fill="auto"/>
            <w:noWrap/>
            <w:hideMark/>
          </w:tcPr>
          <w:p w:rsidR="00F71B48" w:rsidRPr="007161E6" w:rsidRDefault="00F71B48" w:rsidP="00AC7278">
            <w:pPr>
              <w:jc w:val="right"/>
              <w:rPr>
                <w:rFonts w:cs="Calibri"/>
                <w:color w:val="000000"/>
                <w:sz w:val="18"/>
                <w:szCs w:val="18"/>
                <w:lang w:eastAsia="en-AU"/>
              </w:rPr>
            </w:pPr>
          </w:p>
        </w:tc>
        <w:tc>
          <w:tcPr>
            <w:tcW w:w="1514" w:type="dxa"/>
            <w:tcBorders>
              <w:top w:val="nil"/>
              <w:left w:val="nil"/>
              <w:bottom w:val="nil"/>
              <w:right w:val="nil"/>
            </w:tcBorders>
            <w:shd w:val="clear" w:color="auto" w:fill="auto"/>
            <w:noWrap/>
            <w:hideMark/>
          </w:tcPr>
          <w:p w:rsidR="00F71B48" w:rsidRPr="007161E6" w:rsidRDefault="00F71B48" w:rsidP="00AC7278">
            <w:pPr>
              <w:jc w:val="right"/>
              <w:rPr>
                <w:rFonts w:cs="Calibri"/>
                <w:color w:val="000000"/>
                <w:sz w:val="18"/>
                <w:szCs w:val="18"/>
                <w:lang w:eastAsia="en-AU"/>
              </w:rPr>
            </w:pPr>
          </w:p>
        </w:tc>
        <w:tc>
          <w:tcPr>
            <w:tcW w:w="1181"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color w:val="000000"/>
                <w:sz w:val="18"/>
                <w:szCs w:val="18"/>
                <w:lang w:eastAsia="en-AU"/>
              </w:rPr>
            </w:pPr>
          </w:p>
        </w:tc>
        <w:tc>
          <w:tcPr>
            <w:tcW w:w="1180" w:type="dxa"/>
            <w:gridSpan w:val="2"/>
            <w:tcBorders>
              <w:top w:val="nil"/>
              <w:left w:val="nil"/>
              <w:bottom w:val="nil"/>
              <w:right w:val="nil"/>
            </w:tcBorders>
            <w:shd w:val="clear" w:color="auto" w:fill="auto"/>
            <w:hideMark/>
          </w:tcPr>
          <w:p w:rsidR="00F71B48" w:rsidRPr="007161E6" w:rsidRDefault="00F71B48" w:rsidP="00AC7278">
            <w:pPr>
              <w:jc w:val="right"/>
              <w:rPr>
                <w:rFonts w:cs="Calibri"/>
                <w:i/>
                <w:iCs/>
                <w:color w:val="000000"/>
                <w:sz w:val="18"/>
                <w:szCs w:val="18"/>
                <w:lang w:eastAsia="en-AU"/>
              </w:rPr>
            </w:pPr>
          </w:p>
        </w:tc>
        <w:tc>
          <w:tcPr>
            <w:tcW w:w="1180"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p>
        </w:tc>
        <w:tc>
          <w:tcPr>
            <w:tcW w:w="1180"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color w:val="000000"/>
                <w:sz w:val="18"/>
                <w:szCs w:val="18"/>
                <w:lang w:eastAsia="en-AU"/>
              </w:rPr>
            </w:pPr>
          </w:p>
        </w:tc>
        <w:tc>
          <w:tcPr>
            <w:tcW w:w="1069" w:type="dxa"/>
            <w:tcBorders>
              <w:top w:val="nil"/>
              <w:left w:val="nil"/>
              <w:bottom w:val="nil"/>
              <w:right w:val="nil"/>
            </w:tcBorders>
          </w:tcPr>
          <w:p w:rsidR="00F71B48" w:rsidRPr="007161E6" w:rsidRDefault="00F71B48" w:rsidP="00AC7278">
            <w:pPr>
              <w:jc w:val="right"/>
              <w:rPr>
                <w:rFonts w:cs="Calibri"/>
                <w:color w:val="000000"/>
                <w:sz w:val="18"/>
                <w:szCs w:val="18"/>
                <w:lang w:eastAsia="en-AU"/>
              </w:rPr>
            </w:pPr>
          </w:p>
        </w:tc>
      </w:tr>
      <w:tr w:rsidR="00F71B48" w:rsidRPr="007161E6" w:rsidTr="00AC7278">
        <w:trPr>
          <w:trHeight w:val="300"/>
        </w:trPr>
        <w:tc>
          <w:tcPr>
            <w:tcW w:w="2163" w:type="dxa"/>
            <w:tcBorders>
              <w:top w:val="nil"/>
              <w:left w:val="nil"/>
              <w:bottom w:val="nil"/>
              <w:right w:val="nil"/>
            </w:tcBorders>
            <w:shd w:val="clear" w:color="000000" w:fill="D8D8D8"/>
            <w:noWrap/>
            <w:hideMark/>
          </w:tcPr>
          <w:p w:rsidR="00F71B48" w:rsidRPr="007161E6" w:rsidRDefault="00F71B48" w:rsidP="00AC7278">
            <w:pPr>
              <w:rPr>
                <w:rFonts w:cs="Calibri"/>
                <w:b/>
                <w:i/>
                <w:iCs/>
                <w:color w:val="000000"/>
                <w:sz w:val="18"/>
                <w:szCs w:val="18"/>
                <w:lang w:eastAsia="en-AU"/>
              </w:rPr>
            </w:pPr>
            <w:r w:rsidRPr="007161E6">
              <w:rPr>
                <w:rFonts w:cs="Calibri"/>
                <w:b/>
                <w:i/>
                <w:iCs/>
                <w:color w:val="000000"/>
                <w:sz w:val="18"/>
                <w:szCs w:val="18"/>
                <w:lang w:eastAsia="en-AU"/>
              </w:rPr>
              <w:t>ACT Budget Review</w:t>
            </w:r>
          </w:p>
        </w:tc>
        <w:tc>
          <w:tcPr>
            <w:tcW w:w="1514" w:type="dxa"/>
            <w:tcBorders>
              <w:top w:val="nil"/>
              <w:left w:val="nil"/>
              <w:bottom w:val="nil"/>
              <w:right w:val="nil"/>
            </w:tcBorders>
            <w:shd w:val="clear" w:color="000000" w:fill="D8D8D8"/>
            <w:noWrap/>
            <w:hideMark/>
          </w:tcPr>
          <w:p w:rsidR="00F71B48" w:rsidRPr="007161E6" w:rsidRDefault="00F71B48" w:rsidP="00AC7278">
            <w:pPr>
              <w:jc w:val="right"/>
              <w:rPr>
                <w:rFonts w:cs="Calibri"/>
                <w:b/>
                <w:i/>
                <w:iCs/>
                <w:color w:val="000000"/>
                <w:sz w:val="18"/>
                <w:szCs w:val="18"/>
                <w:lang w:eastAsia="en-AU"/>
              </w:rPr>
            </w:pPr>
            <w:r w:rsidRPr="007161E6">
              <w:rPr>
                <w:rFonts w:cs="Calibri"/>
                <w:b/>
                <w:i/>
                <w:iCs/>
                <w:color w:val="000000"/>
                <w:sz w:val="18"/>
                <w:szCs w:val="18"/>
                <w:lang w:eastAsia="en-AU"/>
              </w:rPr>
              <w:t>January 2013</w:t>
            </w:r>
          </w:p>
        </w:tc>
        <w:tc>
          <w:tcPr>
            <w:tcW w:w="944" w:type="dxa"/>
            <w:tcBorders>
              <w:top w:val="nil"/>
              <w:left w:val="nil"/>
              <w:bottom w:val="nil"/>
              <w:right w:val="nil"/>
            </w:tcBorders>
            <w:shd w:val="clear" w:color="000000" w:fill="D8D8D8"/>
            <w:noWrap/>
            <w:hideMark/>
          </w:tcPr>
          <w:p w:rsidR="00F71B48" w:rsidRPr="007161E6" w:rsidRDefault="00F71B48" w:rsidP="00AC7278">
            <w:pPr>
              <w:jc w:val="right"/>
              <w:rPr>
                <w:rFonts w:cs="Calibri"/>
                <w:b/>
                <w:i/>
                <w:iCs/>
                <w:color w:val="000000"/>
                <w:sz w:val="18"/>
                <w:szCs w:val="18"/>
                <w:lang w:eastAsia="en-AU"/>
              </w:rPr>
            </w:pPr>
            <w:r w:rsidRPr="007161E6">
              <w:rPr>
                <w:rFonts w:cs="Calibri"/>
                <w:b/>
                <w:i/>
                <w:iCs/>
                <w:color w:val="000000"/>
                <w:sz w:val="18"/>
                <w:szCs w:val="18"/>
                <w:lang w:eastAsia="en-AU"/>
              </w:rPr>
              <w:t>981.9</w:t>
            </w:r>
          </w:p>
        </w:tc>
        <w:tc>
          <w:tcPr>
            <w:tcW w:w="944" w:type="dxa"/>
            <w:gridSpan w:val="2"/>
            <w:tcBorders>
              <w:top w:val="nil"/>
              <w:left w:val="nil"/>
              <w:bottom w:val="nil"/>
              <w:right w:val="nil"/>
            </w:tcBorders>
            <w:shd w:val="clear" w:color="000000" w:fill="D8D8D8"/>
            <w:noWrap/>
            <w:hideMark/>
          </w:tcPr>
          <w:p w:rsidR="00F71B48" w:rsidRPr="007161E6" w:rsidRDefault="00F71B48" w:rsidP="00AC7278">
            <w:pPr>
              <w:jc w:val="right"/>
              <w:rPr>
                <w:rFonts w:cs="Calibri"/>
                <w:b/>
                <w:i/>
                <w:iCs/>
                <w:color w:val="000000"/>
                <w:sz w:val="18"/>
                <w:szCs w:val="18"/>
                <w:lang w:eastAsia="en-AU"/>
              </w:rPr>
            </w:pPr>
            <w:r w:rsidRPr="007161E6">
              <w:rPr>
                <w:rFonts w:cs="Calibri"/>
                <w:b/>
                <w:i/>
                <w:iCs/>
                <w:color w:val="000000"/>
                <w:sz w:val="18"/>
                <w:szCs w:val="18"/>
                <w:lang w:eastAsia="en-AU"/>
              </w:rPr>
              <w:t>1,017.4</w:t>
            </w:r>
          </w:p>
        </w:tc>
        <w:tc>
          <w:tcPr>
            <w:tcW w:w="944" w:type="dxa"/>
            <w:gridSpan w:val="2"/>
            <w:tcBorders>
              <w:top w:val="nil"/>
              <w:left w:val="nil"/>
              <w:bottom w:val="nil"/>
              <w:right w:val="nil"/>
            </w:tcBorders>
            <w:shd w:val="clear" w:color="000000" w:fill="D8D8D8"/>
            <w:noWrap/>
            <w:hideMark/>
          </w:tcPr>
          <w:p w:rsidR="00F71B48" w:rsidRPr="007161E6" w:rsidRDefault="00F71B48" w:rsidP="00AC7278">
            <w:pPr>
              <w:jc w:val="right"/>
              <w:rPr>
                <w:rFonts w:cs="Calibri"/>
                <w:b/>
                <w:i/>
                <w:iCs/>
                <w:color w:val="000000"/>
                <w:sz w:val="18"/>
                <w:szCs w:val="18"/>
                <w:lang w:eastAsia="en-AU"/>
              </w:rPr>
            </w:pPr>
            <w:r w:rsidRPr="007161E6">
              <w:rPr>
                <w:rFonts w:cs="Calibri"/>
                <w:b/>
                <w:i/>
                <w:iCs/>
                <w:color w:val="000000"/>
                <w:sz w:val="18"/>
                <w:szCs w:val="18"/>
                <w:lang w:eastAsia="en-AU"/>
              </w:rPr>
              <w:t>1,075.9</w:t>
            </w:r>
          </w:p>
        </w:tc>
        <w:tc>
          <w:tcPr>
            <w:tcW w:w="944" w:type="dxa"/>
            <w:gridSpan w:val="2"/>
            <w:tcBorders>
              <w:top w:val="nil"/>
              <w:left w:val="nil"/>
              <w:bottom w:val="nil"/>
              <w:right w:val="nil"/>
            </w:tcBorders>
            <w:shd w:val="clear" w:color="000000" w:fill="D8D8D8"/>
            <w:noWrap/>
            <w:hideMark/>
          </w:tcPr>
          <w:p w:rsidR="00F71B48" w:rsidRPr="007161E6" w:rsidRDefault="00F71B48" w:rsidP="00AC7278">
            <w:pPr>
              <w:jc w:val="right"/>
              <w:rPr>
                <w:rFonts w:cs="Calibri"/>
                <w:b/>
                <w:i/>
                <w:iCs/>
                <w:color w:val="000000"/>
                <w:sz w:val="18"/>
                <w:szCs w:val="18"/>
                <w:lang w:eastAsia="en-AU"/>
              </w:rPr>
            </w:pPr>
            <w:r w:rsidRPr="007161E6">
              <w:rPr>
                <w:rFonts w:cs="Calibri"/>
                <w:b/>
                <w:i/>
                <w:iCs/>
                <w:color w:val="000000"/>
                <w:sz w:val="18"/>
                <w:szCs w:val="18"/>
                <w:lang w:eastAsia="en-AU"/>
              </w:rPr>
              <w:t>1,134.7</w:t>
            </w:r>
          </w:p>
        </w:tc>
        <w:tc>
          <w:tcPr>
            <w:tcW w:w="945" w:type="dxa"/>
            <w:tcBorders>
              <w:top w:val="nil"/>
              <w:left w:val="nil"/>
              <w:bottom w:val="nil"/>
              <w:right w:val="nil"/>
            </w:tcBorders>
            <w:shd w:val="clear" w:color="000000" w:fill="D8D8D8"/>
            <w:noWrap/>
            <w:hideMark/>
          </w:tcPr>
          <w:p w:rsidR="00F71B48" w:rsidRPr="007161E6" w:rsidRDefault="00F71B48" w:rsidP="00AC7278">
            <w:pPr>
              <w:jc w:val="right"/>
              <w:rPr>
                <w:rFonts w:cs="Calibri"/>
                <w:b/>
                <w:i/>
                <w:iCs/>
                <w:color w:val="000000"/>
                <w:sz w:val="18"/>
                <w:szCs w:val="18"/>
                <w:lang w:eastAsia="en-AU"/>
              </w:rPr>
            </w:pPr>
          </w:p>
        </w:tc>
        <w:tc>
          <w:tcPr>
            <w:tcW w:w="1069" w:type="dxa"/>
            <w:tcBorders>
              <w:top w:val="nil"/>
              <w:left w:val="nil"/>
              <w:bottom w:val="nil"/>
              <w:right w:val="nil"/>
            </w:tcBorders>
            <w:shd w:val="clear" w:color="000000" w:fill="D8D8D8"/>
          </w:tcPr>
          <w:p w:rsidR="00F71B48" w:rsidRPr="007161E6" w:rsidRDefault="00F71B48" w:rsidP="00AC7278">
            <w:pPr>
              <w:jc w:val="right"/>
              <w:rPr>
                <w:rFonts w:cs="Calibri"/>
                <w:b/>
                <w:i/>
                <w:iCs/>
                <w:color w:val="000000"/>
                <w:sz w:val="18"/>
                <w:szCs w:val="18"/>
                <w:lang w:eastAsia="en-AU"/>
              </w:rPr>
            </w:pPr>
            <w:r w:rsidRPr="007161E6">
              <w:rPr>
                <w:rFonts w:cs="Calibri"/>
                <w:b/>
                <w:i/>
                <w:iCs/>
                <w:color w:val="000000"/>
                <w:sz w:val="18"/>
                <w:szCs w:val="18"/>
                <w:lang w:eastAsia="en-AU"/>
              </w:rPr>
              <w:t>4,209.9</w:t>
            </w:r>
          </w:p>
        </w:tc>
      </w:tr>
      <w:tr w:rsidR="00F71B48" w:rsidRPr="007161E6" w:rsidTr="00AC7278">
        <w:trPr>
          <w:trHeight w:val="300"/>
        </w:trPr>
        <w:tc>
          <w:tcPr>
            <w:tcW w:w="2163" w:type="dxa"/>
            <w:tcBorders>
              <w:top w:val="nil"/>
              <w:left w:val="nil"/>
              <w:bottom w:val="nil"/>
              <w:right w:val="nil"/>
            </w:tcBorders>
            <w:shd w:val="clear" w:color="auto" w:fill="auto"/>
            <w:noWrap/>
            <w:hideMark/>
          </w:tcPr>
          <w:p w:rsidR="00F71B48" w:rsidRPr="007161E6" w:rsidRDefault="00F71B48" w:rsidP="00AC7278">
            <w:pPr>
              <w:rPr>
                <w:rFonts w:cs="Calibri"/>
                <w:i/>
                <w:iCs/>
                <w:color w:val="000000"/>
                <w:sz w:val="18"/>
                <w:szCs w:val="18"/>
                <w:lang w:eastAsia="en-AU"/>
              </w:rPr>
            </w:pPr>
          </w:p>
        </w:tc>
        <w:tc>
          <w:tcPr>
            <w:tcW w:w="1514"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Variation (3)</w:t>
            </w:r>
          </w:p>
        </w:tc>
        <w:tc>
          <w:tcPr>
            <w:tcW w:w="944"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0.0</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19.7</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20.9</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22.2</w:t>
            </w:r>
          </w:p>
        </w:tc>
        <w:tc>
          <w:tcPr>
            <w:tcW w:w="945"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w:t>
            </w:r>
          </w:p>
        </w:tc>
        <w:tc>
          <w:tcPr>
            <w:tcW w:w="1069" w:type="dxa"/>
            <w:tcBorders>
              <w:top w:val="nil"/>
              <w:left w:val="nil"/>
              <w:bottom w:val="nil"/>
              <w:right w:val="nil"/>
            </w:tcBorders>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62.8</w:t>
            </w:r>
          </w:p>
        </w:tc>
      </w:tr>
      <w:tr w:rsidR="00F71B48" w:rsidRPr="007161E6" w:rsidTr="00AC7278">
        <w:trPr>
          <w:trHeight w:val="300"/>
        </w:trPr>
        <w:tc>
          <w:tcPr>
            <w:tcW w:w="2163" w:type="dxa"/>
            <w:tcBorders>
              <w:top w:val="nil"/>
              <w:left w:val="nil"/>
              <w:bottom w:val="nil"/>
              <w:right w:val="nil"/>
            </w:tcBorders>
            <w:shd w:val="clear" w:color="auto" w:fill="auto"/>
            <w:noWrap/>
            <w:hideMark/>
          </w:tcPr>
          <w:p w:rsidR="00F71B48" w:rsidRPr="007161E6" w:rsidRDefault="00F71B48" w:rsidP="00AC7278">
            <w:pPr>
              <w:rPr>
                <w:rFonts w:cs="Calibri"/>
                <w:b/>
                <w:color w:val="000000"/>
                <w:sz w:val="18"/>
                <w:szCs w:val="18"/>
                <w:lang w:eastAsia="en-AU"/>
              </w:rPr>
            </w:pPr>
            <w:r w:rsidRPr="007161E6">
              <w:rPr>
                <w:rFonts w:cs="Calibri"/>
                <w:b/>
                <w:color w:val="000000"/>
                <w:sz w:val="18"/>
                <w:szCs w:val="18"/>
                <w:lang w:eastAsia="en-AU"/>
              </w:rPr>
              <w:t>CGC 2013 Update Report</w:t>
            </w:r>
          </w:p>
        </w:tc>
        <w:tc>
          <w:tcPr>
            <w:tcW w:w="1514" w:type="dxa"/>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February 2013</w:t>
            </w:r>
          </w:p>
        </w:tc>
        <w:tc>
          <w:tcPr>
            <w:tcW w:w="944" w:type="dxa"/>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981.9</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1,037.1</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1,096.8</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1,156.9</w:t>
            </w:r>
          </w:p>
        </w:tc>
        <w:tc>
          <w:tcPr>
            <w:tcW w:w="945" w:type="dxa"/>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w:t>
            </w:r>
          </w:p>
        </w:tc>
        <w:tc>
          <w:tcPr>
            <w:tcW w:w="1069" w:type="dxa"/>
            <w:tcBorders>
              <w:top w:val="nil"/>
              <w:left w:val="nil"/>
              <w:bottom w:val="nil"/>
              <w:right w:val="nil"/>
            </w:tcBorders>
          </w:tcPr>
          <w:p w:rsidR="00F71B48" w:rsidRPr="007161E6" w:rsidRDefault="00863C05" w:rsidP="00AC7278">
            <w:pPr>
              <w:jc w:val="right"/>
              <w:rPr>
                <w:rFonts w:cs="Calibri"/>
                <w:b/>
                <w:color w:val="000000"/>
                <w:sz w:val="18"/>
                <w:szCs w:val="18"/>
                <w:lang w:eastAsia="en-AU"/>
              </w:rPr>
            </w:pPr>
            <w:r>
              <w:rPr>
                <w:rFonts w:cs="Calibri"/>
                <w:b/>
                <w:color w:val="000000"/>
                <w:sz w:val="18"/>
                <w:szCs w:val="18"/>
                <w:lang w:eastAsia="en-AU"/>
              </w:rPr>
              <w:t>-</w:t>
            </w:r>
          </w:p>
        </w:tc>
      </w:tr>
      <w:tr w:rsidR="00F71B48" w:rsidRPr="007161E6" w:rsidTr="00AC7278">
        <w:trPr>
          <w:trHeight w:val="300"/>
        </w:trPr>
        <w:tc>
          <w:tcPr>
            <w:tcW w:w="2163" w:type="dxa"/>
            <w:tcBorders>
              <w:top w:val="nil"/>
              <w:left w:val="nil"/>
              <w:bottom w:val="nil"/>
              <w:right w:val="nil"/>
            </w:tcBorders>
            <w:shd w:val="clear" w:color="auto" w:fill="auto"/>
            <w:noWrap/>
            <w:hideMark/>
          </w:tcPr>
          <w:p w:rsidR="00F71B48" w:rsidRPr="007161E6" w:rsidRDefault="00F71B48" w:rsidP="00AC7278">
            <w:pPr>
              <w:rPr>
                <w:rFonts w:cs="Calibri"/>
                <w:i/>
                <w:iCs/>
                <w:color w:val="000000"/>
                <w:sz w:val="18"/>
                <w:szCs w:val="18"/>
                <w:lang w:eastAsia="en-AU"/>
              </w:rPr>
            </w:pPr>
          </w:p>
        </w:tc>
        <w:tc>
          <w:tcPr>
            <w:tcW w:w="1514"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sidRPr="007161E6">
              <w:rPr>
                <w:rFonts w:cs="Calibri"/>
                <w:i/>
                <w:iCs/>
                <w:color w:val="000000"/>
                <w:sz w:val="18"/>
                <w:szCs w:val="18"/>
                <w:lang w:eastAsia="en-AU"/>
              </w:rPr>
              <w:t>Variation (4)</w:t>
            </w:r>
          </w:p>
        </w:tc>
        <w:tc>
          <w:tcPr>
            <w:tcW w:w="944"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Pr>
                <w:rFonts w:cs="Calibri"/>
                <w:i/>
                <w:iCs/>
                <w:color w:val="000000"/>
                <w:sz w:val="18"/>
                <w:szCs w:val="18"/>
                <w:lang w:eastAsia="en-AU"/>
              </w:rPr>
              <w:t>-11.2</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Pr>
                <w:rFonts w:cs="Calibri"/>
                <w:i/>
                <w:iCs/>
                <w:color w:val="000000"/>
                <w:sz w:val="18"/>
                <w:szCs w:val="18"/>
                <w:lang w:eastAsia="en-AU"/>
              </w:rPr>
              <w:t>-15.3</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Pr>
                <w:rFonts w:cs="Calibri"/>
                <w:i/>
                <w:iCs/>
                <w:color w:val="000000"/>
                <w:sz w:val="18"/>
                <w:szCs w:val="18"/>
                <w:lang w:eastAsia="en-AU"/>
              </w:rPr>
              <w:t>-17.9</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Pr>
                <w:rFonts w:cs="Calibri"/>
                <w:i/>
                <w:iCs/>
                <w:color w:val="000000"/>
                <w:sz w:val="18"/>
                <w:szCs w:val="18"/>
                <w:lang w:eastAsia="en-AU"/>
              </w:rPr>
              <w:t>-12.3</w:t>
            </w:r>
          </w:p>
        </w:tc>
        <w:tc>
          <w:tcPr>
            <w:tcW w:w="945"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r>
              <w:rPr>
                <w:rFonts w:cs="Calibri"/>
                <w:i/>
                <w:iCs/>
                <w:color w:val="000000"/>
                <w:sz w:val="18"/>
                <w:szCs w:val="18"/>
                <w:lang w:eastAsia="en-AU"/>
              </w:rPr>
              <w:t>-</w:t>
            </w:r>
          </w:p>
        </w:tc>
        <w:tc>
          <w:tcPr>
            <w:tcW w:w="1069" w:type="dxa"/>
            <w:tcBorders>
              <w:top w:val="nil"/>
              <w:left w:val="nil"/>
              <w:bottom w:val="nil"/>
              <w:right w:val="nil"/>
            </w:tcBorders>
          </w:tcPr>
          <w:p w:rsidR="00F71B48" w:rsidRPr="007161E6" w:rsidRDefault="00F71B48" w:rsidP="00AC7278">
            <w:pPr>
              <w:jc w:val="right"/>
              <w:rPr>
                <w:rFonts w:cs="Calibri"/>
                <w:i/>
                <w:iCs/>
                <w:color w:val="000000"/>
                <w:sz w:val="18"/>
                <w:szCs w:val="18"/>
                <w:lang w:eastAsia="en-AU"/>
              </w:rPr>
            </w:pPr>
            <w:r>
              <w:rPr>
                <w:rFonts w:cs="Calibri"/>
                <w:i/>
                <w:iCs/>
                <w:color w:val="000000"/>
                <w:sz w:val="18"/>
                <w:szCs w:val="18"/>
                <w:lang w:eastAsia="en-AU"/>
              </w:rPr>
              <w:t>-56.8</w:t>
            </w:r>
          </w:p>
        </w:tc>
      </w:tr>
      <w:tr w:rsidR="00F71B48" w:rsidRPr="007161E6" w:rsidTr="00AC7278">
        <w:trPr>
          <w:trHeight w:val="300"/>
        </w:trPr>
        <w:tc>
          <w:tcPr>
            <w:tcW w:w="2163" w:type="dxa"/>
            <w:tcBorders>
              <w:top w:val="nil"/>
              <w:left w:val="nil"/>
              <w:bottom w:val="nil"/>
              <w:right w:val="nil"/>
            </w:tcBorders>
            <w:shd w:val="clear" w:color="auto" w:fill="auto"/>
            <w:noWrap/>
            <w:hideMark/>
          </w:tcPr>
          <w:p w:rsidR="00F71B48" w:rsidRPr="007161E6" w:rsidRDefault="00F71B48" w:rsidP="00AC7278">
            <w:pPr>
              <w:rPr>
                <w:rFonts w:cs="Calibri"/>
                <w:b/>
                <w:color w:val="000000"/>
                <w:sz w:val="18"/>
                <w:szCs w:val="18"/>
                <w:lang w:eastAsia="en-AU"/>
              </w:rPr>
            </w:pPr>
            <w:r w:rsidRPr="007161E6">
              <w:rPr>
                <w:rFonts w:cs="Calibri"/>
                <w:b/>
                <w:color w:val="000000"/>
                <w:sz w:val="18"/>
                <w:szCs w:val="18"/>
                <w:lang w:eastAsia="en-AU"/>
              </w:rPr>
              <w:t>2013-14 Federal Budget</w:t>
            </w:r>
          </w:p>
        </w:tc>
        <w:tc>
          <w:tcPr>
            <w:tcW w:w="1514" w:type="dxa"/>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sidRPr="007161E6">
              <w:rPr>
                <w:rFonts w:cs="Calibri"/>
                <w:b/>
                <w:color w:val="000000"/>
                <w:sz w:val="18"/>
                <w:szCs w:val="18"/>
                <w:lang w:eastAsia="en-AU"/>
              </w:rPr>
              <w:t>14 May 2013</w:t>
            </w:r>
          </w:p>
        </w:tc>
        <w:tc>
          <w:tcPr>
            <w:tcW w:w="944" w:type="dxa"/>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Pr>
                <w:rFonts w:cs="Calibri"/>
                <w:b/>
                <w:color w:val="000000"/>
                <w:sz w:val="18"/>
                <w:szCs w:val="18"/>
                <w:lang w:eastAsia="en-AU"/>
              </w:rPr>
              <w:t>970.7</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Pr>
                <w:rFonts w:cs="Calibri"/>
                <w:b/>
                <w:color w:val="000000"/>
                <w:sz w:val="18"/>
                <w:szCs w:val="18"/>
                <w:lang w:eastAsia="en-AU"/>
              </w:rPr>
              <w:t>1,021.8</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Pr>
                <w:rFonts w:cs="Calibri"/>
                <w:b/>
                <w:color w:val="000000"/>
                <w:sz w:val="18"/>
                <w:szCs w:val="18"/>
                <w:lang w:eastAsia="en-AU"/>
              </w:rPr>
              <w:t>1,078.9</w:t>
            </w: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Pr>
                <w:rFonts w:cs="Calibri"/>
                <w:b/>
                <w:color w:val="000000"/>
                <w:sz w:val="18"/>
                <w:szCs w:val="18"/>
                <w:lang w:eastAsia="en-AU"/>
              </w:rPr>
              <w:t>1,144.6</w:t>
            </w:r>
          </w:p>
        </w:tc>
        <w:tc>
          <w:tcPr>
            <w:tcW w:w="945" w:type="dxa"/>
            <w:tcBorders>
              <w:top w:val="nil"/>
              <w:left w:val="nil"/>
              <w:bottom w:val="nil"/>
              <w:right w:val="nil"/>
            </w:tcBorders>
            <w:shd w:val="clear" w:color="auto" w:fill="auto"/>
            <w:noWrap/>
            <w:hideMark/>
          </w:tcPr>
          <w:p w:rsidR="00F71B48" w:rsidRPr="007161E6" w:rsidRDefault="00F71B48" w:rsidP="00AC7278">
            <w:pPr>
              <w:jc w:val="right"/>
              <w:rPr>
                <w:rFonts w:cs="Calibri"/>
                <w:b/>
                <w:color w:val="000000"/>
                <w:sz w:val="18"/>
                <w:szCs w:val="18"/>
                <w:lang w:eastAsia="en-AU"/>
              </w:rPr>
            </w:pPr>
            <w:r>
              <w:rPr>
                <w:rFonts w:cs="Calibri"/>
                <w:b/>
                <w:color w:val="000000"/>
                <w:sz w:val="18"/>
                <w:szCs w:val="18"/>
                <w:lang w:eastAsia="en-AU"/>
              </w:rPr>
              <w:t>1,208.5</w:t>
            </w:r>
          </w:p>
        </w:tc>
        <w:tc>
          <w:tcPr>
            <w:tcW w:w="1069" w:type="dxa"/>
            <w:tcBorders>
              <w:top w:val="nil"/>
              <w:left w:val="nil"/>
              <w:bottom w:val="nil"/>
              <w:right w:val="nil"/>
            </w:tcBorders>
          </w:tcPr>
          <w:p w:rsidR="00F71B48" w:rsidRPr="007161E6" w:rsidRDefault="00863C05" w:rsidP="00AC7278">
            <w:pPr>
              <w:jc w:val="right"/>
              <w:rPr>
                <w:rFonts w:cs="Calibri"/>
                <w:b/>
                <w:color w:val="000000"/>
                <w:sz w:val="18"/>
                <w:szCs w:val="18"/>
                <w:lang w:eastAsia="en-AU"/>
              </w:rPr>
            </w:pPr>
            <w:r>
              <w:rPr>
                <w:rFonts w:cs="Calibri"/>
                <w:b/>
                <w:color w:val="000000"/>
                <w:sz w:val="18"/>
                <w:szCs w:val="18"/>
                <w:lang w:eastAsia="en-AU"/>
              </w:rPr>
              <w:t>-</w:t>
            </w:r>
          </w:p>
        </w:tc>
      </w:tr>
      <w:tr w:rsidR="00F71B48" w:rsidRPr="007161E6" w:rsidTr="00AC7278">
        <w:trPr>
          <w:trHeight w:hRule="exact" w:val="170"/>
        </w:trPr>
        <w:tc>
          <w:tcPr>
            <w:tcW w:w="2163" w:type="dxa"/>
            <w:tcBorders>
              <w:top w:val="nil"/>
              <w:left w:val="nil"/>
              <w:bottom w:val="nil"/>
              <w:right w:val="nil"/>
            </w:tcBorders>
            <w:shd w:val="clear" w:color="auto" w:fill="auto"/>
            <w:noWrap/>
            <w:hideMark/>
          </w:tcPr>
          <w:p w:rsidR="00F71B48" w:rsidRPr="007161E6" w:rsidRDefault="00F71B48" w:rsidP="00AC7278">
            <w:pPr>
              <w:rPr>
                <w:rFonts w:cs="Calibri"/>
                <w:color w:val="000000"/>
                <w:sz w:val="18"/>
                <w:szCs w:val="18"/>
                <w:lang w:eastAsia="en-AU"/>
              </w:rPr>
            </w:pPr>
          </w:p>
        </w:tc>
        <w:tc>
          <w:tcPr>
            <w:tcW w:w="1514"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p>
        </w:tc>
        <w:tc>
          <w:tcPr>
            <w:tcW w:w="944"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p>
        </w:tc>
        <w:tc>
          <w:tcPr>
            <w:tcW w:w="944" w:type="dxa"/>
            <w:gridSpan w:val="2"/>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p>
        </w:tc>
        <w:tc>
          <w:tcPr>
            <w:tcW w:w="945" w:type="dxa"/>
            <w:tcBorders>
              <w:top w:val="nil"/>
              <w:left w:val="nil"/>
              <w:bottom w:val="nil"/>
              <w:right w:val="nil"/>
            </w:tcBorders>
            <w:shd w:val="clear" w:color="auto" w:fill="auto"/>
            <w:noWrap/>
            <w:hideMark/>
          </w:tcPr>
          <w:p w:rsidR="00F71B48" w:rsidRPr="007161E6" w:rsidRDefault="00F71B48" w:rsidP="00AC7278">
            <w:pPr>
              <w:jc w:val="right"/>
              <w:rPr>
                <w:rFonts w:cs="Calibri"/>
                <w:i/>
                <w:iCs/>
                <w:color w:val="000000"/>
                <w:sz w:val="18"/>
                <w:szCs w:val="18"/>
                <w:lang w:eastAsia="en-AU"/>
              </w:rPr>
            </w:pPr>
          </w:p>
        </w:tc>
        <w:tc>
          <w:tcPr>
            <w:tcW w:w="1069" w:type="dxa"/>
            <w:tcBorders>
              <w:top w:val="nil"/>
              <w:left w:val="nil"/>
              <w:bottom w:val="nil"/>
              <w:right w:val="nil"/>
            </w:tcBorders>
          </w:tcPr>
          <w:p w:rsidR="00F71B48" w:rsidRPr="007161E6" w:rsidRDefault="00F71B48" w:rsidP="00AC7278">
            <w:pPr>
              <w:jc w:val="right"/>
              <w:rPr>
                <w:rFonts w:cs="Calibri"/>
                <w:i/>
                <w:iCs/>
                <w:color w:val="000000"/>
                <w:sz w:val="18"/>
                <w:szCs w:val="18"/>
                <w:lang w:eastAsia="en-AU"/>
              </w:rPr>
            </w:pPr>
          </w:p>
        </w:tc>
      </w:tr>
      <w:tr w:rsidR="00F71B48" w:rsidRPr="007161E6" w:rsidTr="00AC7278">
        <w:trPr>
          <w:trHeight w:val="300"/>
        </w:trPr>
        <w:tc>
          <w:tcPr>
            <w:tcW w:w="2163" w:type="dxa"/>
            <w:tcBorders>
              <w:top w:val="nil"/>
              <w:left w:val="nil"/>
              <w:bottom w:val="nil"/>
              <w:right w:val="nil"/>
            </w:tcBorders>
            <w:shd w:val="clear" w:color="000000" w:fill="D8D8D8"/>
            <w:noWrap/>
            <w:hideMark/>
          </w:tcPr>
          <w:p w:rsidR="00F71B48" w:rsidRPr="007161E6" w:rsidRDefault="00F71B48" w:rsidP="00AC7278">
            <w:pPr>
              <w:rPr>
                <w:rFonts w:cs="Calibri"/>
                <w:b/>
                <w:i/>
                <w:iCs/>
                <w:color w:val="000000"/>
                <w:sz w:val="18"/>
                <w:szCs w:val="18"/>
                <w:lang w:eastAsia="en-AU"/>
              </w:rPr>
            </w:pPr>
            <w:r w:rsidRPr="007161E6">
              <w:rPr>
                <w:rFonts w:cs="Calibri"/>
                <w:b/>
                <w:i/>
                <w:iCs/>
                <w:color w:val="000000"/>
                <w:sz w:val="18"/>
                <w:szCs w:val="18"/>
                <w:lang w:eastAsia="en-AU"/>
              </w:rPr>
              <w:t>2013-14 ACT Budget</w:t>
            </w:r>
          </w:p>
        </w:tc>
        <w:tc>
          <w:tcPr>
            <w:tcW w:w="1514" w:type="dxa"/>
            <w:tcBorders>
              <w:top w:val="nil"/>
              <w:left w:val="nil"/>
              <w:bottom w:val="nil"/>
              <w:right w:val="nil"/>
            </w:tcBorders>
            <w:shd w:val="clear" w:color="000000" w:fill="D8D8D8"/>
            <w:noWrap/>
            <w:hideMark/>
          </w:tcPr>
          <w:p w:rsidR="00F71B48" w:rsidRPr="007161E6" w:rsidRDefault="00F71B48" w:rsidP="00AC7278">
            <w:pPr>
              <w:jc w:val="right"/>
              <w:rPr>
                <w:rFonts w:cs="Calibri"/>
                <w:b/>
                <w:i/>
                <w:iCs/>
                <w:color w:val="000000"/>
                <w:sz w:val="18"/>
                <w:szCs w:val="18"/>
                <w:lang w:eastAsia="en-AU"/>
              </w:rPr>
            </w:pPr>
            <w:r w:rsidRPr="007161E6">
              <w:rPr>
                <w:rFonts w:cs="Calibri"/>
                <w:b/>
                <w:i/>
                <w:iCs/>
                <w:color w:val="000000"/>
                <w:sz w:val="18"/>
                <w:szCs w:val="18"/>
                <w:lang w:eastAsia="en-AU"/>
              </w:rPr>
              <w:t> </w:t>
            </w:r>
          </w:p>
        </w:tc>
        <w:tc>
          <w:tcPr>
            <w:tcW w:w="944" w:type="dxa"/>
            <w:tcBorders>
              <w:top w:val="nil"/>
              <w:left w:val="nil"/>
              <w:bottom w:val="nil"/>
              <w:right w:val="nil"/>
            </w:tcBorders>
            <w:shd w:val="clear" w:color="000000" w:fill="D8D8D8"/>
            <w:noWrap/>
            <w:hideMark/>
          </w:tcPr>
          <w:p w:rsidR="00F71B48" w:rsidRPr="007161E6" w:rsidRDefault="00F71B48" w:rsidP="00AC7278">
            <w:pPr>
              <w:jc w:val="right"/>
              <w:rPr>
                <w:rFonts w:cs="Calibri"/>
                <w:b/>
                <w:i/>
                <w:iCs/>
                <w:color w:val="000000"/>
                <w:sz w:val="18"/>
                <w:szCs w:val="18"/>
                <w:lang w:eastAsia="en-AU"/>
              </w:rPr>
            </w:pPr>
            <w:r>
              <w:rPr>
                <w:rFonts w:cs="Calibri"/>
                <w:b/>
                <w:i/>
                <w:iCs/>
                <w:color w:val="000000"/>
                <w:sz w:val="18"/>
                <w:szCs w:val="18"/>
                <w:lang w:eastAsia="en-AU"/>
              </w:rPr>
              <w:t>970.7</w:t>
            </w:r>
          </w:p>
        </w:tc>
        <w:tc>
          <w:tcPr>
            <w:tcW w:w="944" w:type="dxa"/>
            <w:gridSpan w:val="2"/>
            <w:tcBorders>
              <w:top w:val="nil"/>
              <w:left w:val="nil"/>
              <w:bottom w:val="nil"/>
              <w:right w:val="nil"/>
            </w:tcBorders>
            <w:shd w:val="clear" w:color="000000" w:fill="D8D8D8"/>
            <w:noWrap/>
            <w:hideMark/>
          </w:tcPr>
          <w:p w:rsidR="00F71B48" w:rsidRPr="007161E6" w:rsidRDefault="00F71B48" w:rsidP="00AC7278">
            <w:pPr>
              <w:jc w:val="right"/>
              <w:rPr>
                <w:rFonts w:cs="Calibri"/>
                <w:b/>
                <w:i/>
                <w:iCs/>
                <w:color w:val="000000"/>
                <w:sz w:val="18"/>
                <w:szCs w:val="18"/>
                <w:lang w:eastAsia="en-AU"/>
              </w:rPr>
            </w:pPr>
            <w:r>
              <w:rPr>
                <w:rFonts w:cs="Calibri"/>
                <w:b/>
                <w:i/>
                <w:iCs/>
                <w:color w:val="000000"/>
                <w:sz w:val="18"/>
                <w:szCs w:val="18"/>
                <w:lang w:eastAsia="en-AU"/>
              </w:rPr>
              <w:t>1,021.8</w:t>
            </w:r>
          </w:p>
        </w:tc>
        <w:tc>
          <w:tcPr>
            <w:tcW w:w="944" w:type="dxa"/>
            <w:gridSpan w:val="2"/>
            <w:tcBorders>
              <w:top w:val="nil"/>
              <w:left w:val="nil"/>
              <w:bottom w:val="nil"/>
              <w:right w:val="nil"/>
            </w:tcBorders>
            <w:shd w:val="clear" w:color="000000" w:fill="D8D8D8"/>
            <w:noWrap/>
            <w:hideMark/>
          </w:tcPr>
          <w:p w:rsidR="00F71B48" w:rsidRPr="007161E6" w:rsidRDefault="00F71B48" w:rsidP="00AC7278">
            <w:pPr>
              <w:jc w:val="right"/>
              <w:rPr>
                <w:rFonts w:cs="Calibri"/>
                <w:b/>
                <w:i/>
                <w:iCs/>
                <w:color w:val="000000"/>
                <w:sz w:val="18"/>
                <w:szCs w:val="18"/>
                <w:lang w:eastAsia="en-AU"/>
              </w:rPr>
            </w:pPr>
            <w:r>
              <w:rPr>
                <w:rFonts w:cs="Calibri"/>
                <w:b/>
                <w:i/>
                <w:iCs/>
                <w:color w:val="000000"/>
                <w:sz w:val="18"/>
                <w:szCs w:val="18"/>
                <w:lang w:eastAsia="en-AU"/>
              </w:rPr>
              <w:t>1,078.9</w:t>
            </w:r>
          </w:p>
        </w:tc>
        <w:tc>
          <w:tcPr>
            <w:tcW w:w="944" w:type="dxa"/>
            <w:gridSpan w:val="2"/>
            <w:tcBorders>
              <w:top w:val="nil"/>
              <w:left w:val="nil"/>
              <w:bottom w:val="nil"/>
              <w:right w:val="nil"/>
            </w:tcBorders>
            <w:shd w:val="clear" w:color="000000" w:fill="D8D8D8"/>
            <w:noWrap/>
            <w:hideMark/>
          </w:tcPr>
          <w:p w:rsidR="00F71B48" w:rsidRPr="007161E6" w:rsidRDefault="00F71B48" w:rsidP="00AC7278">
            <w:pPr>
              <w:jc w:val="right"/>
              <w:rPr>
                <w:rFonts w:cs="Calibri"/>
                <w:b/>
                <w:i/>
                <w:iCs/>
                <w:color w:val="000000"/>
                <w:sz w:val="18"/>
                <w:szCs w:val="18"/>
                <w:lang w:eastAsia="en-AU"/>
              </w:rPr>
            </w:pPr>
            <w:r>
              <w:rPr>
                <w:rFonts w:cs="Calibri"/>
                <w:b/>
                <w:i/>
                <w:iCs/>
                <w:color w:val="000000"/>
                <w:sz w:val="18"/>
                <w:szCs w:val="18"/>
                <w:lang w:eastAsia="en-AU"/>
              </w:rPr>
              <w:t>1,144.6</w:t>
            </w:r>
          </w:p>
        </w:tc>
        <w:tc>
          <w:tcPr>
            <w:tcW w:w="945" w:type="dxa"/>
            <w:tcBorders>
              <w:top w:val="nil"/>
              <w:left w:val="nil"/>
              <w:bottom w:val="nil"/>
              <w:right w:val="nil"/>
            </w:tcBorders>
            <w:shd w:val="clear" w:color="000000" w:fill="D8D8D8"/>
            <w:noWrap/>
            <w:hideMark/>
          </w:tcPr>
          <w:p w:rsidR="00F71B48" w:rsidRPr="007161E6" w:rsidRDefault="00F71B48" w:rsidP="00AC7278">
            <w:pPr>
              <w:jc w:val="right"/>
              <w:rPr>
                <w:rFonts w:cs="Calibri"/>
                <w:b/>
                <w:i/>
                <w:iCs/>
                <w:color w:val="000000"/>
                <w:sz w:val="18"/>
                <w:szCs w:val="18"/>
                <w:lang w:eastAsia="en-AU"/>
              </w:rPr>
            </w:pPr>
            <w:r>
              <w:rPr>
                <w:rFonts w:cs="Calibri"/>
                <w:b/>
                <w:i/>
                <w:iCs/>
                <w:color w:val="000000"/>
                <w:sz w:val="18"/>
                <w:szCs w:val="18"/>
                <w:lang w:eastAsia="en-AU"/>
              </w:rPr>
              <w:t>1,208.5</w:t>
            </w:r>
          </w:p>
        </w:tc>
        <w:tc>
          <w:tcPr>
            <w:tcW w:w="1069" w:type="dxa"/>
            <w:tcBorders>
              <w:top w:val="nil"/>
              <w:left w:val="nil"/>
              <w:bottom w:val="nil"/>
              <w:right w:val="nil"/>
            </w:tcBorders>
            <w:shd w:val="clear" w:color="000000" w:fill="D8D8D8"/>
          </w:tcPr>
          <w:p w:rsidR="00F71B48" w:rsidRPr="007161E6" w:rsidRDefault="00F71B48" w:rsidP="00AC7278">
            <w:pPr>
              <w:jc w:val="right"/>
              <w:rPr>
                <w:rFonts w:cs="Calibri"/>
                <w:b/>
                <w:i/>
                <w:iCs/>
                <w:color w:val="000000"/>
                <w:sz w:val="18"/>
                <w:szCs w:val="18"/>
                <w:lang w:eastAsia="en-AU"/>
              </w:rPr>
            </w:pPr>
          </w:p>
        </w:tc>
      </w:tr>
      <w:tr w:rsidR="00F71B48" w:rsidRPr="007161E6" w:rsidTr="00AC7278">
        <w:trPr>
          <w:trHeight w:val="74"/>
        </w:trPr>
        <w:tc>
          <w:tcPr>
            <w:tcW w:w="2163" w:type="dxa"/>
            <w:tcBorders>
              <w:top w:val="nil"/>
              <w:left w:val="nil"/>
              <w:right w:val="nil"/>
            </w:tcBorders>
            <w:shd w:val="clear" w:color="auto" w:fill="auto"/>
            <w:noWrap/>
            <w:hideMark/>
          </w:tcPr>
          <w:p w:rsidR="00F71B48" w:rsidRPr="007161E6" w:rsidRDefault="00F71B48" w:rsidP="00AC7278">
            <w:pPr>
              <w:jc w:val="right"/>
              <w:rPr>
                <w:rFonts w:cs="Calibri"/>
                <w:i/>
                <w:color w:val="000000"/>
                <w:sz w:val="18"/>
                <w:szCs w:val="18"/>
                <w:lang w:eastAsia="en-AU"/>
              </w:rPr>
            </w:pPr>
          </w:p>
        </w:tc>
        <w:tc>
          <w:tcPr>
            <w:tcW w:w="1514" w:type="dxa"/>
            <w:tcBorders>
              <w:top w:val="nil"/>
              <w:left w:val="nil"/>
              <w:right w:val="nil"/>
            </w:tcBorders>
            <w:shd w:val="clear" w:color="auto" w:fill="auto"/>
            <w:noWrap/>
            <w:hideMark/>
          </w:tcPr>
          <w:p w:rsidR="00F71B48" w:rsidRPr="007161E6" w:rsidRDefault="00F71B48" w:rsidP="00AC7278">
            <w:pPr>
              <w:jc w:val="right"/>
              <w:rPr>
                <w:rFonts w:cs="Calibri"/>
                <w:i/>
                <w:color w:val="000000"/>
                <w:sz w:val="18"/>
                <w:szCs w:val="18"/>
                <w:lang w:eastAsia="en-AU"/>
              </w:rPr>
            </w:pPr>
          </w:p>
        </w:tc>
        <w:tc>
          <w:tcPr>
            <w:tcW w:w="944" w:type="dxa"/>
            <w:tcBorders>
              <w:top w:val="nil"/>
              <w:left w:val="nil"/>
              <w:right w:val="nil"/>
            </w:tcBorders>
            <w:shd w:val="clear" w:color="auto" w:fill="auto"/>
            <w:noWrap/>
            <w:hideMark/>
          </w:tcPr>
          <w:p w:rsidR="00F71B48" w:rsidRPr="007161E6" w:rsidRDefault="00F71B48" w:rsidP="00AC7278">
            <w:pPr>
              <w:jc w:val="right"/>
              <w:rPr>
                <w:rFonts w:cs="Calibri"/>
                <w:i/>
                <w:color w:val="000000"/>
                <w:sz w:val="18"/>
                <w:szCs w:val="18"/>
                <w:lang w:eastAsia="en-AU"/>
              </w:rPr>
            </w:pPr>
          </w:p>
        </w:tc>
        <w:tc>
          <w:tcPr>
            <w:tcW w:w="944" w:type="dxa"/>
            <w:gridSpan w:val="2"/>
            <w:tcBorders>
              <w:top w:val="nil"/>
              <w:left w:val="nil"/>
              <w:right w:val="nil"/>
            </w:tcBorders>
            <w:shd w:val="clear" w:color="auto" w:fill="auto"/>
            <w:noWrap/>
            <w:hideMark/>
          </w:tcPr>
          <w:p w:rsidR="00F71B48" w:rsidRPr="007161E6" w:rsidRDefault="00F71B48" w:rsidP="00AC7278">
            <w:pPr>
              <w:jc w:val="right"/>
              <w:rPr>
                <w:rFonts w:cs="Calibri"/>
                <w:i/>
                <w:color w:val="000000"/>
                <w:sz w:val="18"/>
                <w:szCs w:val="18"/>
                <w:lang w:eastAsia="en-AU"/>
              </w:rPr>
            </w:pPr>
          </w:p>
        </w:tc>
        <w:tc>
          <w:tcPr>
            <w:tcW w:w="944" w:type="dxa"/>
            <w:gridSpan w:val="2"/>
            <w:tcBorders>
              <w:top w:val="nil"/>
              <w:left w:val="nil"/>
              <w:right w:val="nil"/>
            </w:tcBorders>
            <w:shd w:val="clear" w:color="auto" w:fill="auto"/>
            <w:noWrap/>
            <w:hideMark/>
          </w:tcPr>
          <w:p w:rsidR="00F71B48" w:rsidRPr="007161E6" w:rsidRDefault="00F71B48" w:rsidP="00AC7278">
            <w:pPr>
              <w:jc w:val="right"/>
              <w:rPr>
                <w:rFonts w:cs="Calibri"/>
                <w:i/>
                <w:color w:val="000000"/>
                <w:sz w:val="18"/>
                <w:szCs w:val="18"/>
                <w:lang w:eastAsia="en-AU"/>
              </w:rPr>
            </w:pPr>
          </w:p>
        </w:tc>
        <w:tc>
          <w:tcPr>
            <w:tcW w:w="944" w:type="dxa"/>
            <w:gridSpan w:val="2"/>
            <w:tcBorders>
              <w:top w:val="nil"/>
              <w:left w:val="nil"/>
              <w:right w:val="nil"/>
            </w:tcBorders>
            <w:shd w:val="clear" w:color="auto" w:fill="auto"/>
            <w:noWrap/>
            <w:hideMark/>
          </w:tcPr>
          <w:p w:rsidR="00F71B48" w:rsidRPr="007161E6" w:rsidRDefault="00F71B48" w:rsidP="00AC7278">
            <w:pPr>
              <w:jc w:val="right"/>
              <w:rPr>
                <w:rFonts w:cs="Calibri"/>
                <w:i/>
                <w:color w:val="000000"/>
                <w:sz w:val="18"/>
                <w:szCs w:val="18"/>
                <w:lang w:eastAsia="en-AU"/>
              </w:rPr>
            </w:pPr>
          </w:p>
        </w:tc>
        <w:tc>
          <w:tcPr>
            <w:tcW w:w="945" w:type="dxa"/>
            <w:tcBorders>
              <w:top w:val="nil"/>
              <w:left w:val="nil"/>
              <w:right w:val="nil"/>
            </w:tcBorders>
            <w:shd w:val="clear" w:color="auto" w:fill="auto"/>
            <w:noWrap/>
            <w:hideMark/>
          </w:tcPr>
          <w:p w:rsidR="00F71B48" w:rsidRPr="007161E6" w:rsidRDefault="00F71B48" w:rsidP="00AC7278">
            <w:pPr>
              <w:jc w:val="right"/>
              <w:rPr>
                <w:rFonts w:cs="Calibri"/>
                <w:i/>
                <w:color w:val="000000"/>
                <w:sz w:val="18"/>
                <w:szCs w:val="18"/>
                <w:lang w:eastAsia="en-AU"/>
              </w:rPr>
            </w:pPr>
          </w:p>
        </w:tc>
        <w:tc>
          <w:tcPr>
            <w:tcW w:w="1069" w:type="dxa"/>
            <w:tcBorders>
              <w:top w:val="nil"/>
              <w:left w:val="nil"/>
              <w:right w:val="nil"/>
            </w:tcBorders>
          </w:tcPr>
          <w:p w:rsidR="00F71B48" w:rsidRPr="007161E6" w:rsidRDefault="00F71B48" w:rsidP="00AC7278">
            <w:pPr>
              <w:jc w:val="right"/>
              <w:rPr>
                <w:rFonts w:cs="Calibri"/>
                <w:i/>
                <w:color w:val="000000"/>
                <w:sz w:val="18"/>
                <w:szCs w:val="18"/>
                <w:lang w:eastAsia="en-AU"/>
              </w:rPr>
            </w:pPr>
          </w:p>
        </w:tc>
      </w:tr>
      <w:tr w:rsidR="00F71B48" w:rsidRPr="007161E6" w:rsidTr="00AC7278">
        <w:trPr>
          <w:trHeight w:val="463"/>
        </w:trPr>
        <w:tc>
          <w:tcPr>
            <w:tcW w:w="3677" w:type="dxa"/>
            <w:gridSpan w:val="2"/>
            <w:tcBorders>
              <w:top w:val="nil"/>
              <w:left w:val="nil"/>
              <w:bottom w:val="single" w:sz="4" w:space="0" w:color="auto"/>
              <w:right w:val="nil"/>
            </w:tcBorders>
            <w:shd w:val="clear" w:color="auto" w:fill="auto"/>
            <w:hideMark/>
          </w:tcPr>
          <w:p w:rsidR="00F71B48" w:rsidRPr="00863C05" w:rsidRDefault="00F71B48" w:rsidP="00863C05">
            <w:pPr>
              <w:pStyle w:val="TableTextLeft-BP3"/>
              <w:rPr>
                <w:sz w:val="18"/>
                <w:lang w:eastAsia="en-AU"/>
              </w:rPr>
            </w:pPr>
            <w:r w:rsidRPr="00863C05">
              <w:rPr>
                <w:sz w:val="18"/>
                <w:lang w:eastAsia="en-AU"/>
              </w:rPr>
              <w:t>Accumulated variation from 2012-13 Budget to  2013-14 Budget**</w:t>
            </w:r>
          </w:p>
        </w:tc>
        <w:tc>
          <w:tcPr>
            <w:tcW w:w="944" w:type="dxa"/>
            <w:tcBorders>
              <w:top w:val="nil"/>
              <w:left w:val="nil"/>
              <w:bottom w:val="single" w:sz="4" w:space="0" w:color="auto"/>
              <w:right w:val="nil"/>
            </w:tcBorders>
            <w:shd w:val="clear" w:color="auto" w:fill="auto"/>
            <w:noWrap/>
            <w:hideMark/>
          </w:tcPr>
          <w:p w:rsidR="00F71B48" w:rsidRPr="007161E6" w:rsidRDefault="00F71B48" w:rsidP="00AC7278">
            <w:pPr>
              <w:jc w:val="right"/>
              <w:rPr>
                <w:rFonts w:cs="Calibri"/>
                <w:i/>
                <w:iCs/>
                <w:sz w:val="18"/>
                <w:szCs w:val="18"/>
              </w:rPr>
            </w:pPr>
            <w:r>
              <w:rPr>
                <w:rFonts w:cs="Calibri"/>
                <w:i/>
                <w:iCs/>
                <w:sz w:val="18"/>
                <w:szCs w:val="18"/>
              </w:rPr>
              <w:t>32.5</w:t>
            </w:r>
          </w:p>
        </w:tc>
        <w:tc>
          <w:tcPr>
            <w:tcW w:w="944" w:type="dxa"/>
            <w:gridSpan w:val="2"/>
            <w:tcBorders>
              <w:top w:val="nil"/>
              <w:left w:val="nil"/>
              <w:bottom w:val="single" w:sz="4" w:space="0" w:color="auto"/>
              <w:right w:val="nil"/>
            </w:tcBorders>
            <w:shd w:val="clear" w:color="auto" w:fill="auto"/>
            <w:noWrap/>
            <w:hideMark/>
          </w:tcPr>
          <w:p w:rsidR="00F71B48" w:rsidRPr="007161E6" w:rsidRDefault="00F71B48" w:rsidP="00AC7278">
            <w:pPr>
              <w:jc w:val="right"/>
              <w:rPr>
                <w:rFonts w:cs="Calibri"/>
                <w:i/>
                <w:iCs/>
                <w:sz w:val="18"/>
                <w:szCs w:val="18"/>
              </w:rPr>
            </w:pPr>
            <w:r>
              <w:rPr>
                <w:rFonts w:cs="Calibri"/>
                <w:i/>
                <w:iCs/>
                <w:sz w:val="18"/>
                <w:szCs w:val="18"/>
              </w:rPr>
              <w:t>28.2</w:t>
            </w:r>
          </w:p>
        </w:tc>
        <w:tc>
          <w:tcPr>
            <w:tcW w:w="944" w:type="dxa"/>
            <w:gridSpan w:val="2"/>
            <w:tcBorders>
              <w:top w:val="nil"/>
              <w:left w:val="nil"/>
              <w:bottom w:val="single" w:sz="4" w:space="0" w:color="auto"/>
              <w:right w:val="nil"/>
            </w:tcBorders>
            <w:shd w:val="clear" w:color="auto" w:fill="auto"/>
            <w:noWrap/>
            <w:hideMark/>
          </w:tcPr>
          <w:p w:rsidR="00F71B48" w:rsidRPr="007161E6" w:rsidRDefault="00F71B48" w:rsidP="00AC7278">
            <w:pPr>
              <w:jc w:val="right"/>
              <w:rPr>
                <w:rFonts w:cs="Calibri"/>
                <w:i/>
                <w:iCs/>
                <w:sz w:val="18"/>
                <w:szCs w:val="18"/>
              </w:rPr>
            </w:pPr>
            <w:r>
              <w:rPr>
                <w:rFonts w:cs="Calibri"/>
                <w:i/>
                <w:iCs/>
                <w:sz w:val="18"/>
                <w:szCs w:val="18"/>
              </w:rPr>
              <w:t>31.4</w:t>
            </w:r>
          </w:p>
        </w:tc>
        <w:tc>
          <w:tcPr>
            <w:tcW w:w="944" w:type="dxa"/>
            <w:gridSpan w:val="2"/>
            <w:tcBorders>
              <w:top w:val="nil"/>
              <w:left w:val="nil"/>
              <w:bottom w:val="single" w:sz="4" w:space="0" w:color="auto"/>
              <w:right w:val="nil"/>
            </w:tcBorders>
            <w:shd w:val="clear" w:color="auto" w:fill="auto"/>
            <w:noWrap/>
            <w:hideMark/>
          </w:tcPr>
          <w:p w:rsidR="00F71B48" w:rsidRPr="007161E6" w:rsidRDefault="00F71B48" w:rsidP="00AC7278">
            <w:pPr>
              <w:jc w:val="right"/>
              <w:rPr>
                <w:rFonts w:cs="Calibri"/>
                <w:i/>
                <w:iCs/>
                <w:sz w:val="18"/>
                <w:szCs w:val="18"/>
              </w:rPr>
            </w:pPr>
            <w:r>
              <w:rPr>
                <w:rFonts w:cs="Calibri"/>
                <w:i/>
                <w:iCs/>
                <w:sz w:val="18"/>
                <w:szCs w:val="18"/>
              </w:rPr>
              <w:t>43.6</w:t>
            </w:r>
          </w:p>
        </w:tc>
        <w:tc>
          <w:tcPr>
            <w:tcW w:w="945" w:type="dxa"/>
            <w:tcBorders>
              <w:top w:val="nil"/>
              <w:left w:val="nil"/>
              <w:bottom w:val="single" w:sz="4" w:space="0" w:color="auto"/>
              <w:right w:val="nil"/>
            </w:tcBorders>
            <w:shd w:val="clear" w:color="auto" w:fill="auto"/>
            <w:noWrap/>
            <w:hideMark/>
          </w:tcPr>
          <w:p w:rsidR="00F71B48" w:rsidRPr="007161E6" w:rsidRDefault="00F71B48" w:rsidP="00AC7278">
            <w:pPr>
              <w:jc w:val="right"/>
              <w:rPr>
                <w:rFonts w:cs="Calibri"/>
                <w:color w:val="000000"/>
                <w:sz w:val="18"/>
                <w:szCs w:val="18"/>
                <w:highlight w:val="yellow"/>
                <w:lang w:eastAsia="en-AU"/>
              </w:rPr>
            </w:pPr>
            <w:r w:rsidRPr="00AE029D">
              <w:rPr>
                <w:rFonts w:cs="Calibri"/>
                <w:color w:val="000000"/>
                <w:sz w:val="18"/>
                <w:szCs w:val="18"/>
                <w:lang w:eastAsia="en-AU"/>
              </w:rPr>
              <w:t>-</w:t>
            </w:r>
          </w:p>
        </w:tc>
        <w:tc>
          <w:tcPr>
            <w:tcW w:w="1069" w:type="dxa"/>
            <w:tcBorders>
              <w:top w:val="nil"/>
              <w:left w:val="nil"/>
              <w:bottom w:val="single" w:sz="4" w:space="0" w:color="auto"/>
              <w:right w:val="nil"/>
            </w:tcBorders>
          </w:tcPr>
          <w:p w:rsidR="00F71B48" w:rsidRPr="007161E6" w:rsidRDefault="00F71B48" w:rsidP="00AC7278">
            <w:pPr>
              <w:jc w:val="right"/>
              <w:rPr>
                <w:rFonts w:cs="Calibri"/>
                <w:i/>
                <w:color w:val="000000"/>
                <w:sz w:val="18"/>
                <w:szCs w:val="18"/>
                <w:lang w:eastAsia="en-AU"/>
              </w:rPr>
            </w:pPr>
            <w:r>
              <w:rPr>
                <w:rFonts w:cs="Calibri"/>
                <w:i/>
                <w:color w:val="000000"/>
                <w:sz w:val="18"/>
                <w:szCs w:val="18"/>
                <w:lang w:eastAsia="en-AU"/>
              </w:rPr>
              <w:t>135.62</w:t>
            </w:r>
          </w:p>
        </w:tc>
      </w:tr>
    </w:tbl>
    <w:p w:rsidR="00F71B48" w:rsidRPr="00F26670" w:rsidRDefault="00F71B48" w:rsidP="00F26670">
      <w:pPr>
        <w:pStyle w:val="NoteText"/>
      </w:pPr>
      <w:r w:rsidRPr="00863C05">
        <w:rPr>
          <w:rStyle w:val="NoteHeadingChar"/>
        </w:rPr>
        <w:t>Note:</w:t>
      </w:r>
      <w:r w:rsidRPr="00865E41">
        <w:t xml:space="preserve"> </w:t>
      </w:r>
      <w:r w:rsidRPr="00F26670">
        <w:t>Table may not add due to rounding.</w:t>
      </w:r>
    </w:p>
    <w:p w:rsidR="00F71B48" w:rsidRPr="00F26670" w:rsidRDefault="00F71B48" w:rsidP="00F26670">
      <w:pPr>
        <w:pStyle w:val="NoteText"/>
      </w:pPr>
      <w:r w:rsidRPr="00F26670">
        <w:t xml:space="preserve">*includes the underpayment of GST revenue in </w:t>
      </w:r>
      <w:r w:rsidR="00C32DFF" w:rsidRPr="00F26670">
        <w:t>2011-12</w:t>
      </w:r>
    </w:p>
    <w:p w:rsidR="00F71B48" w:rsidRPr="00F26670" w:rsidRDefault="00F71B48" w:rsidP="00F26670">
      <w:pPr>
        <w:pStyle w:val="NoteText"/>
      </w:pPr>
      <w:r w:rsidRPr="00F26670">
        <w:t xml:space="preserve">** </w:t>
      </w:r>
      <w:proofErr w:type="gramStart"/>
      <w:r w:rsidR="00C32DFF" w:rsidRPr="00F26670">
        <w:t>total</w:t>
      </w:r>
      <w:proofErr w:type="gramEnd"/>
      <w:r w:rsidR="00C32DFF" w:rsidRPr="00F26670">
        <w:t xml:space="preserve"> </w:t>
      </w:r>
      <w:r w:rsidRPr="00F26670">
        <w:t>does not include 2016-17</w:t>
      </w:r>
    </w:p>
    <w:p w:rsidR="00F71B48" w:rsidRPr="00F26670" w:rsidRDefault="00F71B48" w:rsidP="00F26670">
      <w:pPr>
        <w:pStyle w:val="NoteHeading"/>
      </w:pPr>
      <w:r w:rsidRPr="00F26670">
        <w:t>Parameter Variations:</w:t>
      </w:r>
    </w:p>
    <w:p w:rsidR="0009774A" w:rsidRDefault="00F71B48" w:rsidP="008E2B47">
      <w:pPr>
        <w:pStyle w:val="AINotes"/>
        <w:numPr>
          <w:ilvl w:val="0"/>
          <w:numId w:val="8"/>
        </w:numPr>
      </w:pPr>
      <w:r w:rsidRPr="00AE710B">
        <w:t>201</w:t>
      </w:r>
      <w:r>
        <w:t>2</w:t>
      </w:r>
      <w:r w:rsidRPr="00AE710B">
        <w:t>-1</w:t>
      </w:r>
      <w:r>
        <w:t>3</w:t>
      </w:r>
      <w:r w:rsidRPr="00AE710B">
        <w:t xml:space="preserve"> </w:t>
      </w:r>
      <w:r w:rsidR="00C32DFF">
        <w:t>ACT Pre-Election Budget Update</w:t>
      </w:r>
      <w:r w:rsidRPr="00AE710B">
        <w:t xml:space="preserve">:  Revised </w:t>
      </w:r>
      <w:r w:rsidR="00C32DFF">
        <w:t>population</w:t>
      </w:r>
      <w:r w:rsidRPr="00AE710B">
        <w:t xml:space="preserve"> estimates.</w:t>
      </w:r>
    </w:p>
    <w:p w:rsidR="0009774A" w:rsidRDefault="00F71B48" w:rsidP="008E2B47">
      <w:pPr>
        <w:pStyle w:val="AINotes"/>
        <w:numPr>
          <w:ilvl w:val="0"/>
          <w:numId w:val="8"/>
        </w:numPr>
      </w:pPr>
      <w:r w:rsidRPr="00AE710B">
        <w:t>201</w:t>
      </w:r>
      <w:r>
        <w:t>2</w:t>
      </w:r>
      <w:r w:rsidRPr="00AE710B">
        <w:t>-1</w:t>
      </w:r>
      <w:r>
        <w:t>3</w:t>
      </w:r>
      <w:r w:rsidRPr="00AE710B">
        <w:t xml:space="preserve"> Commonwealth Mid Year Economic and Fiscal Outlook (MYEFO):  Revised GST revenue pool and population estimates.</w:t>
      </w:r>
    </w:p>
    <w:p w:rsidR="0009774A" w:rsidRDefault="00F71B48" w:rsidP="008E2B47">
      <w:pPr>
        <w:pStyle w:val="AINotes"/>
        <w:numPr>
          <w:ilvl w:val="0"/>
          <w:numId w:val="8"/>
        </w:numPr>
      </w:pPr>
      <w:r w:rsidRPr="00AE710B">
        <w:t>C</w:t>
      </w:r>
      <w:r>
        <w:t>GC</w:t>
      </w:r>
      <w:r w:rsidRPr="00AE710B">
        <w:t xml:space="preserve"> 201</w:t>
      </w:r>
      <w:r>
        <w:t>3</w:t>
      </w:r>
      <w:r w:rsidRPr="00AE710B">
        <w:t xml:space="preserve"> Update Report:  Revised GST relativities.</w:t>
      </w:r>
    </w:p>
    <w:p w:rsidR="0009774A" w:rsidRDefault="00F71B48" w:rsidP="008E2B47">
      <w:pPr>
        <w:pStyle w:val="AINotes"/>
        <w:numPr>
          <w:ilvl w:val="0"/>
          <w:numId w:val="8"/>
        </w:numPr>
      </w:pPr>
      <w:r w:rsidRPr="00AE710B">
        <w:t>201</w:t>
      </w:r>
      <w:r>
        <w:t>3</w:t>
      </w:r>
      <w:r w:rsidRPr="00AE710B">
        <w:t>-1</w:t>
      </w:r>
      <w:r>
        <w:t>4</w:t>
      </w:r>
      <w:r w:rsidRPr="00AE710B">
        <w:t xml:space="preserve"> Federal Budget: Revised GST revenue pool </w:t>
      </w:r>
      <w:r w:rsidR="00C32DFF">
        <w:t xml:space="preserve">and population </w:t>
      </w:r>
      <w:r w:rsidRPr="00AE710B">
        <w:t>estimates.</w:t>
      </w:r>
    </w:p>
    <w:p w:rsidR="00060E05" w:rsidRPr="00F26670" w:rsidRDefault="00060E05" w:rsidP="00F26670">
      <w:pPr>
        <w:pStyle w:val="Heading3"/>
      </w:pPr>
      <w:r w:rsidRPr="00F26670">
        <w:t>ACT Municipal Services</w:t>
      </w:r>
    </w:p>
    <w:p w:rsidR="00060E05" w:rsidRPr="00F26670" w:rsidRDefault="007F138B" w:rsidP="00F26670">
      <w:pPr>
        <w:pStyle w:val="BodyText"/>
      </w:pPr>
      <w:r w:rsidRPr="00F26670">
        <w:t xml:space="preserve">The Commonwealth provides </w:t>
      </w:r>
      <w:r w:rsidR="00DC3E9A" w:rsidRPr="00F26670">
        <w:t>GRA</w:t>
      </w:r>
      <w:r w:rsidRPr="00F26670">
        <w:t xml:space="preserve"> to the ACT to meet the additional municipal costs arising from Canberra’s role as the national capital and the national capital planning influences on the provision of water and sewerage services.</w:t>
      </w:r>
    </w:p>
    <w:p w:rsidR="007C734A" w:rsidRPr="00F26670" w:rsidRDefault="0053536B" w:rsidP="00F26670">
      <w:pPr>
        <w:pStyle w:val="BodyText"/>
      </w:pPr>
      <w:r w:rsidRPr="00F26670">
        <w:t>This funding is additional to the Financial Assistance Grants to Local Government, which support normal municipal functions in the Territory.</w:t>
      </w:r>
      <w:r w:rsidR="00F86D94" w:rsidRPr="00F26670">
        <w:t xml:space="preserve">  (Financial Assistance Grants are discussed later in this chapter)</w:t>
      </w:r>
      <w:r w:rsidR="00B165CB" w:rsidRPr="00F26670">
        <w:t>.</w:t>
      </w:r>
    </w:p>
    <w:p w:rsidR="003633A0" w:rsidRPr="00F26670" w:rsidRDefault="00F86D94" w:rsidP="00F26670">
      <w:pPr>
        <w:pStyle w:val="Heading4"/>
        <w:spacing w:before="0"/>
      </w:pPr>
      <w:r>
        <w:br w:type="page"/>
      </w:r>
      <w:r w:rsidR="00492E38" w:rsidRPr="00F26670">
        <w:lastRenderedPageBreak/>
        <w:t>National Specific Purpose Payments</w:t>
      </w:r>
    </w:p>
    <w:p w:rsidR="003633A0" w:rsidRPr="00F86D94" w:rsidRDefault="00492E38" w:rsidP="00F26670">
      <w:pPr>
        <w:pStyle w:val="BodyText"/>
        <w:rPr>
          <w:szCs w:val="24"/>
        </w:rPr>
      </w:pPr>
      <w:r w:rsidRPr="00F26670">
        <w:t>SPPs are paid to the States under five broad categories</w:t>
      </w:r>
      <w:r w:rsidRPr="00F86D94">
        <w:rPr>
          <w:szCs w:val="24"/>
        </w:rPr>
        <w:t>:</w:t>
      </w:r>
    </w:p>
    <w:p w:rsidR="003633A0" w:rsidRPr="00F26670" w:rsidRDefault="007C734A" w:rsidP="00F26670">
      <w:pPr>
        <w:pStyle w:val="BodyTextIndent"/>
      </w:pPr>
      <w:r w:rsidRPr="00F26670">
        <w:t>National Health Reform Funding</w:t>
      </w:r>
      <w:r w:rsidR="00492E38" w:rsidRPr="00F26670">
        <w:t>;</w:t>
      </w:r>
    </w:p>
    <w:p w:rsidR="003633A0" w:rsidRPr="00F26670" w:rsidRDefault="00492E38" w:rsidP="00F26670">
      <w:pPr>
        <w:pStyle w:val="BodyTextIndent"/>
      </w:pPr>
      <w:r w:rsidRPr="00F26670">
        <w:t>National Schools SPP;</w:t>
      </w:r>
    </w:p>
    <w:p w:rsidR="003633A0" w:rsidRPr="00F26670" w:rsidRDefault="00492E38" w:rsidP="00F26670">
      <w:pPr>
        <w:pStyle w:val="BodyTextIndent"/>
      </w:pPr>
      <w:r w:rsidRPr="00F26670">
        <w:t>National Skills and Workforce Development SPP;</w:t>
      </w:r>
    </w:p>
    <w:p w:rsidR="003633A0" w:rsidRPr="00F26670" w:rsidRDefault="00492E38" w:rsidP="00F26670">
      <w:pPr>
        <w:pStyle w:val="BodyTextIndent"/>
      </w:pPr>
      <w:r w:rsidRPr="00F26670">
        <w:t>National Affordable Housing SPP; and</w:t>
      </w:r>
    </w:p>
    <w:p w:rsidR="00492E38" w:rsidRPr="00F26670" w:rsidRDefault="00492E38" w:rsidP="00F26670">
      <w:pPr>
        <w:pStyle w:val="BodyTextIndent"/>
      </w:pPr>
      <w:r w:rsidRPr="00F26670">
        <w:t>National Disability SPP.</w:t>
      </w:r>
    </w:p>
    <w:p w:rsidR="00492E38" w:rsidRPr="00F26670" w:rsidRDefault="00492E38" w:rsidP="00F26670">
      <w:pPr>
        <w:pStyle w:val="BodyText"/>
      </w:pPr>
      <w:r w:rsidRPr="00F26670">
        <w:t>The relative distribution of these SPP</w:t>
      </w:r>
      <w:r w:rsidR="00DC3E9A" w:rsidRPr="00F26670">
        <w:t>s</w:t>
      </w:r>
      <w:r w:rsidRPr="00F26670">
        <w:t xml:space="preserve"> across sectors is illustrated in the </w:t>
      </w:r>
      <w:r w:rsidR="00453BF8" w:rsidRPr="00F26670">
        <w:t>F</w:t>
      </w:r>
      <w:r w:rsidR="00565BE5" w:rsidRPr="00F26670">
        <w:t>igure</w:t>
      </w:r>
      <w:r w:rsidR="00453BF8" w:rsidRPr="00F26670">
        <w:t xml:space="preserve"> 4.4</w:t>
      </w:r>
      <w:r w:rsidRPr="00F26670">
        <w:t xml:space="preserve"> below.</w:t>
      </w:r>
    </w:p>
    <w:p w:rsidR="00CD2AFF" w:rsidRPr="00F26670" w:rsidRDefault="00A4037A" w:rsidP="00F26670">
      <w:pPr>
        <w:pStyle w:val="TableNumber"/>
      </w:pPr>
      <w:r w:rsidRPr="00F26670">
        <w:t>Figure</w:t>
      </w:r>
      <w:r w:rsidR="005B5D25" w:rsidRPr="00F26670">
        <w:t xml:space="preserve"> 4.4</w:t>
      </w:r>
    </w:p>
    <w:p w:rsidR="00492E38" w:rsidRDefault="005B5D25" w:rsidP="00F26670">
      <w:pPr>
        <w:pStyle w:val="TableName"/>
      </w:pPr>
      <w:r>
        <w:t>201</w:t>
      </w:r>
      <w:r w:rsidR="00F71B48">
        <w:t>3-14</w:t>
      </w:r>
      <w:r>
        <w:t xml:space="preserve"> </w:t>
      </w:r>
      <w:r w:rsidR="00CD2AFF" w:rsidRPr="00CD2AFF">
        <w:t>N</w:t>
      </w:r>
      <w:r w:rsidR="00492E38" w:rsidRPr="00CD2AFF">
        <w:t xml:space="preserve">ational Specific Purpose Payments </w:t>
      </w:r>
      <w:r w:rsidR="00252ADC">
        <w:t xml:space="preserve">to the ACT </w:t>
      </w:r>
      <w:r w:rsidR="00A4037A">
        <w:t>b</w:t>
      </w:r>
      <w:r w:rsidR="00492E38" w:rsidRPr="00CD2AFF">
        <w:t xml:space="preserve">y </w:t>
      </w:r>
      <w:r w:rsidR="00A4037A">
        <w:t>s</w:t>
      </w:r>
      <w:r w:rsidR="00492E38" w:rsidRPr="00CD2AFF">
        <w:t>ector</w:t>
      </w:r>
      <w:r w:rsidR="00A27880">
        <w:t xml:space="preserve"> ($</w:t>
      </w:r>
      <w:r w:rsidR="00826FEA">
        <w:t xml:space="preserve"> millions</w:t>
      </w:r>
      <w:r w:rsidR="00A27880">
        <w:t>)</w:t>
      </w:r>
    </w:p>
    <w:p w:rsidR="002364CA" w:rsidRDefault="00C23321" w:rsidP="00F702CC">
      <w:pPr>
        <w:pStyle w:val="BodyText"/>
        <w:rPr>
          <w:noProof/>
          <w:lang w:eastAsia="en-AU"/>
        </w:rPr>
      </w:pPr>
      <w:r>
        <w:rPr>
          <w:noProof/>
          <w:lang w:eastAsia="en-AU"/>
        </w:rPr>
        <w:drawing>
          <wp:inline distT="0" distB="0" distL="0" distR="0">
            <wp:extent cx="5721524" cy="3485467"/>
            <wp:effectExtent l="19050" t="0" r="12526" b="683"/>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D79B1" w:rsidRPr="00F26670" w:rsidRDefault="00C97549" w:rsidP="00F26670">
      <w:pPr>
        <w:pStyle w:val="NoteText"/>
        <w:rPr>
          <w:i/>
        </w:rPr>
      </w:pPr>
      <w:r w:rsidRPr="00F26670">
        <w:rPr>
          <w:i/>
        </w:rPr>
        <w:t>Source:</w:t>
      </w:r>
      <w:r w:rsidR="00697F7F" w:rsidRPr="00F26670">
        <w:rPr>
          <w:i/>
        </w:rPr>
        <w:t xml:space="preserve"> </w:t>
      </w:r>
      <w:r w:rsidRPr="00F26670">
        <w:rPr>
          <w:i/>
        </w:rPr>
        <w:t>Federal Budget 2013-14 Paper No.3.</w:t>
      </w:r>
    </w:p>
    <w:p w:rsidR="00492E38" w:rsidRPr="00F26670" w:rsidRDefault="00492E38" w:rsidP="00F26670">
      <w:pPr>
        <w:pStyle w:val="BodyText"/>
      </w:pPr>
      <w:r w:rsidRPr="00F26670">
        <w:t xml:space="preserve">The funding received through these National SPPs provides the ACT with the capacity to fund the policy objectives contained in each of the National Agreements to which they relate.  The Commonwealth’s SPP funding to the ACT is detailed in </w:t>
      </w:r>
      <w:r w:rsidR="00453BF8" w:rsidRPr="00F26670">
        <w:t>T</w:t>
      </w:r>
      <w:r w:rsidRPr="00F26670">
        <w:t>able</w:t>
      </w:r>
      <w:r w:rsidR="00453BF8" w:rsidRPr="00F26670">
        <w:t xml:space="preserve"> 4.5 below</w:t>
      </w:r>
      <w:r w:rsidRPr="00F26670">
        <w:t>.</w:t>
      </w:r>
    </w:p>
    <w:p w:rsidR="00F71B48" w:rsidRPr="00F26670" w:rsidRDefault="00140D7C" w:rsidP="00F26670">
      <w:pPr>
        <w:pStyle w:val="TableNumber"/>
      </w:pPr>
      <w:r>
        <w:br w:type="page"/>
      </w:r>
      <w:r w:rsidR="00F71B48" w:rsidRPr="00F26670">
        <w:lastRenderedPageBreak/>
        <w:t>Table 4.5</w:t>
      </w:r>
    </w:p>
    <w:p w:rsidR="00F71B48" w:rsidRPr="00F26670" w:rsidRDefault="00F71B48" w:rsidP="00F26670">
      <w:pPr>
        <w:pStyle w:val="TableName"/>
      </w:pPr>
      <w:r w:rsidRPr="00F26670">
        <w:t>Commonwealth National Specific Purpose Payments to the ACT</w:t>
      </w:r>
    </w:p>
    <w:tbl>
      <w:tblPr>
        <w:tblW w:w="9100" w:type="dxa"/>
        <w:jc w:val="center"/>
        <w:tblLayout w:type="fixed"/>
        <w:tblLook w:val="04A0"/>
      </w:tblPr>
      <w:tblGrid>
        <w:gridCol w:w="2811"/>
        <w:gridCol w:w="913"/>
        <w:gridCol w:w="776"/>
        <w:gridCol w:w="137"/>
        <w:gridCol w:w="913"/>
        <w:gridCol w:w="663"/>
        <w:gridCol w:w="913"/>
        <w:gridCol w:w="913"/>
        <w:gridCol w:w="1061"/>
      </w:tblGrid>
      <w:tr w:rsidR="00F71B48" w:rsidRPr="007161E6" w:rsidTr="00A443AC">
        <w:trPr>
          <w:jc w:val="center"/>
        </w:trPr>
        <w:tc>
          <w:tcPr>
            <w:tcW w:w="2866" w:type="dxa"/>
            <w:tcBorders>
              <w:top w:val="single" w:sz="8" w:space="0" w:color="auto"/>
              <w:left w:val="nil"/>
              <w:bottom w:val="nil"/>
              <w:right w:val="nil"/>
            </w:tcBorders>
            <w:shd w:val="clear" w:color="auto" w:fill="auto"/>
            <w:vAlign w:val="bottom"/>
          </w:tcPr>
          <w:p w:rsidR="00F71B48" w:rsidRPr="007161E6" w:rsidRDefault="00F71B48" w:rsidP="00782B63">
            <w:pPr>
              <w:rPr>
                <w:rFonts w:cs="Calibri"/>
                <w:b/>
                <w:bCs/>
                <w:color w:val="000000"/>
                <w:sz w:val="18"/>
                <w:szCs w:val="18"/>
                <w:lang w:eastAsia="en-AU"/>
              </w:rPr>
            </w:pPr>
            <w:r w:rsidRPr="007161E6">
              <w:rPr>
                <w:rFonts w:cs="Calibri"/>
                <w:b/>
                <w:bCs/>
                <w:color w:val="000000"/>
                <w:sz w:val="18"/>
                <w:szCs w:val="18"/>
                <w:lang w:eastAsia="en-AU"/>
              </w:rPr>
              <w:t> </w:t>
            </w:r>
          </w:p>
        </w:tc>
        <w:tc>
          <w:tcPr>
            <w:tcW w:w="927" w:type="dxa"/>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2012-13</w:t>
            </w:r>
          </w:p>
        </w:tc>
        <w:tc>
          <w:tcPr>
            <w:tcW w:w="927" w:type="dxa"/>
            <w:gridSpan w:val="2"/>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2013-14</w:t>
            </w:r>
          </w:p>
        </w:tc>
        <w:tc>
          <w:tcPr>
            <w:tcW w:w="1599" w:type="dxa"/>
            <w:gridSpan w:val="2"/>
            <w:tcBorders>
              <w:top w:val="single" w:sz="8" w:space="0" w:color="auto"/>
              <w:left w:val="nil"/>
              <w:bottom w:val="nil"/>
              <w:right w:val="nil"/>
            </w:tcBorders>
            <w:shd w:val="clear" w:color="auto" w:fill="D9D9D9" w:themeFill="background1" w:themeFillShade="D9"/>
            <w:vAlign w:val="bottom"/>
          </w:tcPr>
          <w:p w:rsidR="00F71B48" w:rsidRPr="00A443AC" w:rsidRDefault="00C97549" w:rsidP="00863C05">
            <w:pPr>
              <w:jc w:val="right"/>
              <w:rPr>
                <w:rFonts w:cs="Calibri"/>
                <w:b/>
                <w:bCs/>
                <w:color w:val="000000"/>
                <w:sz w:val="18"/>
                <w:szCs w:val="18"/>
                <w:lang w:eastAsia="en-AU"/>
              </w:rPr>
            </w:pPr>
            <w:r w:rsidRPr="00A443AC">
              <w:rPr>
                <w:rFonts w:cs="Calibri"/>
                <w:b/>
                <w:bCs/>
                <w:color w:val="000000"/>
                <w:sz w:val="18"/>
                <w:szCs w:val="18"/>
                <w:lang w:eastAsia="en-AU"/>
              </w:rPr>
              <w:t xml:space="preserve">              Variation</w:t>
            </w:r>
          </w:p>
        </w:tc>
        <w:tc>
          <w:tcPr>
            <w:tcW w:w="927" w:type="dxa"/>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2014-15</w:t>
            </w:r>
          </w:p>
        </w:tc>
        <w:tc>
          <w:tcPr>
            <w:tcW w:w="927" w:type="dxa"/>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2015-16</w:t>
            </w:r>
          </w:p>
        </w:tc>
        <w:tc>
          <w:tcPr>
            <w:tcW w:w="1078" w:type="dxa"/>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2016-17</w:t>
            </w:r>
          </w:p>
        </w:tc>
      </w:tr>
      <w:tr w:rsidR="00F71B48" w:rsidRPr="007161E6" w:rsidTr="00A443AC">
        <w:trPr>
          <w:jc w:val="center"/>
        </w:trPr>
        <w:tc>
          <w:tcPr>
            <w:tcW w:w="2866" w:type="dxa"/>
            <w:tcBorders>
              <w:top w:val="nil"/>
              <w:left w:val="nil"/>
              <w:bottom w:val="nil"/>
              <w:right w:val="nil"/>
            </w:tcBorders>
            <w:shd w:val="clear" w:color="auto" w:fill="auto"/>
            <w:vAlign w:val="bottom"/>
          </w:tcPr>
          <w:p w:rsidR="00F71B48" w:rsidRPr="007161E6" w:rsidRDefault="00F71B48" w:rsidP="00782B63">
            <w:pPr>
              <w:rPr>
                <w:rFonts w:cs="Calibri"/>
                <w:b/>
                <w:bCs/>
                <w:color w:val="000000"/>
                <w:sz w:val="18"/>
                <w:szCs w:val="18"/>
                <w:lang w:eastAsia="en-AU"/>
              </w:rPr>
            </w:pPr>
          </w:p>
        </w:tc>
        <w:tc>
          <w:tcPr>
            <w:tcW w:w="927"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Est. Out.</w:t>
            </w:r>
          </w:p>
        </w:tc>
        <w:tc>
          <w:tcPr>
            <w:tcW w:w="927" w:type="dxa"/>
            <w:gridSpan w:val="2"/>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Budget</w:t>
            </w:r>
          </w:p>
        </w:tc>
        <w:tc>
          <w:tcPr>
            <w:tcW w:w="927" w:type="dxa"/>
            <w:tcBorders>
              <w:top w:val="nil"/>
              <w:left w:val="nil"/>
              <w:bottom w:val="nil"/>
              <w:right w:val="nil"/>
            </w:tcBorders>
            <w:shd w:val="clear" w:color="auto" w:fill="D9D9D9" w:themeFill="background1" w:themeFillShade="D9"/>
            <w:vAlign w:val="bottom"/>
          </w:tcPr>
          <w:p w:rsidR="00F71B48" w:rsidRPr="00A443AC" w:rsidRDefault="00F71B48" w:rsidP="00782B63">
            <w:pPr>
              <w:jc w:val="right"/>
              <w:rPr>
                <w:rFonts w:cs="Calibri"/>
                <w:b/>
                <w:bCs/>
                <w:color w:val="000000"/>
                <w:sz w:val="18"/>
                <w:szCs w:val="18"/>
                <w:lang w:eastAsia="en-AU"/>
              </w:rPr>
            </w:pPr>
          </w:p>
        </w:tc>
        <w:tc>
          <w:tcPr>
            <w:tcW w:w="672" w:type="dxa"/>
            <w:tcBorders>
              <w:top w:val="nil"/>
              <w:left w:val="nil"/>
              <w:bottom w:val="nil"/>
              <w:right w:val="nil"/>
            </w:tcBorders>
            <w:shd w:val="clear" w:color="auto" w:fill="D9D9D9" w:themeFill="background1" w:themeFillShade="D9"/>
            <w:vAlign w:val="bottom"/>
          </w:tcPr>
          <w:p w:rsidR="00F71B48" w:rsidRPr="00A443AC" w:rsidRDefault="00F71B48" w:rsidP="00782B63">
            <w:pPr>
              <w:jc w:val="right"/>
              <w:rPr>
                <w:rFonts w:cs="Calibri"/>
                <w:b/>
                <w:bCs/>
                <w:color w:val="000000"/>
                <w:sz w:val="18"/>
                <w:szCs w:val="18"/>
                <w:lang w:eastAsia="en-AU"/>
              </w:rPr>
            </w:pPr>
          </w:p>
        </w:tc>
        <w:tc>
          <w:tcPr>
            <w:tcW w:w="927"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Estimate</w:t>
            </w:r>
          </w:p>
        </w:tc>
        <w:tc>
          <w:tcPr>
            <w:tcW w:w="927"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Estimate</w:t>
            </w:r>
          </w:p>
        </w:tc>
        <w:tc>
          <w:tcPr>
            <w:tcW w:w="1078"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Estimate</w:t>
            </w:r>
          </w:p>
        </w:tc>
      </w:tr>
      <w:tr w:rsidR="00F71B48" w:rsidRPr="007161E6" w:rsidTr="00A443AC">
        <w:trPr>
          <w:jc w:val="center"/>
        </w:trPr>
        <w:tc>
          <w:tcPr>
            <w:tcW w:w="2866" w:type="dxa"/>
            <w:tcBorders>
              <w:top w:val="nil"/>
              <w:left w:val="nil"/>
              <w:bottom w:val="single" w:sz="8" w:space="0" w:color="auto"/>
              <w:right w:val="nil"/>
            </w:tcBorders>
            <w:shd w:val="clear" w:color="auto" w:fill="auto"/>
            <w:vAlign w:val="bottom"/>
          </w:tcPr>
          <w:p w:rsidR="00F71B48" w:rsidRPr="007161E6" w:rsidRDefault="00F71B48" w:rsidP="00782B63">
            <w:pPr>
              <w:rPr>
                <w:rFonts w:cs="Calibri"/>
                <w:b/>
                <w:bCs/>
                <w:color w:val="000000"/>
                <w:sz w:val="18"/>
                <w:szCs w:val="18"/>
                <w:lang w:eastAsia="en-AU"/>
              </w:rPr>
            </w:pPr>
            <w:r w:rsidRPr="007161E6">
              <w:rPr>
                <w:rFonts w:cs="Calibri"/>
                <w:b/>
                <w:bCs/>
                <w:color w:val="000000"/>
                <w:sz w:val="18"/>
                <w:szCs w:val="18"/>
                <w:lang w:eastAsia="en-AU"/>
              </w:rPr>
              <w:t> </w:t>
            </w:r>
          </w:p>
        </w:tc>
        <w:tc>
          <w:tcPr>
            <w:tcW w:w="927"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927" w:type="dxa"/>
            <w:gridSpan w:val="2"/>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927" w:type="dxa"/>
            <w:tcBorders>
              <w:top w:val="nil"/>
              <w:left w:val="nil"/>
              <w:bottom w:val="single" w:sz="8" w:space="0" w:color="auto"/>
              <w:right w:val="nil"/>
            </w:tcBorders>
            <w:shd w:val="clear" w:color="auto" w:fill="D9D9D9" w:themeFill="background1" w:themeFillShade="D9"/>
            <w:vAlign w:val="bottom"/>
          </w:tcPr>
          <w:p w:rsidR="00F71B48" w:rsidRPr="00A443AC" w:rsidRDefault="00C97549" w:rsidP="00782B63">
            <w:pPr>
              <w:jc w:val="right"/>
              <w:rPr>
                <w:rFonts w:cs="Calibri"/>
                <w:b/>
                <w:bCs/>
                <w:color w:val="000000"/>
                <w:sz w:val="18"/>
                <w:szCs w:val="18"/>
                <w:lang w:eastAsia="en-AU"/>
              </w:rPr>
            </w:pPr>
            <w:r w:rsidRPr="00A443AC">
              <w:rPr>
                <w:rFonts w:cs="Calibri"/>
                <w:b/>
                <w:bCs/>
                <w:color w:val="000000"/>
                <w:sz w:val="18"/>
                <w:szCs w:val="18"/>
                <w:lang w:eastAsia="en-AU"/>
              </w:rPr>
              <w:t>$m</w:t>
            </w:r>
          </w:p>
        </w:tc>
        <w:tc>
          <w:tcPr>
            <w:tcW w:w="672" w:type="dxa"/>
            <w:tcBorders>
              <w:top w:val="nil"/>
              <w:left w:val="nil"/>
              <w:bottom w:val="single" w:sz="8" w:space="0" w:color="auto"/>
              <w:right w:val="nil"/>
            </w:tcBorders>
            <w:shd w:val="clear" w:color="auto" w:fill="D9D9D9" w:themeFill="background1" w:themeFillShade="D9"/>
            <w:vAlign w:val="bottom"/>
          </w:tcPr>
          <w:p w:rsidR="00F71B48" w:rsidRPr="00A443AC" w:rsidRDefault="00C97549" w:rsidP="00782B63">
            <w:pPr>
              <w:jc w:val="right"/>
              <w:rPr>
                <w:rFonts w:cs="Calibri"/>
                <w:b/>
                <w:bCs/>
                <w:color w:val="000000"/>
                <w:sz w:val="18"/>
                <w:szCs w:val="18"/>
                <w:lang w:eastAsia="en-AU"/>
              </w:rPr>
            </w:pPr>
            <w:r w:rsidRPr="00A443AC">
              <w:rPr>
                <w:rFonts w:cs="Calibri"/>
                <w:b/>
                <w:bCs/>
                <w:color w:val="000000"/>
                <w:sz w:val="18"/>
                <w:szCs w:val="18"/>
                <w:lang w:eastAsia="en-AU"/>
              </w:rPr>
              <w:t>%</w:t>
            </w:r>
          </w:p>
        </w:tc>
        <w:tc>
          <w:tcPr>
            <w:tcW w:w="927"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927"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1078"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r>
      <w:tr w:rsidR="00F71B48" w:rsidRPr="007161E6" w:rsidTr="00A443AC">
        <w:trPr>
          <w:jc w:val="center"/>
        </w:trPr>
        <w:tc>
          <w:tcPr>
            <w:tcW w:w="2866" w:type="dxa"/>
            <w:tcBorders>
              <w:top w:val="nil"/>
              <w:left w:val="nil"/>
              <w:bottom w:val="nil"/>
              <w:right w:val="nil"/>
            </w:tcBorders>
            <w:shd w:val="clear" w:color="auto" w:fill="auto"/>
          </w:tcPr>
          <w:p w:rsidR="00F71B48" w:rsidRPr="00F26670" w:rsidRDefault="00F71B48" w:rsidP="00F26670">
            <w:pPr>
              <w:pStyle w:val="TableTextLeft-BP3"/>
              <w:rPr>
                <w:sz w:val="18"/>
                <w:lang w:eastAsia="en-AU"/>
              </w:rPr>
            </w:pPr>
            <w:r w:rsidRPr="00F26670">
              <w:rPr>
                <w:sz w:val="18"/>
                <w:lang w:eastAsia="en-AU"/>
              </w:rPr>
              <w:t>Health Reform</w:t>
            </w:r>
          </w:p>
        </w:tc>
        <w:tc>
          <w:tcPr>
            <w:tcW w:w="927"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202.5</w:t>
            </w:r>
          </w:p>
        </w:tc>
        <w:tc>
          <w:tcPr>
            <w:tcW w:w="927" w:type="dxa"/>
            <w:gridSpan w:val="2"/>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233.0</w:t>
            </w:r>
          </w:p>
        </w:tc>
        <w:tc>
          <w:tcPr>
            <w:tcW w:w="927" w:type="dxa"/>
            <w:tcBorders>
              <w:top w:val="nil"/>
              <w:left w:val="nil"/>
              <w:bottom w:val="nil"/>
              <w:right w:val="nil"/>
            </w:tcBorders>
            <w:shd w:val="clear" w:color="auto" w:fill="D9D9D9" w:themeFill="background1" w:themeFillShade="D9"/>
          </w:tcPr>
          <w:p w:rsidR="00F71B48" w:rsidRPr="00A443AC" w:rsidRDefault="00C97549" w:rsidP="00863C05">
            <w:pPr>
              <w:ind w:left="145" w:hanging="140"/>
              <w:jc w:val="right"/>
              <w:rPr>
                <w:rFonts w:cs="Calibri"/>
                <w:color w:val="000000"/>
                <w:sz w:val="18"/>
                <w:szCs w:val="18"/>
                <w:lang w:eastAsia="en-AU"/>
              </w:rPr>
            </w:pPr>
            <w:r w:rsidRPr="00A443AC">
              <w:rPr>
                <w:rFonts w:cs="Calibri"/>
                <w:color w:val="000000"/>
                <w:sz w:val="18"/>
                <w:szCs w:val="18"/>
                <w:lang w:eastAsia="en-AU"/>
              </w:rPr>
              <w:t>30.5</w:t>
            </w:r>
          </w:p>
        </w:tc>
        <w:tc>
          <w:tcPr>
            <w:tcW w:w="672" w:type="dxa"/>
            <w:tcBorders>
              <w:top w:val="nil"/>
              <w:left w:val="nil"/>
              <w:bottom w:val="nil"/>
              <w:right w:val="nil"/>
            </w:tcBorders>
            <w:shd w:val="clear" w:color="auto" w:fill="D9D9D9" w:themeFill="background1" w:themeFillShade="D9"/>
          </w:tcPr>
          <w:p w:rsidR="00F71B48" w:rsidRPr="00A443AC" w:rsidRDefault="00C97549" w:rsidP="00863C05">
            <w:pPr>
              <w:ind w:left="145" w:hanging="140"/>
              <w:jc w:val="right"/>
              <w:rPr>
                <w:rFonts w:cs="Calibri"/>
                <w:color w:val="000000"/>
                <w:sz w:val="18"/>
                <w:szCs w:val="18"/>
                <w:lang w:eastAsia="en-AU"/>
              </w:rPr>
            </w:pPr>
            <w:r w:rsidRPr="00A443AC">
              <w:rPr>
                <w:rFonts w:cs="Calibri"/>
                <w:color w:val="000000"/>
                <w:sz w:val="18"/>
                <w:szCs w:val="18"/>
                <w:lang w:eastAsia="en-AU"/>
              </w:rPr>
              <w:t>15.1</w:t>
            </w:r>
          </w:p>
        </w:tc>
        <w:tc>
          <w:tcPr>
            <w:tcW w:w="927"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270.5</w:t>
            </w:r>
          </w:p>
        </w:tc>
        <w:tc>
          <w:tcPr>
            <w:tcW w:w="927"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311.6</w:t>
            </w:r>
          </w:p>
        </w:tc>
        <w:tc>
          <w:tcPr>
            <w:tcW w:w="1078"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356.8</w:t>
            </w:r>
          </w:p>
        </w:tc>
      </w:tr>
      <w:tr w:rsidR="00F71B48" w:rsidRPr="007161E6" w:rsidTr="00A443AC">
        <w:trPr>
          <w:jc w:val="center"/>
        </w:trPr>
        <w:tc>
          <w:tcPr>
            <w:tcW w:w="2866" w:type="dxa"/>
            <w:tcBorders>
              <w:top w:val="nil"/>
              <w:left w:val="nil"/>
              <w:bottom w:val="nil"/>
              <w:right w:val="nil"/>
            </w:tcBorders>
            <w:shd w:val="clear" w:color="auto" w:fill="auto"/>
          </w:tcPr>
          <w:p w:rsidR="00F71B48" w:rsidRPr="00F26670" w:rsidRDefault="00F71B48" w:rsidP="00F26670">
            <w:pPr>
              <w:pStyle w:val="TableTextLeft-BP3"/>
              <w:rPr>
                <w:sz w:val="18"/>
                <w:lang w:eastAsia="en-AU"/>
              </w:rPr>
            </w:pPr>
            <w:r w:rsidRPr="00F26670">
              <w:rPr>
                <w:sz w:val="18"/>
                <w:lang w:eastAsia="en-AU"/>
              </w:rPr>
              <w:t xml:space="preserve">Schools </w:t>
            </w:r>
          </w:p>
        </w:tc>
        <w:tc>
          <w:tcPr>
            <w:tcW w:w="927"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208.1</w:t>
            </w:r>
          </w:p>
        </w:tc>
        <w:tc>
          <w:tcPr>
            <w:tcW w:w="927" w:type="dxa"/>
            <w:gridSpan w:val="2"/>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113.3</w:t>
            </w:r>
          </w:p>
        </w:tc>
        <w:tc>
          <w:tcPr>
            <w:tcW w:w="927" w:type="dxa"/>
            <w:tcBorders>
              <w:top w:val="nil"/>
              <w:left w:val="nil"/>
              <w:bottom w:val="nil"/>
              <w:right w:val="nil"/>
            </w:tcBorders>
            <w:shd w:val="clear" w:color="auto" w:fill="D9D9D9" w:themeFill="background1" w:themeFillShade="D9"/>
          </w:tcPr>
          <w:p w:rsidR="00F71B48" w:rsidRPr="00A443AC" w:rsidRDefault="00C97549" w:rsidP="00863C05">
            <w:pPr>
              <w:ind w:left="145" w:hanging="140"/>
              <w:jc w:val="right"/>
              <w:rPr>
                <w:rFonts w:cs="Calibri"/>
                <w:color w:val="000000"/>
                <w:sz w:val="18"/>
                <w:szCs w:val="18"/>
                <w:lang w:eastAsia="en-AU"/>
              </w:rPr>
            </w:pPr>
            <w:r w:rsidRPr="00A443AC">
              <w:rPr>
                <w:rFonts w:cs="Calibri"/>
                <w:color w:val="000000"/>
                <w:sz w:val="18"/>
                <w:szCs w:val="18"/>
                <w:lang w:eastAsia="en-AU"/>
              </w:rPr>
              <w:t>-94.8</w:t>
            </w:r>
          </w:p>
        </w:tc>
        <w:tc>
          <w:tcPr>
            <w:tcW w:w="672" w:type="dxa"/>
            <w:tcBorders>
              <w:top w:val="nil"/>
              <w:left w:val="nil"/>
              <w:bottom w:val="nil"/>
              <w:right w:val="nil"/>
            </w:tcBorders>
            <w:shd w:val="clear" w:color="auto" w:fill="D9D9D9" w:themeFill="background1" w:themeFillShade="D9"/>
          </w:tcPr>
          <w:p w:rsidR="00F71B48" w:rsidRPr="00A443AC" w:rsidRDefault="00C97549" w:rsidP="00863C05">
            <w:pPr>
              <w:ind w:left="145" w:hanging="140"/>
              <w:jc w:val="right"/>
              <w:rPr>
                <w:rFonts w:cs="Calibri"/>
                <w:color w:val="000000"/>
                <w:sz w:val="18"/>
                <w:szCs w:val="18"/>
                <w:lang w:eastAsia="en-AU"/>
              </w:rPr>
            </w:pPr>
            <w:r w:rsidRPr="00A443AC">
              <w:rPr>
                <w:rFonts w:cs="Calibri"/>
                <w:color w:val="000000"/>
                <w:sz w:val="18"/>
                <w:szCs w:val="18"/>
                <w:lang w:eastAsia="en-AU"/>
              </w:rPr>
              <w:t>-45.6</w:t>
            </w:r>
          </w:p>
        </w:tc>
        <w:tc>
          <w:tcPr>
            <w:tcW w:w="927"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w:t>
            </w:r>
          </w:p>
        </w:tc>
        <w:tc>
          <w:tcPr>
            <w:tcW w:w="927"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w:t>
            </w:r>
          </w:p>
        </w:tc>
        <w:tc>
          <w:tcPr>
            <w:tcW w:w="1078"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w:t>
            </w:r>
          </w:p>
        </w:tc>
      </w:tr>
      <w:tr w:rsidR="00F71B48" w:rsidRPr="007161E6" w:rsidTr="00A443AC">
        <w:trPr>
          <w:jc w:val="center"/>
        </w:trPr>
        <w:tc>
          <w:tcPr>
            <w:tcW w:w="2866" w:type="dxa"/>
            <w:tcBorders>
              <w:top w:val="nil"/>
              <w:left w:val="nil"/>
              <w:bottom w:val="nil"/>
              <w:right w:val="nil"/>
            </w:tcBorders>
            <w:shd w:val="clear" w:color="auto" w:fill="auto"/>
          </w:tcPr>
          <w:p w:rsidR="00F71B48" w:rsidRPr="00F26670" w:rsidRDefault="00F71B48" w:rsidP="00F26670">
            <w:pPr>
              <w:pStyle w:val="TableTextLeft-BP3"/>
              <w:rPr>
                <w:sz w:val="18"/>
                <w:lang w:eastAsia="en-AU"/>
              </w:rPr>
            </w:pPr>
            <w:r w:rsidRPr="00F26670">
              <w:rPr>
                <w:sz w:val="18"/>
                <w:lang w:eastAsia="en-AU"/>
              </w:rPr>
              <w:t>National Education Reform Agreement funding</w:t>
            </w:r>
          </w:p>
        </w:tc>
        <w:tc>
          <w:tcPr>
            <w:tcW w:w="927"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w:t>
            </w:r>
          </w:p>
        </w:tc>
        <w:tc>
          <w:tcPr>
            <w:tcW w:w="927" w:type="dxa"/>
            <w:gridSpan w:val="2"/>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118.1</w:t>
            </w:r>
          </w:p>
        </w:tc>
        <w:tc>
          <w:tcPr>
            <w:tcW w:w="927" w:type="dxa"/>
            <w:tcBorders>
              <w:top w:val="nil"/>
              <w:left w:val="nil"/>
              <w:bottom w:val="nil"/>
              <w:right w:val="nil"/>
            </w:tcBorders>
            <w:shd w:val="clear" w:color="auto" w:fill="D9D9D9" w:themeFill="background1" w:themeFillShade="D9"/>
          </w:tcPr>
          <w:p w:rsidR="00F71B48" w:rsidRPr="00A443AC" w:rsidRDefault="00C97549" w:rsidP="00863C05">
            <w:pPr>
              <w:ind w:left="145" w:hanging="140"/>
              <w:jc w:val="right"/>
              <w:rPr>
                <w:rFonts w:cs="Calibri"/>
                <w:color w:val="000000"/>
                <w:sz w:val="18"/>
                <w:szCs w:val="18"/>
                <w:lang w:eastAsia="en-AU"/>
              </w:rPr>
            </w:pPr>
            <w:r w:rsidRPr="00A443AC">
              <w:rPr>
                <w:rFonts w:cs="Calibri"/>
                <w:color w:val="000000"/>
                <w:sz w:val="18"/>
                <w:szCs w:val="18"/>
                <w:lang w:eastAsia="en-AU"/>
              </w:rPr>
              <w:t>118.1</w:t>
            </w:r>
          </w:p>
        </w:tc>
        <w:tc>
          <w:tcPr>
            <w:tcW w:w="672" w:type="dxa"/>
            <w:tcBorders>
              <w:top w:val="nil"/>
              <w:left w:val="nil"/>
              <w:bottom w:val="nil"/>
              <w:right w:val="nil"/>
            </w:tcBorders>
            <w:shd w:val="clear" w:color="auto" w:fill="D9D9D9" w:themeFill="background1" w:themeFillShade="D9"/>
          </w:tcPr>
          <w:p w:rsidR="00F71B48" w:rsidRPr="00A443AC" w:rsidRDefault="00C97549" w:rsidP="00863C05">
            <w:pPr>
              <w:ind w:left="145" w:hanging="140"/>
              <w:jc w:val="right"/>
              <w:rPr>
                <w:rFonts w:cs="Calibri"/>
                <w:color w:val="000000"/>
                <w:sz w:val="18"/>
                <w:szCs w:val="18"/>
                <w:lang w:eastAsia="en-AU"/>
              </w:rPr>
            </w:pPr>
            <w:r w:rsidRPr="00A443AC">
              <w:rPr>
                <w:rFonts w:cs="Calibri"/>
                <w:color w:val="000000"/>
                <w:sz w:val="18"/>
                <w:szCs w:val="18"/>
                <w:lang w:eastAsia="en-AU"/>
              </w:rPr>
              <w:t>-</w:t>
            </w:r>
          </w:p>
        </w:tc>
        <w:tc>
          <w:tcPr>
            <w:tcW w:w="927"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243.7</w:t>
            </w:r>
          </w:p>
        </w:tc>
        <w:tc>
          <w:tcPr>
            <w:tcW w:w="927"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258.1</w:t>
            </w:r>
          </w:p>
        </w:tc>
        <w:tc>
          <w:tcPr>
            <w:tcW w:w="1078"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273.4</w:t>
            </w:r>
          </w:p>
        </w:tc>
      </w:tr>
      <w:tr w:rsidR="00D860C2" w:rsidRPr="007161E6" w:rsidTr="00A443AC">
        <w:trPr>
          <w:jc w:val="center"/>
        </w:trPr>
        <w:tc>
          <w:tcPr>
            <w:tcW w:w="2866" w:type="dxa"/>
            <w:tcBorders>
              <w:top w:val="nil"/>
              <w:left w:val="nil"/>
              <w:bottom w:val="nil"/>
              <w:right w:val="nil"/>
            </w:tcBorders>
            <w:shd w:val="clear" w:color="auto" w:fill="auto"/>
          </w:tcPr>
          <w:p w:rsidR="00D860C2" w:rsidRPr="00F26670" w:rsidRDefault="00D860C2" w:rsidP="00F26670">
            <w:pPr>
              <w:pStyle w:val="TableTextLeft-BP3"/>
              <w:rPr>
                <w:sz w:val="18"/>
                <w:lang w:eastAsia="en-AU"/>
              </w:rPr>
            </w:pPr>
            <w:r w:rsidRPr="00F26670">
              <w:rPr>
                <w:sz w:val="18"/>
                <w:lang w:eastAsia="en-AU"/>
              </w:rPr>
              <w:t>Sub-total Education</w:t>
            </w:r>
          </w:p>
        </w:tc>
        <w:tc>
          <w:tcPr>
            <w:tcW w:w="927" w:type="dxa"/>
            <w:tcBorders>
              <w:top w:val="nil"/>
              <w:left w:val="nil"/>
              <w:bottom w:val="nil"/>
              <w:right w:val="nil"/>
            </w:tcBorders>
            <w:shd w:val="clear" w:color="auto" w:fill="auto"/>
          </w:tcPr>
          <w:p w:rsidR="00D860C2" w:rsidRDefault="00D860C2" w:rsidP="00863C05">
            <w:pPr>
              <w:ind w:left="145" w:hanging="140"/>
              <w:jc w:val="right"/>
              <w:rPr>
                <w:rFonts w:cs="Calibri"/>
                <w:color w:val="000000"/>
                <w:sz w:val="18"/>
                <w:szCs w:val="18"/>
                <w:lang w:eastAsia="en-AU"/>
              </w:rPr>
            </w:pPr>
            <w:r>
              <w:rPr>
                <w:rFonts w:cs="Calibri"/>
                <w:color w:val="000000"/>
                <w:sz w:val="18"/>
                <w:szCs w:val="18"/>
                <w:lang w:eastAsia="en-AU"/>
              </w:rPr>
              <w:t>208.1</w:t>
            </w:r>
          </w:p>
        </w:tc>
        <w:tc>
          <w:tcPr>
            <w:tcW w:w="927" w:type="dxa"/>
            <w:gridSpan w:val="2"/>
            <w:tcBorders>
              <w:top w:val="nil"/>
              <w:left w:val="nil"/>
              <w:bottom w:val="nil"/>
              <w:right w:val="nil"/>
            </w:tcBorders>
            <w:shd w:val="clear" w:color="auto" w:fill="auto"/>
          </w:tcPr>
          <w:p w:rsidR="00D860C2" w:rsidRDefault="00D860C2" w:rsidP="00863C05">
            <w:pPr>
              <w:ind w:left="145" w:hanging="140"/>
              <w:jc w:val="right"/>
              <w:rPr>
                <w:rFonts w:cs="Calibri"/>
                <w:color w:val="000000"/>
                <w:sz w:val="18"/>
                <w:szCs w:val="18"/>
                <w:lang w:eastAsia="en-AU"/>
              </w:rPr>
            </w:pPr>
            <w:r>
              <w:rPr>
                <w:rFonts w:cs="Calibri"/>
                <w:color w:val="000000"/>
                <w:sz w:val="18"/>
                <w:szCs w:val="18"/>
                <w:lang w:eastAsia="en-AU"/>
              </w:rPr>
              <w:t>231.4</w:t>
            </w:r>
          </w:p>
        </w:tc>
        <w:tc>
          <w:tcPr>
            <w:tcW w:w="927" w:type="dxa"/>
            <w:tcBorders>
              <w:top w:val="nil"/>
              <w:left w:val="nil"/>
              <w:bottom w:val="nil"/>
              <w:right w:val="nil"/>
            </w:tcBorders>
            <w:shd w:val="clear" w:color="auto" w:fill="D9D9D9" w:themeFill="background1" w:themeFillShade="D9"/>
          </w:tcPr>
          <w:p w:rsidR="00D860C2" w:rsidRPr="00A443AC" w:rsidRDefault="00C97549" w:rsidP="00863C05">
            <w:pPr>
              <w:ind w:left="145" w:hanging="140"/>
              <w:jc w:val="right"/>
              <w:rPr>
                <w:rFonts w:cs="Calibri"/>
                <w:color w:val="000000"/>
                <w:sz w:val="18"/>
                <w:szCs w:val="18"/>
                <w:lang w:eastAsia="en-AU"/>
              </w:rPr>
            </w:pPr>
            <w:r w:rsidRPr="00A443AC">
              <w:rPr>
                <w:rFonts w:cs="Calibri"/>
                <w:color w:val="000000"/>
                <w:sz w:val="18"/>
                <w:szCs w:val="18"/>
                <w:lang w:eastAsia="en-AU"/>
              </w:rPr>
              <w:t>23.3</w:t>
            </w:r>
          </w:p>
        </w:tc>
        <w:tc>
          <w:tcPr>
            <w:tcW w:w="672" w:type="dxa"/>
            <w:tcBorders>
              <w:top w:val="nil"/>
              <w:left w:val="nil"/>
              <w:bottom w:val="nil"/>
              <w:right w:val="nil"/>
            </w:tcBorders>
            <w:shd w:val="clear" w:color="auto" w:fill="D9D9D9" w:themeFill="background1" w:themeFillShade="D9"/>
          </w:tcPr>
          <w:p w:rsidR="00D860C2" w:rsidRPr="00A443AC" w:rsidRDefault="00C97549" w:rsidP="00863C05">
            <w:pPr>
              <w:ind w:left="145" w:hanging="140"/>
              <w:jc w:val="right"/>
              <w:rPr>
                <w:rFonts w:cs="Calibri"/>
                <w:color w:val="000000"/>
                <w:sz w:val="18"/>
                <w:szCs w:val="18"/>
                <w:lang w:eastAsia="en-AU"/>
              </w:rPr>
            </w:pPr>
            <w:r w:rsidRPr="00A443AC">
              <w:rPr>
                <w:rFonts w:cs="Calibri"/>
                <w:color w:val="000000"/>
                <w:sz w:val="18"/>
                <w:szCs w:val="18"/>
                <w:lang w:eastAsia="en-AU"/>
              </w:rPr>
              <w:t>11.2</w:t>
            </w:r>
          </w:p>
        </w:tc>
        <w:tc>
          <w:tcPr>
            <w:tcW w:w="927" w:type="dxa"/>
            <w:tcBorders>
              <w:top w:val="nil"/>
              <w:left w:val="nil"/>
              <w:bottom w:val="nil"/>
              <w:right w:val="nil"/>
            </w:tcBorders>
            <w:shd w:val="clear" w:color="auto" w:fill="auto"/>
          </w:tcPr>
          <w:p w:rsidR="00D860C2" w:rsidRDefault="00806D68" w:rsidP="00863C05">
            <w:pPr>
              <w:ind w:left="145" w:hanging="140"/>
              <w:jc w:val="right"/>
              <w:rPr>
                <w:rFonts w:cs="Calibri"/>
                <w:color w:val="000000"/>
                <w:sz w:val="18"/>
                <w:szCs w:val="18"/>
                <w:lang w:eastAsia="en-AU"/>
              </w:rPr>
            </w:pPr>
            <w:r>
              <w:rPr>
                <w:rFonts w:cs="Calibri"/>
                <w:color w:val="000000"/>
                <w:sz w:val="18"/>
                <w:szCs w:val="18"/>
                <w:lang w:eastAsia="en-AU"/>
              </w:rPr>
              <w:t>243.7</w:t>
            </w:r>
          </w:p>
        </w:tc>
        <w:tc>
          <w:tcPr>
            <w:tcW w:w="927" w:type="dxa"/>
            <w:tcBorders>
              <w:top w:val="nil"/>
              <w:left w:val="nil"/>
              <w:bottom w:val="nil"/>
              <w:right w:val="nil"/>
            </w:tcBorders>
            <w:shd w:val="clear" w:color="auto" w:fill="auto"/>
          </w:tcPr>
          <w:p w:rsidR="00D860C2" w:rsidRDefault="00806D68" w:rsidP="00863C05">
            <w:pPr>
              <w:ind w:left="145" w:hanging="140"/>
              <w:jc w:val="right"/>
              <w:rPr>
                <w:rFonts w:cs="Calibri"/>
                <w:color w:val="000000"/>
                <w:sz w:val="18"/>
                <w:szCs w:val="18"/>
                <w:lang w:eastAsia="en-AU"/>
              </w:rPr>
            </w:pPr>
            <w:r>
              <w:rPr>
                <w:rFonts w:cs="Calibri"/>
                <w:color w:val="000000"/>
                <w:sz w:val="18"/>
                <w:szCs w:val="18"/>
                <w:lang w:eastAsia="en-AU"/>
              </w:rPr>
              <w:t>258.1</w:t>
            </w:r>
          </w:p>
        </w:tc>
        <w:tc>
          <w:tcPr>
            <w:tcW w:w="1078" w:type="dxa"/>
            <w:tcBorders>
              <w:top w:val="nil"/>
              <w:left w:val="nil"/>
              <w:bottom w:val="nil"/>
              <w:right w:val="nil"/>
            </w:tcBorders>
            <w:shd w:val="clear" w:color="auto" w:fill="auto"/>
          </w:tcPr>
          <w:p w:rsidR="00D860C2" w:rsidRDefault="00806D68" w:rsidP="00863C05">
            <w:pPr>
              <w:ind w:left="145" w:hanging="140"/>
              <w:jc w:val="right"/>
              <w:rPr>
                <w:rFonts w:cs="Calibri"/>
                <w:color w:val="000000"/>
                <w:sz w:val="18"/>
                <w:szCs w:val="18"/>
                <w:lang w:eastAsia="en-AU"/>
              </w:rPr>
            </w:pPr>
            <w:r>
              <w:rPr>
                <w:rFonts w:cs="Calibri"/>
                <w:color w:val="000000"/>
                <w:sz w:val="18"/>
                <w:szCs w:val="18"/>
                <w:lang w:eastAsia="en-AU"/>
              </w:rPr>
              <w:t>273.4</w:t>
            </w:r>
          </w:p>
        </w:tc>
      </w:tr>
      <w:tr w:rsidR="00F71B48" w:rsidRPr="007161E6" w:rsidTr="00A443AC">
        <w:trPr>
          <w:jc w:val="center"/>
        </w:trPr>
        <w:tc>
          <w:tcPr>
            <w:tcW w:w="2866" w:type="dxa"/>
            <w:tcBorders>
              <w:top w:val="nil"/>
              <w:left w:val="nil"/>
              <w:bottom w:val="nil"/>
              <w:right w:val="nil"/>
            </w:tcBorders>
            <w:shd w:val="clear" w:color="auto" w:fill="auto"/>
          </w:tcPr>
          <w:p w:rsidR="00F71B48" w:rsidRPr="00F26670" w:rsidRDefault="00F71B48" w:rsidP="00F26670">
            <w:pPr>
              <w:pStyle w:val="TableTextLeft-BP3"/>
              <w:rPr>
                <w:sz w:val="18"/>
                <w:lang w:eastAsia="en-AU"/>
              </w:rPr>
            </w:pPr>
            <w:r w:rsidRPr="00F26670">
              <w:rPr>
                <w:sz w:val="18"/>
                <w:lang w:eastAsia="en-AU"/>
              </w:rPr>
              <w:t>Skills and Workforce Development</w:t>
            </w:r>
          </w:p>
        </w:tc>
        <w:tc>
          <w:tcPr>
            <w:tcW w:w="927"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23.3</w:t>
            </w:r>
          </w:p>
        </w:tc>
        <w:tc>
          <w:tcPr>
            <w:tcW w:w="927" w:type="dxa"/>
            <w:gridSpan w:val="2"/>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23.5</w:t>
            </w:r>
          </w:p>
        </w:tc>
        <w:tc>
          <w:tcPr>
            <w:tcW w:w="927" w:type="dxa"/>
            <w:tcBorders>
              <w:top w:val="nil"/>
              <w:left w:val="nil"/>
              <w:bottom w:val="nil"/>
              <w:right w:val="nil"/>
            </w:tcBorders>
            <w:shd w:val="clear" w:color="auto" w:fill="D9D9D9" w:themeFill="background1" w:themeFillShade="D9"/>
          </w:tcPr>
          <w:p w:rsidR="00F71B48" w:rsidRPr="00A443AC" w:rsidRDefault="00C97549" w:rsidP="00863C05">
            <w:pPr>
              <w:ind w:left="145" w:hanging="140"/>
              <w:jc w:val="right"/>
              <w:rPr>
                <w:rFonts w:cs="Calibri"/>
                <w:color w:val="000000"/>
                <w:sz w:val="18"/>
                <w:szCs w:val="18"/>
                <w:lang w:eastAsia="en-AU"/>
              </w:rPr>
            </w:pPr>
            <w:r w:rsidRPr="00A443AC">
              <w:rPr>
                <w:rFonts w:cs="Calibri"/>
                <w:color w:val="000000"/>
                <w:sz w:val="18"/>
                <w:szCs w:val="18"/>
                <w:lang w:eastAsia="en-AU"/>
              </w:rPr>
              <w:t>0.2</w:t>
            </w:r>
          </w:p>
        </w:tc>
        <w:tc>
          <w:tcPr>
            <w:tcW w:w="672" w:type="dxa"/>
            <w:tcBorders>
              <w:top w:val="nil"/>
              <w:left w:val="nil"/>
              <w:bottom w:val="nil"/>
              <w:right w:val="nil"/>
            </w:tcBorders>
            <w:shd w:val="clear" w:color="auto" w:fill="D9D9D9" w:themeFill="background1" w:themeFillShade="D9"/>
          </w:tcPr>
          <w:p w:rsidR="00F71B48" w:rsidRPr="00A443AC" w:rsidRDefault="00C97549" w:rsidP="00863C05">
            <w:pPr>
              <w:ind w:left="145" w:hanging="140"/>
              <w:jc w:val="right"/>
              <w:rPr>
                <w:rFonts w:cs="Calibri"/>
                <w:color w:val="000000"/>
                <w:sz w:val="18"/>
                <w:szCs w:val="18"/>
                <w:lang w:eastAsia="en-AU"/>
              </w:rPr>
            </w:pPr>
            <w:r w:rsidRPr="00A443AC">
              <w:rPr>
                <w:rFonts w:cs="Calibri"/>
                <w:color w:val="000000"/>
                <w:sz w:val="18"/>
                <w:szCs w:val="18"/>
                <w:lang w:eastAsia="en-AU"/>
              </w:rPr>
              <w:t>0.9</w:t>
            </w:r>
          </w:p>
        </w:tc>
        <w:tc>
          <w:tcPr>
            <w:tcW w:w="927"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23.9</w:t>
            </w:r>
          </w:p>
        </w:tc>
        <w:tc>
          <w:tcPr>
            <w:tcW w:w="927"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24.4</w:t>
            </w:r>
          </w:p>
        </w:tc>
        <w:tc>
          <w:tcPr>
            <w:tcW w:w="1078"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25.0</w:t>
            </w:r>
          </w:p>
        </w:tc>
      </w:tr>
      <w:tr w:rsidR="00F71B48" w:rsidRPr="007161E6" w:rsidTr="00A443AC">
        <w:trPr>
          <w:jc w:val="center"/>
        </w:trPr>
        <w:tc>
          <w:tcPr>
            <w:tcW w:w="2866" w:type="dxa"/>
            <w:tcBorders>
              <w:top w:val="nil"/>
              <w:left w:val="nil"/>
              <w:bottom w:val="nil"/>
              <w:right w:val="nil"/>
            </w:tcBorders>
            <w:shd w:val="clear" w:color="auto" w:fill="auto"/>
          </w:tcPr>
          <w:p w:rsidR="00F71B48" w:rsidRPr="00F26670" w:rsidRDefault="00F71B48" w:rsidP="00F26670">
            <w:pPr>
              <w:pStyle w:val="TableTextLeft-BP3"/>
              <w:rPr>
                <w:sz w:val="18"/>
                <w:lang w:eastAsia="en-AU"/>
              </w:rPr>
            </w:pPr>
            <w:r w:rsidRPr="00F26670">
              <w:rPr>
                <w:sz w:val="18"/>
                <w:lang w:eastAsia="en-AU"/>
              </w:rPr>
              <w:t>Community Services</w:t>
            </w:r>
          </w:p>
        </w:tc>
        <w:tc>
          <w:tcPr>
            <w:tcW w:w="927" w:type="dxa"/>
            <w:tcBorders>
              <w:top w:val="nil"/>
              <w:left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20.0</w:t>
            </w:r>
          </w:p>
        </w:tc>
        <w:tc>
          <w:tcPr>
            <w:tcW w:w="927" w:type="dxa"/>
            <w:gridSpan w:val="2"/>
            <w:tcBorders>
              <w:top w:val="nil"/>
              <w:left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24.2</w:t>
            </w:r>
          </w:p>
        </w:tc>
        <w:tc>
          <w:tcPr>
            <w:tcW w:w="927" w:type="dxa"/>
            <w:tcBorders>
              <w:top w:val="nil"/>
              <w:left w:val="nil"/>
              <w:bottom w:val="nil"/>
              <w:right w:val="nil"/>
            </w:tcBorders>
            <w:shd w:val="clear" w:color="auto" w:fill="D9D9D9" w:themeFill="background1" w:themeFillShade="D9"/>
          </w:tcPr>
          <w:p w:rsidR="00F71B48" w:rsidRPr="00A443AC" w:rsidRDefault="00C97549" w:rsidP="00863C05">
            <w:pPr>
              <w:ind w:left="145" w:hanging="140"/>
              <w:jc w:val="right"/>
              <w:rPr>
                <w:rFonts w:cs="Calibri"/>
                <w:color w:val="000000"/>
                <w:sz w:val="18"/>
                <w:szCs w:val="18"/>
                <w:lang w:eastAsia="en-AU"/>
              </w:rPr>
            </w:pPr>
            <w:r w:rsidRPr="00A443AC">
              <w:rPr>
                <w:rFonts w:cs="Calibri"/>
                <w:color w:val="000000"/>
                <w:sz w:val="18"/>
                <w:szCs w:val="18"/>
                <w:lang w:eastAsia="en-AU"/>
              </w:rPr>
              <w:t>4.2</w:t>
            </w:r>
          </w:p>
        </w:tc>
        <w:tc>
          <w:tcPr>
            <w:tcW w:w="672" w:type="dxa"/>
            <w:tcBorders>
              <w:top w:val="nil"/>
              <w:left w:val="nil"/>
              <w:bottom w:val="nil"/>
              <w:right w:val="nil"/>
            </w:tcBorders>
            <w:shd w:val="clear" w:color="auto" w:fill="D9D9D9" w:themeFill="background1" w:themeFillShade="D9"/>
          </w:tcPr>
          <w:p w:rsidR="00F71B48" w:rsidRPr="00A443AC" w:rsidRDefault="00C97549" w:rsidP="00863C05">
            <w:pPr>
              <w:ind w:left="145" w:hanging="140"/>
              <w:jc w:val="right"/>
              <w:rPr>
                <w:rFonts w:cs="Calibri"/>
                <w:color w:val="000000"/>
                <w:sz w:val="18"/>
                <w:szCs w:val="18"/>
                <w:lang w:eastAsia="en-AU"/>
              </w:rPr>
            </w:pPr>
            <w:r w:rsidRPr="00A443AC">
              <w:rPr>
                <w:rFonts w:cs="Calibri"/>
                <w:color w:val="000000"/>
                <w:sz w:val="18"/>
                <w:szCs w:val="18"/>
                <w:lang w:eastAsia="en-AU"/>
              </w:rPr>
              <w:t>21.0</w:t>
            </w:r>
          </w:p>
        </w:tc>
        <w:tc>
          <w:tcPr>
            <w:tcW w:w="927"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25.6</w:t>
            </w:r>
          </w:p>
        </w:tc>
        <w:tc>
          <w:tcPr>
            <w:tcW w:w="927"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26.9</w:t>
            </w:r>
          </w:p>
        </w:tc>
        <w:tc>
          <w:tcPr>
            <w:tcW w:w="1078" w:type="dxa"/>
            <w:tcBorders>
              <w:top w:val="nil"/>
              <w:left w:val="nil"/>
              <w:bottom w:val="nil"/>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28.2</w:t>
            </w:r>
          </w:p>
        </w:tc>
      </w:tr>
      <w:tr w:rsidR="00F71B48" w:rsidRPr="007161E6" w:rsidTr="00A443AC">
        <w:trPr>
          <w:jc w:val="center"/>
        </w:trPr>
        <w:tc>
          <w:tcPr>
            <w:tcW w:w="2866" w:type="dxa"/>
            <w:tcBorders>
              <w:top w:val="nil"/>
              <w:left w:val="nil"/>
              <w:right w:val="nil"/>
            </w:tcBorders>
            <w:shd w:val="clear" w:color="auto" w:fill="auto"/>
          </w:tcPr>
          <w:p w:rsidR="00F71B48" w:rsidRPr="00F26670" w:rsidRDefault="00F71B48" w:rsidP="00F26670">
            <w:pPr>
              <w:pStyle w:val="TableTextLeft-BP3"/>
              <w:rPr>
                <w:sz w:val="18"/>
                <w:lang w:eastAsia="en-AU"/>
              </w:rPr>
            </w:pPr>
            <w:r w:rsidRPr="00F26670">
              <w:rPr>
                <w:sz w:val="18"/>
                <w:lang w:eastAsia="en-AU"/>
              </w:rPr>
              <w:t>Affordable Housing</w:t>
            </w:r>
          </w:p>
        </w:tc>
        <w:tc>
          <w:tcPr>
            <w:tcW w:w="927" w:type="dxa"/>
            <w:tcBorders>
              <w:top w:val="nil"/>
              <w:left w:val="nil"/>
              <w:bottom w:val="single" w:sz="8" w:space="0" w:color="auto"/>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23.5</w:t>
            </w:r>
          </w:p>
        </w:tc>
        <w:tc>
          <w:tcPr>
            <w:tcW w:w="927" w:type="dxa"/>
            <w:gridSpan w:val="2"/>
            <w:tcBorders>
              <w:top w:val="nil"/>
              <w:left w:val="nil"/>
              <w:bottom w:val="single" w:sz="8" w:space="0" w:color="auto"/>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22.6</w:t>
            </w:r>
          </w:p>
        </w:tc>
        <w:tc>
          <w:tcPr>
            <w:tcW w:w="927" w:type="dxa"/>
            <w:tcBorders>
              <w:top w:val="nil"/>
              <w:left w:val="nil"/>
              <w:bottom w:val="single" w:sz="8" w:space="0" w:color="auto"/>
              <w:right w:val="nil"/>
            </w:tcBorders>
            <w:shd w:val="clear" w:color="auto" w:fill="D9D9D9" w:themeFill="background1" w:themeFillShade="D9"/>
          </w:tcPr>
          <w:p w:rsidR="00F71B48" w:rsidRPr="00A443AC" w:rsidRDefault="00C97549" w:rsidP="00863C05">
            <w:pPr>
              <w:ind w:left="145" w:hanging="140"/>
              <w:jc w:val="right"/>
              <w:rPr>
                <w:rFonts w:cs="Calibri"/>
                <w:color w:val="000000"/>
                <w:sz w:val="18"/>
                <w:szCs w:val="18"/>
                <w:lang w:eastAsia="en-AU"/>
              </w:rPr>
            </w:pPr>
            <w:r w:rsidRPr="00A443AC">
              <w:rPr>
                <w:rFonts w:cs="Calibri"/>
                <w:color w:val="000000"/>
                <w:sz w:val="18"/>
                <w:szCs w:val="18"/>
                <w:lang w:eastAsia="en-AU"/>
              </w:rPr>
              <w:t>-0.9</w:t>
            </w:r>
          </w:p>
        </w:tc>
        <w:tc>
          <w:tcPr>
            <w:tcW w:w="672" w:type="dxa"/>
            <w:tcBorders>
              <w:top w:val="nil"/>
              <w:left w:val="nil"/>
              <w:bottom w:val="single" w:sz="8" w:space="0" w:color="auto"/>
              <w:right w:val="nil"/>
            </w:tcBorders>
            <w:shd w:val="clear" w:color="auto" w:fill="D9D9D9" w:themeFill="background1" w:themeFillShade="D9"/>
          </w:tcPr>
          <w:p w:rsidR="00F71B48" w:rsidRPr="00A443AC" w:rsidRDefault="00C97549" w:rsidP="00863C05">
            <w:pPr>
              <w:ind w:left="145" w:hanging="140"/>
              <w:jc w:val="right"/>
              <w:rPr>
                <w:rFonts w:cs="Calibri"/>
                <w:color w:val="000000"/>
                <w:sz w:val="18"/>
                <w:szCs w:val="18"/>
                <w:lang w:eastAsia="en-AU"/>
              </w:rPr>
            </w:pPr>
            <w:r w:rsidRPr="00A443AC">
              <w:rPr>
                <w:rFonts w:cs="Calibri"/>
                <w:color w:val="000000"/>
                <w:sz w:val="18"/>
                <w:szCs w:val="18"/>
                <w:lang w:eastAsia="en-AU"/>
              </w:rPr>
              <w:t>-3.8</w:t>
            </w:r>
          </w:p>
        </w:tc>
        <w:tc>
          <w:tcPr>
            <w:tcW w:w="927" w:type="dxa"/>
            <w:tcBorders>
              <w:top w:val="nil"/>
              <w:left w:val="nil"/>
              <w:bottom w:val="single" w:sz="8" w:space="0" w:color="auto"/>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21.8</w:t>
            </w:r>
          </w:p>
        </w:tc>
        <w:tc>
          <w:tcPr>
            <w:tcW w:w="927" w:type="dxa"/>
            <w:tcBorders>
              <w:top w:val="nil"/>
              <w:left w:val="nil"/>
              <w:bottom w:val="single" w:sz="8" w:space="0" w:color="auto"/>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22.2</w:t>
            </w:r>
          </w:p>
        </w:tc>
        <w:tc>
          <w:tcPr>
            <w:tcW w:w="1078" w:type="dxa"/>
            <w:tcBorders>
              <w:top w:val="nil"/>
              <w:left w:val="nil"/>
              <w:bottom w:val="single" w:sz="8" w:space="0" w:color="auto"/>
              <w:right w:val="nil"/>
            </w:tcBorders>
            <w:shd w:val="clear" w:color="auto" w:fill="auto"/>
          </w:tcPr>
          <w:p w:rsidR="00F71B48" w:rsidRPr="007161E6" w:rsidRDefault="00F71B48" w:rsidP="00863C05">
            <w:pPr>
              <w:ind w:left="145" w:hanging="140"/>
              <w:jc w:val="right"/>
              <w:rPr>
                <w:rFonts w:cs="Calibri"/>
                <w:color w:val="000000"/>
                <w:sz w:val="18"/>
                <w:szCs w:val="18"/>
                <w:lang w:eastAsia="en-AU"/>
              </w:rPr>
            </w:pPr>
            <w:r>
              <w:rPr>
                <w:rFonts w:cs="Calibri"/>
                <w:color w:val="000000"/>
                <w:sz w:val="18"/>
                <w:szCs w:val="18"/>
                <w:lang w:eastAsia="en-AU"/>
              </w:rPr>
              <w:t>22.7</w:t>
            </w:r>
          </w:p>
        </w:tc>
      </w:tr>
      <w:tr w:rsidR="00F71B48" w:rsidRPr="007161E6" w:rsidTr="00A443AC">
        <w:trPr>
          <w:jc w:val="center"/>
        </w:trPr>
        <w:tc>
          <w:tcPr>
            <w:tcW w:w="2866" w:type="dxa"/>
            <w:tcBorders>
              <w:left w:val="nil"/>
              <w:bottom w:val="single" w:sz="8" w:space="0" w:color="auto"/>
              <w:right w:val="nil"/>
            </w:tcBorders>
            <w:shd w:val="clear" w:color="auto" w:fill="auto"/>
          </w:tcPr>
          <w:p w:rsidR="00F71B48" w:rsidRPr="00F26670" w:rsidRDefault="00F71B48" w:rsidP="00F26670">
            <w:pPr>
              <w:pStyle w:val="TableTextLeft-BP3"/>
              <w:rPr>
                <w:rFonts w:cs="Calibri"/>
                <w:b/>
                <w:bCs/>
                <w:color w:val="000000"/>
                <w:sz w:val="18"/>
                <w:lang w:eastAsia="en-AU"/>
              </w:rPr>
            </w:pPr>
            <w:r w:rsidRPr="00F26670">
              <w:rPr>
                <w:rFonts w:cs="Calibri"/>
                <w:b/>
                <w:bCs/>
                <w:color w:val="000000"/>
                <w:sz w:val="18"/>
                <w:lang w:eastAsia="en-AU"/>
              </w:rPr>
              <w:t>Total National Specific Purpose Payments</w:t>
            </w:r>
          </w:p>
        </w:tc>
        <w:tc>
          <w:tcPr>
            <w:tcW w:w="927" w:type="dxa"/>
            <w:tcBorders>
              <w:top w:val="single" w:sz="8" w:space="0" w:color="auto"/>
              <w:left w:val="nil"/>
              <w:bottom w:val="single" w:sz="8" w:space="0" w:color="auto"/>
              <w:right w:val="nil"/>
            </w:tcBorders>
            <w:shd w:val="clear" w:color="auto" w:fill="auto"/>
          </w:tcPr>
          <w:p w:rsidR="00F71B48" w:rsidRPr="007161E6" w:rsidRDefault="00F71B48" w:rsidP="00863C05">
            <w:pPr>
              <w:ind w:left="146" w:hanging="141"/>
              <w:jc w:val="right"/>
              <w:rPr>
                <w:rFonts w:cs="Calibri"/>
                <w:b/>
                <w:bCs/>
                <w:color w:val="000000"/>
                <w:sz w:val="18"/>
                <w:szCs w:val="18"/>
                <w:lang w:eastAsia="en-AU"/>
              </w:rPr>
            </w:pPr>
            <w:r>
              <w:rPr>
                <w:rFonts w:cs="Calibri"/>
                <w:b/>
                <w:bCs/>
                <w:color w:val="000000"/>
                <w:sz w:val="18"/>
                <w:szCs w:val="18"/>
                <w:lang w:eastAsia="en-AU"/>
              </w:rPr>
              <w:t>477.4</w:t>
            </w:r>
          </w:p>
        </w:tc>
        <w:tc>
          <w:tcPr>
            <w:tcW w:w="927" w:type="dxa"/>
            <w:gridSpan w:val="2"/>
            <w:tcBorders>
              <w:top w:val="single" w:sz="8" w:space="0" w:color="auto"/>
              <w:left w:val="nil"/>
              <w:bottom w:val="single" w:sz="8" w:space="0" w:color="auto"/>
              <w:right w:val="nil"/>
            </w:tcBorders>
            <w:shd w:val="clear" w:color="auto" w:fill="auto"/>
          </w:tcPr>
          <w:p w:rsidR="00F71B48" w:rsidRPr="007161E6" w:rsidRDefault="00F71B48" w:rsidP="00863C05">
            <w:pPr>
              <w:ind w:left="146" w:hanging="141"/>
              <w:jc w:val="right"/>
              <w:rPr>
                <w:rFonts w:cs="Calibri"/>
                <w:b/>
                <w:bCs/>
                <w:color w:val="000000"/>
                <w:sz w:val="18"/>
                <w:szCs w:val="18"/>
                <w:lang w:eastAsia="en-AU"/>
              </w:rPr>
            </w:pPr>
            <w:r>
              <w:rPr>
                <w:rFonts w:cs="Calibri"/>
                <w:b/>
                <w:bCs/>
                <w:color w:val="000000"/>
                <w:sz w:val="18"/>
                <w:szCs w:val="18"/>
                <w:lang w:eastAsia="en-AU"/>
              </w:rPr>
              <w:t>534.7</w:t>
            </w:r>
          </w:p>
        </w:tc>
        <w:tc>
          <w:tcPr>
            <w:tcW w:w="927" w:type="dxa"/>
            <w:tcBorders>
              <w:top w:val="single" w:sz="8" w:space="0" w:color="auto"/>
              <w:left w:val="nil"/>
              <w:bottom w:val="single" w:sz="8" w:space="0" w:color="auto"/>
              <w:right w:val="nil"/>
            </w:tcBorders>
            <w:shd w:val="clear" w:color="auto" w:fill="D9D9D9" w:themeFill="background1" w:themeFillShade="D9"/>
          </w:tcPr>
          <w:p w:rsidR="00F71B48" w:rsidRPr="00A443AC" w:rsidRDefault="00C97549" w:rsidP="00863C05">
            <w:pPr>
              <w:ind w:left="146" w:hanging="141"/>
              <w:jc w:val="right"/>
              <w:rPr>
                <w:rFonts w:cs="Calibri"/>
                <w:b/>
                <w:bCs/>
                <w:color w:val="000000"/>
                <w:sz w:val="18"/>
                <w:szCs w:val="18"/>
                <w:lang w:eastAsia="en-AU"/>
              </w:rPr>
            </w:pPr>
            <w:r w:rsidRPr="00A443AC">
              <w:rPr>
                <w:rFonts w:cs="Calibri"/>
                <w:b/>
                <w:bCs/>
                <w:color w:val="000000"/>
                <w:sz w:val="18"/>
                <w:szCs w:val="18"/>
                <w:lang w:eastAsia="en-AU"/>
              </w:rPr>
              <w:t>57.3</w:t>
            </w:r>
          </w:p>
        </w:tc>
        <w:tc>
          <w:tcPr>
            <w:tcW w:w="672" w:type="dxa"/>
            <w:tcBorders>
              <w:top w:val="nil"/>
              <w:left w:val="nil"/>
              <w:bottom w:val="single" w:sz="8" w:space="0" w:color="auto"/>
              <w:right w:val="nil"/>
            </w:tcBorders>
            <w:shd w:val="clear" w:color="auto" w:fill="D9D9D9" w:themeFill="background1" w:themeFillShade="D9"/>
          </w:tcPr>
          <w:p w:rsidR="00F71B48" w:rsidRPr="00A443AC" w:rsidRDefault="00C97549" w:rsidP="00863C05">
            <w:pPr>
              <w:ind w:left="146" w:hanging="141"/>
              <w:jc w:val="right"/>
              <w:rPr>
                <w:rFonts w:cs="Calibri"/>
                <w:b/>
                <w:bCs/>
                <w:color w:val="000000"/>
                <w:sz w:val="18"/>
                <w:szCs w:val="18"/>
                <w:lang w:eastAsia="en-AU"/>
              </w:rPr>
            </w:pPr>
            <w:r w:rsidRPr="00A443AC">
              <w:rPr>
                <w:rFonts w:cs="Calibri"/>
                <w:b/>
                <w:bCs/>
                <w:color w:val="000000"/>
                <w:sz w:val="18"/>
                <w:szCs w:val="18"/>
                <w:lang w:eastAsia="en-AU"/>
              </w:rPr>
              <w:t>12.0</w:t>
            </w:r>
          </w:p>
        </w:tc>
        <w:tc>
          <w:tcPr>
            <w:tcW w:w="927" w:type="dxa"/>
            <w:tcBorders>
              <w:top w:val="nil"/>
              <w:left w:val="nil"/>
              <w:bottom w:val="single" w:sz="8" w:space="0" w:color="auto"/>
              <w:right w:val="nil"/>
            </w:tcBorders>
            <w:shd w:val="clear" w:color="auto" w:fill="auto"/>
          </w:tcPr>
          <w:p w:rsidR="00F71B48" w:rsidRPr="007161E6" w:rsidRDefault="00F71B48" w:rsidP="00863C05">
            <w:pPr>
              <w:ind w:left="146" w:hanging="141"/>
              <w:jc w:val="right"/>
              <w:rPr>
                <w:rFonts w:cs="Calibri"/>
                <w:b/>
                <w:bCs/>
                <w:color w:val="000000"/>
                <w:sz w:val="18"/>
                <w:szCs w:val="18"/>
                <w:lang w:eastAsia="en-AU"/>
              </w:rPr>
            </w:pPr>
            <w:r>
              <w:rPr>
                <w:rFonts w:cs="Calibri"/>
                <w:b/>
                <w:bCs/>
                <w:color w:val="000000"/>
                <w:sz w:val="18"/>
                <w:szCs w:val="18"/>
                <w:lang w:eastAsia="en-AU"/>
              </w:rPr>
              <w:t>585.5</w:t>
            </w:r>
          </w:p>
        </w:tc>
        <w:tc>
          <w:tcPr>
            <w:tcW w:w="927" w:type="dxa"/>
            <w:tcBorders>
              <w:top w:val="nil"/>
              <w:left w:val="nil"/>
              <w:bottom w:val="single" w:sz="8" w:space="0" w:color="auto"/>
              <w:right w:val="nil"/>
            </w:tcBorders>
            <w:shd w:val="clear" w:color="auto" w:fill="auto"/>
          </w:tcPr>
          <w:p w:rsidR="00F71B48" w:rsidRPr="007161E6" w:rsidRDefault="00F71B48" w:rsidP="00863C05">
            <w:pPr>
              <w:ind w:left="146" w:hanging="141"/>
              <w:jc w:val="right"/>
              <w:rPr>
                <w:rFonts w:cs="Calibri"/>
                <w:b/>
                <w:bCs/>
                <w:color w:val="000000"/>
                <w:sz w:val="18"/>
                <w:szCs w:val="18"/>
                <w:lang w:eastAsia="en-AU"/>
              </w:rPr>
            </w:pPr>
            <w:r>
              <w:rPr>
                <w:rFonts w:cs="Calibri"/>
                <w:b/>
                <w:bCs/>
                <w:color w:val="000000"/>
                <w:sz w:val="18"/>
                <w:szCs w:val="18"/>
                <w:lang w:eastAsia="en-AU"/>
              </w:rPr>
              <w:t>643.2</w:t>
            </w:r>
          </w:p>
        </w:tc>
        <w:tc>
          <w:tcPr>
            <w:tcW w:w="1078" w:type="dxa"/>
            <w:tcBorders>
              <w:top w:val="nil"/>
              <w:left w:val="nil"/>
              <w:bottom w:val="single" w:sz="8" w:space="0" w:color="auto"/>
              <w:right w:val="nil"/>
            </w:tcBorders>
            <w:shd w:val="clear" w:color="auto" w:fill="auto"/>
          </w:tcPr>
          <w:p w:rsidR="00F71B48" w:rsidRPr="007161E6" w:rsidRDefault="00F71B48" w:rsidP="00863C05">
            <w:pPr>
              <w:ind w:left="146" w:hanging="141"/>
              <w:jc w:val="right"/>
              <w:rPr>
                <w:rFonts w:cs="Calibri"/>
                <w:b/>
                <w:bCs/>
                <w:color w:val="000000"/>
                <w:sz w:val="18"/>
                <w:szCs w:val="18"/>
                <w:lang w:eastAsia="en-AU"/>
              </w:rPr>
            </w:pPr>
            <w:r>
              <w:rPr>
                <w:rFonts w:cs="Calibri"/>
                <w:b/>
                <w:bCs/>
                <w:color w:val="000000"/>
                <w:sz w:val="18"/>
                <w:szCs w:val="18"/>
                <w:lang w:eastAsia="en-AU"/>
              </w:rPr>
              <w:t>706.1</w:t>
            </w:r>
          </w:p>
        </w:tc>
      </w:tr>
      <w:tr w:rsidR="00F71B48" w:rsidRPr="00ED79B1" w:rsidTr="00863C05">
        <w:trPr>
          <w:gridAfter w:val="6"/>
          <w:wAfter w:w="4670" w:type="dxa"/>
          <w:jc w:val="center"/>
        </w:trPr>
        <w:tc>
          <w:tcPr>
            <w:tcW w:w="4581" w:type="dxa"/>
            <w:gridSpan w:val="3"/>
            <w:tcBorders>
              <w:top w:val="single" w:sz="8" w:space="0" w:color="auto"/>
              <w:left w:val="nil"/>
              <w:bottom w:val="nil"/>
              <w:right w:val="nil"/>
            </w:tcBorders>
            <w:shd w:val="clear" w:color="auto" w:fill="auto"/>
          </w:tcPr>
          <w:p w:rsidR="00F71B48" w:rsidRPr="006C6D20" w:rsidRDefault="00F71B48" w:rsidP="00863C05">
            <w:pPr>
              <w:pStyle w:val="NoteText"/>
              <w:rPr>
                <w:b/>
                <w:lang w:eastAsia="en-AU"/>
              </w:rPr>
            </w:pPr>
            <w:r w:rsidRPr="00863C05">
              <w:rPr>
                <w:rStyle w:val="NoteHeadingChar"/>
              </w:rPr>
              <w:t>Note</w:t>
            </w:r>
            <w:r w:rsidRPr="006C6D20">
              <w:rPr>
                <w:lang w:eastAsia="en-AU"/>
              </w:rPr>
              <w:t xml:space="preserve">:  </w:t>
            </w:r>
            <w:r w:rsidRPr="00F26670">
              <w:t>Table may not add due to rounding.</w:t>
            </w:r>
          </w:p>
        </w:tc>
      </w:tr>
    </w:tbl>
    <w:p w:rsidR="00492E38" w:rsidRPr="00863C05" w:rsidRDefault="00492E38" w:rsidP="00863C05">
      <w:pPr>
        <w:pStyle w:val="BodyText"/>
      </w:pPr>
      <w:r w:rsidRPr="00863C05">
        <w:t xml:space="preserve">The ACT is required to spend the funding it receives under each National SPP in the service sector relevant to the SPP.  For example, the National Schools SPP must be expended in the education sector – but the ACT has full budget flexibility to allocate funds within that sector as it sees fit to achieve any mutually agreed objectives for that sector.  </w:t>
      </w:r>
    </w:p>
    <w:p w:rsidR="00492E38" w:rsidRPr="00F26670" w:rsidRDefault="00492E38" w:rsidP="00F26670">
      <w:pPr>
        <w:pStyle w:val="Heading4"/>
      </w:pPr>
      <w:r w:rsidRPr="00F26670">
        <w:t>Distribution of National SPPs</w:t>
      </w:r>
      <w:r w:rsidR="00863C05" w:rsidRPr="00F26670">
        <w:tab/>
      </w:r>
    </w:p>
    <w:p w:rsidR="00492E38" w:rsidRPr="00F26670" w:rsidRDefault="00492E38" w:rsidP="00F26670">
      <w:pPr>
        <w:pStyle w:val="BodyText"/>
      </w:pPr>
      <w:r w:rsidRPr="00F26670">
        <w:t>In accordance with the IGA</w:t>
      </w:r>
      <w:r w:rsidR="006F6CDB" w:rsidRPr="00F26670">
        <w:noBreakHyphen/>
      </w:r>
      <w:r w:rsidRPr="00F26670">
        <w:t>FFR, by 2014</w:t>
      </w:r>
      <w:r w:rsidRPr="00F26670">
        <w:noBreakHyphen/>
        <w:t xml:space="preserve">15, National SPPs will be </w:t>
      </w:r>
      <w:r w:rsidR="007C2C29" w:rsidRPr="00F26670">
        <w:t xml:space="preserve">fully </w:t>
      </w:r>
      <w:r w:rsidRPr="00F26670">
        <w:t>distributed to States based on their population shares (with the exception of the government schools component of the National Schools SPP, which will be distributed based on a State’s proportion of full</w:t>
      </w:r>
      <w:r w:rsidR="00956CF3" w:rsidRPr="00F26670">
        <w:noBreakHyphen/>
      </w:r>
      <w:r w:rsidRPr="00F26670">
        <w:t xml:space="preserve">time equivalent student enrolments in government schools).  </w:t>
      </w:r>
      <w:r w:rsidR="00EB6B77" w:rsidRPr="00F26670">
        <w:t>In 2013-14, the Health Reform and Disability SPPs will be distributed 100</w:t>
      </w:r>
      <w:r w:rsidR="00F4439F">
        <w:t xml:space="preserve"> per cent</w:t>
      </w:r>
      <w:r w:rsidR="00EB6B77" w:rsidRPr="00F26670">
        <w:t xml:space="preserve"> on a population share basis, with the other SPPs being distributed 80</w:t>
      </w:r>
      <w:r w:rsidR="00F4439F">
        <w:t xml:space="preserve"> per cent</w:t>
      </w:r>
      <w:r w:rsidR="00EB6B77" w:rsidRPr="00F26670">
        <w:t xml:space="preserve"> on population share and 20</w:t>
      </w:r>
      <w:r w:rsidR="00F4439F">
        <w:t xml:space="preserve"> per cent</w:t>
      </w:r>
      <w:r w:rsidR="00EB6B77" w:rsidRPr="00F26670">
        <w:t xml:space="preserve"> on a historical basis.</w:t>
      </w:r>
      <w:r w:rsidRPr="00F26670">
        <w:t xml:space="preserve"> </w:t>
      </w:r>
      <w:r w:rsidR="00863C05" w:rsidRPr="00F26670">
        <w:t xml:space="preserve"> </w:t>
      </w:r>
      <w:r w:rsidRPr="00F26670">
        <w:t xml:space="preserve">The distribution of the SPPs on an </w:t>
      </w:r>
      <w:r w:rsidR="00956CF3" w:rsidRPr="00F26670">
        <w:t>equal per capita</w:t>
      </w:r>
      <w:r w:rsidRPr="00F26670">
        <w:t xml:space="preserve"> basis is aimed at ensuring that all Australians, regardless of their location, receive the same share of Commonwealth funding support for State service delivery.  </w:t>
      </w:r>
    </w:p>
    <w:p w:rsidR="00731624" w:rsidRPr="00F26670" w:rsidRDefault="00492E38" w:rsidP="00F26670">
      <w:pPr>
        <w:pStyle w:val="BodyText"/>
      </w:pPr>
      <w:r w:rsidRPr="00F26670">
        <w:t>Further major change to the National SPPs is also expected to occur during the forward estimates period as a result of the</w:t>
      </w:r>
      <w:r w:rsidR="008C3E23" w:rsidRPr="00F26670">
        <w:t xml:space="preserve"> proposed</w:t>
      </w:r>
      <w:r w:rsidRPr="00F26670">
        <w:t xml:space="preserve"> introduction of </w:t>
      </w:r>
      <w:r w:rsidR="007B67E6" w:rsidRPr="00F26670">
        <w:t xml:space="preserve">the </w:t>
      </w:r>
      <w:r w:rsidR="00453BF8" w:rsidRPr="00F26670">
        <w:t>National Education Reform Agreement (</w:t>
      </w:r>
      <w:r w:rsidRPr="00F26670">
        <w:t>NERA</w:t>
      </w:r>
      <w:r w:rsidR="00453BF8" w:rsidRPr="00F26670">
        <w:t>)</w:t>
      </w:r>
      <w:r w:rsidRPr="00F26670">
        <w:t xml:space="preserve"> and associated Schooling Resource Standard (SRS) from 2014, and the transition to the full N</w:t>
      </w:r>
      <w:r w:rsidR="00453BF8" w:rsidRPr="00F26670">
        <w:t>ational Disability Insurance Scheme (N</w:t>
      </w:r>
      <w:r w:rsidRPr="00F26670">
        <w:t>DIS</w:t>
      </w:r>
      <w:r w:rsidR="00453BF8" w:rsidRPr="00F26670">
        <w:t>)</w:t>
      </w:r>
      <w:r w:rsidR="007B67E6" w:rsidRPr="00F26670">
        <w:t>, starting from 2014-15</w:t>
      </w:r>
      <w:r w:rsidR="0026795B" w:rsidRPr="00F26670">
        <w:t>.</w:t>
      </w:r>
    </w:p>
    <w:p w:rsidR="00A011D5" w:rsidRPr="00F26670" w:rsidRDefault="00492E38" w:rsidP="00F26670">
      <w:pPr>
        <w:pStyle w:val="BodyText"/>
      </w:pPr>
      <w:r w:rsidRPr="00F26670">
        <w:t>These major reforms are based on individual funding for students and people</w:t>
      </w:r>
      <w:r w:rsidR="00881F34" w:rsidRPr="00F26670">
        <w:t xml:space="preserve"> with disabilities</w:t>
      </w:r>
      <w:r w:rsidRPr="00F26670">
        <w:t xml:space="preserve">, rather than the </w:t>
      </w:r>
      <w:r w:rsidR="00095B49" w:rsidRPr="00F26670">
        <w:t xml:space="preserve">historical </w:t>
      </w:r>
      <w:r w:rsidRPr="00F26670">
        <w:t xml:space="preserve">block funding approach which originally determined allocation of SPP funding. </w:t>
      </w:r>
      <w:r w:rsidR="00863C05" w:rsidRPr="00F26670">
        <w:t xml:space="preserve"> </w:t>
      </w:r>
      <w:r w:rsidRPr="00F26670">
        <w:t xml:space="preserve">Negotiations on State funding contributions to the new schemes have not yet been finalised, and treatment of the State expenditure and associated Commonwealth payments under the HFE arrangements is still under discussion. </w:t>
      </w:r>
    </w:p>
    <w:p w:rsidR="003774B1" w:rsidRPr="00F26670" w:rsidRDefault="003C251D" w:rsidP="00F26670">
      <w:pPr>
        <w:pStyle w:val="BodyText"/>
      </w:pPr>
      <w:r w:rsidRPr="00F26670">
        <w:t xml:space="preserve">The use of national funding pools for both Health and Disability will also replace the SPPs which previously underpinned Commonwealth support for States in these sectors, fundamentally changing the nature of </w:t>
      </w:r>
      <w:r w:rsidR="00ED3E29" w:rsidRPr="00F26670">
        <w:t xml:space="preserve">Commonwealth financial support </w:t>
      </w:r>
      <w:r w:rsidR="00CD1D5E" w:rsidRPr="00F26670">
        <w:t xml:space="preserve">from an outcomes focus to one based </w:t>
      </w:r>
      <w:r w:rsidR="004B2D2A" w:rsidRPr="00F26670">
        <w:t>primarily on out</w:t>
      </w:r>
      <w:r w:rsidR="00CD1D5E" w:rsidRPr="00F26670">
        <w:t>put</w:t>
      </w:r>
      <w:r w:rsidR="004B2D2A" w:rsidRPr="00F26670">
        <w:t>s and maintenance of funding</w:t>
      </w:r>
      <w:r w:rsidRPr="00F26670">
        <w:t>.</w:t>
      </w:r>
      <w:r w:rsidR="0016037F" w:rsidRPr="00F26670">
        <w:t xml:space="preserve"> </w:t>
      </w:r>
      <w:r w:rsidR="00863C05" w:rsidRPr="00F26670">
        <w:t xml:space="preserve"> </w:t>
      </w:r>
      <w:r w:rsidR="0016037F" w:rsidRPr="00F26670">
        <w:t xml:space="preserve">The situation with the SPPs is further complicated by the requirement to </w:t>
      </w:r>
      <w:r w:rsidR="00CD1D5E" w:rsidRPr="00F26670">
        <w:t xml:space="preserve">undertake </w:t>
      </w:r>
      <w:r w:rsidR="0016037F" w:rsidRPr="00F26670">
        <w:t>a review of funding adequacy and related outcomes under the IGA</w:t>
      </w:r>
      <w:r w:rsidR="006F6CDB" w:rsidRPr="00F26670">
        <w:noBreakHyphen/>
        <w:t>FFR</w:t>
      </w:r>
      <w:r w:rsidR="0016037F" w:rsidRPr="00F26670">
        <w:t>, which is due to be conducted in 2013.</w:t>
      </w:r>
    </w:p>
    <w:p w:rsidR="003774B1" w:rsidRDefault="003774B1">
      <w:r>
        <w:br w:type="page"/>
      </w:r>
    </w:p>
    <w:p w:rsidR="00B80157" w:rsidRPr="003774B1" w:rsidRDefault="00B80157" w:rsidP="003774B1">
      <w:pPr>
        <w:pStyle w:val="Heading4"/>
        <w:spacing w:before="0"/>
      </w:pPr>
      <w:r w:rsidRPr="003774B1">
        <w:lastRenderedPageBreak/>
        <w:t>National Disability Insurance Scheme (DisabilityCare Australia)</w:t>
      </w:r>
    </w:p>
    <w:p w:rsidR="00B80157" w:rsidRPr="003774B1" w:rsidRDefault="004069B6" w:rsidP="003774B1">
      <w:pPr>
        <w:pStyle w:val="BodyText"/>
      </w:pPr>
      <w:r w:rsidRPr="003774B1">
        <w:t xml:space="preserve">DisabilityCare Australia establishes a national disability insurance scheme which provides lifetime care and support for eligible people who have significant and permanent disabilities. </w:t>
      </w:r>
      <w:r w:rsidR="00DD1742">
        <w:t xml:space="preserve"> </w:t>
      </w:r>
      <w:r w:rsidR="00751420" w:rsidRPr="003774B1">
        <w:t xml:space="preserve">Funding for DisabilityCare will be paid by the Commonwealth and all States into a single national funding pool. </w:t>
      </w:r>
    </w:p>
    <w:p w:rsidR="001C5EEC" w:rsidRPr="003774B1" w:rsidRDefault="00B80157" w:rsidP="003774B1">
      <w:pPr>
        <w:pStyle w:val="BodyText"/>
      </w:pPr>
      <w:r w:rsidRPr="003774B1">
        <w:t xml:space="preserve">The ACT is participating in trials for the NDIS and </w:t>
      </w:r>
      <w:r w:rsidR="00095B49">
        <w:t xml:space="preserve">will </w:t>
      </w:r>
      <w:r w:rsidRPr="003774B1">
        <w:t xml:space="preserve">begin the transition to the full scheme in 2014-15, with the full </w:t>
      </w:r>
      <w:r w:rsidR="004069B6" w:rsidRPr="003774B1">
        <w:t>national scheme commencing in 2019-20</w:t>
      </w:r>
      <w:r w:rsidRPr="003774B1">
        <w:t xml:space="preserve">. </w:t>
      </w:r>
      <w:r w:rsidR="003774B1">
        <w:t xml:space="preserve"> </w:t>
      </w:r>
      <w:r w:rsidR="003446DF" w:rsidRPr="003774B1">
        <w:t xml:space="preserve">Additional Commonwealth and State funding under NDIS will not be subject to equalisation </w:t>
      </w:r>
      <w:r w:rsidR="00DD1742">
        <w:t xml:space="preserve">under the </w:t>
      </w:r>
      <w:r w:rsidR="00F2048B" w:rsidRPr="003774B1">
        <w:t xml:space="preserve">HFE process </w:t>
      </w:r>
      <w:r w:rsidR="003446DF" w:rsidRPr="003774B1">
        <w:t>during the Launch period of NDIS, which ext</w:t>
      </w:r>
      <w:r w:rsidR="00DD1742">
        <w:t>ends through the Budget and out</w:t>
      </w:r>
      <w:r w:rsidR="00DD1742">
        <w:noBreakHyphen/>
      </w:r>
      <w:proofErr w:type="spellStart"/>
      <w:r w:rsidR="003446DF" w:rsidRPr="003774B1">
        <w:t>years</w:t>
      </w:r>
      <w:proofErr w:type="spellEnd"/>
      <w:r w:rsidR="003446DF" w:rsidRPr="003774B1">
        <w:t>.</w:t>
      </w:r>
    </w:p>
    <w:p w:rsidR="00B80157" w:rsidRPr="003774B1" w:rsidRDefault="001C5EEC" w:rsidP="003774B1">
      <w:pPr>
        <w:pStyle w:val="BodyText"/>
      </w:pPr>
      <w:r w:rsidRPr="003774B1">
        <w:t xml:space="preserve">Table 4.9 includes the expected National Partnership payments </w:t>
      </w:r>
      <w:r w:rsidR="00C67889" w:rsidRPr="003774B1">
        <w:t xml:space="preserve">from the Commonwealth </w:t>
      </w:r>
      <w:r w:rsidRPr="003774B1">
        <w:t xml:space="preserve">supporting </w:t>
      </w:r>
      <w:r w:rsidR="00A219F5" w:rsidRPr="003774B1">
        <w:t xml:space="preserve">preparation for </w:t>
      </w:r>
      <w:r w:rsidRPr="003774B1">
        <w:t>the NDIS Launch, estimated at</w:t>
      </w:r>
      <w:r w:rsidR="00A219F5" w:rsidRPr="003774B1">
        <w:t xml:space="preserve"> $6.4 million in 2013-14.</w:t>
      </w:r>
      <w:r w:rsidRPr="003774B1">
        <w:t xml:space="preserve">  </w:t>
      </w:r>
      <w:r w:rsidR="003446DF" w:rsidRPr="003774B1">
        <w:t xml:space="preserve"> </w:t>
      </w:r>
    </w:p>
    <w:p w:rsidR="00B80157" w:rsidRPr="00FC29C3" w:rsidRDefault="00D20000" w:rsidP="00FC29C3">
      <w:pPr>
        <w:pStyle w:val="Heading4"/>
      </w:pPr>
      <w:r w:rsidRPr="00FC29C3">
        <w:t xml:space="preserve">National </w:t>
      </w:r>
      <w:r w:rsidR="00B80157" w:rsidRPr="00FC29C3">
        <w:t>Education Reform</w:t>
      </w:r>
      <w:r w:rsidRPr="00FC29C3">
        <w:t xml:space="preserve"> Agreement</w:t>
      </w:r>
      <w:r w:rsidR="00B80157" w:rsidRPr="00FC29C3">
        <w:t xml:space="preserve"> (NERA)</w:t>
      </w:r>
    </w:p>
    <w:p w:rsidR="00FC29C3" w:rsidRPr="00FC29C3" w:rsidRDefault="00FC29C3" w:rsidP="00FC29C3">
      <w:pPr>
        <w:pStyle w:val="BodyText"/>
      </w:pPr>
      <w:r w:rsidRPr="00FC29C3">
        <w:t xml:space="preserve">Following the release of the Review of Funding for Schooling (the Gonski Review), the Commonwealth embarked on large-scale reform in school education, including fundamental change to funding arrangements.  Under the broad framework of NERA, the Schooling Resource Standard (SRS) will establish funding for individual students, with loadings to cover factors such as disability, </w:t>
      </w:r>
      <w:proofErr w:type="spellStart"/>
      <w:r w:rsidRPr="00FC29C3">
        <w:t>indigeneity</w:t>
      </w:r>
      <w:proofErr w:type="spellEnd"/>
      <w:r w:rsidRPr="00FC29C3">
        <w:t>, remoteness, socio-economic disadvantage and lack of proficiency in English.  The NERA changes will also include the roll-up of a number of education-related NPPs into the Schooling SPP, which will increase certainty for State budget planning and reduce the administrative and compliance workload imposed by the current large number of education NPs.  These changes are to come into effect from the start of 2014.</w:t>
      </w:r>
    </w:p>
    <w:p w:rsidR="00FC29C3" w:rsidRPr="00FC29C3" w:rsidRDefault="00FC29C3" w:rsidP="00FC29C3">
      <w:pPr>
        <w:pStyle w:val="BodyText"/>
      </w:pPr>
      <w:r w:rsidRPr="00FC29C3">
        <w:t>Under the proposed agreement the Government is expected to increase its contribution to schools by at least three per cent per annum.  These estimates have been included in the 2013-14 Budget.  Table 4.5 includes the expected National Specific Purpose payments for NERA, which commence in 2013-14 at $118.1 million for the initial half-year period.</w:t>
      </w:r>
    </w:p>
    <w:p w:rsidR="00FC29C3" w:rsidRPr="00FC29C3" w:rsidRDefault="00FC29C3" w:rsidP="00FC29C3">
      <w:pPr>
        <w:pStyle w:val="BodyText"/>
      </w:pPr>
      <w:r w:rsidRPr="00FC29C3">
        <w:t>Commonwealth payments under the NERA are expected to be treated by inclusion in HFE, but this is not yet confirmed.</w:t>
      </w:r>
    </w:p>
    <w:p w:rsidR="00FC29C3" w:rsidRPr="00FC29C3" w:rsidRDefault="00FC29C3" w:rsidP="00FC29C3">
      <w:pPr>
        <w:pStyle w:val="BodyText"/>
      </w:pPr>
      <w:r w:rsidRPr="00FC29C3">
        <w:t>COAG also agreed in April 2013 to extend the National Partnership Agreement on Early Childhood Education for 18 months.  This agreement recommits to universal access to pre</w:t>
      </w:r>
      <w:r w:rsidRPr="00FC29C3">
        <w:noBreakHyphen/>
        <w:t>school for four year old children.  Provision has been made in the 2013-14 Budget for the funding under the new agreement.</w:t>
      </w:r>
    </w:p>
    <w:p w:rsidR="003774B1" w:rsidRDefault="003774B1">
      <w:r>
        <w:br w:type="page"/>
      </w:r>
    </w:p>
    <w:p w:rsidR="00B80157" w:rsidRPr="003774B1" w:rsidRDefault="00B80157" w:rsidP="003774B1">
      <w:pPr>
        <w:pStyle w:val="Heading4"/>
        <w:spacing w:before="0"/>
      </w:pPr>
      <w:r w:rsidRPr="003774B1">
        <w:lastRenderedPageBreak/>
        <w:t>Health Reform</w:t>
      </w:r>
    </w:p>
    <w:p w:rsidR="00833C4E" w:rsidRDefault="00B80157" w:rsidP="003774B1">
      <w:pPr>
        <w:pStyle w:val="BodyText"/>
      </w:pPr>
      <w:r w:rsidRPr="003774B1">
        <w:t xml:space="preserve">New funding arrangements under the National Health Reform Agreement came into operation for all States from July 2012.  For 2012-13 and 2013-14, these arrangements include the continued provision of funding by the Commonwealth to the level which would have applied under the previous National Healthcare SPP. </w:t>
      </w:r>
      <w:r w:rsidR="008452C1">
        <w:t xml:space="preserve"> </w:t>
      </w:r>
      <w:r w:rsidRPr="003774B1">
        <w:t xml:space="preserve">From 2014-15 to 2016-17, the Commonwealth will maintain its previous percentage of base funding and fund 45 per cent of volume growth, both at the national efficient price (which is determined annually by an independent authority). </w:t>
      </w:r>
      <w:r w:rsidR="00DD1742">
        <w:t xml:space="preserve"> </w:t>
      </w:r>
      <w:r w:rsidRPr="003774B1">
        <w:t>From 2017-18, the level of Commonwealth funding for growth will move to 50 per cent.</w:t>
      </w:r>
    </w:p>
    <w:p w:rsidR="00833C4E" w:rsidRDefault="00833C4E" w:rsidP="00833C4E">
      <w:pPr>
        <w:pStyle w:val="BodyText"/>
      </w:pPr>
      <w:r>
        <w:t xml:space="preserve">Under the Health Reform arrangements, the Commonwealth funding contributions flow to the State where a patient receives treatment, rather than solely on the basis of State population shares. </w:t>
      </w:r>
      <w:r w:rsidR="00F4439F">
        <w:t xml:space="preserve"> </w:t>
      </w:r>
      <w:r>
        <w:t>This reduces the amounts previously f</w:t>
      </w:r>
      <w:r w:rsidR="00F4439F">
        <w:t>lowing between States for cross</w:t>
      </w:r>
      <w:r w:rsidR="00F4439F">
        <w:noBreakHyphen/>
      </w:r>
      <w:proofErr w:type="spellStart"/>
      <w:r>
        <w:t>border</w:t>
      </w:r>
      <w:proofErr w:type="spellEnd"/>
      <w:r>
        <w:t xml:space="preserve"> provision of services.</w:t>
      </w:r>
    </w:p>
    <w:p w:rsidR="00B80157" w:rsidRPr="003774B1" w:rsidRDefault="00B80157" w:rsidP="003774B1">
      <w:pPr>
        <w:pStyle w:val="BodyText"/>
      </w:pPr>
      <w:r w:rsidRPr="003774B1">
        <w:t>The activity based approach to funding has similarities to other Commonwealth reforms</w:t>
      </w:r>
      <w:r w:rsidR="007C01B4" w:rsidRPr="003774B1">
        <w:t xml:space="preserve"> (</w:t>
      </w:r>
      <w:r w:rsidR="00DD1742">
        <w:t>e</w:t>
      </w:r>
      <w:r w:rsidR="003774B1">
        <w:t>.g.</w:t>
      </w:r>
      <w:r w:rsidR="007C01B4" w:rsidRPr="003774B1">
        <w:t xml:space="preserve"> Skills Reform, Early Childhood Education)</w:t>
      </w:r>
      <w:r w:rsidRPr="003774B1">
        <w:t xml:space="preserve"> in </w:t>
      </w:r>
      <w:r w:rsidR="00A92B0A" w:rsidRPr="003774B1">
        <w:t>creating a demand-driven system</w:t>
      </w:r>
      <w:r w:rsidRPr="003774B1">
        <w:t>.</w:t>
      </w:r>
    </w:p>
    <w:p w:rsidR="0009774A" w:rsidRPr="00F4439F" w:rsidRDefault="006F6CDB" w:rsidP="00F4439F">
      <w:pPr>
        <w:pStyle w:val="Heading4"/>
      </w:pPr>
      <w:r w:rsidRPr="00F4439F">
        <w:t>N</w:t>
      </w:r>
      <w:r w:rsidR="00237A58" w:rsidRPr="00F4439F">
        <w:t xml:space="preserve">ational </w:t>
      </w:r>
      <w:r w:rsidRPr="00F4439F">
        <w:t>P</w:t>
      </w:r>
      <w:r w:rsidR="00237A58" w:rsidRPr="00F4439F">
        <w:t>artnership</w:t>
      </w:r>
      <w:r w:rsidR="00492E38" w:rsidRPr="00F4439F">
        <w:t xml:space="preserve"> Payments</w:t>
      </w:r>
    </w:p>
    <w:p w:rsidR="00492E38" w:rsidRPr="003774B1" w:rsidRDefault="006F6CDB" w:rsidP="003774B1">
      <w:pPr>
        <w:pStyle w:val="BodyText"/>
      </w:pPr>
      <w:r w:rsidRPr="003774B1">
        <w:t>Within the context of the IGA</w:t>
      </w:r>
      <w:r w:rsidRPr="003774B1">
        <w:noBreakHyphen/>
      </w:r>
      <w:r w:rsidR="0058797E" w:rsidRPr="003774B1">
        <w:t>FFR, t</w:t>
      </w:r>
      <w:r w:rsidR="00492E38" w:rsidRPr="003774B1">
        <w:t>he Commonwealth provides NP payments to the States</w:t>
      </w:r>
      <w:r w:rsidR="00360743" w:rsidRPr="003774B1">
        <w:t xml:space="preserve">, in addition to </w:t>
      </w:r>
      <w:r w:rsidR="007803D7">
        <w:t>GRA</w:t>
      </w:r>
      <w:r w:rsidR="00360743" w:rsidRPr="003774B1">
        <w:t xml:space="preserve"> and Specific Purpose payments,</w:t>
      </w:r>
      <w:r w:rsidR="00492E38" w:rsidRPr="003774B1">
        <w:t xml:space="preserve"> to support the delivery of specified projects, to facilitate reforms or to reward those jurisdictions that deliver on national reforms or achieve service delivery improvements.</w:t>
      </w:r>
    </w:p>
    <w:p w:rsidR="00492E38" w:rsidRPr="007C2679" w:rsidRDefault="00492E38" w:rsidP="00F702CC">
      <w:pPr>
        <w:pStyle w:val="BodyText"/>
      </w:pPr>
      <w:r w:rsidRPr="003774B1">
        <w:t xml:space="preserve">The distribution of these payments </w:t>
      </w:r>
      <w:r w:rsidR="0058797E" w:rsidRPr="003774B1">
        <w:t xml:space="preserve">for the ACT </w:t>
      </w:r>
      <w:r w:rsidRPr="003774B1">
        <w:t xml:space="preserve">across sectors is shown in </w:t>
      </w:r>
      <w:r w:rsidR="00453BF8" w:rsidRPr="003774B1">
        <w:t>F</w:t>
      </w:r>
      <w:r w:rsidR="00565BE5" w:rsidRPr="003774B1">
        <w:t>igure</w:t>
      </w:r>
      <w:r w:rsidR="00453BF8" w:rsidRPr="003774B1">
        <w:t xml:space="preserve"> 4.5</w:t>
      </w:r>
      <w:r w:rsidR="00BF6001" w:rsidRPr="003774B1">
        <w:t xml:space="preserve"> below</w:t>
      </w:r>
      <w:r w:rsidR="00BF6001">
        <w:t>.</w:t>
      </w:r>
    </w:p>
    <w:p w:rsidR="00CD2AFF" w:rsidRPr="00F4439F" w:rsidRDefault="00A27880" w:rsidP="00F4439F">
      <w:pPr>
        <w:pStyle w:val="TableNumber"/>
      </w:pPr>
      <w:r w:rsidRPr="00F4439F">
        <w:t>Figure</w:t>
      </w:r>
      <w:r w:rsidR="005B5D25" w:rsidRPr="00F4439F">
        <w:t xml:space="preserve"> 4.5</w:t>
      </w:r>
    </w:p>
    <w:p w:rsidR="00492E38" w:rsidRDefault="005B5D25" w:rsidP="00A27880">
      <w:pPr>
        <w:pStyle w:val="TableName"/>
      </w:pPr>
      <w:r w:rsidRPr="003774B1">
        <w:t>201</w:t>
      </w:r>
      <w:r w:rsidR="00F71B48" w:rsidRPr="003774B1">
        <w:t>3-14</w:t>
      </w:r>
      <w:r w:rsidRPr="003774B1">
        <w:t xml:space="preserve"> </w:t>
      </w:r>
      <w:r w:rsidR="00492E38" w:rsidRPr="003774B1">
        <w:t xml:space="preserve">Major </w:t>
      </w:r>
      <w:r w:rsidR="006F6CDB" w:rsidRPr="003774B1">
        <w:t>NP</w:t>
      </w:r>
      <w:r w:rsidR="00492E38" w:rsidRPr="003774B1">
        <w:t xml:space="preserve"> payments </w:t>
      </w:r>
      <w:r w:rsidR="007E0184" w:rsidRPr="003774B1">
        <w:t xml:space="preserve">to the ACT </w:t>
      </w:r>
      <w:r w:rsidR="00A4037A" w:rsidRPr="003774B1">
        <w:t>by sector</w:t>
      </w:r>
      <w:r w:rsidR="007E0184" w:rsidRPr="003774B1">
        <w:t xml:space="preserve"> </w:t>
      </w:r>
      <w:r w:rsidR="00A27880" w:rsidRPr="003774B1">
        <w:t>($</w:t>
      </w:r>
      <w:r w:rsidR="00826FEA" w:rsidRPr="003774B1">
        <w:t xml:space="preserve"> </w:t>
      </w:r>
      <w:r w:rsidR="00A27880" w:rsidRPr="003774B1">
        <w:t>million</w:t>
      </w:r>
      <w:r w:rsidR="00826FEA" w:rsidRPr="003774B1">
        <w:t>s</w:t>
      </w:r>
      <w:r w:rsidR="00A27880">
        <w:t>)</w:t>
      </w:r>
    </w:p>
    <w:p w:rsidR="00CD2AFF" w:rsidRDefault="00A443AC" w:rsidP="00492E38">
      <w:pPr>
        <w:pStyle w:val="Chartpara"/>
        <w:rPr>
          <w:noProof/>
          <w:szCs w:val="24"/>
          <w:lang w:eastAsia="en-AU"/>
        </w:rPr>
      </w:pPr>
      <w:r w:rsidRPr="00A443AC">
        <w:rPr>
          <w:noProof/>
          <w:szCs w:val="24"/>
          <w:lang w:eastAsia="en-AU"/>
        </w:rPr>
        <w:drawing>
          <wp:inline distT="0" distB="0" distL="0" distR="0">
            <wp:extent cx="5724525" cy="3419475"/>
            <wp:effectExtent l="19050" t="0" r="9525"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4439F" w:rsidRPr="00F4439F" w:rsidRDefault="00F4439F" w:rsidP="00F4439F">
      <w:pPr>
        <w:pStyle w:val="NoteText"/>
        <w:rPr>
          <w:rStyle w:val="NoteHeadingChar"/>
          <w:b w:val="0"/>
          <w:i/>
        </w:rPr>
      </w:pPr>
      <w:r w:rsidRPr="00F4439F">
        <w:rPr>
          <w:i/>
        </w:rPr>
        <w:t>Source: Federal Budget 2013-14 Paper No.3.</w:t>
      </w:r>
    </w:p>
    <w:p w:rsidR="007E6584" w:rsidRPr="00F4439F" w:rsidRDefault="007E6584" w:rsidP="00F4439F">
      <w:pPr>
        <w:pStyle w:val="NoteText"/>
      </w:pPr>
      <w:r w:rsidRPr="003774B1">
        <w:rPr>
          <w:rStyle w:val="NoteHeadingChar"/>
        </w:rPr>
        <w:t>Note</w:t>
      </w:r>
      <w:r w:rsidRPr="00F4439F">
        <w:t xml:space="preserve">: </w:t>
      </w:r>
      <w:r w:rsidR="00F4439F">
        <w:t xml:space="preserve"> </w:t>
      </w:r>
      <w:proofErr w:type="gramStart"/>
      <w:r w:rsidR="00990128" w:rsidRPr="00F4439F">
        <w:t>n/a</w:t>
      </w:r>
      <w:proofErr w:type="gramEnd"/>
      <w:r w:rsidR="00990128" w:rsidRPr="00F4439F">
        <w:t xml:space="preserve"> = not available: </w:t>
      </w:r>
      <w:r w:rsidRPr="00F4439F">
        <w:t xml:space="preserve">State allocations of funding for Affordable Housing (Homelessness NP) </w:t>
      </w:r>
      <w:r w:rsidR="008F4156" w:rsidRPr="00F4439F">
        <w:t xml:space="preserve">yet </w:t>
      </w:r>
      <w:r w:rsidRPr="00F4439F">
        <w:t>to be finalised</w:t>
      </w:r>
      <w:r w:rsidR="008F4156" w:rsidRPr="00F4439F">
        <w:t xml:space="preserve"> at time of publication</w:t>
      </w:r>
      <w:r w:rsidRPr="00F4439F">
        <w:t>.</w:t>
      </w:r>
    </w:p>
    <w:p w:rsidR="00B80157" w:rsidRPr="003774B1" w:rsidRDefault="00492E38" w:rsidP="003774B1">
      <w:pPr>
        <w:pStyle w:val="BodyText"/>
      </w:pPr>
      <w:r w:rsidRPr="003774B1">
        <w:lastRenderedPageBreak/>
        <w:t xml:space="preserve">The distribution of </w:t>
      </w:r>
      <w:r w:rsidR="006F6CDB" w:rsidRPr="003774B1">
        <w:t>NP p</w:t>
      </w:r>
      <w:r w:rsidRPr="003774B1">
        <w:t xml:space="preserve">ayments across sectors reflects both major areas of State service delivery, such as Health and Education, and the significant role played by the Commonwealth in funding State infrastructure, such as hospitals, roads and rail. </w:t>
      </w:r>
      <w:r w:rsidR="003774B1">
        <w:t xml:space="preserve"> </w:t>
      </w:r>
      <w:r w:rsidRPr="003774B1">
        <w:t xml:space="preserve">However, because of its small area and relatively compact population, the ACT receives considerably less for infrastructure in proportion to its population than do other States. </w:t>
      </w:r>
    </w:p>
    <w:p w:rsidR="00492E38" w:rsidRPr="007803D7" w:rsidRDefault="00492E38" w:rsidP="007803D7">
      <w:pPr>
        <w:pStyle w:val="BodyText"/>
      </w:pPr>
      <w:r w:rsidRPr="007803D7">
        <w:t xml:space="preserve">All NPs currently delivering funding to the ACT are </w:t>
      </w:r>
      <w:r w:rsidR="004C6C66" w:rsidRPr="007803D7">
        <w:t>summaris</w:t>
      </w:r>
      <w:r w:rsidRPr="007803D7">
        <w:t xml:space="preserve">ed </w:t>
      </w:r>
      <w:r w:rsidR="004C6C66" w:rsidRPr="007803D7">
        <w:t xml:space="preserve">by sector </w:t>
      </w:r>
      <w:r w:rsidRPr="007803D7">
        <w:t xml:space="preserve">in </w:t>
      </w:r>
      <w:r w:rsidR="00BF6001" w:rsidRPr="007803D7">
        <w:t>T</w:t>
      </w:r>
      <w:r w:rsidRPr="007803D7">
        <w:t>able</w:t>
      </w:r>
      <w:r w:rsidR="00BF6001" w:rsidRPr="007803D7">
        <w:t xml:space="preserve"> 4.6</w:t>
      </w:r>
      <w:r w:rsidR="00AE4A6B" w:rsidRPr="007803D7">
        <w:t xml:space="preserve"> </w:t>
      </w:r>
      <w:r w:rsidR="00BF6001" w:rsidRPr="007803D7">
        <w:t>below.</w:t>
      </w:r>
    </w:p>
    <w:p w:rsidR="00F71B48" w:rsidRPr="00F4439F" w:rsidRDefault="00F71B48" w:rsidP="00F4439F">
      <w:pPr>
        <w:pStyle w:val="TableNumber"/>
      </w:pPr>
      <w:r w:rsidRPr="00F4439F">
        <w:t>Table 4.6</w:t>
      </w:r>
    </w:p>
    <w:p w:rsidR="00F71B48" w:rsidRPr="00F4439F" w:rsidRDefault="00F71B48" w:rsidP="00F4439F">
      <w:pPr>
        <w:pStyle w:val="TableName"/>
      </w:pPr>
      <w:r w:rsidRPr="00F4439F">
        <w:t>Commonwealth NP Payments to the ACT</w:t>
      </w:r>
    </w:p>
    <w:tbl>
      <w:tblPr>
        <w:tblW w:w="9100" w:type="dxa"/>
        <w:jc w:val="center"/>
        <w:tblLayout w:type="fixed"/>
        <w:tblLook w:val="04A0"/>
      </w:tblPr>
      <w:tblGrid>
        <w:gridCol w:w="2589"/>
        <w:gridCol w:w="992"/>
        <w:gridCol w:w="833"/>
        <w:gridCol w:w="134"/>
        <w:gridCol w:w="897"/>
        <w:gridCol w:w="819"/>
        <w:gridCol w:w="897"/>
        <w:gridCol w:w="897"/>
        <w:gridCol w:w="1042"/>
      </w:tblGrid>
      <w:tr w:rsidR="00F71B48" w:rsidRPr="007161E6" w:rsidTr="008C5DA7">
        <w:trPr>
          <w:jc w:val="center"/>
        </w:trPr>
        <w:tc>
          <w:tcPr>
            <w:tcW w:w="2589" w:type="dxa"/>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 </w:t>
            </w:r>
          </w:p>
        </w:tc>
        <w:tc>
          <w:tcPr>
            <w:tcW w:w="992" w:type="dxa"/>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2012-13</w:t>
            </w:r>
            <w:r w:rsidR="00942A1E" w:rsidRPr="008C5DA7">
              <w:rPr>
                <w:rFonts w:cs="Calibri"/>
                <w:b/>
                <w:bCs/>
                <w:color w:val="000000"/>
                <w:sz w:val="18"/>
                <w:szCs w:val="18"/>
                <w:vertAlign w:val="superscript"/>
                <w:lang w:eastAsia="en-AU"/>
              </w:rPr>
              <w:t>#</w:t>
            </w:r>
          </w:p>
        </w:tc>
        <w:tc>
          <w:tcPr>
            <w:tcW w:w="967" w:type="dxa"/>
            <w:gridSpan w:val="2"/>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2013-14</w:t>
            </w:r>
            <w:r w:rsidR="00942A1E" w:rsidRPr="008C5DA7">
              <w:rPr>
                <w:rFonts w:cs="Calibri"/>
                <w:b/>
                <w:bCs/>
                <w:color w:val="000000"/>
                <w:sz w:val="18"/>
                <w:szCs w:val="18"/>
                <w:vertAlign w:val="superscript"/>
                <w:lang w:eastAsia="en-AU"/>
              </w:rPr>
              <w:t>#</w:t>
            </w:r>
          </w:p>
        </w:tc>
        <w:tc>
          <w:tcPr>
            <w:tcW w:w="1716" w:type="dxa"/>
            <w:gridSpan w:val="2"/>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 xml:space="preserve">              Variation</w:t>
            </w:r>
          </w:p>
        </w:tc>
        <w:tc>
          <w:tcPr>
            <w:tcW w:w="897" w:type="dxa"/>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2014-15</w:t>
            </w:r>
          </w:p>
        </w:tc>
        <w:tc>
          <w:tcPr>
            <w:tcW w:w="897" w:type="dxa"/>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2015-16</w:t>
            </w:r>
          </w:p>
        </w:tc>
        <w:tc>
          <w:tcPr>
            <w:tcW w:w="1042" w:type="dxa"/>
            <w:tcBorders>
              <w:top w:val="single" w:sz="8" w:space="0" w:color="auto"/>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2016-17</w:t>
            </w:r>
          </w:p>
        </w:tc>
      </w:tr>
      <w:tr w:rsidR="00F71B48" w:rsidRPr="007161E6" w:rsidTr="008C5DA7">
        <w:trPr>
          <w:jc w:val="center"/>
        </w:trPr>
        <w:tc>
          <w:tcPr>
            <w:tcW w:w="2589"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p>
        </w:tc>
        <w:tc>
          <w:tcPr>
            <w:tcW w:w="992"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Est. Out.</w:t>
            </w:r>
          </w:p>
        </w:tc>
        <w:tc>
          <w:tcPr>
            <w:tcW w:w="967" w:type="dxa"/>
            <w:gridSpan w:val="2"/>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Budget</w:t>
            </w:r>
          </w:p>
        </w:tc>
        <w:tc>
          <w:tcPr>
            <w:tcW w:w="897"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p>
        </w:tc>
        <w:tc>
          <w:tcPr>
            <w:tcW w:w="819"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p>
        </w:tc>
        <w:tc>
          <w:tcPr>
            <w:tcW w:w="897"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Estimate</w:t>
            </w:r>
          </w:p>
        </w:tc>
        <w:tc>
          <w:tcPr>
            <w:tcW w:w="897"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Estimate</w:t>
            </w:r>
          </w:p>
        </w:tc>
        <w:tc>
          <w:tcPr>
            <w:tcW w:w="1042" w:type="dxa"/>
            <w:tcBorders>
              <w:top w:val="nil"/>
              <w:left w:val="nil"/>
              <w:bottom w:val="nil"/>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Estimate</w:t>
            </w:r>
          </w:p>
        </w:tc>
      </w:tr>
      <w:tr w:rsidR="00F71B48" w:rsidRPr="007161E6" w:rsidTr="008C5DA7">
        <w:trPr>
          <w:jc w:val="center"/>
        </w:trPr>
        <w:tc>
          <w:tcPr>
            <w:tcW w:w="2589"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 </w:t>
            </w:r>
          </w:p>
        </w:tc>
        <w:tc>
          <w:tcPr>
            <w:tcW w:w="992"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967" w:type="dxa"/>
            <w:gridSpan w:val="2"/>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897"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819"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w:t>
            </w:r>
          </w:p>
        </w:tc>
        <w:tc>
          <w:tcPr>
            <w:tcW w:w="897"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897"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c>
          <w:tcPr>
            <w:tcW w:w="1042" w:type="dxa"/>
            <w:tcBorders>
              <w:top w:val="nil"/>
              <w:left w:val="nil"/>
              <w:bottom w:val="single" w:sz="8" w:space="0" w:color="auto"/>
              <w:right w:val="nil"/>
            </w:tcBorders>
            <w:shd w:val="clear" w:color="auto" w:fill="auto"/>
            <w:vAlign w:val="bottom"/>
          </w:tcPr>
          <w:p w:rsidR="00F71B48" w:rsidRPr="007161E6" w:rsidRDefault="00F71B48" w:rsidP="00782B63">
            <w:pPr>
              <w:jc w:val="right"/>
              <w:rPr>
                <w:rFonts w:cs="Calibri"/>
                <w:b/>
                <w:bCs/>
                <w:color w:val="000000"/>
                <w:sz w:val="18"/>
                <w:szCs w:val="18"/>
                <w:lang w:eastAsia="en-AU"/>
              </w:rPr>
            </w:pPr>
            <w:r w:rsidRPr="007161E6">
              <w:rPr>
                <w:rFonts w:cs="Calibri"/>
                <w:b/>
                <w:bCs/>
                <w:color w:val="000000"/>
                <w:sz w:val="18"/>
                <w:szCs w:val="18"/>
                <w:lang w:eastAsia="en-AU"/>
              </w:rPr>
              <w:t>$m</w:t>
            </w:r>
          </w:p>
        </w:tc>
      </w:tr>
      <w:tr w:rsidR="00F71B48" w:rsidRPr="007161E6" w:rsidTr="008C5DA7">
        <w:trPr>
          <w:jc w:val="center"/>
        </w:trPr>
        <w:tc>
          <w:tcPr>
            <w:tcW w:w="2589" w:type="dxa"/>
            <w:tcBorders>
              <w:top w:val="nil"/>
              <w:left w:val="nil"/>
              <w:bottom w:val="nil"/>
              <w:right w:val="nil"/>
            </w:tcBorders>
            <w:shd w:val="clear" w:color="auto" w:fill="auto"/>
          </w:tcPr>
          <w:p w:rsidR="00F71B48" w:rsidRPr="007161E6" w:rsidRDefault="00F71B48" w:rsidP="00F4439F">
            <w:pPr>
              <w:pStyle w:val="TableTextLeft-BP4"/>
              <w:rPr>
                <w:lang w:eastAsia="en-AU"/>
              </w:rPr>
            </w:pPr>
            <w:r w:rsidRPr="007161E6">
              <w:rPr>
                <w:lang w:eastAsia="en-AU"/>
              </w:rPr>
              <w:t>Health</w:t>
            </w:r>
          </w:p>
        </w:tc>
        <w:tc>
          <w:tcPr>
            <w:tcW w:w="99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29.7</w:t>
            </w:r>
          </w:p>
        </w:tc>
        <w:tc>
          <w:tcPr>
            <w:tcW w:w="967" w:type="dxa"/>
            <w:gridSpan w:val="2"/>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32.7</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3.0</w:t>
            </w:r>
          </w:p>
        </w:tc>
        <w:tc>
          <w:tcPr>
            <w:tcW w:w="819"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10.1</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26.6</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22.2</w:t>
            </w:r>
          </w:p>
        </w:tc>
        <w:tc>
          <w:tcPr>
            <w:tcW w:w="104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24.7</w:t>
            </w:r>
          </w:p>
        </w:tc>
      </w:tr>
      <w:tr w:rsidR="00F71B48" w:rsidRPr="007161E6" w:rsidTr="008C5DA7">
        <w:trPr>
          <w:jc w:val="center"/>
        </w:trPr>
        <w:tc>
          <w:tcPr>
            <w:tcW w:w="2589" w:type="dxa"/>
            <w:tcBorders>
              <w:top w:val="nil"/>
              <w:left w:val="nil"/>
              <w:bottom w:val="nil"/>
              <w:right w:val="nil"/>
            </w:tcBorders>
            <w:shd w:val="clear" w:color="auto" w:fill="auto"/>
          </w:tcPr>
          <w:p w:rsidR="00F71B48" w:rsidRPr="007161E6" w:rsidRDefault="00F71B48" w:rsidP="00F4439F">
            <w:pPr>
              <w:pStyle w:val="TableTextLeft-BP4"/>
              <w:rPr>
                <w:lang w:eastAsia="en-AU"/>
              </w:rPr>
            </w:pPr>
            <w:r w:rsidRPr="007161E6">
              <w:rPr>
                <w:lang w:eastAsia="en-AU"/>
              </w:rPr>
              <w:t xml:space="preserve">Education </w:t>
            </w:r>
          </w:p>
        </w:tc>
        <w:tc>
          <w:tcPr>
            <w:tcW w:w="99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24.3</w:t>
            </w:r>
          </w:p>
        </w:tc>
        <w:tc>
          <w:tcPr>
            <w:tcW w:w="967" w:type="dxa"/>
            <w:gridSpan w:val="2"/>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18.5</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-5.8</w:t>
            </w:r>
          </w:p>
        </w:tc>
        <w:tc>
          <w:tcPr>
            <w:tcW w:w="819"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-23.9</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8.3</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4.3</w:t>
            </w:r>
          </w:p>
        </w:tc>
        <w:tc>
          <w:tcPr>
            <w:tcW w:w="104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8.0</w:t>
            </w:r>
          </w:p>
        </w:tc>
      </w:tr>
      <w:tr w:rsidR="00F71B48" w:rsidRPr="007161E6" w:rsidTr="008C5DA7">
        <w:trPr>
          <w:jc w:val="center"/>
        </w:trPr>
        <w:tc>
          <w:tcPr>
            <w:tcW w:w="2589" w:type="dxa"/>
            <w:tcBorders>
              <w:top w:val="nil"/>
              <w:left w:val="nil"/>
              <w:bottom w:val="nil"/>
              <w:right w:val="nil"/>
            </w:tcBorders>
            <w:shd w:val="clear" w:color="auto" w:fill="auto"/>
          </w:tcPr>
          <w:p w:rsidR="00F71B48" w:rsidRPr="007161E6" w:rsidRDefault="00F71B48" w:rsidP="00F4439F">
            <w:pPr>
              <w:pStyle w:val="TableTextLeft-BP4"/>
              <w:rPr>
                <w:lang w:eastAsia="en-AU"/>
              </w:rPr>
            </w:pPr>
            <w:r w:rsidRPr="007161E6">
              <w:rPr>
                <w:lang w:eastAsia="en-AU"/>
              </w:rPr>
              <w:t xml:space="preserve">Skills and Workforce Development </w:t>
            </w:r>
          </w:p>
        </w:tc>
        <w:tc>
          <w:tcPr>
            <w:tcW w:w="99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5.7</w:t>
            </w:r>
          </w:p>
        </w:tc>
        <w:tc>
          <w:tcPr>
            <w:tcW w:w="967" w:type="dxa"/>
            <w:gridSpan w:val="2"/>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5.7</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0.0</w:t>
            </w:r>
          </w:p>
        </w:tc>
        <w:tc>
          <w:tcPr>
            <w:tcW w:w="819"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0.0</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6.4</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6.1</w:t>
            </w:r>
          </w:p>
        </w:tc>
        <w:tc>
          <w:tcPr>
            <w:tcW w:w="104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8.3</w:t>
            </w:r>
          </w:p>
        </w:tc>
      </w:tr>
      <w:tr w:rsidR="00F71B48" w:rsidRPr="007161E6" w:rsidTr="008C5DA7">
        <w:trPr>
          <w:jc w:val="center"/>
        </w:trPr>
        <w:tc>
          <w:tcPr>
            <w:tcW w:w="2589" w:type="dxa"/>
            <w:tcBorders>
              <w:top w:val="nil"/>
              <w:left w:val="nil"/>
              <w:bottom w:val="nil"/>
              <w:right w:val="nil"/>
            </w:tcBorders>
            <w:shd w:val="clear" w:color="auto" w:fill="auto"/>
          </w:tcPr>
          <w:p w:rsidR="00F71B48" w:rsidRPr="007161E6" w:rsidRDefault="00F71B48" w:rsidP="00F4439F">
            <w:pPr>
              <w:pStyle w:val="TableTextLeft-BP4"/>
              <w:rPr>
                <w:lang w:eastAsia="en-AU"/>
              </w:rPr>
            </w:pPr>
            <w:r w:rsidRPr="007161E6">
              <w:rPr>
                <w:lang w:eastAsia="en-AU"/>
              </w:rPr>
              <w:t>Community Services</w:t>
            </w:r>
          </w:p>
        </w:tc>
        <w:tc>
          <w:tcPr>
            <w:tcW w:w="99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3.9</w:t>
            </w:r>
          </w:p>
        </w:tc>
        <w:tc>
          <w:tcPr>
            <w:tcW w:w="967" w:type="dxa"/>
            <w:gridSpan w:val="2"/>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9.5</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5.6</w:t>
            </w:r>
          </w:p>
        </w:tc>
        <w:tc>
          <w:tcPr>
            <w:tcW w:w="819"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143.6</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7.3</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11.4</w:t>
            </w:r>
          </w:p>
        </w:tc>
        <w:tc>
          <w:tcPr>
            <w:tcW w:w="104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19.7</w:t>
            </w:r>
          </w:p>
        </w:tc>
      </w:tr>
      <w:tr w:rsidR="00F71B48" w:rsidRPr="007161E6" w:rsidTr="008C5DA7">
        <w:trPr>
          <w:jc w:val="center"/>
        </w:trPr>
        <w:tc>
          <w:tcPr>
            <w:tcW w:w="2589" w:type="dxa"/>
            <w:tcBorders>
              <w:top w:val="nil"/>
              <w:left w:val="nil"/>
              <w:bottom w:val="nil"/>
              <w:right w:val="nil"/>
            </w:tcBorders>
            <w:shd w:val="clear" w:color="auto" w:fill="auto"/>
          </w:tcPr>
          <w:p w:rsidR="00F71B48" w:rsidRPr="007161E6" w:rsidRDefault="00F71B48" w:rsidP="00F4439F">
            <w:pPr>
              <w:pStyle w:val="TableTextLeft-BP4"/>
              <w:rPr>
                <w:lang w:eastAsia="en-AU"/>
              </w:rPr>
            </w:pPr>
            <w:r w:rsidRPr="007161E6">
              <w:rPr>
                <w:lang w:eastAsia="en-AU"/>
              </w:rPr>
              <w:t>Affordable Housing</w:t>
            </w:r>
          </w:p>
        </w:tc>
        <w:tc>
          <w:tcPr>
            <w:tcW w:w="99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2.4</w:t>
            </w:r>
          </w:p>
        </w:tc>
        <w:tc>
          <w:tcPr>
            <w:tcW w:w="967" w:type="dxa"/>
            <w:gridSpan w:val="2"/>
            <w:tcBorders>
              <w:top w:val="nil"/>
              <w:left w:val="nil"/>
              <w:bottom w:val="nil"/>
              <w:right w:val="nil"/>
            </w:tcBorders>
            <w:shd w:val="clear" w:color="auto" w:fill="auto"/>
          </w:tcPr>
          <w:p w:rsidR="00F71B48" w:rsidRPr="007161E6" w:rsidRDefault="001F44AB" w:rsidP="00F4439F">
            <w:pPr>
              <w:pStyle w:val="TableTextRight-BP4"/>
              <w:rPr>
                <w:lang w:eastAsia="en-AU"/>
              </w:rPr>
            </w:pPr>
            <w:r>
              <w:rPr>
                <w:lang w:eastAsia="en-AU"/>
              </w:rPr>
              <w:t>n/a</w:t>
            </w:r>
            <w:r w:rsidR="0009774A">
              <w:rPr>
                <w:lang w:eastAsia="en-AU"/>
              </w:rPr>
              <w:t>*</w:t>
            </w:r>
          </w:p>
        </w:tc>
        <w:tc>
          <w:tcPr>
            <w:tcW w:w="897" w:type="dxa"/>
            <w:tcBorders>
              <w:top w:val="nil"/>
              <w:left w:val="nil"/>
              <w:bottom w:val="nil"/>
              <w:right w:val="nil"/>
            </w:tcBorders>
            <w:shd w:val="clear" w:color="auto" w:fill="auto"/>
          </w:tcPr>
          <w:p w:rsidR="00F71B48" w:rsidRPr="007161E6" w:rsidRDefault="001F44AB" w:rsidP="00F4439F">
            <w:pPr>
              <w:pStyle w:val="TableTextRight-BP4"/>
              <w:rPr>
                <w:lang w:eastAsia="en-AU"/>
              </w:rPr>
            </w:pPr>
            <w:r>
              <w:rPr>
                <w:lang w:eastAsia="en-AU"/>
              </w:rPr>
              <w:t>n/a</w:t>
            </w:r>
            <w:r w:rsidR="008B351B">
              <w:rPr>
                <w:lang w:eastAsia="en-AU"/>
              </w:rPr>
              <w:t>*</w:t>
            </w:r>
          </w:p>
        </w:tc>
        <w:tc>
          <w:tcPr>
            <w:tcW w:w="819" w:type="dxa"/>
            <w:tcBorders>
              <w:top w:val="nil"/>
              <w:left w:val="nil"/>
              <w:bottom w:val="nil"/>
              <w:right w:val="nil"/>
            </w:tcBorders>
            <w:shd w:val="clear" w:color="auto" w:fill="auto"/>
          </w:tcPr>
          <w:p w:rsidR="00F71B48" w:rsidRPr="007161E6" w:rsidRDefault="001F44AB" w:rsidP="00F4439F">
            <w:pPr>
              <w:pStyle w:val="TableTextRight-BP4"/>
              <w:rPr>
                <w:lang w:eastAsia="en-AU"/>
              </w:rPr>
            </w:pPr>
            <w:r>
              <w:rPr>
                <w:lang w:eastAsia="en-AU"/>
              </w:rPr>
              <w:t>n/a</w:t>
            </w:r>
            <w:r w:rsidR="008B351B">
              <w:rPr>
                <w:lang w:eastAsia="en-AU"/>
              </w:rPr>
              <w:t>*</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w:t>
            </w:r>
          </w:p>
        </w:tc>
        <w:tc>
          <w:tcPr>
            <w:tcW w:w="104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w:t>
            </w:r>
          </w:p>
        </w:tc>
      </w:tr>
      <w:tr w:rsidR="00F71B48" w:rsidRPr="007161E6" w:rsidTr="008C5DA7">
        <w:trPr>
          <w:jc w:val="center"/>
        </w:trPr>
        <w:tc>
          <w:tcPr>
            <w:tcW w:w="2589" w:type="dxa"/>
            <w:tcBorders>
              <w:top w:val="nil"/>
              <w:left w:val="nil"/>
              <w:bottom w:val="nil"/>
              <w:right w:val="nil"/>
            </w:tcBorders>
            <w:shd w:val="clear" w:color="auto" w:fill="auto"/>
          </w:tcPr>
          <w:p w:rsidR="00F71B48" w:rsidRPr="007161E6" w:rsidRDefault="00F71B48" w:rsidP="00F4439F">
            <w:pPr>
              <w:pStyle w:val="TableTextLeft-BP4"/>
              <w:rPr>
                <w:lang w:eastAsia="en-AU"/>
              </w:rPr>
            </w:pPr>
            <w:r w:rsidRPr="007161E6">
              <w:rPr>
                <w:lang w:eastAsia="en-AU"/>
              </w:rPr>
              <w:t>Infrastructure</w:t>
            </w:r>
          </w:p>
        </w:tc>
        <w:tc>
          <w:tcPr>
            <w:tcW w:w="99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4.3</w:t>
            </w:r>
          </w:p>
        </w:tc>
        <w:tc>
          <w:tcPr>
            <w:tcW w:w="967" w:type="dxa"/>
            <w:gridSpan w:val="2"/>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56.8</w:t>
            </w:r>
            <w:r w:rsidR="00D74D6A">
              <w:rPr>
                <w:lang w:eastAsia="en-AU"/>
              </w:rPr>
              <w:t>**</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52.5</w:t>
            </w:r>
          </w:p>
        </w:tc>
        <w:tc>
          <w:tcPr>
            <w:tcW w:w="819"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1,220.9</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84.1</w:t>
            </w:r>
            <w:r w:rsidR="00D74D6A">
              <w:rPr>
                <w:lang w:eastAsia="en-AU"/>
              </w:rPr>
              <w:t>**</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28.5</w:t>
            </w:r>
          </w:p>
        </w:tc>
        <w:tc>
          <w:tcPr>
            <w:tcW w:w="104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29.6</w:t>
            </w:r>
          </w:p>
        </w:tc>
      </w:tr>
      <w:tr w:rsidR="00F71B48" w:rsidRPr="007161E6" w:rsidTr="008C5DA7">
        <w:trPr>
          <w:jc w:val="center"/>
        </w:trPr>
        <w:tc>
          <w:tcPr>
            <w:tcW w:w="2589" w:type="dxa"/>
            <w:tcBorders>
              <w:top w:val="nil"/>
              <w:left w:val="nil"/>
              <w:bottom w:val="nil"/>
              <w:right w:val="nil"/>
            </w:tcBorders>
            <w:shd w:val="clear" w:color="auto" w:fill="auto"/>
          </w:tcPr>
          <w:p w:rsidR="00F71B48" w:rsidRPr="007161E6" w:rsidRDefault="00F71B48" w:rsidP="00F4439F">
            <w:pPr>
              <w:pStyle w:val="TableTextLeft-BP4"/>
              <w:rPr>
                <w:lang w:eastAsia="en-AU"/>
              </w:rPr>
            </w:pPr>
            <w:r w:rsidRPr="007161E6">
              <w:rPr>
                <w:lang w:eastAsia="en-AU"/>
              </w:rPr>
              <w:t>Environment</w:t>
            </w:r>
          </w:p>
        </w:tc>
        <w:tc>
          <w:tcPr>
            <w:tcW w:w="99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3.7</w:t>
            </w:r>
          </w:p>
        </w:tc>
        <w:tc>
          <w:tcPr>
            <w:tcW w:w="967" w:type="dxa"/>
            <w:gridSpan w:val="2"/>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1.9</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-1.8</w:t>
            </w:r>
          </w:p>
        </w:tc>
        <w:tc>
          <w:tcPr>
            <w:tcW w:w="819"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-48.6</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2.3</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1.7</w:t>
            </w:r>
          </w:p>
        </w:tc>
        <w:tc>
          <w:tcPr>
            <w:tcW w:w="104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1.7</w:t>
            </w:r>
          </w:p>
        </w:tc>
      </w:tr>
      <w:tr w:rsidR="00F71B48" w:rsidRPr="007161E6" w:rsidTr="008C5DA7">
        <w:trPr>
          <w:jc w:val="center"/>
        </w:trPr>
        <w:tc>
          <w:tcPr>
            <w:tcW w:w="2589" w:type="dxa"/>
            <w:tcBorders>
              <w:top w:val="nil"/>
              <w:left w:val="nil"/>
              <w:bottom w:val="nil"/>
              <w:right w:val="nil"/>
            </w:tcBorders>
            <w:shd w:val="clear" w:color="auto" w:fill="auto"/>
          </w:tcPr>
          <w:p w:rsidR="00F71B48" w:rsidRPr="007161E6" w:rsidRDefault="00F71B48" w:rsidP="00F4439F">
            <w:pPr>
              <w:pStyle w:val="TableTextLeft-BP4"/>
              <w:rPr>
                <w:lang w:eastAsia="en-AU"/>
              </w:rPr>
            </w:pPr>
            <w:r w:rsidRPr="007161E6">
              <w:rPr>
                <w:lang w:eastAsia="en-AU"/>
              </w:rPr>
              <w:t>Contingent Payments</w:t>
            </w:r>
          </w:p>
        </w:tc>
        <w:tc>
          <w:tcPr>
            <w:tcW w:w="99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0.1</w:t>
            </w:r>
          </w:p>
        </w:tc>
        <w:tc>
          <w:tcPr>
            <w:tcW w:w="967" w:type="dxa"/>
            <w:gridSpan w:val="2"/>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0.1</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0.0</w:t>
            </w:r>
          </w:p>
        </w:tc>
        <w:tc>
          <w:tcPr>
            <w:tcW w:w="819"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0.0</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0.1</w:t>
            </w:r>
          </w:p>
        </w:tc>
        <w:tc>
          <w:tcPr>
            <w:tcW w:w="897"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0.1</w:t>
            </w:r>
          </w:p>
        </w:tc>
        <w:tc>
          <w:tcPr>
            <w:tcW w:w="1042" w:type="dxa"/>
            <w:tcBorders>
              <w:top w:val="nil"/>
              <w:left w:val="nil"/>
              <w:bottom w:val="nil"/>
              <w:right w:val="nil"/>
            </w:tcBorders>
            <w:shd w:val="clear" w:color="auto" w:fill="auto"/>
          </w:tcPr>
          <w:p w:rsidR="00F71B48" w:rsidRPr="007161E6" w:rsidRDefault="00F71B48" w:rsidP="00F4439F">
            <w:pPr>
              <w:pStyle w:val="TableTextRight-BP4"/>
              <w:rPr>
                <w:lang w:eastAsia="en-AU"/>
              </w:rPr>
            </w:pPr>
            <w:r>
              <w:rPr>
                <w:lang w:eastAsia="en-AU"/>
              </w:rPr>
              <w:t>-</w:t>
            </w:r>
          </w:p>
        </w:tc>
      </w:tr>
      <w:tr w:rsidR="00F71B48" w:rsidRPr="007161E6" w:rsidTr="008C5DA7">
        <w:trPr>
          <w:jc w:val="center"/>
        </w:trPr>
        <w:tc>
          <w:tcPr>
            <w:tcW w:w="2589" w:type="dxa"/>
            <w:tcBorders>
              <w:top w:val="nil"/>
              <w:left w:val="nil"/>
              <w:bottom w:val="nil"/>
              <w:right w:val="nil"/>
            </w:tcBorders>
            <w:shd w:val="clear" w:color="auto" w:fill="auto"/>
          </w:tcPr>
          <w:p w:rsidR="00F71B48" w:rsidRPr="007161E6" w:rsidRDefault="00F71B48" w:rsidP="00F4439F">
            <w:pPr>
              <w:pStyle w:val="TableTextLeft-BP4"/>
              <w:rPr>
                <w:lang w:eastAsia="en-AU"/>
              </w:rPr>
            </w:pPr>
            <w:r w:rsidRPr="007161E6">
              <w:rPr>
                <w:lang w:eastAsia="en-AU"/>
              </w:rPr>
              <w:t>Other</w:t>
            </w:r>
          </w:p>
        </w:tc>
        <w:tc>
          <w:tcPr>
            <w:tcW w:w="992" w:type="dxa"/>
            <w:tcBorders>
              <w:top w:val="nil"/>
              <w:left w:val="nil"/>
              <w:bottom w:val="single" w:sz="8" w:space="0" w:color="auto"/>
              <w:right w:val="nil"/>
            </w:tcBorders>
            <w:shd w:val="clear" w:color="auto" w:fill="auto"/>
          </w:tcPr>
          <w:p w:rsidR="00F71B48" w:rsidRPr="007161E6" w:rsidRDefault="00F71B48" w:rsidP="00F4439F">
            <w:pPr>
              <w:pStyle w:val="TableTextRight-BP4"/>
              <w:rPr>
                <w:lang w:eastAsia="en-AU"/>
              </w:rPr>
            </w:pPr>
            <w:r>
              <w:rPr>
                <w:lang w:eastAsia="en-AU"/>
              </w:rPr>
              <w:t>16.7</w:t>
            </w:r>
          </w:p>
        </w:tc>
        <w:tc>
          <w:tcPr>
            <w:tcW w:w="967" w:type="dxa"/>
            <w:gridSpan w:val="2"/>
            <w:tcBorders>
              <w:top w:val="nil"/>
              <w:left w:val="nil"/>
              <w:bottom w:val="single" w:sz="8" w:space="0" w:color="auto"/>
              <w:right w:val="nil"/>
            </w:tcBorders>
            <w:shd w:val="clear" w:color="auto" w:fill="auto"/>
          </w:tcPr>
          <w:p w:rsidR="00F71B48" w:rsidRPr="007161E6" w:rsidRDefault="00F71B48" w:rsidP="00F4439F">
            <w:pPr>
              <w:pStyle w:val="TableTextRight-BP4"/>
              <w:rPr>
                <w:lang w:eastAsia="en-AU"/>
              </w:rPr>
            </w:pPr>
            <w:r>
              <w:rPr>
                <w:lang w:eastAsia="en-AU"/>
              </w:rPr>
              <w:t>16.7</w:t>
            </w:r>
          </w:p>
        </w:tc>
        <w:tc>
          <w:tcPr>
            <w:tcW w:w="897" w:type="dxa"/>
            <w:tcBorders>
              <w:top w:val="nil"/>
              <w:left w:val="nil"/>
              <w:bottom w:val="single" w:sz="8" w:space="0" w:color="auto"/>
              <w:right w:val="nil"/>
            </w:tcBorders>
            <w:shd w:val="clear" w:color="auto" w:fill="auto"/>
          </w:tcPr>
          <w:p w:rsidR="00F71B48" w:rsidRPr="007161E6" w:rsidRDefault="00F71B48" w:rsidP="00F4439F">
            <w:pPr>
              <w:pStyle w:val="TableTextRight-BP4"/>
              <w:rPr>
                <w:lang w:eastAsia="en-AU"/>
              </w:rPr>
            </w:pPr>
            <w:r>
              <w:rPr>
                <w:lang w:eastAsia="en-AU"/>
              </w:rPr>
              <w:t>0.0</w:t>
            </w:r>
          </w:p>
        </w:tc>
        <w:tc>
          <w:tcPr>
            <w:tcW w:w="819" w:type="dxa"/>
            <w:tcBorders>
              <w:top w:val="nil"/>
              <w:left w:val="nil"/>
              <w:bottom w:val="single" w:sz="8" w:space="0" w:color="auto"/>
              <w:right w:val="nil"/>
            </w:tcBorders>
            <w:shd w:val="clear" w:color="auto" w:fill="auto"/>
          </w:tcPr>
          <w:p w:rsidR="00F71B48" w:rsidRPr="007161E6" w:rsidRDefault="00F71B48" w:rsidP="00F4439F">
            <w:pPr>
              <w:pStyle w:val="TableTextRight-BP4"/>
              <w:rPr>
                <w:lang w:eastAsia="en-AU"/>
              </w:rPr>
            </w:pPr>
            <w:r>
              <w:rPr>
                <w:lang w:eastAsia="en-AU"/>
              </w:rPr>
              <w:t>0.0</w:t>
            </w:r>
          </w:p>
        </w:tc>
        <w:tc>
          <w:tcPr>
            <w:tcW w:w="897" w:type="dxa"/>
            <w:tcBorders>
              <w:top w:val="nil"/>
              <w:left w:val="nil"/>
              <w:bottom w:val="single" w:sz="8" w:space="0" w:color="auto"/>
              <w:right w:val="nil"/>
            </w:tcBorders>
            <w:shd w:val="clear" w:color="auto" w:fill="auto"/>
          </w:tcPr>
          <w:p w:rsidR="00F71B48" w:rsidRPr="007161E6" w:rsidRDefault="00F71B48" w:rsidP="00F4439F">
            <w:pPr>
              <w:pStyle w:val="TableTextRight-BP4"/>
              <w:rPr>
                <w:lang w:eastAsia="en-AU"/>
              </w:rPr>
            </w:pPr>
            <w:r>
              <w:rPr>
                <w:lang w:eastAsia="en-AU"/>
              </w:rPr>
              <w:t>9.5</w:t>
            </w:r>
          </w:p>
        </w:tc>
        <w:tc>
          <w:tcPr>
            <w:tcW w:w="897" w:type="dxa"/>
            <w:tcBorders>
              <w:top w:val="nil"/>
              <w:left w:val="nil"/>
              <w:bottom w:val="single" w:sz="8" w:space="0" w:color="auto"/>
              <w:right w:val="nil"/>
            </w:tcBorders>
            <w:shd w:val="clear" w:color="auto" w:fill="auto"/>
          </w:tcPr>
          <w:p w:rsidR="00F71B48" w:rsidRPr="007161E6" w:rsidRDefault="00F71B48" w:rsidP="00F4439F">
            <w:pPr>
              <w:pStyle w:val="TableTextRight-BP4"/>
              <w:rPr>
                <w:lang w:eastAsia="en-AU"/>
              </w:rPr>
            </w:pPr>
            <w:r>
              <w:rPr>
                <w:lang w:eastAsia="en-AU"/>
              </w:rPr>
              <w:t>9.8</w:t>
            </w:r>
          </w:p>
        </w:tc>
        <w:tc>
          <w:tcPr>
            <w:tcW w:w="1042" w:type="dxa"/>
            <w:tcBorders>
              <w:top w:val="nil"/>
              <w:left w:val="nil"/>
              <w:bottom w:val="single" w:sz="8" w:space="0" w:color="auto"/>
              <w:right w:val="nil"/>
            </w:tcBorders>
            <w:shd w:val="clear" w:color="auto" w:fill="auto"/>
          </w:tcPr>
          <w:p w:rsidR="00F71B48" w:rsidRPr="007161E6" w:rsidRDefault="00F71B48" w:rsidP="00F4439F">
            <w:pPr>
              <w:pStyle w:val="TableTextRight-BP4"/>
              <w:rPr>
                <w:lang w:eastAsia="en-AU"/>
              </w:rPr>
            </w:pPr>
            <w:r>
              <w:rPr>
                <w:lang w:eastAsia="en-AU"/>
              </w:rPr>
              <w:t>10.0</w:t>
            </w:r>
          </w:p>
        </w:tc>
      </w:tr>
      <w:tr w:rsidR="00F71B48" w:rsidRPr="007161E6" w:rsidTr="008C5DA7">
        <w:trPr>
          <w:jc w:val="center"/>
        </w:trPr>
        <w:tc>
          <w:tcPr>
            <w:tcW w:w="2589" w:type="dxa"/>
            <w:tcBorders>
              <w:top w:val="nil"/>
              <w:left w:val="nil"/>
              <w:bottom w:val="nil"/>
              <w:right w:val="nil"/>
            </w:tcBorders>
            <w:shd w:val="clear" w:color="auto" w:fill="auto"/>
          </w:tcPr>
          <w:p w:rsidR="00F71B48" w:rsidRPr="007161E6" w:rsidRDefault="00F71B48" w:rsidP="00890DEA">
            <w:pPr>
              <w:ind w:leftChars="2" w:left="146" w:hangingChars="78" w:hanging="141"/>
              <w:rPr>
                <w:rFonts w:cs="Calibri"/>
                <w:b/>
                <w:bCs/>
                <w:color w:val="000000"/>
                <w:sz w:val="18"/>
                <w:szCs w:val="18"/>
                <w:lang w:eastAsia="en-AU"/>
              </w:rPr>
            </w:pPr>
            <w:r w:rsidRPr="007161E6">
              <w:rPr>
                <w:rFonts w:cs="Calibri"/>
                <w:b/>
                <w:bCs/>
                <w:color w:val="000000"/>
                <w:sz w:val="18"/>
                <w:szCs w:val="18"/>
                <w:lang w:eastAsia="en-AU"/>
              </w:rPr>
              <w:t xml:space="preserve">Total </w:t>
            </w:r>
            <w:r>
              <w:rPr>
                <w:rFonts w:cs="Calibri"/>
                <w:b/>
                <w:bCs/>
                <w:color w:val="000000"/>
                <w:sz w:val="18"/>
                <w:szCs w:val="18"/>
                <w:lang w:eastAsia="en-AU"/>
              </w:rPr>
              <w:t>NP</w:t>
            </w:r>
            <w:r w:rsidRPr="007161E6">
              <w:rPr>
                <w:rFonts w:cs="Calibri"/>
                <w:b/>
                <w:bCs/>
                <w:color w:val="000000"/>
                <w:sz w:val="18"/>
                <w:szCs w:val="18"/>
                <w:lang w:eastAsia="en-AU"/>
              </w:rPr>
              <w:t xml:space="preserve"> Payments</w:t>
            </w:r>
          </w:p>
        </w:tc>
        <w:tc>
          <w:tcPr>
            <w:tcW w:w="992" w:type="dxa"/>
            <w:tcBorders>
              <w:top w:val="nil"/>
              <w:left w:val="nil"/>
              <w:bottom w:val="single" w:sz="8" w:space="0" w:color="auto"/>
              <w:right w:val="nil"/>
            </w:tcBorders>
            <w:shd w:val="clear" w:color="auto" w:fill="auto"/>
          </w:tcPr>
          <w:p w:rsidR="00F71B48" w:rsidRPr="007161E6" w:rsidRDefault="00F71B48" w:rsidP="00890DEA">
            <w:pPr>
              <w:ind w:leftChars="2" w:left="146" w:hangingChars="78" w:hanging="141"/>
              <w:jc w:val="right"/>
              <w:rPr>
                <w:rFonts w:cs="Calibri"/>
                <w:b/>
                <w:bCs/>
                <w:color w:val="000000"/>
                <w:sz w:val="18"/>
                <w:szCs w:val="18"/>
                <w:lang w:eastAsia="en-AU"/>
              </w:rPr>
            </w:pPr>
            <w:r>
              <w:rPr>
                <w:rFonts w:cs="Calibri"/>
                <w:b/>
                <w:bCs/>
                <w:color w:val="000000"/>
                <w:sz w:val="18"/>
                <w:szCs w:val="18"/>
                <w:lang w:eastAsia="en-AU"/>
              </w:rPr>
              <w:t>90.8</w:t>
            </w:r>
          </w:p>
        </w:tc>
        <w:tc>
          <w:tcPr>
            <w:tcW w:w="967" w:type="dxa"/>
            <w:gridSpan w:val="2"/>
            <w:tcBorders>
              <w:top w:val="nil"/>
              <w:left w:val="nil"/>
              <w:bottom w:val="single" w:sz="8" w:space="0" w:color="auto"/>
              <w:right w:val="nil"/>
            </w:tcBorders>
            <w:shd w:val="clear" w:color="auto" w:fill="auto"/>
          </w:tcPr>
          <w:p w:rsidR="00F71B48" w:rsidRPr="007161E6" w:rsidRDefault="00F71B48" w:rsidP="00890DEA">
            <w:pPr>
              <w:ind w:leftChars="2" w:left="146" w:hangingChars="78" w:hanging="141"/>
              <w:jc w:val="right"/>
              <w:rPr>
                <w:rFonts w:cs="Calibri"/>
                <w:b/>
                <w:bCs/>
                <w:color w:val="000000"/>
                <w:sz w:val="18"/>
                <w:szCs w:val="18"/>
                <w:lang w:eastAsia="en-AU"/>
              </w:rPr>
            </w:pPr>
            <w:r>
              <w:rPr>
                <w:rFonts w:cs="Calibri"/>
                <w:b/>
                <w:bCs/>
                <w:color w:val="000000"/>
                <w:sz w:val="18"/>
                <w:szCs w:val="18"/>
                <w:lang w:eastAsia="en-AU"/>
              </w:rPr>
              <w:t>141.9</w:t>
            </w:r>
          </w:p>
        </w:tc>
        <w:tc>
          <w:tcPr>
            <w:tcW w:w="897" w:type="dxa"/>
            <w:tcBorders>
              <w:top w:val="nil"/>
              <w:left w:val="nil"/>
              <w:bottom w:val="single" w:sz="8" w:space="0" w:color="auto"/>
              <w:right w:val="nil"/>
            </w:tcBorders>
            <w:shd w:val="clear" w:color="auto" w:fill="auto"/>
          </w:tcPr>
          <w:p w:rsidR="00F71B48" w:rsidRPr="007161E6" w:rsidRDefault="00F71B48" w:rsidP="00890DEA">
            <w:pPr>
              <w:ind w:leftChars="2" w:left="146" w:hangingChars="78" w:hanging="141"/>
              <w:jc w:val="right"/>
              <w:rPr>
                <w:rFonts w:cs="Calibri"/>
                <w:b/>
                <w:bCs/>
                <w:color w:val="000000"/>
                <w:sz w:val="18"/>
                <w:szCs w:val="18"/>
                <w:lang w:eastAsia="en-AU"/>
              </w:rPr>
            </w:pPr>
            <w:r>
              <w:rPr>
                <w:rFonts w:cs="Calibri"/>
                <w:b/>
                <w:bCs/>
                <w:color w:val="000000"/>
                <w:sz w:val="18"/>
                <w:szCs w:val="18"/>
                <w:lang w:eastAsia="en-AU"/>
              </w:rPr>
              <w:t>51.1</w:t>
            </w:r>
          </w:p>
        </w:tc>
        <w:tc>
          <w:tcPr>
            <w:tcW w:w="819" w:type="dxa"/>
            <w:tcBorders>
              <w:top w:val="nil"/>
              <w:left w:val="nil"/>
              <w:bottom w:val="single" w:sz="8" w:space="0" w:color="auto"/>
              <w:right w:val="nil"/>
            </w:tcBorders>
            <w:shd w:val="clear" w:color="auto" w:fill="auto"/>
          </w:tcPr>
          <w:p w:rsidR="00F71B48" w:rsidRPr="007161E6" w:rsidRDefault="00F71B48" w:rsidP="00890DEA">
            <w:pPr>
              <w:ind w:leftChars="2" w:left="146" w:hangingChars="78" w:hanging="141"/>
              <w:jc w:val="right"/>
              <w:rPr>
                <w:rFonts w:cs="Calibri"/>
                <w:b/>
                <w:bCs/>
                <w:color w:val="000000"/>
                <w:sz w:val="18"/>
                <w:szCs w:val="18"/>
                <w:lang w:eastAsia="en-AU"/>
              </w:rPr>
            </w:pPr>
            <w:r>
              <w:rPr>
                <w:rFonts w:cs="Calibri"/>
                <w:b/>
                <w:bCs/>
                <w:color w:val="000000"/>
                <w:sz w:val="18"/>
                <w:szCs w:val="18"/>
                <w:lang w:eastAsia="en-AU"/>
              </w:rPr>
              <w:t>56.3</w:t>
            </w:r>
          </w:p>
        </w:tc>
        <w:tc>
          <w:tcPr>
            <w:tcW w:w="897" w:type="dxa"/>
            <w:tcBorders>
              <w:top w:val="nil"/>
              <w:left w:val="nil"/>
              <w:bottom w:val="single" w:sz="8" w:space="0" w:color="auto"/>
              <w:right w:val="nil"/>
            </w:tcBorders>
            <w:shd w:val="clear" w:color="auto" w:fill="auto"/>
          </w:tcPr>
          <w:p w:rsidR="00F71B48" w:rsidRPr="007161E6" w:rsidRDefault="00F71B48" w:rsidP="00890DEA">
            <w:pPr>
              <w:ind w:leftChars="2" w:left="146" w:hangingChars="78" w:hanging="141"/>
              <w:jc w:val="right"/>
              <w:rPr>
                <w:rFonts w:cs="Calibri"/>
                <w:b/>
                <w:bCs/>
                <w:color w:val="000000"/>
                <w:sz w:val="18"/>
                <w:szCs w:val="18"/>
                <w:lang w:eastAsia="en-AU"/>
              </w:rPr>
            </w:pPr>
            <w:r>
              <w:rPr>
                <w:rFonts w:cs="Calibri"/>
                <w:b/>
                <w:bCs/>
                <w:color w:val="000000"/>
                <w:sz w:val="18"/>
                <w:szCs w:val="18"/>
                <w:lang w:eastAsia="en-AU"/>
              </w:rPr>
              <w:t>144.6</w:t>
            </w:r>
          </w:p>
        </w:tc>
        <w:tc>
          <w:tcPr>
            <w:tcW w:w="897" w:type="dxa"/>
            <w:tcBorders>
              <w:top w:val="nil"/>
              <w:left w:val="nil"/>
              <w:bottom w:val="single" w:sz="8" w:space="0" w:color="auto"/>
              <w:right w:val="nil"/>
            </w:tcBorders>
            <w:shd w:val="clear" w:color="auto" w:fill="auto"/>
          </w:tcPr>
          <w:p w:rsidR="00F71B48" w:rsidRPr="007161E6" w:rsidRDefault="00F71B48" w:rsidP="00890DEA">
            <w:pPr>
              <w:ind w:leftChars="2" w:left="146" w:hangingChars="78" w:hanging="141"/>
              <w:jc w:val="right"/>
              <w:rPr>
                <w:rFonts w:cs="Calibri"/>
                <w:b/>
                <w:bCs/>
                <w:color w:val="000000"/>
                <w:sz w:val="18"/>
                <w:szCs w:val="18"/>
                <w:lang w:eastAsia="en-AU"/>
              </w:rPr>
            </w:pPr>
            <w:r>
              <w:rPr>
                <w:rFonts w:cs="Calibri"/>
                <w:b/>
                <w:bCs/>
                <w:color w:val="000000"/>
                <w:sz w:val="18"/>
                <w:szCs w:val="18"/>
                <w:lang w:eastAsia="en-AU"/>
              </w:rPr>
              <w:t>84.1</w:t>
            </w:r>
          </w:p>
        </w:tc>
        <w:tc>
          <w:tcPr>
            <w:tcW w:w="1042" w:type="dxa"/>
            <w:tcBorders>
              <w:top w:val="nil"/>
              <w:left w:val="nil"/>
              <w:bottom w:val="single" w:sz="8" w:space="0" w:color="auto"/>
              <w:right w:val="nil"/>
            </w:tcBorders>
            <w:shd w:val="clear" w:color="auto" w:fill="auto"/>
          </w:tcPr>
          <w:p w:rsidR="00F71B48" w:rsidRPr="007161E6" w:rsidRDefault="00F71B48" w:rsidP="00890DEA">
            <w:pPr>
              <w:ind w:leftChars="2" w:left="146" w:hangingChars="78" w:hanging="141"/>
              <w:jc w:val="right"/>
              <w:rPr>
                <w:rFonts w:cs="Calibri"/>
                <w:b/>
                <w:bCs/>
                <w:color w:val="000000"/>
                <w:sz w:val="18"/>
                <w:szCs w:val="18"/>
                <w:lang w:eastAsia="en-AU"/>
              </w:rPr>
            </w:pPr>
            <w:r>
              <w:rPr>
                <w:rFonts w:cs="Calibri"/>
                <w:b/>
                <w:bCs/>
                <w:color w:val="000000"/>
                <w:sz w:val="18"/>
                <w:szCs w:val="18"/>
                <w:lang w:eastAsia="en-AU"/>
              </w:rPr>
              <w:t>102.0</w:t>
            </w:r>
          </w:p>
        </w:tc>
      </w:tr>
      <w:tr w:rsidR="00F71B48" w:rsidRPr="008001D3" w:rsidTr="008C5DA7">
        <w:trPr>
          <w:gridAfter w:val="6"/>
          <w:wAfter w:w="4686" w:type="dxa"/>
          <w:jc w:val="center"/>
        </w:trPr>
        <w:tc>
          <w:tcPr>
            <w:tcW w:w="4414" w:type="dxa"/>
            <w:gridSpan w:val="3"/>
            <w:tcBorders>
              <w:top w:val="single" w:sz="8" w:space="0" w:color="auto"/>
              <w:left w:val="nil"/>
              <w:bottom w:val="nil"/>
              <w:right w:val="nil"/>
            </w:tcBorders>
            <w:shd w:val="clear" w:color="auto" w:fill="auto"/>
          </w:tcPr>
          <w:p w:rsidR="00F71B48" w:rsidRPr="006C6D20" w:rsidRDefault="00F71B48" w:rsidP="00782B63">
            <w:pPr>
              <w:ind w:left="652" w:hanging="647"/>
              <w:rPr>
                <w:rFonts w:cs="Calibri"/>
                <w:b/>
                <w:color w:val="000000"/>
                <w:sz w:val="16"/>
                <w:szCs w:val="16"/>
                <w:lang w:eastAsia="en-AU"/>
              </w:rPr>
            </w:pPr>
            <w:r w:rsidRPr="006C6D20">
              <w:rPr>
                <w:rFonts w:cs="Calibri"/>
                <w:b/>
                <w:color w:val="000000"/>
                <w:sz w:val="16"/>
                <w:szCs w:val="16"/>
                <w:lang w:eastAsia="en-AU"/>
              </w:rPr>
              <w:t>Note</w:t>
            </w:r>
            <w:r w:rsidRPr="006C6D20">
              <w:rPr>
                <w:rFonts w:cs="Calibri"/>
                <w:color w:val="000000"/>
                <w:sz w:val="16"/>
                <w:szCs w:val="16"/>
                <w:lang w:eastAsia="en-AU"/>
              </w:rPr>
              <w:t>:  Table may not add due to rounding.</w:t>
            </w:r>
          </w:p>
        </w:tc>
      </w:tr>
    </w:tbl>
    <w:p w:rsidR="0009774A" w:rsidRPr="00F4439F" w:rsidRDefault="0009774A" w:rsidP="00F4439F">
      <w:pPr>
        <w:pStyle w:val="NoteText"/>
      </w:pPr>
      <w:r w:rsidRPr="00F4439F">
        <w:t xml:space="preserve">* </w:t>
      </w:r>
      <w:proofErr w:type="gramStart"/>
      <w:r w:rsidR="001F44AB" w:rsidRPr="00F4439F">
        <w:t>n/a</w:t>
      </w:r>
      <w:proofErr w:type="gramEnd"/>
      <w:r w:rsidR="001F44AB" w:rsidRPr="00F4439F">
        <w:t xml:space="preserve"> = not available: </w:t>
      </w:r>
      <w:r w:rsidRPr="00F4439F">
        <w:t xml:space="preserve">State allocations for Affordable Housing (Homelessness NP) not finalised at time of publication. </w:t>
      </w:r>
      <w:r w:rsidR="008C5DA7" w:rsidRPr="00F4439F">
        <w:t xml:space="preserve"> </w:t>
      </w:r>
      <w:r w:rsidR="0078236E" w:rsidRPr="00F4439F">
        <w:t>Provision has been made for funding in the Federal Budget.</w:t>
      </w:r>
      <w:r w:rsidRPr="00F4439F">
        <w:t xml:space="preserve"> </w:t>
      </w:r>
    </w:p>
    <w:p w:rsidR="00083EC1" w:rsidRPr="00F4439F" w:rsidRDefault="00D74D6A" w:rsidP="00F4439F">
      <w:pPr>
        <w:pStyle w:val="NoteText"/>
      </w:pPr>
      <w:r w:rsidRPr="00F4439F">
        <w:t xml:space="preserve">** </w:t>
      </w:r>
      <w:r w:rsidR="00083EC1" w:rsidRPr="00F4439F">
        <w:t>The large increase in infrastructure funding in 2013-14 and 2014-15 relates to the Majura Parkway project.</w:t>
      </w:r>
    </w:p>
    <w:p w:rsidR="00942A1E" w:rsidRPr="00F4439F" w:rsidRDefault="00942A1E" w:rsidP="00F4439F">
      <w:pPr>
        <w:pStyle w:val="NoteText"/>
      </w:pPr>
      <w:r w:rsidRPr="00F4439F">
        <w:t>$6.1</w:t>
      </w:r>
      <w:r w:rsidR="00F4439F">
        <w:t xml:space="preserve"> </w:t>
      </w:r>
      <w:r w:rsidRPr="00F4439F">
        <w:t>m</w:t>
      </w:r>
      <w:r w:rsidR="00F4439F">
        <w:t>illion</w:t>
      </w:r>
      <w:r w:rsidRPr="00F4439F">
        <w:t xml:space="preserve"> of the 2013-14 Commonwealth payments shown in the table will be brought forward into 2012-13. </w:t>
      </w:r>
      <w:r w:rsidR="00F4439F">
        <w:t xml:space="preserve"> </w:t>
      </w:r>
      <w:r w:rsidRPr="00F4439F">
        <w:t>This comprises: Essential Vaccines $3.9</w:t>
      </w:r>
      <w:r w:rsidR="00F4439F">
        <w:t xml:space="preserve"> </w:t>
      </w:r>
      <w:r w:rsidRPr="00F4439F">
        <w:t>m</w:t>
      </w:r>
      <w:r w:rsidR="00F4439F">
        <w:t>illion</w:t>
      </w:r>
      <w:r w:rsidRPr="00F4439F">
        <w:t>, Preventive Health $0.9</w:t>
      </w:r>
      <w:r w:rsidR="00F4439F">
        <w:t xml:space="preserve"> </w:t>
      </w:r>
      <w:r w:rsidRPr="00F4439F">
        <w:t>m</w:t>
      </w:r>
      <w:r w:rsidR="00F4439F">
        <w:t>illion</w:t>
      </w:r>
      <w:r w:rsidRPr="00F4439F">
        <w:t>, Long Stay Older Patients $0.8</w:t>
      </w:r>
      <w:r w:rsidR="00F4439F">
        <w:t xml:space="preserve"> </w:t>
      </w:r>
      <w:r w:rsidRPr="00F4439F">
        <w:t>m</w:t>
      </w:r>
      <w:r w:rsidR="00F4439F">
        <w:t>illion</w:t>
      </w:r>
      <w:r w:rsidRPr="00F4439F">
        <w:t xml:space="preserve"> and Certain Concessions for Pensioners and </w:t>
      </w:r>
      <w:proofErr w:type="gramStart"/>
      <w:r w:rsidRPr="00F4439F">
        <w:t>Seniors</w:t>
      </w:r>
      <w:proofErr w:type="gramEnd"/>
      <w:r w:rsidRPr="00F4439F">
        <w:t xml:space="preserve"> $0.6</w:t>
      </w:r>
      <w:r w:rsidR="00F4439F">
        <w:t xml:space="preserve"> </w:t>
      </w:r>
      <w:r w:rsidRPr="00F4439F">
        <w:t>m</w:t>
      </w:r>
      <w:r w:rsidR="00F4439F">
        <w:t>illion</w:t>
      </w:r>
      <w:r w:rsidRPr="00F4439F">
        <w:t>.</w:t>
      </w:r>
    </w:p>
    <w:p w:rsidR="00684AE6" w:rsidRPr="008452C1" w:rsidRDefault="003A662E" w:rsidP="008452C1">
      <w:pPr>
        <w:pStyle w:val="BodyText"/>
        <w:keepNext w:val="0"/>
      </w:pPr>
      <w:r w:rsidRPr="008452C1">
        <w:t xml:space="preserve">Given the short-term nature of NP payments (average three years) </w:t>
      </w:r>
      <w:r w:rsidR="00AE7AE2" w:rsidRPr="008452C1">
        <w:t xml:space="preserve">and the ongoing change </w:t>
      </w:r>
      <w:r w:rsidR="00B42EEA" w:rsidRPr="008452C1">
        <w:t>arising from extensions</w:t>
      </w:r>
      <w:r w:rsidR="00AE7AE2" w:rsidRPr="008452C1">
        <w:t xml:space="preserve">, absorption into SPPs, bring-forwards between years, and other policy influences, it </w:t>
      </w:r>
      <w:r w:rsidRPr="008452C1">
        <w:t xml:space="preserve">is </w:t>
      </w:r>
      <w:r w:rsidR="00AE7AE2" w:rsidRPr="008452C1">
        <w:t xml:space="preserve">only possible to give a snapshot of </w:t>
      </w:r>
      <w:r w:rsidRPr="008452C1">
        <w:t xml:space="preserve">the </w:t>
      </w:r>
      <w:r w:rsidR="00AE7AE2" w:rsidRPr="008452C1">
        <w:t xml:space="preserve">totality of </w:t>
      </w:r>
      <w:r w:rsidRPr="008452C1">
        <w:t xml:space="preserve">NP funding </w:t>
      </w:r>
      <w:r w:rsidR="00AE7AE2" w:rsidRPr="008452C1">
        <w:t>at a</w:t>
      </w:r>
      <w:r w:rsidRPr="008452C1">
        <w:t xml:space="preserve"> point in</w:t>
      </w:r>
      <w:r w:rsidR="00B42EEA" w:rsidRPr="008452C1">
        <w:t xml:space="preserve"> time</w:t>
      </w:r>
      <w:r w:rsidRPr="008452C1">
        <w:t>.</w:t>
      </w:r>
      <w:r w:rsidR="00B321EB" w:rsidRPr="008452C1">
        <w:t xml:space="preserve">  </w:t>
      </w:r>
      <w:r w:rsidR="007A5892" w:rsidRPr="008452C1">
        <w:t>For example,</w:t>
      </w:r>
      <w:r w:rsidRPr="008452C1">
        <w:t xml:space="preserve"> </w:t>
      </w:r>
      <w:r w:rsidR="006F6CDB" w:rsidRPr="008452C1">
        <w:t>NP</w:t>
      </w:r>
      <w:r w:rsidR="00492E38" w:rsidRPr="008452C1">
        <w:t xml:space="preserve"> payments in some sectors, particularly Education, will be </w:t>
      </w:r>
      <w:r w:rsidR="00AC2881" w:rsidRPr="008452C1">
        <w:t xml:space="preserve">affected </w:t>
      </w:r>
      <w:r w:rsidR="00492E38" w:rsidRPr="008452C1">
        <w:t xml:space="preserve">over the forward estimates period by the major national reforms </w:t>
      </w:r>
      <w:r w:rsidR="00AC2881" w:rsidRPr="008452C1">
        <w:t>described</w:t>
      </w:r>
      <w:r w:rsidR="00E45A2B" w:rsidRPr="008452C1">
        <w:t xml:space="preserve"> above</w:t>
      </w:r>
      <w:r w:rsidR="00492E38" w:rsidRPr="008452C1">
        <w:t xml:space="preserve">. </w:t>
      </w:r>
      <w:r w:rsidR="00F4439F">
        <w:t xml:space="preserve"> </w:t>
      </w:r>
      <w:r w:rsidR="00492E38" w:rsidRPr="008452C1">
        <w:t>This is likely to involve expiry of payments under some existing agreements and the rolling up of others into the SPPs.</w:t>
      </w:r>
    </w:p>
    <w:p w:rsidR="00492E38" w:rsidRPr="008452C1" w:rsidRDefault="00492E38" w:rsidP="008452C1">
      <w:pPr>
        <w:pStyle w:val="BodyText"/>
        <w:keepNext w:val="0"/>
      </w:pPr>
      <w:r w:rsidRPr="008452C1">
        <w:t>As a result, an overall reduction in the number of NPs and associated NP</w:t>
      </w:r>
      <w:r w:rsidR="006F6CDB" w:rsidRPr="008452C1">
        <w:t xml:space="preserve"> payments</w:t>
      </w:r>
      <w:r w:rsidRPr="008452C1">
        <w:t xml:space="preserve"> funding </w:t>
      </w:r>
      <w:r w:rsidR="0033379D" w:rsidRPr="008452C1">
        <w:t xml:space="preserve">is </w:t>
      </w:r>
      <w:r w:rsidRPr="008452C1">
        <w:t>expected over the out-years.</w:t>
      </w:r>
      <w:r w:rsidR="00F4439F">
        <w:t xml:space="preserve"> </w:t>
      </w:r>
      <w:r w:rsidR="0033379D" w:rsidRPr="008452C1">
        <w:t xml:space="preserve"> Allowing for this impact, and the lumpy nature of payments for infrastructure projects,</w:t>
      </w:r>
      <w:r w:rsidR="007A5892" w:rsidRPr="008452C1">
        <w:t xml:space="preserve"> the funding levels for NP payment</w:t>
      </w:r>
      <w:r w:rsidR="0033379D" w:rsidRPr="008452C1">
        <w:t>s to the ACT are quite stable across the Budget and out years.</w:t>
      </w:r>
    </w:p>
    <w:p w:rsidR="00684AE6" w:rsidRPr="008452C1" w:rsidRDefault="00684AE6" w:rsidP="008452C1">
      <w:pPr>
        <w:pStyle w:val="BodyText"/>
        <w:keepNext w:val="0"/>
      </w:pPr>
      <w:r w:rsidRPr="008452C1">
        <w:t>A dissection of some of the major drivers follows.</w:t>
      </w:r>
    </w:p>
    <w:p w:rsidR="00492E38" w:rsidRPr="00F4439F" w:rsidRDefault="00492E38" w:rsidP="00F4439F">
      <w:pPr>
        <w:pStyle w:val="Heading4"/>
      </w:pPr>
      <w:r w:rsidRPr="00F4439F">
        <w:t xml:space="preserve">Expiring </w:t>
      </w:r>
      <w:r w:rsidR="00956CF3" w:rsidRPr="00F4439F">
        <w:t xml:space="preserve">National </w:t>
      </w:r>
      <w:r w:rsidR="006F6CDB" w:rsidRPr="00F4439F">
        <w:t>P</w:t>
      </w:r>
      <w:r w:rsidR="00956CF3" w:rsidRPr="00F4439F">
        <w:t>artnership</w:t>
      </w:r>
      <w:r w:rsidRPr="00F4439F">
        <w:t xml:space="preserve"> Agreements</w:t>
      </w:r>
    </w:p>
    <w:p w:rsidR="00492E38" w:rsidRPr="00B3091F" w:rsidRDefault="00492E38" w:rsidP="008452C1">
      <w:pPr>
        <w:pStyle w:val="BodyText"/>
        <w:keepNext w:val="0"/>
      </w:pPr>
      <w:r w:rsidRPr="00B3091F">
        <w:t xml:space="preserve">A large number of </w:t>
      </w:r>
      <w:r w:rsidR="006F6CDB">
        <w:t>NP</w:t>
      </w:r>
      <w:r w:rsidRPr="00B3091F">
        <w:t>s which were signed in the period immediately after the establishment of the IGA</w:t>
      </w:r>
      <w:r w:rsidR="006F6CDB">
        <w:noBreakHyphen/>
      </w:r>
      <w:r w:rsidRPr="00B3091F">
        <w:t>FFR expired or were due to expire during the period June 2012 to June 2013.</w:t>
      </w:r>
    </w:p>
    <w:p w:rsidR="00492E38" w:rsidRPr="00B3091F" w:rsidRDefault="00492E38" w:rsidP="008452C1">
      <w:pPr>
        <w:pStyle w:val="BodyText"/>
        <w:keepNext w:val="0"/>
      </w:pPr>
      <w:r w:rsidRPr="00B3091F">
        <w:lastRenderedPageBreak/>
        <w:t xml:space="preserve">In order to address the need for ongoing funding to support increased service levels achieved through many of the original agreements, the NSW Treasurer, on behalf of all States, wrote to the Federal Treasurer on 28 September 2012 about the future of </w:t>
      </w:r>
      <w:r w:rsidR="006F6CDB">
        <w:t>NP</w:t>
      </w:r>
      <w:r w:rsidRPr="00B3091F">
        <w:t>s expiring by June 2014.</w:t>
      </w:r>
      <w:r w:rsidR="00F4439F">
        <w:t xml:space="preserve"> </w:t>
      </w:r>
      <w:r w:rsidRPr="00B3091F">
        <w:t xml:space="preserve"> This issue was also </w:t>
      </w:r>
      <w:r w:rsidR="007E4D23">
        <w:t xml:space="preserve">considered </w:t>
      </w:r>
      <w:r w:rsidRPr="00B3091F">
        <w:t xml:space="preserve">by a Senior Officials’ Working Group of First Ministers’ and Treasury department representatives, which presented a report on Expiring </w:t>
      </w:r>
      <w:r w:rsidR="006F6CDB">
        <w:t>NP</w:t>
      </w:r>
      <w:r w:rsidRPr="00B3091F">
        <w:t xml:space="preserve">s to the December 2012 meeting of COAG. </w:t>
      </w:r>
    </w:p>
    <w:p w:rsidR="00492E38" w:rsidRPr="00F4439F" w:rsidRDefault="00492E38" w:rsidP="00F4439F">
      <w:pPr>
        <w:pStyle w:val="BodyText"/>
      </w:pPr>
      <w:r w:rsidRPr="00F4439F">
        <w:t xml:space="preserve">States generally took the view that, where agreements had achieved ongoing increased levels of service delivery, the relevant payments should be rolled up into SPPs to provide a stable, indexed source of funding, with greater certainty for State budget planning. </w:t>
      </w:r>
      <w:r w:rsidR="00F4439F">
        <w:t xml:space="preserve"> </w:t>
      </w:r>
      <w:r w:rsidRPr="00F4439F">
        <w:t xml:space="preserve">The Commonwealth took a different view, preferring to retain the option of continuing funding through NPPs, particularly where </w:t>
      </w:r>
      <w:r w:rsidR="00B21878" w:rsidRPr="00F4439F">
        <w:t xml:space="preserve">reform </w:t>
      </w:r>
      <w:r w:rsidRPr="00F4439F">
        <w:t>objectives had not been fully realised, and aiming to ensure greater flexibility in its budget considerations.</w:t>
      </w:r>
    </w:p>
    <w:p w:rsidR="00492E38" w:rsidRPr="00B3091F" w:rsidRDefault="00492E38" w:rsidP="008452C1">
      <w:pPr>
        <w:pStyle w:val="BodyText"/>
        <w:keepNext w:val="0"/>
      </w:pPr>
      <w:r w:rsidRPr="00DB747C">
        <w:t xml:space="preserve">In negotiations with States during 2012-13, the Commonwealth put forward one-year interim agreements or short extensions to new agreements in key policy areas such as homelessness and literacy and numeracy. </w:t>
      </w:r>
      <w:r w:rsidR="00DB747C">
        <w:t xml:space="preserve"> </w:t>
      </w:r>
      <w:r w:rsidRPr="00DB747C">
        <w:t>These and other new agreements were characterised by a shift away from the</w:t>
      </w:r>
      <w:r w:rsidR="003E72B3" w:rsidRPr="00DB747C">
        <w:t xml:space="preserve"> outcomes focus and avoidance of input controls </w:t>
      </w:r>
      <w:r w:rsidR="00915D84" w:rsidRPr="00DB747C">
        <w:t xml:space="preserve">originally </w:t>
      </w:r>
      <w:r w:rsidR="003E72B3" w:rsidRPr="00DB747C">
        <w:t>envisaged in</w:t>
      </w:r>
      <w:r w:rsidRPr="00DB747C">
        <w:t xml:space="preserve"> t</w:t>
      </w:r>
      <w:r w:rsidR="00731624" w:rsidRPr="00DB747C">
        <w:t>he IGA</w:t>
      </w:r>
      <w:r w:rsidR="006F6CDB" w:rsidRPr="00DB747C">
        <w:noBreakHyphen/>
      </w:r>
      <w:r w:rsidRPr="00DB747C">
        <w:t xml:space="preserve">FFR by including elements such as </w:t>
      </w:r>
      <w:r w:rsidR="003E72B3" w:rsidRPr="00DB747C">
        <w:t>maintenance of effort</w:t>
      </w:r>
      <w:r w:rsidRPr="00DB747C">
        <w:t xml:space="preserve">. </w:t>
      </w:r>
      <w:r w:rsidR="00DB747C">
        <w:t xml:space="preserve"> </w:t>
      </w:r>
      <w:r w:rsidRPr="00DB747C">
        <w:t xml:space="preserve">While these developments clearly reflect Commonwealth concern over achievement of </w:t>
      </w:r>
      <w:r w:rsidR="007029BD" w:rsidRPr="00DB747C">
        <w:t xml:space="preserve">specific </w:t>
      </w:r>
      <w:r w:rsidRPr="00DB747C">
        <w:t>objectives, they also create greater uncertainty for States in planning their budgets</w:t>
      </w:r>
      <w:r w:rsidRPr="00B3091F">
        <w:t>.</w:t>
      </w:r>
    </w:p>
    <w:p w:rsidR="00F35B11" w:rsidRPr="008452C1" w:rsidRDefault="00956CF3" w:rsidP="008452C1">
      <w:pPr>
        <w:pStyle w:val="BodyText"/>
      </w:pPr>
      <w:r w:rsidRPr="008452C1">
        <w:t xml:space="preserve">The treatment </w:t>
      </w:r>
      <w:proofErr w:type="gramStart"/>
      <w:r w:rsidRPr="008452C1">
        <w:t>in the 2013-14 Federal Budget</w:t>
      </w:r>
      <w:proofErr w:type="gramEnd"/>
      <w:r w:rsidRPr="008452C1">
        <w:t xml:space="preserve"> of e</w:t>
      </w:r>
      <w:r w:rsidR="00492E38" w:rsidRPr="008452C1">
        <w:t xml:space="preserve">xpiring NPs </w:t>
      </w:r>
      <w:r w:rsidR="00B03C0F" w:rsidRPr="008452C1">
        <w:t xml:space="preserve">to which the ACT is a party </w:t>
      </w:r>
      <w:r w:rsidR="003222C6" w:rsidRPr="008452C1">
        <w:t>and where the States sought continuation of funding</w:t>
      </w:r>
      <w:r w:rsidRPr="008452C1">
        <w:t xml:space="preserve"> is </w:t>
      </w:r>
      <w:r w:rsidR="00B03C0F" w:rsidRPr="008452C1">
        <w:t xml:space="preserve">detailed in </w:t>
      </w:r>
      <w:r w:rsidR="00BF6001" w:rsidRPr="008452C1">
        <w:t>T</w:t>
      </w:r>
      <w:r w:rsidR="00B03C0F" w:rsidRPr="008452C1">
        <w:t xml:space="preserve">able </w:t>
      </w:r>
      <w:r w:rsidR="00BF6001" w:rsidRPr="008452C1">
        <w:t xml:space="preserve">4.7 </w:t>
      </w:r>
      <w:r w:rsidR="00B03C0F" w:rsidRPr="008452C1">
        <w:t>below.</w:t>
      </w:r>
    </w:p>
    <w:p w:rsidR="006328AB" w:rsidRPr="00DB747C" w:rsidRDefault="00F35B11" w:rsidP="00DB747C">
      <w:pPr>
        <w:pStyle w:val="TableNumber"/>
      </w:pPr>
      <w:r w:rsidRPr="00DB747C">
        <w:rPr>
          <w:rStyle w:val="BodyTextChar"/>
          <w:rFonts w:asciiTheme="minorHAnsi" w:hAnsiTheme="minorHAnsi"/>
          <w:b w:val="0"/>
        </w:rPr>
        <w:t>In tot</w:t>
      </w:r>
      <w:r w:rsidR="00F35CDC" w:rsidRPr="00DB747C">
        <w:rPr>
          <w:rStyle w:val="BodyTextChar"/>
          <w:rFonts w:asciiTheme="minorHAnsi" w:hAnsiTheme="minorHAnsi"/>
          <w:b w:val="0"/>
        </w:rPr>
        <w:t>al, approximately $21</w:t>
      </w:r>
      <w:r w:rsidRPr="00DB747C">
        <w:rPr>
          <w:rStyle w:val="BodyTextChar"/>
          <w:rFonts w:asciiTheme="minorHAnsi" w:hAnsiTheme="minorHAnsi"/>
          <w:b w:val="0"/>
        </w:rPr>
        <w:t>.</w:t>
      </w:r>
      <w:r w:rsidR="00F35CDC" w:rsidRPr="00DB747C">
        <w:rPr>
          <w:rStyle w:val="BodyTextChar"/>
          <w:rFonts w:asciiTheme="minorHAnsi" w:hAnsiTheme="minorHAnsi"/>
          <w:b w:val="0"/>
        </w:rPr>
        <w:t>6</w:t>
      </w:r>
      <w:r w:rsidRPr="00DB747C">
        <w:rPr>
          <w:rStyle w:val="BodyTextChar"/>
          <w:rFonts w:asciiTheme="minorHAnsi" w:hAnsiTheme="minorHAnsi"/>
          <w:b w:val="0"/>
        </w:rPr>
        <w:t xml:space="preserve"> m</w:t>
      </w:r>
      <w:r w:rsidR="00F35CDC" w:rsidRPr="00DB747C">
        <w:rPr>
          <w:rStyle w:val="BodyTextChar"/>
          <w:rFonts w:asciiTheme="minorHAnsi" w:hAnsiTheme="minorHAnsi"/>
          <w:b w:val="0"/>
        </w:rPr>
        <w:t>illion</w:t>
      </w:r>
      <w:r w:rsidRPr="00DB747C">
        <w:rPr>
          <w:rStyle w:val="BodyTextChar"/>
          <w:rFonts w:asciiTheme="minorHAnsi" w:hAnsiTheme="minorHAnsi"/>
          <w:b w:val="0"/>
        </w:rPr>
        <w:t xml:space="preserve"> of NPs that expired in 2012-13 have been extended or replaced with new NPs tot</w:t>
      </w:r>
      <w:r w:rsidR="00F35CDC" w:rsidRPr="00DB747C">
        <w:rPr>
          <w:rStyle w:val="BodyTextChar"/>
          <w:rFonts w:asciiTheme="minorHAnsi" w:hAnsiTheme="minorHAnsi"/>
          <w:b w:val="0"/>
        </w:rPr>
        <w:t>alling $16</w:t>
      </w:r>
      <w:r w:rsidRPr="00DB747C">
        <w:rPr>
          <w:rStyle w:val="BodyTextChar"/>
          <w:rFonts w:asciiTheme="minorHAnsi" w:hAnsiTheme="minorHAnsi"/>
          <w:b w:val="0"/>
        </w:rPr>
        <w:t>.</w:t>
      </w:r>
      <w:r w:rsidR="00F35CDC" w:rsidRPr="00DB747C">
        <w:rPr>
          <w:rStyle w:val="BodyTextChar"/>
          <w:rFonts w:asciiTheme="minorHAnsi" w:hAnsiTheme="minorHAnsi"/>
          <w:b w:val="0"/>
        </w:rPr>
        <w:t>5</w:t>
      </w:r>
      <w:r w:rsidRPr="00DB747C">
        <w:rPr>
          <w:rStyle w:val="BodyTextChar"/>
          <w:rFonts w:asciiTheme="minorHAnsi" w:hAnsiTheme="minorHAnsi"/>
          <w:b w:val="0"/>
        </w:rPr>
        <w:t xml:space="preserve"> m</w:t>
      </w:r>
      <w:r w:rsidR="00F35CDC" w:rsidRPr="00DB747C">
        <w:rPr>
          <w:rStyle w:val="BodyTextChar"/>
          <w:rFonts w:asciiTheme="minorHAnsi" w:hAnsiTheme="minorHAnsi"/>
          <w:b w:val="0"/>
        </w:rPr>
        <w:t>illion</w:t>
      </w:r>
      <w:r w:rsidRPr="00DB747C">
        <w:rPr>
          <w:rStyle w:val="BodyTextChar"/>
          <w:rFonts w:asciiTheme="minorHAnsi" w:hAnsiTheme="minorHAnsi"/>
          <w:b w:val="0"/>
        </w:rPr>
        <w:t xml:space="preserve"> in 2013-14 and further amounts in out-years</w:t>
      </w:r>
      <w:r w:rsidRPr="008452C1">
        <w:rPr>
          <w:rStyle w:val="BodyTextChar"/>
          <w:rFonts w:asciiTheme="minorHAnsi" w:hAnsiTheme="minorHAnsi"/>
          <w:b w:val="0"/>
        </w:rPr>
        <w:t>.</w:t>
      </w:r>
      <w:r>
        <w:t xml:space="preserve"> </w:t>
      </w:r>
      <w:r w:rsidR="00C57E99">
        <w:br w:type="page"/>
      </w:r>
      <w:r w:rsidR="006328AB" w:rsidRPr="00DB747C">
        <w:lastRenderedPageBreak/>
        <w:t>Table 4.</w:t>
      </w:r>
      <w:r w:rsidR="00C57E99" w:rsidRPr="00DB747C">
        <w:t>7</w:t>
      </w:r>
    </w:p>
    <w:p w:rsidR="006328AB" w:rsidRPr="00DB747C" w:rsidRDefault="00956CF3" w:rsidP="00DB747C">
      <w:pPr>
        <w:pStyle w:val="TableName"/>
      </w:pPr>
      <w:r w:rsidRPr="00DB747C">
        <w:t xml:space="preserve">Expiring National Partnership </w:t>
      </w:r>
      <w:r w:rsidR="006328AB" w:rsidRPr="00DB747C">
        <w:t>Payments to the ACT</w:t>
      </w:r>
      <w:r w:rsidRPr="00DB747C">
        <w:t xml:space="preserve"> 2012-13 and 2013-14</w:t>
      </w:r>
    </w:p>
    <w:tbl>
      <w:tblPr>
        <w:tblW w:w="9356" w:type="dxa"/>
        <w:tblLook w:val="04A0"/>
      </w:tblPr>
      <w:tblGrid>
        <w:gridCol w:w="1263"/>
        <w:gridCol w:w="3551"/>
        <w:gridCol w:w="1188"/>
        <w:gridCol w:w="1074"/>
        <w:gridCol w:w="2280"/>
      </w:tblGrid>
      <w:tr w:rsidR="006328AB" w:rsidRPr="007161E6" w:rsidTr="00DB747C">
        <w:trPr>
          <w:trHeight w:val="20"/>
        </w:trPr>
        <w:tc>
          <w:tcPr>
            <w:tcW w:w="1258" w:type="dxa"/>
            <w:tcBorders>
              <w:top w:val="single" w:sz="4" w:space="0" w:color="auto"/>
              <w:bottom w:val="single" w:sz="4" w:space="0" w:color="auto"/>
            </w:tcBorders>
          </w:tcPr>
          <w:p w:rsidR="006328AB" w:rsidRPr="007161E6" w:rsidRDefault="006328AB" w:rsidP="00956CF3">
            <w:pPr>
              <w:pStyle w:val="TableTextLeftBold-BP3"/>
              <w:rPr>
                <w:rFonts w:cs="Arial"/>
                <w:sz w:val="18"/>
                <w:szCs w:val="18"/>
              </w:rPr>
            </w:pPr>
            <w:r w:rsidRPr="00956CF3">
              <w:rPr>
                <w:rFonts w:eastAsia="MS Mincho"/>
                <w:sz w:val="18"/>
                <w:szCs w:val="18"/>
                <w:lang w:eastAsia="ja-JP"/>
              </w:rPr>
              <w:t>Sector</w:t>
            </w:r>
          </w:p>
        </w:tc>
        <w:tc>
          <w:tcPr>
            <w:tcW w:w="3538" w:type="dxa"/>
            <w:tcBorders>
              <w:top w:val="single" w:sz="4" w:space="0" w:color="auto"/>
              <w:bottom w:val="single" w:sz="4" w:space="0" w:color="auto"/>
            </w:tcBorders>
          </w:tcPr>
          <w:p w:rsidR="006328AB" w:rsidRPr="007161E6" w:rsidRDefault="006328AB" w:rsidP="006328AB">
            <w:pPr>
              <w:pStyle w:val="Heading3"/>
              <w:spacing w:before="0" w:after="0"/>
              <w:jc w:val="center"/>
              <w:rPr>
                <w:rFonts w:ascii="Calibri" w:hAnsi="Calibri"/>
                <w:sz w:val="18"/>
                <w:szCs w:val="18"/>
              </w:rPr>
            </w:pPr>
            <w:r w:rsidRPr="007161E6">
              <w:rPr>
                <w:rFonts w:ascii="Calibri" w:hAnsi="Calibri"/>
                <w:sz w:val="18"/>
                <w:szCs w:val="18"/>
              </w:rPr>
              <w:t>Title</w:t>
            </w:r>
          </w:p>
        </w:tc>
        <w:tc>
          <w:tcPr>
            <w:tcW w:w="1184" w:type="dxa"/>
            <w:tcBorders>
              <w:top w:val="single" w:sz="4" w:space="0" w:color="auto"/>
              <w:bottom w:val="single" w:sz="4" w:space="0" w:color="auto"/>
            </w:tcBorders>
          </w:tcPr>
          <w:p w:rsidR="0034426D" w:rsidRDefault="006328AB" w:rsidP="006328AB">
            <w:pPr>
              <w:pStyle w:val="Heading3"/>
              <w:spacing w:before="0" w:after="0"/>
              <w:jc w:val="center"/>
              <w:rPr>
                <w:rFonts w:ascii="Calibri" w:hAnsi="Calibri"/>
                <w:sz w:val="18"/>
                <w:szCs w:val="18"/>
              </w:rPr>
            </w:pPr>
            <w:r w:rsidRPr="007161E6">
              <w:rPr>
                <w:rFonts w:ascii="Calibri" w:hAnsi="Calibri"/>
                <w:sz w:val="18"/>
                <w:szCs w:val="18"/>
              </w:rPr>
              <w:t xml:space="preserve">Funding </w:t>
            </w:r>
          </w:p>
          <w:p w:rsidR="006328AB" w:rsidRPr="007161E6" w:rsidRDefault="006328AB" w:rsidP="006328AB">
            <w:pPr>
              <w:pStyle w:val="Heading3"/>
              <w:spacing w:before="0" w:after="0"/>
              <w:jc w:val="center"/>
              <w:rPr>
                <w:rFonts w:ascii="Calibri" w:hAnsi="Calibri"/>
                <w:sz w:val="18"/>
                <w:szCs w:val="18"/>
              </w:rPr>
            </w:pPr>
            <w:r w:rsidRPr="007161E6">
              <w:rPr>
                <w:rFonts w:ascii="Calibri" w:hAnsi="Calibri"/>
                <w:sz w:val="18"/>
                <w:szCs w:val="18"/>
              </w:rPr>
              <w:t>2012-13 ($000)</w:t>
            </w:r>
          </w:p>
        </w:tc>
        <w:tc>
          <w:tcPr>
            <w:tcW w:w="1070" w:type="dxa"/>
            <w:tcBorders>
              <w:top w:val="single" w:sz="4" w:space="0" w:color="auto"/>
              <w:bottom w:val="single" w:sz="4" w:space="0" w:color="auto"/>
            </w:tcBorders>
          </w:tcPr>
          <w:p w:rsidR="006328AB" w:rsidRPr="007161E6" w:rsidRDefault="006328AB" w:rsidP="006328AB">
            <w:pPr>
              <w:pStyle w:val="Heading3"/>
              <w:spacing w:before="0" w:after="0"/>
              <w:jc w:val="center"/>
              <w:rPr>
                <w:rFonts w:ascii="Calibri" w:hAnsi="Calibri"/>
                <w:sz w:val="18"/>
                <w:szCs w:val="18"/>
              </w:rPr>
            </w:pPr>
            <w:r w:rsidRPr="007161E6">
              <w:rPr>
                <w:rFonts w:ascii="Calibri" w:hAnsi="Calibri"/>
                <w:sz w:val="18"/>
                <w:szCs w:val="18"/>
              </w:rPr>
              <w:t>Funding 2013-14 ($000)</w:t>
            </w:r>
          </w:p>
        </w:tc>
        <w:tc>
          <w:tcPr>
            <w:tcW w:w="2272" w:type="dxa"/>
            <w:tcBorders>
              <w:top w:val="single" w:sz="4" w:space="0" w:color="auto"/>
              <w:bottom w:val="single" w:sz="4" w:space="0" w:color="auto"/>
            </w:tcBorders>
          </w:tcPr>
          <w:p w:rsidR="006328AB" w:rsidRPr="007161E6" w:rsidRDefault="006328AB" w:rsidP="006328AB">
            <w:pPr>
              <w:pStyle w:val="Heading3"/>
              <w:spacing w:before="0" w:after="0"/>
              <w:jc w:val="center"/>
              <w:rPr>
                <w:rFonts w:ascii="Calibri" w:hAnsi="Calibri"/>
                <w:sz w:val="18"/>
                <w:szCs w:val="18"/>
              </w:rPr>
            </w:pPr>
            <w:r w:rsidRPr="007161E6">
              <w:rPr>
                <w:rFonts w:ascii="Calibri" w:hAnsi="Calibri"/>
                <w:sz w:val="18"/>
                <w:szCs w:val="18"/>
              </w:rPr>
              <w:t>Federal Budget treatment</w:t>
            </w:r>
          </w:p>
        </w:tc>
      </w:tr>
      <w:tr w:rsidR="00E31D75" w:rsidRPr="007161E6" w:rsidTr="00DB747C">
        <w:trPr>
          <w:trHeight w:val="20"/>
        </w:trPr>
        <w:tc>
          <w:tcPr>
            <w:tcW w:w="1258" w:type="dxa"/>
            <w:tcBorders>
              <w:top w:val="single" w:sz="4" w:space="0" w:color="auto"/>
            </w:tcBorders>
          </w:tcPr>
          <w:p w:rsidR="00E31D75" w:rsidRPr="007161E6" w:rsidRDefault="00871B7E" w:rsidP="00DB747C">
            <w:pPr>
              <w:pStyle w:val="TableTextLeftBold-BP4"/>
              <w:rPr>
                <w:rFonts w:eastAsia="MS Mincho"/>
                <w:lang w:eastAsia="ja-JP"/>
              </w:rPr>
            </w:pPr>
            <w:r w:rsidRPr="007161E6">
              <w:rPr>
                <w:rFonts w:eastAsia="MS Mincho"/>
                <w:lang w:eastAsia="ja-JP"/>
              </w:rPr>
              <w:t>Health</w:t>
            </w:r>
          </w:p>
        </w:tc>
        <w:tc>
          <w:tcPr>
            <w:tcW w:w="3538" w:type="dxa"/>
            <w:tcBorders>
              <w:top w:val="single" w:sz="4" w:space="0" w:color="auto"/>
            </w:tcBorders>
          </w:tcPr>
          <w:p w:rsidR="00E31D75" w:rsidRPr="00DB747C" w:rsidRDefault="002754CB" w:rsidP="00DB747C">
            <w:pPr>
              <w:pStyle w:val="TableTextLeft-BP4"/>
              <w:rPr>
                <w:rFonts w:eastAsia="MS Mincho"/>
              </w:rPr>
            </w:pPr>
            <w:r w:rsidRPr="00DB747C">
              <w:rPr>
                <w:rFonts w:eastAsia="MS Mincho"/>
              </w:rPr>
              <w:t>Hospital &amp; Health Workforce Reform</w:t>
            </w:r>
          </w:p>
        </w:tc>
        <w:tc>
          <w:tcPr>
            <w:tcW w:w="1184" w:type="dxa"/>
            <w:tcBorders>
              <w:top w:val="single" w:sz="4" w:space="0" w:color="auto"/>
            </w:tcBorders>
          </w:tcPr>
          <w:p w:rsidR="00E31D75" w:rsidRPr="00DB747C" w:rsidRDefault="00AA14DE" w:rsidP="00DB747C">
            <w:pPr>
              <w:pStyle w:val="TableTextLeft-BP4"/>
              <w:rPr>
                <w:rFonts w:eastAsia="MS Mincho"/>
              </w:rPr>
            </w:pPr>
            <w:r w:rsidRPr="00DB747C">
              <w:rPr>
                <w:rFonts w:eastAsia="MS Mincho"/>
              </w:rPr>
              <w:t>61</w:t>
            </w:r>
            <w:r w:rsidR="00871B7E" w:rsidRPr="00DB747C">
              <w:rPr>
                <w:rFonts w:eastAsia="MS Mincho"/>
              </w:rPr>
              <w:t>0</w:t>
            </w:r>
          </w:p>
        </w:tc>
        <w:tc>
          <w:tcPr>
            <w:tcW w:w="1070" w:type="dxa"/>
            <w:tcBorders>
              <w:top w:val="single" w:sz="4" w:space="0" w:color="auto"/>
            </w:tcBorders>
          </w:tcPr>
          <w:p w:rsidR="00E31D75" w:rsidRPr="007161E6" w:rsidRDefault="00123D9A" w:rsidP="00DB747C">
            <w:pPr>
              <w:pStyle w:val="TableTextLeft-BP4"/>
              <w:rPr>
                <w:rFonts w:eastAsia="MS Mincho"/>
                <w:lang w:eastAsia="ja-JP"/>
              </w:rPr>
            </w:pPr>
            <w:r>
              <w:rPr>
                <w:rFonts w:eastAsia="MS Mincho"/>
                <w:lang w:eastAsia="ja-JP"/>
              </w:rPr>
              <w:t>0</w:t>
            </w:r>
          </w:p>
        </w:tc>
        <w:tc>
          <w:tcPr>
            <w:tcW w:w="2272" w:type="dxa"/>
            <w:tcBorders>
              <w:top w:val="single" w:sz="4" w:space="0" w:color="auto"/>
            </w:tcBorders>
          </w:tcPr>
          <w:p w:rsidR="00E31D75" w:rsidRPr="007161E6" w:rsidRDefault="00486916" w:rsidP="00DB747C">
            <w:pPr>
              <w:pStyle w:val="TableTextLeft-BP4"/>
              <w:rPr>
                <w:rFonts w:eastAsia="MS Mincho"/>
                <w:lang w:eastAsia="ja-JP"/>
              </w:rPr>
            </w:pPr>
            <w:r>
              <w:rPr>
                <w:rFonts w:eastAsia="MS Mincho"/>
                <w:lang w:eastAsia="ja-JP"/>
              </w:rPr>
              <w:t>Discontinued from 2013-14.</w:t>
            </w:r>
          </w:p>
        </w:tc>
      </w:tr>
      <w:tr w:rsidR="00E31D75" w:rsidRPr="007161E6" w:rsidTr="00DB747C">
        <w:trPr>
          <w:trHeight w:val="20"/>
        </w:trPr>
        <w:tc>
          <w:tcPr>
            <w:tcW w:w="1258" w:type="dxa"/>
          </w:tcPr>
          <w:p w:rsidR="00E31D75" w:rsidRPr="007161E6" w:rsidRDefault="00E31D75" w:rsidP="00DB747C">
            <w:pPr>
              <w:pStyle w:val="TableTextLeftBold-BP4"/>
              <w:rPr>
                <w:rFonts w:eastAsia="MS Mincho"/>
                <w:lang w:eastAsia="ja-JP"/>
              </w:rPr>
            </w:pPr>
          </w:p>
        </w:tc>
        <w:tc>
          <w:tcPr>
            <w:tcW w:w="3538" w:type="dxa"/>
          </w:tcPr>
          <w:p w:rsidR="00E31D75" w:rsidRPr="00DB747C" w:rsidRDefault="00871B7E" w:rsidP="00DB747C">
            <w:pPr>
              <w:pStyle w:val="TableTextLeft-BP4"/>
              <w:rPr>
                <w:rFonts w:eastAsia="MS Mincho"/>
              </w:rPr>
            </w:pPr>
            <w:r w:rsidRPr="00DB747C">
              <w:rPr>
                <w:rFonts w:eastAsia="MS Mincho"/>
              </w:rPr>
              <w:t>Indigenous Early Childhood Development</w:t>
            </w:r>
            <w:r w:rsidR="001C55EE" w:rsidRPr="00DB747C">
              <w:rPr>
                <w:rFonts w:eastAsia="MS Mincho"/>
              </w:rPr>
              <w:t xml:space="preserve"> – Health Component</w:t>
            </w:r>
          </w:p>
        </w:tc>
        <w:tc>
          <w:tcPr>
            <w:tcW w:w="1184" w:type="dxa"/>
          </w:tcPr>
          <w:p w:rsidR="00E31D75" w:rsidRPr="00DB747C" w:rsidRDefault="00871B7E" w:rsidP="00DB747C">
            <w:pPr>
              <w:pStyle w:val="TableTextLeft-BP4"/>
              <w:rPr>
                <w:rFonts w:eastAsia="MS Mincho"/>
              </w:rPr>
            </w:pPr>
            <w:r w:rsidRPr="00DB747C">
              <w:rPr>
                <w:rFonts w:eastAsia="MS Mincho"/>
              </w:rPr>
              <w:t>240</w:t>
            </w:r>
          </w:p>
        </w:tc>
        <w:tc>
          <w:tcPr>
            <w:tcW w:w="1070" w:type="dxa"/>
          </w:tcPr>
          <w:p w:rsidR="00E31D75" w:rsidRPr="007161E6" w:rsidRDefault="00871B7E" w:rsidP="00DB747C">
            <w:pPr>
              <w:pStyle w:val="TableTextLeft-BP4"/>
              <w:rPr>
                <w:rFonts w:eastAsia="MS Mincho"/>
                <w:lang w:eastAsia="ja-JP"/>
              </w:rPr>
            </w:pPr>
            <w:r w:rsidRPr="007161E6">
              <w:rPr>
                <w:rFonts w:eastAsia="MS Mincho"/>
                <w:lang w:eastAsia="ja-JP"/>
              </w:rPr>
              <w:t>250</w:t>
            </w:r>
          </w:p>
        </w:tc>
        <w:tc>
          <w:tcPr>
            <w:tcW w:w="2272" w:type="dxa"/>
          </w:tcPr>
          <w:p w:rsidR="00E31D75" w:rsidRPr="007161E6" w:rsidRDefault="00722AA0" w:rsidP="00DB747C">
            <w:pPr>
              <w:pStyle w:val="TableTextLeft-BP4"/>
              <w:rPr>
                <w:rFonts w:eastAsia="MS Mincho"/>
                <w:lang w:eastAsia="ja-JP"/>
              </w:rPr>
            </w:pPr>
            <w:r>
              <w:rPr>
                <w:rFonts w:eastAsia="MS Mincho"/>
                <w:lang w:eastAsia="ja-JP"/>
              </w:rPr>
              <w:t>Funding after 2013-14 not decided.</w:t>
            </w:r>
          </w:p>
        </w:tc>
      </w:tr>
      <w:tr w:rsidR="00E31D75" w:rsidRPr="007161E6" w:rsidTr="00DB747C">
        <w:trPr>
          <w:trHeight w:val="20"/>
        </w:trPr>
        <w:tc>
          <w:tcPr>
            <w:tcW w:w="1258" w:type="dxa"/>
          </w:tcPr>
          <w:p w:rsidR="00E31D75" w:rsidRPr="007161E6" w:rsidRDefault="00E31D75" w:rsidP="00DB747C">
            <w:pPr>
              <w:pStyle w:val="TableTextLeftBold-BP4"/>
              <w:rPr>
                <w:rFonts w:eastAsia="MS Mincho"/>
                <w:lang w:eastAsia="ja-JP"/>
              </w:rPr>
            </w:pPr>
          </w:p>
        </w:tc>
        <w:tc>
          <w:tcPr>
            <w:tcW w:w="3538" w:type="dxa"/>
          </w:tcPr>
          <w:p w:rsidR="00E31D75" w:rsidRPr="00DB747C" w:rsidRDefault="00EC3B46" w:rsidP="00DB747C">
            <w:pPr>
              <w:pStyle w:val="TableTextLeft-BP4"/>
              <w:rPr>
                <w:rFonts w:eastAsia="MS Mincho"/>
              </w:rPr>
            </w:pPr>
            <w:r w:rsidRPr="00DB747C">
              <w:rPr>
                <w:rFonts w:eastAsia="MS Mincho"/>
              </w:rPr>
              <w:t>Financial Assistance for Long Stay Older Patients</w:t>
            </w:r>
          </w:p>
        </w:tc>
        <w:tc>
          <w:tcPr>
            <w:tcW w:w="1184" w:type="dxa"/>
          </w:tcPr>
          <w:p w:rsidR="00E31D75" w:rsidRPr="00DB747C" w:rsidRDefault="006E00F7" w:rsidP="00DB747C">
            <w:pPr>
              <w:pStyle w:val="TableTextLeft-BP4"/>
              <w:rPr>
                <w:rFonts w:eastAsia="MS Mincho"/>
              </w:rPr>
            </w:pPr>
            <w:r w:rsidRPr="00DB747C">
              <w:rPr>
                <w:rFonts w:eastAsia="MS Mincho"/>
              </w:rPr>
              <w:t>3,100</w:t>
            </w:r>
          </w:p>
        </w:tc>
        <w:tc>
          <w:tcPr>
            <w:tcW w:w="1070" w:type="dxa"/>
          </w:tcPr>
          <w:p w:rsidR="00E31D75" w:rsidRPr="007161E6" w:rsidRDefault="008D361F" w:rsidP="00DB747C">
            <w:pPr>
              <w:pStyle w:val="TableTextLeft-BP4"/>
              <w:rPr>
                <w:rFonts w:eastAsia="MS Mincho"/>
                <w:lang w:eastAsia="ja-JP"/>
              </w:rPr>
            </w:pPr>
            <w:r w:rsidRPr="007161E6">
              <w:rPr>
                <w:rFonts w:eastAsia="MS Mincho"/>
                <w:lang w:eastAsia="ja-JP"/>
              </w:rPr>
              <w:t>783</w:t>
            </w:r>
          </w:p>
        </w:tc>
        <w:tc>
          <w:tcPr>
            <w:tcW w:w="2272" w:type="dxa"/>
          </w:tcPr>
          <w:p w:rsidR="002E524F" w:rsidRPr="007161E6" w:rsidRDefault="00C25AE9" w:rsidP="00DB747C">
            <w:pPr>
              <w:pStyle w:val="TableTextLeft-BP4"/>
              <w:rPr>
                <w:rFonts w:eastAsia="MS Mincho"/>
                <w:lang w:eastAsia="ja-JP"/>
              </w:rPr>
            </w:pPr>
            <w:r>
              <w:rPr>
                <w:rFonts w:eastAsia="MS Mincho"/>
                <w:lang w:eastAsia="ja-JP"/>
              </w:rPr>
              <w:t>Funding after 2013-14 not decided.</w:t>
            </w:r>
          </w:p>
        </w:tc>
      </w:tr>
      <w:tr w:rsidR="002E524F" w:rsidRPr="007161E6" w:rsidTr="00DB747C">
        <w:trPr>
          <w:trHeight w:val="20"/>
        </w:trPr>
        <w:tc>
          <w:tcPr>
            <w:tcW w:w="1258" w:type="dxa"/>
            <w:tcBorders>
              <w:bottom w:val="single" w:sz="4" w:space="0" w:color="auto"/>
            </w:tcBorders>
          </w:tcPr>
          <w:p w:rsidR="002E524F" w:rsidRPr="007161E6" w:rsidRDefault="002E524F" w:rsidP="00DB747C">
            <w:pPr>
              <w:pStyle w:val="TableTextLeftBold-BP4"/>
              <w:rPr>
                <w:rFonts w:eastAsia="MS Mincho"/>
                <w:lang w:eastAsia="ja-JP"/>
              </w:rPr>
            </w:pPr>
          </w:p>
        </w:tc>
        <w:tc>
          <w:tcPr>
            <w:tcW w:w="3538" w:type="dxa"/>
            <w:tcBorders>
              <w:bottom w:val="single" w:sz="4" w:space="0" w:color="auto"/>
            </w:tcBorders>
          </w:tcPr>
          <w:p w:rsidR="002E524F" w:rsidRPr="00DB747C" w:rsidRDefault="000258F5" w:rsidP="00DB747C">
            <w:pPr>
              <w:pStyle w:val="TableTextLeft-BP4"/>
              <w:rPr>
                <w:rFonts w:eastAsia="MS Mincho"/>
              </w:rPr>
            </w:pPr>
            <w:r w:rsidRPr="00DB747C">
              <w:rPr>
                <w:rFonts w:eastAsia="MS Mincho"/>
              </w:rPr>
              <w:t xml:space="preserve">National </w:t>
            </w:r>
            <w:proofErr w:type="spellStart"/>
            <w:r w:rsidRPr="00DB747C">
              <w:rPr>
                <w:rFonts w:eastAsia="MS Mincho"/>
              </w:rPr>
              <w:t>Perinatal</w:t>
            </w:r>
            <w:proofErr w:type="spellEnd"/>
            <w:r w:rsidRPr="00DB747C">
              <w:rPr>
                <w:rFonts w:eastAsia="MS Mincho"/>
              </w:rPr>
              <w:t xml:space="preserve"> Depression Initiative</w:t>
            </w:r>
          </w:p>
        </w:tc>
        <w:tc>
          <w:tcPr>
            <w:tcW w:w="1184" w:type="dxa"/>
            <w:tcBorders>
              <w:bottom w:val="single" w:sz="4" w:space="0" w:color="auto"/>
            </w:tcBorders>
          </w:tcPr>
          <w:p w:rsidR="002E524F" w:rsidRPr="00DB747C" w:rsidRDefault="000258F5" w:rsidP="00DB747C">
            <w:pPr>
              <w:pStyle w:val="TableTextLeft-BP4"/>
              <w:rPr>
                <w:rFonts w:eastAsia="MS Mincho"/>
              </w:rPr>
            </w:pPr>
            <w:r w:rsidRPr="00DB747C">
              <w:rPr>
                <w:rFonts w:eastAsia="MS Mincho"/>
              </w:rPr>
              <w:t>158</w:t>
            </w:r>
          </w:p>
        </w:tc>
        <w:tc>
          <w:tcPr>
            <w:tcW w:w="1070" w:type="dxa"/>
            <w:tcBorders>
              <w:bottom w:val="single" w:sz="4" w:space="0" w:color="auto"/>
            </w:tcBorders>
          </w:tcPr>
          <w:p w:rsidR="002E524F" w:rsidRPr="007161E6" w:rsidRDefault="000258F5" w:rsidP="00DB747C">
            <w:pPr>
              <w:pStyle w:val="TableTextLeft-BP4"/>
              <w:rPr>
                <w:rFonts w:eastAsia="MS Mincho"/>
                <w:lang w:eastAsia="ja-JP"/>
              </w:rPr>
            </w:pPr>
            <w:r>
              <w:rPr>
                <w:rFonts w:eastAsia="MS Mincho"/>
                <w:lang w:eastAsia="ja-JP"/>
              </w:rPr>
              <w:t>2</w:t>
            </w:r>
            <w:r w:rsidR="0055248D">
              <w:rPr>
                <w:rFonts w:eastAsia="MS Mincho"/>
                <w:lang w:eastAsia="ja-JP"/>
              </w:rPr>
              <w:t>81</w:t>
            </w:r>
          </w:p>
        </w:tc>
        <w:tc>
          <w:tcPr>
            <w:tcW w:w="2272" w:type="dxa"/>
            <w:tcBorders>
              <w:bottom w:val="single" w:sz="4" w:space="0" w:color="auto"/>
            </w:tcBorders>
          </w:tcPr>
          <w:p w:rsidR="002E524F" w:rsidRPr="007161E6" w:rsidRDefault="000258F5" w:rsidP="00DB747C">
            <w:pPr>
              <w:pStyle w:val="TableTextLeft-BP4"/>
              <w:rPr>
                <w:rFonts w:eastAsia="MS Mincho"/>
                <w:lang w:eastAsia="ja-JP"/>
              </w:rPr>
            </w:pPr>
            <w:r>
              <w:rPr>
                <w:rFonts w:eastAsia="MS Mincho"/>
                <w:lang w:eastAsia="ja-JP"/>
              </w:rPr>
              <w:t>Funding to continue to 2016-17</w:t>
            </w:r>
            <w:r w:rsidR="0034426D">
              <w:rPr>
                <w:rFonts w:eastAsia="MS Mincho"/>
                <w:lang w:eastAsia="ja-JP"/>
              </w:rPr>
              <w:t>.</w:t>
            </w:r>
          </w:p>
        </w:tc>
      </w:tr>
      <w:tr w:rsidR="00E31D75" w:rsidRPr="007161E6" w:rsidTr="00DB747C">
        <w:trPr>
          <w:trHeight w:val="20"/>
        </w:trPr>
        <w:tc>
          <w:tcPr>
            <w:tcW w:w="1258" w:type="dxa"/>
            <w:tcBorders>
              <w:top w:val="single" w:sz="4" w:space="0" w:color="auto"/>
            </w:tcBorders>
          </w:tcPr>
          <w:p w:rsidR="00E31D75" w:rsidRPr="007161E6" w:rsidRDefault="00FA68C3" w:rsidP="00DB747C">
            <w:pPr>
              <w:pStyle w:val="TableTextLeftBold-BP4"/>
              <w:rPr>
                <w:rFonts w:eastAsia="MS Mincho"/>
                <w:lang w:eastAsia="ja-JP"/>
              </w:rPr>
            </w:pPr>
            <w:r w:rsidRPr="007161E6">
              <w:rPr>
                <w:rFonts w:eastAsia="MS Mincho"/>
                <w:lang w:eastAsia="ja-JP"/>
              </w:rPr>
              <w:t>Education</w:t>
            </w:r>
          </w:p>
        </w:tc>
        <w:tc>
          <w:tcPr>
            <w:tcW w:w="3538" w:type="dxa"/>
            <w:tcBorders>
              <w:top w:val="single" w:sz="4" w:space="0" w:color="auto"/>
            </w:tcBorders>
          </w:tcPr>
          <w:p w:rsidR="00E31D75" w:rsidRPr="00DB747C" w:rsidRDefault="007250EC" w:rsidP="00DB747C">
            <w:pPr>
              <w:pStyle w:val="TableTextLeft-BP4"/>
              <w:rPr>
                <w:rFonts w:eastAsia="MS Mincho"/>
              </w:rPr>
            </w:pPr>
            <w:r w:rsidRPr="00DB747C">
              <w:rPr>
                <w:rFonts w:eastAsia="MS Mincho"/>
              </w:rPr>
              <w:t>Digital Education Revolution</w:t>
            </w:r>
          </w:p>
        </w:tc>
        <w:tc>
          <w:tcPr>
            <w:tcW w:w="1184" w:type="dxa"/>
            <w:tcBorders>
              <w:top w:val="single" w:sz="4" w:space="0" w:color="auto"/>
            </w:tcBorders>
          </w:tcPr>
          <w:p w:rsidR="00E31D75" w:rsidRPr="00DB747C" w:rsidRDefault="007250EC" w:rsidP="00DB747C">
            <w:pPr>
              <w:pStyle w:val="TableTextLeft-BP4"/>
              <w:rPr>
                <w:rFonts w:eastAsia="MS Mincho"/>
              </w:rPr>
            </w:pPr>
            <w:r w:rsidRPr="00DB747C">
              <w:rPr>
                <w:rFonts w:eastAsia="MS Mincho"/>
              </w:rPr>
              <w:t>3,804</w:t>
            </w:r>
          </w:p>
        </w:tc>
        <w:tc>
          <w:tcPr>
            <w:tcW w:w="1070" w:type="dxa"/>
            <w:tcBorders>
              <w:top w:val="single" w:sz="4" w:space="0" w:color="auto"/>
            </w:tcBorders>
          </w:tcPr>
          <w:p w:rsidR="00E31D75" w:rsidRPr="007161E6" w:rsidRDefault="00123D9A" w:rsidP="00DB747C">
            <w:pPr>
              <w:pStyle w:val="TableTextLeft-BP4"/>
              <w:rPr>
                <w:rFonts w:eastAsia="MS Mincho"/>
                <w:lang w:eastAsia="ja-JP"/>
              </w:rPr>
            </w:pPr>
            <w:r>
              <w:rPr>
                <w:rFonts w:eastAsia="MS Mincho"/>
                <w:lang w:eastAsia="ja-JP"/>
              </w:rPr>
              <w:t>0</w:t>
            </w:r>
          </w:p>
        </w:tc>
        <w:tc>
          <w:tcPr>
            <w:tcW w:w="2272" w:type="dxa"/>
            <w:tcBorders>
              <w:top w:val="single" w:sz="4" w:space="0" w:color="auto"/>
            </w:tcBorders>
          </w:tcPr>
          <w:p w:rsidR="00E31D75" w:rsidRPr="007161E6" w:rsidRDefault="0020331C" w:rsidP="00DB747C">
            <w:pPr>
              <w:pStyle w:val="TableTextLeft-BP4"/>
              <w:rPr>
                <w:rFonts w:eastAsia="MS Mincho"/>
                <w:lang w:eastAsia="ja-JP"/>
              </w:rPr>
            </w:pPr>
            <w:r>
              <w:rPr>
                <w:rFonts w:eastAsia="MS Mincho"/>
                <w:lang w:eastAsia="ja-JP"/>
              </w:rPr>
              <w:t>Discontinued from 2013-14.</w:t>
            </w:r>
          </w:p>
        </w:tc>
      </w:tr>
      <w:tr w:rsidR="00E31D75" w:rsidRPr="007161E6" w:rsidTr="00DB747C">
        <w:trPr>
          <w:trHeight w:val="20"/>
        </w:trPr>
        <w:tc>
          <w:tcPr>
            <w:tcW w:w="1258" w:type="dxa"/>
          </w:tcPr>
          <w:p w:rsidR="00E31D75" w:rsidRPr="007161E6" w:rsidRDefault="00E31D75" w:rsidP="00DB747C">
            <w:pPr>
              <w:pStyle w:val="TableTextLeftBold-BP4"/>
              <w:rPr>
                <w:rFonts w:eastAsia="MS Mincho"/>
                <w:lang w:eastAsia="ja-JP"/>
              </w:rPr>
            </w:pPr>
          </w:p>
        </w:tc>
        <w:tc>
          <w:tcPr>
            <w:tcW w:w="3538" w:type="dxa"/>
          </w:tcPr>
          <w:p w:rsidR="00E31D75" w:rsidRPr="00DB747C" w:rsidRDefault="00B54A64" w:rsidP="00DB747C">
            <w:pPr>
              <w:pStyle w:val="TableTextLeft-BP4"/>
              <w:rPr>
                <w:rFonts w:eastAsia="MS Mincho"/>
              </w:rPr>
            </w:pPr>
            <w:r w:rsidRPr="00DB747C">
              <w:rPr>
                <w:rFonts w:eastAsia="MS Mincho"/>
              </w:rPr>
              <w:t>Literacy &amp; Numeracy</w:t>
            </w:r>
          </w:p>
        </w:tc>
        <w:tc>
          <w:tcPr>
            <w:tcW w:w="1184" w:type="dxa"/>
          </w:tcPr>
          <w:p w:rsidR="00E31D75" w:rsidRPr="00DB747C" w:rsidRDefault="00B54A64" w:rsidP="00DB747C">
            <w:pPr>
              <w:pStyle w:val="TableTextLeft-BP4"/>
              <w:rPr>
                <w:rFonts w:eastAsia="MS Mincho"/>
              </w:rPr>
            </w:pPr>
            <w:r w:rsidRPr="00DB747C">
              <w:rPr>
                <w:rFonts w:eastAsia="MS Mincho"/>
              </w:rPr>
              <w:t>1,7</w:t>
            </w:r>
            <w:r w:rsidR="00AA14DE" w:rsidRPr="00DB747C">
              <w:rPr>
                <w:rFonts w:eastAsia="MS Mincho"/>
              </w:rPr>
              <w:t>51</w:t>
            </w:r>
          </w:p>
        </w:tc>
        <w:tc>
          <w:tcPr>
            <w:tcW w:w="1070" w:type="dxa"/>
          </w:tcPr>
          <w:p w:rsidR="00E31D75" w:rsidRPr="007161E6" w:rsidRDefault="00B54A64" w:rsidP="00DB747C">
            <w:pPr>
              <w:pStyle w:val="TableTextLeft-BP4"/>
              <w:rPr>
                <w:rFonts w:eastAsia="MS Mincho"/>
                <w:lang w:eastAsia="ja-JP"/>
              </w:rPr>
            </w:pPr>
            <w:r w:rsidRPr="007161E6">
              <w:rPr>
                <w:rFonts w:eastAsia="MS Mincho"/>
                <w:lang w:eastAsia="ja-JP"/>
              </w:rPr>
              <w:t>87</w:t>
            </w:r>
            <w:r w:rsidR="00AA14DE">
              <w:rPr>
                <w:rFonts w:eastAsia="MS Mincho"/>
                <w:lang w:eastAsia="ja-JP"/>
              </w:rPr>
              <w:t>8</w:t>
            </w:r>
          </w:p>
        </w:tc>
        <w:tc>
          <w:tcPr>
            <w:tcW w:w="2272" w:type="dxa"/>
          </w:tcPr>
          <w:p w:rsidR="00E31D75" w:rsidRPr="007161E6" w:rsidRDefault="00A34925" w:rsidP="00DB747C">
            <w:pPr>
              <w:pStyle w:val="TableTextLeft-BP4"/>
              <w:rPr>
                <w:rFonts w:eastAsia="MS Mincho"/>
                <w:lang w:eastAsia="ja-JP"/>
              </w:rPr>
            </w:pPr>
            <w:r>
              <w:rPr>
                <w:rFonts w:eastAsia="MS Mincho"/>
                <w:lang w:eastAsia="ja-JP"/>
              </w:rPr>
              <w:t xml:space="preserve">New NPA </w:t>
            </w:r>
            <w:r w:rsidR="0054659E">
              <w:rPr>
                <w:rFonts w:eastAsia="MS Mincho"/>
                <w:lang w:eastAsia="ja-JP"/>
              </w:rPr>
              <w:t>agreed</w:t>
            </w:r>
            <w:r w:rsidR="00F45953">
              <w:rPr>
                <w:rFonts w:eastAsia="MS Mincho"/>
                <w:lang w:eastAsia="ja-JP"/>
              </w:rPr>
              <w:t xml:space="preserve"> - funding to 2013-14</w:t>
            </w:r>
            <w:r w:rsidR="0054659E">
              <w:rPr>
                <w:rFonts w:eastAsia="MS Mincho"/>
                <w:lang w:eastAsia="ja-JP"/>
              </w:rPr>
              <w:t>.</w:t>
            </w:r>
            <w:r w:rsidR="000E3A42">
              <w:rPr>
                <w:rFonts w:eastAsia="MS Mincho"/>
                <w:lang w:eastAsia="ja-JP"/>
              </w:rPr>
              <w:t xml:space="preserve"> </w:t>
            </w:r>
          </w:p>
        </w:tc>
      </w:tr>
      <w:tr w:rsidR="00E31D75" w:rsidRPr="007161E6" w:rsidTr="00DB747C">
        <w:trPr>
          <w:trHeight w:val="20"/>
        </w:trPr>
        <w:tc>
          <w:tcPr>
            <w:tcW w:w="1258" w:type="dxa"/>
          </w:tcPr>
          <w:p w:rsidR="00E31D75" w:rsidRPr="007161E6" w:rsidRDefault="00E31D75" w:rsidP="00DB747C">
            <w:pPr>
              <w:pStyle w:val="TableTextLeftBold-BP4"/>
              <w:rPr>
                <w:rFonts w:eastAsia="MS Mincho"/>
                <w:lang w:eastAsia="ja-JP"/>
              </w:rPr>
            </w:pPr>
          </w:p>
        </w:tc>
        <w:tc>
          <w:tcPr>
            <w:tcW w:w="3538" w:type="dxa"/>
          </w:tcPr>
          <w:p w:rsidR="00E31D75" w:rsidRPr="00DB747C" w:rsidRDefault="00A912DB" w:rsidP="00DB747C">
            <w:pPr>
              <w:pStyle w:val="TableTextLeft-BP4"/>
              <w:rPr>
                <w:rFonts w:eastAsia="MS Mincho"/>
              </w:rPr>
            </w:pPr>
            <w:r w:rsidRPr="00DB747C">
              <w:rPr>
                <w:rFonts w:eastAsia="MS Mincho"/>
              </w:rPr>
              <w:t xml:space="preserve">Smarter Schools - </w:t>
            </w:r>
            <w:r w:rsidR="008D361F" w:rsidRPr="00DB747C">
              <w:rPr>
                <w:rFonts w:eastAsia="MS Mincho"/>
              </w:rPr>
              <w:t>Improving Teacher Quality</w:t>
            </w:r>
          </w:p>
        </w:tc>
        <w:tc>
          <w:tcPr>
            <w:tcW w:w="1184" w:type="dxa"/>
          </w:tcPr>
          <w:p w:rsidR="00E31D75" w:rsidRPr="00DB747C" w:rsidRDefault="008D361F" w:rsidP="00DB747C">
            <w:pPr>
              <w:pStyle w:val="TableTextLeft-BP4"/>
              <w:rPr>
                <w:rFonts w:eastAsia="MS Mincho"/>
              </w:rPr>
            </w:pPr>
            <w:r w:rsidRPr="00DB747C">
              <w:rPr>
                <w:rFonts w:eastAsia="MS Mincho"/>
              </w:rPr>
              <w:t>320</w:t>
            </w:r>
          </w:p>
        </w:tc>
        <w:tc>
          <w:tcPr>
            <w:tcW w:w="1070" w:type="dxa"/>
          </w:tcPr>
          <w:p w:rsidR="00E31D75" w:rsidRPr="007161E6" w:rsidRDefault="008D361F" w:rsidP="00DB747C">
            <w:pPr>
              <w:pStyle w:val="TableTextLeft-BP4"/>
              <w:rPr>
                <w:rFonts w:eastAsia="MS Mincho"/>
                <w:lang w:eastAsia="ja-JP"/>
              </w:rPr>
            </w:pPr>
            <w:r w:rsidRPr="007161E6">
              <w:rPr>
                <w:rFonts w:eastAsia="MS Mincho"/>
                <w:lang w:eastAsia="ja-JP"/>
              </w:rPr>
              <w:t>3,128</w:t>
            </w:r>
          </w:p>
        </w:tc>
        <w:tc>
          <w:tcPr>
            <w:tcW w:w="2272" w:type="dxa"/>
          </w:tcPr>
          <w:p w:rsidR="00E31D75" w:rsidRPr="007161E6" w:rsidRDefault="00A912DB" w:rsidP="00DB747C">
            <w:pPr>
              <w:pStyle w:val="TableTextLeft-BP4"/>
              <w:rPr>
                <w:rFonts w:eastAsia="MS Mincho"/>
                <w:lang w:eastAsia="ja-JP"/>
              </w:rPr>
            </w:pPr>
            <w:r>
              <w:rPr>
                <w:rFonts w:eastAsia="MS Mincho"/>
                <w:lang w:eastAsia="ja-JP"/>
              </w:rPr>
              <w:t>Funding after 2013-14 not decided.</w:t>
            </w:r>
          </w:p>
        </w:tc>
      </w:tr>
      <w:tr w:rsidR="00E31D75" w:rsidRPr="007161E6" w:rsidTr="00DB747C">
        <w:trPr>
          <w:trHeight w:val="20"/>
        </w:trPr>
        <w:tc>
          <w:tcPr>
            <w:tcW w:w="1258" w:type="dxa"/>
          </w:tcPr>
          <w:p w:rsidR="00E31D75" w:rsidRPr="007161E6" w:rsidRDefault="00E31D75" w:rsidP="00DB747C">
            <w:pPr>
              <w:pStyle w:val="TableTextLeftBold-BP4"/>
              <w:rPr>
                <w:rFonts w:eastAsia="MS Mincho"/>
                <w:lang w:eastAsia="ja-JP"/>
              </w:rPr>
            </w:pPr>
          </w:p>
        </w:tc>
        <w:tc>
          <w:tcPr>
            <w:tcW w:w="3538" w:type="dxa"/>
          </w:tcPr>
          <w:p w:rsidR="00E31D75" w:rsidRPr="00DB747C" w:rsidRDefault="006F3757" w:rsidP="00DB747C">
            <w:pPr>
              <w:pStyle w:val="TableTextLeft-BP4"/>
              <w:rPr>
                <w:rFonts w:eastAsia="MS Mincho"/>
              </w:rPr>
            </w:pPr>
            <w:r w:rsidRPr="00DB747C">
              <w:rPr>
                <w:rFonts w:eastAsia="MS Mincho"/>
              </w:rPr>
              <w:t>Early Childhood Education – Universal Access</w:t>
            </w:r>
          </w:p>
        </w:tc>
        <w:tc>
          <w:tcPr>
            <w:tcW w:w="1184" w:type="dxa"/>
          </w:tcPr>
          <w:p w:rsidR="00E31D75" w:rsidRPr="00DB747C" w:rsidRDefault="00D53C59" w:rsidP="00DB747C">
            <w:pPr>
              <w:pStyle w:val="TableTextLeft-BP4"/>
              <w:rPr>
                <w:rFonts w:eastAsia="MS Mincho"/>
              </w:rPr>
            </w:pPr>
            <w:r w:rsidRPr="00DB747C">
              <w:rPr>
                <w:rFonts w:eastAsia="MS Mincho"/>
              </w:rPr>
              <w:t>7,</w:t>
            </w:r>
            <w:r w:rsidR="00C7333A" w:rsidRPr="00DB747C">
              <w:rPr>
                <w:rFonts w:eastAsia="MS Mincho"/>
              </w:rPr>
              <w:t>3</w:t>
            </w:r>
            <w:r w:rsidR="00AA14DE" w:rsidRPr="00DB747C">
              <w:rPr>
                <w:rFonts w:eastAsia="MS Mincho"/>
              </w:rPr>
              <w:t>13</w:t>
            </w:r>
          </w:p>
        </w:tc>
        <w:tc>
          <w:tcPr>
            <w:tcW w:w="1070" w:type="dxa"/>
          </w:tcPr>
          <w:p w:rsidR="00E31D75" w:rsidRPr="007161E6" w:rsidRDefault="00C7333A" w:rsidP="00DB747C">
            <w:pPr>
              <w:pStyle w:val="TableTextLeft-BP4"/>
              <w:rPr>
                <w:rFonts w:eastAsia="MS Mincho"/>
                <w:lang w:eastAsia="ja-JP"/>
              </w:rPr>
            </w:pPr>
            <w:r>
              <w:rPr>
                <w:rFonts w:eastAsia="MS Mincho"/>
                <w:lang w:eastAsia="ja-JP"/>
              </w:rPr>
              <w:t>6,4</w:t>
            </w:r>
            <w:r w:rsidR="00AA14DE">
              <w:rPr>
                <w:rFonts w:eastAsia="MS Mincho"/>
                <w:lang w:eastAsia="ja-JP"/>
              </w:rPr>
              <w:t>44</w:t>
            </w:r>
          </w:p>
        </w:tc>
        <w:tc>
          <w:tcPr>
            <w:tcW w:w="2272" w:type="dxa"/>
          </w:tcPr>
          <w:p w:rsidR="00E31D75" w:rsidRPr="007161E6" w:rsidRDefault="0034426D" w:rsidP="00DB747C">
            <w:pPr>
              <w:pStyle w:val="TableTextLeft-BP4"/>
              <w:rPr>
                <w:rFonts w:eastAsia="MS Mincho"/>
                <w:lang w:eastAsia="ja-JP"/>
              </w:rPr>
            </w:pPr>
            <w:r>
              <w:rPr>
                <w:rFonts w:eastAsia="MS Mincho"/>
                <w:lang w:eastAsia="ja-JP"/>
              </w:rPr>
              <w:t xml:space="preserve">New </w:t>
            </w:r>
            <w:r w:rsidR="00A34925">
              <w:rPr>
                <w:rFonts w:eastAsia="MS Mincho"/>
                <w:lang w:eastAsia="ja-JP"/>
              </w:rPr>
              <w:t xml:space="preserve">NPA </w:t>
            </w:r>
            <w:r>
              <w:rPr>
                <w:rFonts w:eastAsia="MS Mincho"/>
                <w:lang w:eastAsia="ja-JP"/>
              </w:rPr>
              <w:t>being finalised – funding to 2014-15.</w:t>
            </w:r>
          </w:p>
        </w:tc>
      </w:tr>
      <w:tr w:rsidR="00E31D75" w:rsidRPr="007161E6" w:rsidTr="00DB747C">
        <w:trPr>
          <w:trHeight w:val="20"/>
        </w:trPr>
        <w:tc>
          <w:tcPr>
            <w:tcW w:w="1258" w:type="dxa"/>
          </w:tcPr>
          <w:p w:rsidR="00E31D75" w:rsidRPr="007161E6" w:rsidRDefault="00E31D75" w:rsidP="00DB747C">
            <w:pPr>
              <w:pStyle w:val="TableTextLeftBold-BP4"/>
              <w:rPr>
                <w:rFonts w:eastAsia="MS Mincho"/>
                <w:lang w:eastAsia="ja-JP"/>
              </w:rPr>
            </w:pPr>
          </w:p>
        </w:tc>
        <w:tc>
          <w:tcPr>
            <w:tcW w:w="3538" w:type="dxa"/>
          </w:tcPr>
          <w:p w:rsidR="00E31D75" w:rsidRPr="00DB747C" w:rsidRDefault="00D572DD" w:rsidP="00DB747C">
            <w:pPr>
              <w:pStyle w:val="TableTextLeft-BP4"/>
              <w:rPr>
                <w:rFonts w:eastAsia="MS Mincho"/>
              </w:rPr>
            </w:pPr>
            <w:r w:rsidRPr="00DB747C">
              <w:rPr>
                <w:rFonts w:eastAsia="MS Mincho"/>
              </w:rPr>
              <w:t>National Quality Agenda for Early Childhood Education &amp; Care</w:t>
            </w:r>
          </w:p>
        </w:tc>
        <w:tc>
          <w:tcPr>
            <w:tcW w:w="1184" w:type="dxa"/>
          </w:tcPr>
          <w:p w:rsidR="00E31D75" w:rsidRPr="00DB747C" w:rsidRDefault="00D572DD" w:rsidP="00DB747C">
            <w:pPr>
              <w:pStyle w:val="TableTextLeft-BP4"/>
              <w:rPr>
                <w:rFonts w:eastAsia="MS Mincho"/>
              </w:rPr>
            </w:pPr>
            <w:r w:rsidRPr="00DB747C">
              <w:rPr>
                <w:rFonts w:eastAsia="MS Mincho"/>
              </w:rPr>
              <w:t>227</w:t>
            </w:r>
          </w:p>
        </w:tc>
        <w:tc>
          <w:tcPr>
            <w:tcW w:w="1070" w:type="dxa"/>
          </w:tcPr>
          <w:p w:rsidR="00E31D75" w:rsidRPr="007161E6" w:rsidRDefault="00D572DD" w:rsidP="00DB747C">
            <w:pPr>
              <w:pStyle w:val="TableTextLeft-BP4"/>
              <w:rPr>
                <w:rFonts w:eastAsia="MS Mincho"/>
                <w:lang w:eastAsia="ja-JP"/>
              </w:rPr>
            </w:pPr>
            <w:r w:rsidRPr="007161E6">
              <w:rPr>
                <w:rFonts w:eastAsia="MS Mincho"/>
                <w:lang w:eastAsia="ja-JP"/>
              </w:rPr>
              <w:t>212</w:t>
            </w:r>
          </w:p>
        </w:tc>
        <w:tc>
          <w:tcPr>
            <w:tcW w:w="2272" w:type="dxa"/>
          </w:tcPr>
          <w:p w:rsidR="00E31D75" w:rsidRPr="007161E6" w:rsidRDefault="00FA244F" w:rsidP="00DB747C">
            <w:pPr>
              <w:pStyle w:val="TableTextLeft-BP4"/>
              <w:rPr>
                <w:rFonts w:eastAsia="MS Mincho"/>
                <w:lang w:eastAsia="ja-JP"/>
              </w:rPr>
            </w:pPr>
            <w:r>
              <w:rPr>
                <w:rFonts w:eastAsia="MS Mincho"/>
                <w:lang w:eastAsia="ja-JP"/>
              </w:rPr>
              <w:t>Funding beyond 2013-14 subject to COAG review.</w:t>
            </w:r>
          </w:p>
        </w:tc>
      </w:tr>
      <w:tr w:rsidR="003743B7" w:rsidRPr="007161E6" w:rsidTr="00DB747C">
        <w:trPr>
          <w:trHeight w:val="20"/>
        </w:trPr>
        <w:tc>
          <w:tcPr>
            <w:tcW w:w="1258" w:type="dxa"/>
          </w:tcPr>
          <w:p w:rsidR="003743B7" w:rsidRPr="007161E6" w:rsidRDefault="003743B7" w:rsidP="00DB747C">
            <w:pPr>
              <w:pStyle w:val="TableTextLeftBold-BP4"/>
              <w:rPr>
                <w:rFonts w:eastAsia="MS Mincho"/>
                <w:lang w:eastAsia="ja-JP"/>
              </w:rPr>
            </w:pPr>
          </w:p>
        </w:tc>
        <w:tc>
          <w:tcPr>
            <w:tcW w:w="3538" w:type="dxa"/>
          </w:tcPr>
          <w:p w:rsidR="003743B7" w:rsidRPr="00DB747C" w:rsidRDefault="001C1026" w:rsidP="00DB747C">
            <w:pPr>
              <w:pStyle w:val="TableTextLeft-BP4"/>
              <w:rPr>
                <w:rFonts w:eastAsia="MS Mincho"/>
              </w:rPr>
            </w:pPr>
            <w:r w:rsidRPr="00DB747C">
              <w:rPr>
                <w:rFonts w:eastAsia="MS Mincho"/>
              </w:rPr>
              <w:t>Indigenous E</w:t>
            </w:r>
            <w:r w:rsidR="001C55EE" w:rsidRPr="00DB747C">
              <w:rPr>
                <w:rFonts w:eastAsia="MS Mincho"/>
              </w:rPr>
              <w:t xml:space="preserve">arly Childhood Development </w:t>
            </w:r>
            <w:r w:rsidR="00BD59C2" w:rsidRPr="00DB747C">
              <w:rPr>
                <w:rFonts w:eastAsia="MS Mincho"/>
              </w:rPr>
              <w:t>–</w:t>
            </w:r>
            <w:r w:rsidR="001C55EE" w:rsidRPr="00DB747C">
              <w:rPr>
                <w:rFonts w:eastAsia="MS Mincho"/>
              </w:rPr>
              <w:t xml:space="preserve"> </w:t>
            </w:r>
            <w:r w:rsidR="00BD59C2" w:rsidRPr="00DB747C">
              <w:rPr>
                <w:rFonts w:eastAsia="MS Mincho"/>
              </w:rPr>
              <w:t>Family Centres</w:t>
            </w:r>
          </w:p>
        </w:tc>
        <w:tc>
          <w:tcPr>
            <w:tcW w:w="1184" w:type="dxa"/>
          </w:tcPr>
          <w:p w:rsidR="003743B7" w:rsidRPr="00DB747C" w:rsidRDefault="00BD59C2" w:rsidP="00DB747C">
            <w:pPr>
              <w:pStyle w:val="TableTextLeft-BP4"/>
              <w:rPr>
                <w:rFonts w:eastAsia="MS Mincho"/>
              </w:rPr>
            </w:pPr>
            <w:r w:rsidRPr="00DB747C">
              <w:rPr>
                <w:rFonts w:eastAsia="MS Mincho"/>
              </w:rPr>
              <w:t>1,110</w:t>
            </w:r>
          </w:p>
        </w:tc>
        <w:tc>
          <w:tcPr>
            <w:tcW w:w="1070" w:type="dxa"/>
          </w:tcPr>
          <w:p w:rsidR="003743B7" w:rsidRPr="007161E6" w:rsidRDefault="00BD59C2" w:rsidP="00DB747C">
            <w:pPr>
              <w:pStyle w:val="TableTextLeft-BP4"/>
              <w:rPr>
                <w:rFonts w:eastAsia="MS Mincho"/>
                <w:lang w:eastAsia="ja-JP"/>
              </w:rPr>
            </w:pPr>
            <w:r w:rsidRPr="007161E6">
              <w:rPr>
                <w:rFonts w:eastAsia="MS Mincho"/>
                <w:lang w:eastAsia="ja-JP"/>
              </w:rPr>
              <w:t>1,1</w:t>
            </w:r>
            <w:r w:rsidR="00E60FCF">
              <w:rPr>
                <w:rFonts w:eastAsia="MS Mincho"/>
                <w:lang w:eastAsia="ja-JP"/>
              </w:rPr>
              <w:t>07</w:t>
            </w:r>
          </w:p>
        </w:tc>
        <w:tc>
          <w:tcPr>
            <w:tcW w:w="2272" w:type="dxa"/>
          </w:tcPr>
          <w:p w:rsidR="003743B7" w:rsidRPr="007161E6" w:rsidRDefault="00F77020" w:rsidP="00DB747C">
            <w:pPr>
              <w:pStyle w:val="TableTextLeft-BP4"/>
              <w:rPr>
                <w:rFonts w:eastAsia="MS Mincho"/>
                <w:lang w:eastAsia="ja-JP"/>
              </w:rPr>
            </w:pPr>
            <w:r>
              <w:rPr>
                <w:rFonts w:eastAsia="MS Mincho"/>
                <w:lang w:eastAsia="ja-JP"/>
              </w:rPr>
              <w:t>Funding after 2013-14 not decided.</w:t>
            </w:r>
          </w:p>
        </w:tc>
      </w:tr>
      <w:tr w:rsidR="003743B7" w:rsidRPr="007161E6" w:rsidTr="00DB747C">
        <w:trPr>
          <w:trHeight w:val="20"/>
        </w:trPr>
        <w:tc>
          <w:tcPr>
            <w:tcW w:w="1258" w:type="dxa"/>
          </w:tcPr>
          <w:p w:rsidR="003743B7" w:rsidRPr="007161E6" w:rsidRDefault="003743B7" w:rsidP="00DB747C">
            <w:pPr>
              <w:pStyle w:val="TableTextLeftBold-BP4"/>
              <w:rPr>
                <w:rFonts w:eastAsia="MS Mincho"/>
                <w:lang w:eastAsia="ja-JP"/>
              </w:rPr>
            </w:pPr>
          </w:p>
        </w:tc>
        <w:tc>
          <w:tcPr>
            <w:tcW w:w="3538" w:type="dxa"/>
          </w:tcPr>
          <w:p w:rsidR="003743B7" w:rsidRPr="00DB747C" w:rsidRDefault="00EB737C" w:rsidP="00DB747C">
            <w:pPr>
              <w:pStyle w:val="TableTextLeft-BP4"/>
              <w:rPr>
                <w:rFonts w:eastAsia="MS Mincho"/>
              </w:rPr>
            </w:pPr>
            <w:r w:rsidRPr="00DB747C">
              <w:rPr>
                <w:rFonts w:eastAsia="MS Mincho"/>
              </w:rPr>
              <w:t xml:space="preserve">More Support for Students with Disabilities </w:t>
            </w:r>
          </w:p>
        </w:tc>
        <w:tc>
          <w:tcPr>
            <w:tcW w:w="1184" w:type="dxa"/>
          </w:tcPr>
          <w:p w:rsidR="003743B7" w:rsidRPr="00DB747C" w:rsidRDefault="00EB737C" w:rsidP="00DB747C">
            <w:pPr>
              <w:pStyle w:val="TableTextLeft-BP4"/>
              <w:rPr>
                <w:rFonts w:eastAsia="MS Mincho"/>
              </w:rPr>
            </w:pPr>
            <w:r w:rsidRPr="00DB747C">
              <w:rPr>
                <w:rFonts w:eastAsia="MS Mincho"/>
              </w:rPr>
              <w:t>1,359</w:t>
            </w:r>
          </w:p>
        </w:tc>
        <w:tc>
          <w:tcPr>
            <w:tcW w:w="1070" w:type="dxa"/>
          </w:tcPr>
          <w:p w:rsidR="003743B7" w:rsidRPr="007161E6" w:rsidRDefault="00370341" w:rsidP="00DB747C">
            <w:pPr>
              <w:pStyle w:val="TableTextLeft-BP4"/>
              <w:rPr>
                <w:rFonts w:eastAsia="MS Mincho"/>
                <w:lang w:eastAsia="ja-JP"/>
              </w:rPr>
            </w:pPr>
            <w:r>
              <w:rPr>
                <w:rFonts w:eastAsia="MS Mincho"/>
                <w:lang w:eastAsia="ja-JP"/>
              </w:rPr>
              <w:t>1,</w:t>
            </w:r>
            <w:r w:rsidR="001A4473">
              <w:rPr>
                <w:rFonts w:eastAsia="MS Mincho"/>
                <w:lang w:eastAsia="ja-JP"/>
              </w:rPr>
              <w:t>406</w:t>
            </w:r>
          </w:p>
        </w:tc>
        <w:tc>
          <w:tcPr>
            <w:tcW w:w="2272" w:type="dxa"/>
          </w:tcPr>
          <w:p w:rsidR="00361720" w:rsidRDefault="00370341" w:rsidP="00DB747C">
            <w:pPr>
              <w:pStyle w:val="TableTextLeft-BP4"/>
              <w:rPr>
                <w:rFonts w:eastAsia="MS Mincho"/>
                <w:lang w:eastAsia="ja-JP"/>
              </w:rPr>
            </w:pPr>
            <w:r>
              <w:rPr>
                <w:rFonts w:eastAsia="MS Mincho"/>
                <w:lang w:eastAsia="ja-JP"/>
              </w:rPr>
              <w:t xml:space="preserve">Funding extended to </w:t>
            </w:r>
          </w:p>
          <w:p w:rsidR="003743B7" w:rsidRPr="007161E6" w:rsidRDefault="00370341" w:rsidP="00DB747C">
            <w:pPr>
              <w:pStyle w:val="TableTextLeft-BP4"/>
              <w:rPr>
                <w:rFonts w:eastAsia="MS Mincho"/>
                <w:lang w:eastAsia="ja-JP"/>
              </w:rPr>
            </w:pPr>
            <w:r>
              <w:rPr>
                <w:rFonts w:eastAsia="MS Mincho"/>
                <w:lang w:eastAsia="ja-JP"/>
              </w:rPr>
              <w:t>2014-15.</w:t>
            </w:r>
            <w:r w:rsidR="00D701FC">
              <w:rPr>
                <w:rFonts w:eastAsia="MS Mincho"/>
                <w:lang w:eastAsia="ja-JP"/>
              </w:rPr>
              <w:t xml:space="preserve"> Intended to roll into NERA from Jan 2015.</w:t>
            </w:r>
          </w:p>
        </w:tc>
      </w:tr>
      <w:tr w:rsidR="0066153B" w:rsidRPr="007161E6" w:rsidTr="00DB747C">
        <w:trPr>
          <w:trHeight w:val="20"/>
        </w:trPr>
        <w:tc>
          <w:tcPr>
            <w:tcW w:w="1258" w:type="dxa"/>
            <w:tcBorders>
              <w:bottom w:val="single" w:sz="4" w:space="0" w:color="auto"/>
            </w:tcBorders>
          </w:tcPr>
          <w:p w:rsidR="0066153B" w:rsidRPr="007161E6" w:rsidRDefault="0066153B" w:rsidP="00DB747C">
            <w:pPr>
              <w:pStyle w:val="TableTextLeftBold-BP4"/>
              <w:rPr>
                <w:rFonts w:eastAsia="MS Mincho"/>
                <w:lang w:eastAsia="ja-JP"/>
              </w:rPr>
            </w:pPr>
          </w:p>
        </w:tc>
        <w:tc>
          <w:tcPr>
            <w:tcW w:w="3538" w:type="dxa"/>
            <w:tcBorders>
              <w:bottom w:val="single" w:sz="4" w:space="0" w:color="auto"/>
            </w:tcBorders>
          </w:tcPr>
          <w:p w:rsidR="0066153B" w:rsidRPr="00DB747C" w:rsidRDefault="0066153B" w:rsidP="00DB747C">
            <w:pPr>
              <w:pStyle w:val="TableTextLeft-BP4"/>
              <w:rPr>
                <w:rFonts w:eastAsia="MS Mincho"/>
              </w:rPr>
            </w:pPr>
            <w:proofErr w:type="spellStart"/>
            <w:r w:rsidRPr="00DB747C">
              <w:rPr>
                <w:rFonts w:eastAsia="MS Mincho"/>
              </w:rPr>
              <w:t>MoneySmart</w:t>
            </w:r>
            <w:proofErr w:type="spellEnd"/>
            <w:r w:rsidRPr="00DB747C">
              <w:rPr>
                <w:rFonts w:eastAsia="MS Mincho"/>
              </w:rPr>
              <w:t xml:space="preserve"> </w:t>
            </w:r>
            <w:r w:rsidR="008A6E45" w:rsidRPr="00DB747C">
              <w:rPr>
                <w:rFonts w:eastAsia="MS Mincho"/>
              </w:rPr>
              <w:t>Schools</w:t>
            </w:r>
          </w:p>
        </w:tc>
        <w:tc>
          <w:tcPr>
            <w:tcW w:w="1184" w:type="dxa"/>
            <w:tcBorders>
              <w:bottom w:val="single" w:sz="4" w:space="0" w:color="auto"/>
            </w:tcBorders>
          </w:tcPr>
          <w:p w:rsidR="0066153B" w:rsidRPr="00DB747C" w:rsidRDefault="0066153B" w:rsidP="00DB747C">
            <w:pPr>
              <w:pStyle w:val="TableTextLeft-BP4"/>
              <w:rPr>
                <w:rFonts w:eastAsia="MS Mincho"/>
              </w:rPr>
            </w:pPr>
            <w:r w:rsidRPr="00DB747C">
              <w:rPr>
                <w:rFonts w:eastAsia="MS Mincho"/>
              </w:rPr>
              <w:t>74</w:t>
            </w:r>
          </w:p>
        </w:tc>
        <w:tc>
          <w:tcPr>
            <w:tcW w:w="1070" w:type="dxa"/>
            <w:tcBorders>
              <w:bottom w:val="single" w:sz="4" w:space="0" w:color="auto"/>
            </w:tcBorders>
          </w:tcPr>
          <w:p w:rsidR="0066153B" w:rsidRPr="007161E6" w:rsidRDefault="00D44674" w:rsidP="00DB747C">
            <w:pPr>
              <w:pStyle w:val="TableTextLeft-BP4"/>
              <w:rPr>
                <w:rFonts w:eastAsia="MS Mincho"/>
                <w:lang w:eastAsia="ja-JP"/>
              </w:rPr>
            </w:pPr>
            <w:r>
              <w:rPr>
                <w:rFonts w:eastAsia="MS Mincho"/>
                <w:lang w:eastAsia="ja-JP"/>
              </w:rPr>
              <w:t>91</w:t>
            </w:r>
          </w:p>
        </w:tc>
        <w:tc>
          <w:tcPr>
            <w:tcW w:w="2272" w:type="dxa"/>
            <w:tcBorders>
              <w:bottom w:val="single" w:sz="4" w:space="0" w:color="auto"/>
            </w:tcBorders>
          </w:tcPr>
          <w:p w:rsidR="0066153B" w:rsidRPr="007161E6" w:rsidRDefault="0066153B" w:rsidP="00DB747C">
            <w:pPr>
              <w:pStyle w:val="TableTextLeft-BP4"/>
              <w:rPr>
                <w:rFonts w:eastAsia="MS Mincho"/>
                <w:lang w:eastAsia="ja-JP"/>
              </w:rPr>
            </w:pPr>
            <w:r>
              <w:rPr>
                <w:rFonts w:eastAsia="MS Mincho"/>
                <w:lang w:eastAsia="ja-JP"/>
              </w:rPr>
              <w:t>New NPA agreed – funding to 2016-17.</w:t>
            </w:r>
          </w:p>
        </w:tc>
      </w:tr>
      <w:tr w:rsidR="003743B7" w:rsidRPr="007161E6" w:rsidTr="00DB747C">
        <w:trPr>
          <w:trHeight w:val="20"/>
        </w:trPr>
        <w:tc>
          <w:tcPr>
            <w:tcW w:w="1258" w:type="dxa"/>
            <w:tcBorders>
              <w:top w:val="single" w:sz="4" w:space="0" w:color="auto"/>
              <w:bottom w:val="single" w:sz="4" w:space="0" w:color="auto"/>
            </w:tcBorders>
          </w:tcPr>
          <w:p w:rsidR="003743B7" w:rsidRPr="00305343" w:rsidRDefault="00305343" w:rsidP="00DB747C">
            <w:pPr>
              <w:pStyle w:val="TableTextLeftBold-BP4"/>
              <w:rPr>
                <w:rFonts w:eastAsia="MS Mincho"/>
                <w:lang w:eastAsia="ja-JP"/>
              </w:rPr>
            </w:pPr>
            <w:r w:rsidRPr="00305343">
              <w:rPr>
                <w:rFonts w:eastAsia="MS Mincho"/>
                <w:lang w:eastAsia="ja-JP"/>
              </w:rPr>
              <w:t xml:space="preserve">Skills </w:t>
            </w:r>
          </w:p>
        </w:tc>
        <w:tc>
          <w:tcPr>
            <w:tcW w:w="3538" w:type="dxa"/>
            <w:tcBorders>
              <w:top w:val="single" w:sz="4" w:space="0" w:color="auto"/>
              <w:bottom w:val="single" w:sz="4" w:space="0" w:color="auto"/>
            </w:tcBorders>
          </w:tcPr>
          <w:p w:rsidR="003743B7" w:rsidRPr="00DB747C" w:rsidRDefault="00B83BB3" w:rsidP="00DB747C">
            <w:pPr>
              <w:pStyle w:val="TableTextLeft-BP4"/>
              <w:rPr>
                <w:rFonts w:eastAsia="MS Mincho"/>
              </w:rPr>
            </w:pPr>
            <w:r w:rsidRPr="00DB747C">
              <w:rPr>
                <w:rFonts w:eastAsia="MS Mincho"/>
              </w:rPr>
              <w:t>Youth Attainment and Transitions</w:t>
            </w:r>
          </w:p>
        </w:tc>
        <w:tc>
          <w:tcPr>
            <w:tcW w:w="1184" w:type="dxa"/>
            <w:tcBorders>
              <w:top w:val="single" w:sz="4" w:space="0" w:color="auto"/>
              <w:bottom w:val="single" w:sz="4" w:space="0" w:color="auto"/>
            </w:tcBorders>
          </w:tcPr>
          <w:p w:rsidR="003743B7" w:rsidRPr="00DB747C" w:rsidRDefault="00B83BB3" w:rsidP="00DB747C">
            <w:pPr>
              <w:pStyle w:val="TableTextLeft-BP4"/>
              <w:rPr>
                <w:rFonts w:eastAsia="MS Mincho"/>
              </w:rPr>
            </w:pPr>
            <w:r w:rsidRPr="00DB747C">
              <w:rPr>
                <w:rFonts w:eastAsia="MS Mincho"/>
              </w:rPr>
              <w:t>662</w:t>
            </w:r>
          </w:p>
        </w:tc>
        <w:tc>
          <w:tcPr>
            <w:tcW w:w="1070" w:type="dxa"/>
            <w:tcBorders>
              <w:top w:val="single" w:sz="4" w:space="0" w:color="auto"/>
              <w:bottom w:val="single" w:sz="4" w:space="0" w:color="auto"/>
            </w:tcBorders>
          </w:tcPr>
          <w:p w:rsidR="003743B7" w:rsidRPr="007161E6" w:rsidRDefault="00B83BB3" w:rsidP="00DB747C">
            <w:pPr>
              <w:pStyle w:val="TableTextLeft-BP4"/>
              <w:rPr>
                <w:rFonts w:eastAsia="MS Mincho"/>
                <w:lang w:eastAsia="ja-JP"/>
              </w:rPr>
            </w:pPr>
            <w:r w:rsidRPr="007161E6">
              <w:rPr>
                <w:rFonts w:eastAsia="MS Mincho"/>
                <w:lang w:eastAsia="ja-JP"/>
              </w:rPr>
              <w:t>1,135</w:t>
            </w:r>
          </w:p>
        </w:tc>
        <w:tc>
          <w:tcPr>
            <w:tcW w:w="2272" w:type="dxa"/>
            <w:tcBorders>
              <w:top w:val="single" w:sz="4" w:space="0" w:color="auto"/>
              <w:bottom w:val="single" w:sz="4" w:space="0" w:color="auto"/>
            </w:tcBorders>
          </w:tcPr>
          <w:p w:rsidR="003743B7" w:rsidRPr="007161E6" w:rsidRDefault="00FA244F" w:rsidP="00DB747C">
            <w:pPr>
              <w:pStyle w:val="TableTextLeft-BP4"/>
              <w:rPr>
                <w:rFonts w:eastAsia="MS Mincho"/>
                <w:lang w:eastAsia="ja-JP"/>
              </w:rPr>
            </w:pPr>
            <w:r>
              <w:rPr>
                <w:rFonts w:eastAsia="MS Mincho"/>
                <w:lang w:eastAsia="ja-JP"/>
              </w:rPr>
              <w:t>Funding after 2013-14 not decided.</w:t>
            </w:r>
          </w:p>
        </w:tc>
      </w:tr>
      <w:tr w:rsidR="00347BC7" w:rsidRPr="007161E6" w:rsidTr="00DB747C">
        <w:trPr>
          <w:trHeight w:val="20"/>
        </w:trPr>
        <w:tc>
          <w:tcPr>
            <w:tcW w:w="1258" w:type="dxa"/>
            <w:tcBorders>
              <w:top w:val="single" w:sz="4" w:space="0" w:color="auto"/>
              <w:bottom w:val="single" w:sz="4" w:space="0" w:color="auto"/>
            </w:tcBorders>
          </w:tcPr>
          <w:p w:rsidR="00347BC7" w:rsidRPr="00305343" w:rsidRDefault="00347BC7" w:rsidP="00DB747C">
            <w:pPr>
              <w:pStyle w:val="TableTextLeftBold-BP4"/>
              <w:rPr>
                <w:rFonts w:eastAsia="MS Mincho"/>
                <w:lang w:eastAsia="ja-JP"/>
              </w:rPr>
            </w:pPr>
            <w:r>
              <w:rPr>
                <w:rFonts w:eastAsia="MS Mincho"/>
                <w:lang w:eastAsia="ja-JP"/>
              </w:rPr>
              <w:t>Community Services</w:t>
            </w:r>
          </w:p>
        </w:tc>
        <w:tc>
          <w:tcPr>
            <w:tcW w:w="3538" w:type="dxa"/>
            <w:tcBorders>
              <w:top w:val="single" w:sz="4" w:space="0" w:color="auto"/>
              <w:bottom w:val="single" w:sz="4" w:space="0" w:color="auto"/>
            </w:tcBorders>
          </w:tcPr>
          <w:p w:rsidR="00347BC7" w:rsidRPr="00DB747C" w:rsidRDefault="00347BC7" w:rsidP="00DB747C">
            <w:pPr>
              <w:pStyle w:val="TableTextLeft-BP4"/>
              <w:rPr>
                <w:rFonts w:eastAsia="MS Mincho"/>
              </w:rPr>
            </w:pPr>
            <w:r w:rsidRPr="00DB747C">
              <w:rPr>
                <w:rFonts w:eastAsia="MS Mincho"/>
              </w:rPr>
              <w:t xml:space="preserve">Certain Concessions for Pensioner Concession Card and Seniors Card Holders </w:t>
            </w:r>
          </w:p>
        </w:tc>
        <w:tc>
          <w:tcPr>
            <w:tcW w:w="1184" w:type="dxa"/>
            <w:tcBorders>
              <w:top w:val="single" w:sz="4" w:space="0" w:color="auto"/>
              <w:bottom w:val="single" w:sz="4" w:space="0" w:color="auto"/>
            </w:tcBorders>
          </w:tcPr>
          <w:p w:rsidR="00347BC7" w:rsidRPr="00DB747C" w:rsidRDefault="00347BC7" w:rsidP="00DB747C">
            <w:pPr>
              <w:pStyle w:val="TableTextLeft-BP4"/>
              <w:rPr>
                <w:rFonts w:eastAsia="MS Mincho"/>
              </w:rPr>
            </w:pPr>
            <w:r w:rsidRPr="00DB747C">
              <w:rPr>
                <w:rFonts w:eastAsia="MS Mincho"/>
              </w:rPr>
              <w:t>2,110</w:t>
            </w:r>
          </w:p>
        </w:tc>
        <w:tc>
          <w:tcPr>
            <w:tcW w:w="1070" w:type="dxa"/>
            <w:tcBorders>
              <w:top w:val="single" w:sz="4" w:space="0" w:color="auto"/>
              <w:bottom w:val="single" w:sz="4" w:space="0" w:color="auto"/>
            </w:tcBorders>
          </w:tcPr>
          <w:p w:rsidR="00347BC7" w:rsidRPr="007161E6" w:rsidRDefault="00347BC7" w:rsidP="00DB747C">
            <w:pPr>
              <w:pStyle w:val="TableTextLeft-BP4"/>
              <w:rPr>
                <w:rFonts w:eastAsia="MS Mincho"/>
                <w:lang w:eastAsia="ja-JP"/>
              </w:rPr>
            </w:pPr>
            <w:r>
              <w:rPr>
                <w:rFonts w:eastAsia="MS Mincho"/>
                <w:lang w:eastAsia="ja-JP"/>
              </w:rPr>
              <w:t>2,180</w:t>
            </w:r>
          </w:p>
        </w:tc>
        <w:tc>
          <w:tcPr>
            <w:tcW w:w="2272" w:type="dxa"/>
            <w:tcBorders>
              <w:top w:val="single" w:sz="4" w:space="0" w:color="auto"/>
              <w:bottom w:val="single" w:sz="4" w:space="0" w:color="auto"/>
            </w:tcBorders>
          </w:tcPr>
          <w:p w:rsidR="00347BC7" w:rsidRDefault="00347BC7" w:rsidP="00DB747C">
            <w:pPr>
              <w:pStyle w:val="TableTextLeft-BP4"/>
              <w:rPr>
                <w:rFonts w:eastAsia="MS Mincho"/>
                <w:lang w:eastAsia="ja-JP"/>
              </w:rPr>
            </w:pPr>
            <w:r>
              <w:rPr>
                <w:rFonts w:eastAsia="MS Mincho"/>
                <w:lang w:eastAsia="ja-JP"/>
              </w:rPr>
              <w:t xml:space="preserve">New NPA agreed – funding </w:t>
            </w:r>
            <w:r w:rsidR="00CF3EFF">
              <w:rPr>
                <w:rFonts w:eastAsia="MS Mincho"/>
                <w:lang w:eastAsia="ja-JP"/>
              </w:rPr>
              <w:t>to 2016-17</w:t>
            </w:r>
            <w:r>
              <w:rPr>
                <w:rFonts w:eastAsia="MS Mincho"/>
                <w:lang w:eastAsia="ja-JP"/>
              </w:rPr>
              <w:t>.</w:t>
            </w:r>
          </w:p>
        </w:tc>
      </w:tr>
      <w:tr w:rsidR="00326815" w:rsidRPr="007161E6" w:rsidTr="00DB747C">
        <w:trPr>
          <w:trHeight w:val="20"/>
        </w:trPr>
        <w:tc>
          <w:tcPr>
            <w:tcW w:w="1258" w:type="dxa"/>
            <w:tcBorders>
              <w:top w:val="single" w:sz="4" w:space="0" w:color="auto"/>
              <w:bottom w:val="single" w:sz="4" w:space="0" w:color="auto"/>
            </w:tcBorders>
          </w:tcPr>
          <w:p w:rsidR="00326815" w:rsidRPr="007161E6" w:rsidRDefault="00326815" w:rsidP="00DB747C">
            <w:pPr>
              <w:pStyle w:val="TableTextLeftBold-BP4"/>
              <w:rPr>
                <w:rFonts w:eastAsia="MS Mincho"/>
                <w:lang w:eastAsia="ja-JP"/>
              </w:rPr>
            </w:pPr>
            <w:r w:rsidRPr="007161E6">
              <w:rPr>
                <w:rFonts w:eastAsia="MS Mincho"/>
                <w:lang w:eastAsia="ja-JP"/>
              </w:rPr>
              <w:t>Housing</w:t>
            </w:r>
          </w:p>
        </w:tc>
        <w:tc>
          <w:tcPr>
            <w:tcW w:w="3538" w:type="dxa"/>
            <w:tcBorders>
              <w:top w:val="single" w:sz="4" w:space="0" w:color="auto"/>
              <w:bottom w:val="single" w:sz="4" w:space="0" w:color="auto"/>
            </w:tcBorders>
          </w:tcPr>
          <w:p w:rsidR="00326815" w:rsidRPr="00DB747C" w:rsidRDefault="00326815" w:rsidP="00DB747C">
            <w:pPr>
              <w:pStyle w:val="TableTextLeft-BP4"/>
              <w:rPr>
                <w:rFonts w:eastAsia="MS Mincho"/>
              </w:rPr>
            </w:pPr>
            <w:r w:rsidRPr="00DB747C">
              <w:rPr>
                <w:rFonts w:eastAsia="MS Mincho"/>
              </w:rPr>
              <w:t>Homelessness</w:t>
            </w:r>
          </w:p>
        </w:tc>
        <w:tc>
          <w:tcPr>
            <w:tcW w:w="1184" w:type="dxa"/>
            <w:tcBorders>
              <w:top w:val="single" w:sz="4" w:space="0" w:color="auto"/>
              <w:bottom w:val="single" w:sz="4" w:space="0" w:color="auto"/>
            </w:tcBorders>
          </w:tcPr>
          <w:p w:rsidR="00326815" w:rsidRPr="00DB747C" w:rsidRDefault="00326815" w:rsidP="00DB747C">
            <w:pPr>
              <w:pStyle w:val="TableTextLeft-BP4"/>
              <w:rPr>
                <w:rFonts w:eastAsia="MS Mincho"/>
              </w:rPr>
            </w:pPr>
            <w:r w:rsidRPr="00DB747C">
              <w:rPr>
                <w:rFonts w:eastAsia="MS Mincho"/>
              </w:rPr>
              <w:t>2,401</w:t>
            </w:r>
          </w:p>
        </w:tc>
        <w:tc>
          <w:tcPr>
            <w:tcW w:w="1070" w:type="dxa"/>
            <w:tcBorders>
              <w:top w:val="single" w:sz="4" w:space="0" w:color="auto"/>
              <w:bottom w:val="single" w:sz="4" w:space="0" w:color="auto"/>
            </w:tcBorders>
          </w:tcPr>
          <w:p w:rsidR="00326815" w:rsidRPr="007161E6" w:rsidRDefault="00901EDB" w:rsidP="00DB747C">
            <w:pPr>
              <w:pStyle w:val="TableTextLeft-BP4"/>
              <w:rPr>
                <w:rFonts w:eastAsia="MS Mincho"/>
                <w:lang w:eastAsia="ja-JP"/>
              </w:rPr>
            </w:pPr>
            <w:r>
              <w:rPr>
                <w:rFonts w:eastAsia="MS Mincho"/>
                <w:lang w:eastAsia="ja-JP"/>
              </w:rPr>
              <w:t>n/a*</w:t>
            </w:r>
          </w:p>
        </w:tc>
        <w:tc>
          <w:tcPr>
            <w:tcW w:w="2272" w:type="dxa"/>
            <w:tcBorders>
              <w:top w:val="single" w:sz="4" w:space="0" w:color="auto"/>
              <w:bottom w:val="single" w:sz="4" w:space="0" w:color="auto"/>
            </w:tcBorders>
          </w:tcPr>
          <w:p w:rsidR="00326815" w:rsidRPr="007161E6" w:rsidRDefault="009D6F8B" w:rsidP="00DB747C">
            <w:pPr>
              <w:pStyle w:val="TableTextLeft-BP4"/>
              <w:rPr>
                <w:rFonts w:eastAsia="MS Mincho"/>
                <w:lang w:eastAsia="ja-JP"/>
              </w:rPr>
            </w:pPr>
            <w:r>
              <w:rPr>
                <w:rFonts w:eastAsia="MS Mincho"/>
                <w:lang w:eastAsia="ja-JP"/>
              </w:rPr>
              <w:t xml:space="preserve">New NP </w:t>
            </w:r>
            <w:r w:rsidR="00B87E4C">
              <w:rPr>
                <w:rFonts w:eastAsia="MS Mincho"/>
                <w:lang w:eastAsia="ja-JP"/>
              </w:rPr>
              <w:t>proposed</w:t>
            </w:r>
            <w:r>
              <w:rPr>
                <w:rFonts w:eastAsia="MS Mincho"/>
                <w:lang w:eastAsia="ja-JP"/>
              </w:rPr>
              <w:t xml:space="preserve"> – funding for 2013-14 not finalised.</w:t>
            </w:r>
          </w:p>
        </w:tc>
      </w:tr>
      <w:tr w:rsidR="005F611D" w:rsidRPr="007161E6" w:rsidTr="00DB747C">
        <w:trPr>
          <w:trHeight w:val="20"/>
        </w:trPr>
        <w:tc>
          <w:tcPr>
            <w:tcW w:w="1258" w:type="dxa"/>
            <w:tcBorders>
              <w:top w:val="single" w:sz="4" w:space="0" w:color="auto"/>
              <w:bottom w:val="single" w:sz="4" w:space="0" w:color="auto"/>
            </w:tcBorders>
          </w:tcPr>
          <w:p w:rsidR="005F611D" w:rsidRPr="007161E6" w:rsidRDefault="005F611D" w:rsidP="00DB747C">
            <w:pPr>
              <w:pStyle w:val="TableTextLeftBold-BP4"/>
              <w:rPr>
                <w:rFonts w:eastAsia="MS Mincho"/>
                <w:lang w:eastAsia="ja-JP"/>
              </w:rPr>
            </w:pPr>
            <w:r>
              <w:rPr>
                <w:rFonts w:eastAsia="MS Mincho"/>
                <w:lang w:eastAsia="ja-JP"/>
              </w:rPr>
              <w:t>Environment</w:t>
            </w:r>
          </w:p>
        </w:tc>
        <w:tc>
          <w:tcPr>
            <w:tcW w:w="3538" w:type="dxa"/>
            <w:tcBorders>
              <w:top w:val="single" w:sz="4" w:space="0" w:color="auto"/>
              <w:bottom w:val="single" w:sz="4" w:space="0" w:color="auto"/>
            </w:tcBorders>
          </w:tcPr>
          <w:p w:rsidR="005F611D" w:rsidRPr="00DB747C" w:rsidRDefault="005F611D" w:rsidP="00DB747C">
            <w:pPr>
              <w:pStyle w:val="TableTextLeft-BP4"/>
              <w:rPr>
                <w:rFonts w:eastAsia="MS Mincho"/>
              </w:rPr>
            </w:pPr>
            <w:r w:rsidRPr="00DB747C">
              <w:rPr>
                <w:rFonts w:eastAsia="MS Mincho"/>
              </w:rPr>
              <w:t>Natural Disaster Resilience</w:t>
            </w:r>
          </w:p>
        </w:tc>
        <w:tc>
          <w:tcPr>
            <w:tcW w:w="1184" w:type="dxa"/>
            <w:tcBorders>
              <w:top w:val="single" w:sz="4" w:space="0" w:color="auto"/>
              <w:bottom w:val="single" w:sz="4" w:space="0" w:color="auto"/>
            </w:tcBorders>
          </w:tcPr>
          <w:p w:rsidR="005F611D" w:rsidRPr="00DB747C" w:rsidRDefault="005F611D" w:rsidP="00DB747C">
            <w:pPr>
              <w:pStyle w:val="TableTextLeft-BP4"/>
              <w:rPr>
                <w:rFonts w:eastAsia="MS Mincho"/>
              </w:rPr>
            </w:pPr>
            <w:r w:rsidRPr="00DB747C">
              <w:rPr>
                <w:rFonts w:eastAsia="MS Mincho"/>
              </w:rPr>
              <w:t>1,305</w:t>
            </w:r>
          </w:p>
        </w:tc>
        <w:tc>
          <w:tcPr>
            <w:tcW w:w="1070" w:type="dxa"/>
            <w:tcBorders>
              <w:top w:val="single" w:sz="4" w:space="0" w:color="auto"/>
              <w:bottom w:val="single" w:sz="4" w:space="0" w:color="auto"/>
            </w:tcBorders>
          </w:tcPr>
          <w:p w:rsidR="005F611D" w:rsidRPr="007161E6" w:rsidRDefault="005F611D" w:rsidP="00DB747C">
            <w:pPr>
              <w:pStyle w:val="TableTextLeft-BP4"/>
              <w:rPr>
                <w:rFonts w:eastAsia="MS Mincho"/>
                <w:lang w:eastAsia="ja-JP"/>
              </w:rPr>
            </w:pPr>
            <w:r>
              <w:rPr>
                <w:rFonts w:eastAsia="MS Mincho"/>
                <w:lang w:eastAsia="ja-JP"/>
              </w:rPr>
              <w:t>1,305</w:t>
            </w:r>
          </w:p>
        </w:tc>
        <w:tc>
          <w:tcPr>
            <w:tcW w:w="2272" w:type="dxa"/>
            <w:tcBorders>
              <w:top w:val="single" w:sz="4" w:space="0" w:color="auto"/>
              <w:bottom w:val="single" w:sz="4" w:space="0" w:color="auto"/>
            </w:tcBorders>
          </w:tcPr>
          <w:p w:rsidR="005F611D" w:rsidRDefault="005F611D" w:rsidP="00DB747C">
            <w:pPr>
              <w:pStyle w:val="TableTextLeft-BP4"/>
              <w:rPr>
                <w:rFonts w:eastAsia="MS Mincho"/>
                <w:lang w:eastAsia="ja-JP"/>
              </w:rPr>
            </w:pPr>
            <w:r>
              <w:rPr>
                <w:rFonts w:eastAsia="MS Mincho"/>
                <w:lang w:eastAsia="ja-JP"/>
              </w:rPr>
              <w:t>New NP being negotiated – funding to continue to 2016-17.</w:t>
            </w:r>
          </w:p>
        </w:tc>
      </w:tr>
      <w:tr w:rsidR="00197D38" w:rsidRPr="007161E6" w:rsidTr="00DB747C">
        <w:trPr>
          <w:trHeight w:val="20"/>
        </w:trPr>
        <w:tc>
          <w:tcPr>
            <w:tcW w:w="1258" w:type="dxa"/>
            <w:tcBorders>
              <w:top w:val="single" w:sz="4" w:space="0" w:color="auto"/>
              <w:bottom w:val="single" w:sz="4" w:space="0" w:color="auto"/>
            </w:tcBorders>
          </w:tcPr>
          <w:p w:rsidR="00197D38" w:rsidRDefault="00197D38" w:rsidP="00DB747C">
            <w:pPr>
              <w:pStyle w:val="TableTextLeftBold-BP4"/>
              <w:rPr>
                <w:rFonts w:eastAsia="MS Mincho"/>
                <w:lang w:eastAsia="ja-JP"/>
              </w:rPr>
            </w:pPr>
            <w:r>
              <w:rPr>
                <w:rFonts w:eastAsia="MS Mincho"/>
                <w:lang w:eastAsia="ja-JP"/>
              </w:rPr>
              <w:t>Other</w:t>
            </w:r>
          </w:p>
        </w:tc>
        <w:tc>
          <w:tcPr>
            <w:tcW w:w="3538" w:type="dxa"/>
            <w:tcBorders>
              <w:top w:val="single" w:sz="4" w:space="0" w:color="auto"/>
              <w:bottom w:val="single" w:sz="4" w:space="0" w:color="auto"/>
            </w:tcBorders>
          </w:tcPr>
          <w:p w:rsidR="00197D38" w:rsidRPr="00DB747C" w:rsidRDefault="00197D38" w:rsidP="00DB747C">
            <w:pPr>
              <w:pStyle w:val="TableTextLeft-BP4"/>
              <w:rPr>
                <w:rFonts w:eastAsia="MS Mincho"/>
              </w:rPr>
            </w:pPr>
            <w:r w:rsidRPr="00DB747C">
              <w:rPr>
                <w:rFonts w:eastAsia="MS Mincho"/>
              </w:rPr>
              <w:t>Legal Assistance Services</w:t>
            </w:r>
          </w:p>
        </w:tc>
        <w:tc>
          <w:tcPr>
            <w:tcW w:w="1184" w:type="dxa"/>
            <w:tcBorders>
              <w:top w:val="single" w:sz="4" w:space="0" w:color="auto"/>
              <w:bottom w:val="single" w:sz="4" w:space="0" w:color="auto"/>
            </w:tcBorders>
          </w:tcPr>
          <w:p w:rsidR="00197D38" w:rsidRPr="00DB747C" w:rsidRDefault="00197D38" w:rsidP="00DB747C">
            <w:pPr>
              <w:pStyle w:val="TableTextLeft-BP4"/>
              <w:rPr>
                <w:rFonts w:eastAsia="MS Mincho"/>
              </w:rPr>
            </w:pPr>
            <w:r w:rsidRPr="00DB747C">
              <w:rPr>
                <w:rFonts w:eastAsia="MS Mincho"/>
              </w:rPr>
              <w:t>4,420</w:t>
            </w:r>
          </w:p>
        </w:tc>
        <w:tc>
          <w:tcPr>
            <w:tcW w:w="1070" w:type="dxa"/>
            <w:tcBorders>
              <w:top w:val="single" w:sz="4" w:space="0" w:color="auto"/>
              <w:bottom w:val="single" w:sz="4" w:space="0" w:color="auto"/>
            </w:tcBorders>
          </w:tcPr>
          <w:p w:rsidR="00197D38" w:rsidRDefault="00197D38" w:rsidP="00DB747C">
            <w:pPr>
              <w:pStyle w:val="TableTextLeft-BP4"/>
              <w:rPr>
                <w:rFonts w:eastAsia="MS Mincho"/>
                <w:lang w:eastAsia="ja-JP"/>
              </w:rPr>
            </w:pPr>
            <w:r>
              <w:rPr>
                <w:rFonts w:eastAsia="MS Mincho"/>
                <w:lang w:eastAsia="ja-JP"/>
              </w:rPr>
              <w:t>4,486</w:t>
            </w:r>
          </w:p>
        </w:tc>
        <w:tc>
          <w:tcPr>
            <w:tcW w:w="2272" w:type="dxa"/>
            <w:tcBorders>
              <w:top w:val="single" w:sz="4" w:space="0" w:color="auto"/>
              <w:bottom w:val="single" w:sz="4" w:space="0" w:color="auto"/>
            </w:tcBorders>
          </w:tcPr>
          <w:p w:rsidR="00197D38" w:rsidRDefault="00197D38" w:rsidP="00DB747C">
            <w:pPr>
              <w:pStyle w:val="TableTextLeft-BP4"/>
              <w:rPr>
                <w:rFonts w:eastAsia="MS Mincho"/>
                <w:lang w:eastAsia="ja-JP"/>
              </w:rPr>
            </w:pPr>
            <w:r>
              <w:rPr>
                <w:rFonts w:eastAsia="MS Mincho"/>
                <w:lang w:eastAsia="ja-JP"/>
              </w:rPr>
              <w:t>Funding after 2013-14 not decided.</w:t>
            </w:r>
          </w:p>
        </w:tc>
      </w:tr>
      <w:tr w:rsidR="00B21E28" w:rsidRPr="007161E6" w:rsidTr="00DB747C">
        <w:trPr>
          <w:trHeight w:val="20"/>
        </w:trPr>
        <w:tc>
          <w:tcPr>
            <w:tcW w:w="1258" w:type="dxa"/>
            <w:tcBorders>
              <w:top w:val="single" w:sz="4" w:space="0" w:color="auto"/>
              <w:bottom w:val="single" w:sz="4" w:space="0" w:color="auto"/>
            </w:tcBorders>
          </w:tcPr>
          <w:p w:rsidR="00B21E28" w:rsidRPr="007161E6" w:rsidRDefault="00B21E28" w:rsidP="00EF4EBB">
            <w:pPr>
              <w:pStyle w:val="Heading3"/>
              <w:spacing w:before="0" w:after="0"/>
              <w:rPr>
                <w:rFonts w:ascii="Calibri" w:hAnsi="Calibri"/>
                <w:sz w:val="18"/>
                <w:szCs w:val="18"/>
              </w:rPr>
            </w:pPr>
            <w:r w:rsidRPr="007161E6">
              <w:rPr>
                <w:rFonts w:ascii="Calibri" w:hAnsi="Calibri"/>
                <w:sz w:val="18"/>
                <w:szCs w:val="18"/>
              </w:rPr>
              <w:t>T</w:t>
            </w:r>
            <w:r w:rsidR="00EF4EBB" w:rsidRPr="007161E6">
              <w:rPr>
                <w:rFonts w:ascii="Calibri" w:hAnsi="Calibri"/>
                <w:sz w:val="18"/>
                <w:szCs w:val="18"/>
              </w:rPr>
              <w:t>otal Expiring</w:t>
            </w:r>
          </w:p>
        </w:tc>
        <w:tc>
          <w:tcPr>
            <w:tcW w:w="3538" w:type="dxa"/>
            <w:tcBorders>
              <w:top w:val="single" w:sz="4" w:space="0" w:color="auto"/>
              <w:bottom w:val="single" w:sz="4" w:space="0" w:color="auto"/>
            </w:tcBorders>
          </w:tcPr>
          <w:p w:rsidR="00B21E28" w:rsidRPr="007161E6" w:rsidRDefault="00B21E28" w:rsidP="00C57E99">
            <w:pPr>
              <w:pStyle w:val="Heading3"/>
              <w:spacing w:before="0" w:after="0"/>
              <w:rPr>
                <w:rFonts w:ascii="Calibri" w:hAnsi="Calibri"/>
                <w:b w:val="0"/>
                <w:sz w:val="18"/>
                <w:szCs w:val="18"/>
              </w:rPr>
            </w:pPr>
          </w:p>
        </w:tc>
        <w:tc>
          <w:tcPr>
            <w:tcW w:w="1184" w:type="dxa"/>
            <w:tcBorders>
              <w:top w:val="single" w:sz="4" w:space="0" w:color="auto"/>
              <w:bottom w:val="single" w:sz="4" w:space="0" w:color="auto"/>
            </w:tcBorders>
          </w:tcPr>
          <w:p w:rsidR="00B21E28" w:rsidRPr="007161E6" w:rsidRDefault="00197D38" w:rsidP="008452C1">
            <w:pPr>
              <w:pStyle w:val="Heading3"/>
              <w:spacing w:before="0" w:after="0"/>
              <w:rPr>
                <w:rFonts w:ascii="Calibri" w:hAnsi="Calibri"/>
                <w:sz w:val="18"/>
                <w:szCs w:val="18"/>
              </w:rPr>
            </w:pPr>
            <w:r>
              <w:rPr>
                <w:rFonts w:ascii="Calibri" w:hAnsi="Calibri"/>
                <w:sz w:val="18"/>
                <w:szCs w:val="18"/>
              </w:rPr>
              <w:t>30</w:t>
            </w:r>
            <w:r w:rsidR="006025A2" w:rsidRPr="007161E6">
              <w:rPr>
                <w:rFonts w:ascii="Calibri" w:hAnsi="Calibri"/>
                <w:sz w:val="18"/>
                <w:szCs w:val="18"/>
              </w:rPr>
              <w:t>,</w:t>
            </w:r>
            <w:r>
              <w:rPr>
                <w:rFonts w:ascii="Calibri" w:hAnsi="Calibri"/>
                <w:sz w:val="18"/>
                <w:szCs w:val="18"/>
              </w:rPr>
              <w:t>96</w:t>
            </w:r>
            <w:r w:rsidR="006E6F2D">
              <w:rPr>
                <w:rFonts w:ascii="Calibri" w:hAnsi="Calibri"/>
                <w:sz w:val="18"/>
                <w:szCs w:val="18"/>
              </w:rPr>
              <w:t>4</w:t>
            </w:r>
            <w:r w:rsidR="006025A2" w:rsidRPr="007161E6">
              <w:rPr>
                <w:rFonts w:ascii="Calibri" w:hAnsi="Calibri"/>
                <w:sz w:val="18"/>
                <w:szCs w:val="18"/>
              </w:rPr>
              <w:t xml:space="preserve"> </w:t>
            </w:r>
          </w:p>
        </w:tc>
        <w:tc>
          <w:tcPr>
            <w:tcW w:w="1070" w:type="dxa"/>
            <w:tcBorders>
              <w:top w:val="single" w:sz="4" w:space="0" w:color="auto"/>
              <w:bottom w:val="single" w:sz="4" w:space="0" w:color="auto"/>
            </w:tcBorders>
          </w:tcPr>
          <w:p w:rsidR="00B21E28" w:rsidRPr="007161E6" w:rsidRDefault="00197D38" w:rsidP="008452C1">
            <w:pPr>
              <w:pStyle w:val="Heading3"/>
              <w:spacing w:before="0" w:after="0"/>
              <w:rPr>
                <w:rFonts w:ascii="Calibri" w:hAnsi="Calibri"/>
                <w:sz w:val="18"/>
                <w:szCs w:val="18"/>
              </w:rPr>
            </w:pPr>
            <w:r>
              <w:rPr>
                <w:rFonts w:ascii="Calibri" w:hAnsi="Calibri"/>
                <w:sz w:val="18"/>
                <w:szCs w:val="18"/>
              </w:rPr>
              <w:t>23</w:t>
            </w:r>
            <w:r w:rsidR="00442036" w:rsidRPr="007161E6">
              <w:rPr>
                <w:rFonts w:ascii="Calibri" w:hAnsi="Calibri"/>
                <w:sz w:val="18"/>
                <w:szCs w:val="18"/>
              </w:rPr>
              <w:t>,</w:t>
            </w:r>
            <w:r>
              <w:rPr>
                <w:rFonts w:ascii="Calibri" w:hAnsi="Calibri"/>
                <w:sz w:val="18"/>
                <w:szCs w:val="18"/>
              </w:rPr>
              <w:t>686</w:t>
            </w:r>
          </w:p>
        </w:tc>
        <w:tc>
          <w:tcPr>
            <w:tcW w:w="2272" w:type="dxa"/>
            <w:tcBorders>
              <w:top w:val="single" w:sz="4" w:space="0" w:color="auto"/>
              <w:bottom w:val="single" w:sz="4" w:space="0" w:color="auto"/>
            </w:tcBorders>
          </w:tcPr>
          <w:p w:rsidR="00B21E28" w:rsidRPr="007161E6" w:rsidRDefault="00B21E28" w:rsidP="00151533">
            <w:pPr>
              <w:pStyle w:val="Heading3"/>
              <w:spacing w:before="0" w:after="0"/>
              <w:rPr>
                <w:rFonts w:ascii="Calibri" w:hAnsi="Calibri"/>
                <w:sz w:val="18"/>
                <w:szCs w:val="18"/>
              </w:rPr>
            </w:pPr>
          </w:p>
        </w:tc>
      </w:tr>
    </w:tbl>
    <w:p w:rsidR="00901EDB" w:rsidRPr="00DB747C" w:rsidRDefault="00901EDB" w:rsidP="00DB747C">
      <w:pPr>
        <w:pStyle w:val="NoteText"/>
      </w:pPr>
      <w:r w:rsidRPr="00DB747C">
        <w:t xml:space="preserve">* </w:t>
      </w:r>
      <w:proofErr w:type="gramStart"/>
      <w:r w:rsidRPr="00DB747C">
        <w:t>n/a</w:t>
      </w:r>
      <w:proofErr w:type="gramEnd"/>
      <w:r w:rsidRPr="00DB747C">
        <w:t xml:space="preserve"> = not available: Funding provided in Federal Budget but State allocations not finalised at time of publication.</w:t>
      </w:r>
    </w:p>
    <w:p w:rsidR="00B91950" w:rsidRPr="00DB747C" w:rsidRDefault="00B91950" w:rsidP="00DB747C">
      <w:pPr>
        <w:pStyle w:val="Heading3"/>
        <w:keepNext w:val="0"/>
        <w:keepLines w:val="0"/>
      </w:pPr>
      <w:r w:rsidRPr="00DB747C">
        <w:t>New National Partnership Agreements</w:t>
      </w:r>
    </w:p>
    <w:p w:rsidR="00B91950" w:rsidRPr="00DB747C" w:rsidRDefault="00B91950" w:rsidP="00DB747C">
      <w:pPr>
        <w:pStyle w:val="BodyText"/>
        <w:keepNext w:val="0"/>
        <w:keepLines w:val="0"/>
      </w:pPr>
      <w:r w:rsidRPr="00DB747C">
        <w:t xml:space="preserve">The 2013-14 Federal Budget </w:t>
      </w:r>
      <w:r w:rsidR="00ED478C" w:rsidRPr="00DB747C">
        <w:t xml:space="preserve">also </w:t>
      </w:r>
      <w:r w:rsidRPr="00DB747C">
        <w:t xml:space="preserve">included a number of new National Partnerships </w:t>
      </w:r>
      <w:r w:rsidR="003E474C" w:rsidRPr="00DB747C">
        <w:t>which are expected to involve additional funding for the ACT, including:</w:t>
      </w:r>
    </w:p>
    <w:p w:rsidR="003E474C" w:rsidRPr="00DB747C" w:rsidRDefault="003E474C" w:rsidP="00DB747C">
      <w:pPr>
        <w:pStyle w:val="BodyTextIndent"/>
        <w:keepNext w:val="0"/>
        <w:keepLines w:val="0"/>
      </w:pPr>
      <w:r w:rsidRPr="00DB747C">
        <w:t>Canberra Hospital – Dedicated Paediatric Emergency Care ($5 million in 2014-15);</w:t>
      </w:r>
    </w:p>
    <w:p w:rsidR="00C76353" w:rsidRPr="00DB747C" w:rsidRDefault="0024452D" w:rsidP="00DB747C">
      <w:pPr>
        <w:pStyle w:val="BodyTextIndent"/>
        <w:keepNext w:val="0"/>
        <w:keepLines w:val="0"/>
      </w:pPr>
      <w:r w:rsidRPr="00DB747C">
        <w:t>Assisting Preparation Towards the Launch of the National Disability Insurance Scheme</w:t>
      </w:r>
      <w:r w:rsidR="00952BE5" w:rsidRPr="00DB747C">
        <w:t xml:space="preserve"> </w:t>
      </w:r>
      <w:r w:rsidRPr="00DB747C">
        <w:t>($10.1 million over two years</w:t>
      </w:r>
      <w:r w:rsidR="00C76353" w:rsidRPr="00DB747C">
        <w:t xml:space="preserve"> – 2013-14 and 2014-15</w:t>
      </w:r>
      <w:r w:rsidRPr="00DB747C">
        <w:t>)</w:t>
      </w:r>
      <w:r w:rsidR="00C76353" w:rsidRPr="00DB747C">
        <w:t>;</w:t>
      </w:r>
    </w:p>
    <w:p w:rsidR="003E474C" w:rsidRPr="00DB747C" w:rsidRDefault="003E474C" w:rsidP="00DB747C">
      <w:pPr>
        <w:pStyle w:val="BodyTextIndent"/>
        <w:keepNext w:val="0"/>
        <w:keepLines w:val="0"/>
      </w:pPr>
      <w:r w:rsidRPr="00DB747C">
        <w:t>Pay Equity for the Social and Community Services Sec</w:t>
      </w:r>
      <w:r w:rsidR="00500C06" w:rsidRPr="00DB747C">
        <w:t>tor ($6.6 million over four years);</w:t>
      </w:r>
      <w:r w:rsidR="007803D7" w:rsidRPr="00DB747C">
        <w:t xml:space="preserve"> </w:t>
      </w:r>
    </w:p>
    <w:p w:rsidR="00500C06" w:rsidRPr="00DB747C" w:rsidRDefault="001758FE" w:rsidP="00DB747C">
      <w:pPr>
        <w:pStyle w:val="BodyTextIndent"/>
        <w:keepNext w:val="0"/>
        <w:keepLines w:val="0"/>
      </w:pPr>
      <w:r w:rsidRPr="00DB747C">
        <w:t xml:space="preserve">Implementing Water Reform in the </w:t>
      </w:r>
      <w:r w:rsidR="00500C06" w:rsidRPr="00DB747C">
        <w:t>Murray-Darling Basin ($1.2 million over four years)</w:t>
      </w:r>
      <w:r w:rsidR="005C5AB4" w:rsidRPr="00DB747C">
        <w:t>; and</w:t>
      </w:r>
    </w:p>
    <w:p w:rsidR="005C5AB4" w:rsidRPr="00DB747C" w:rsidRDefault="005C5AB4" w:rsidP="00DB747C">
      <w:pPr>
        <w:pStyle w:val="BodyTextIndent"/>
        <w:keepNext w:val="0"/>
        <w:keepLines w:val="0"/>
      </w:pPr>
      <w:r w:rsidRPr="00DB747C">
        <w:t xml:space="preserve">National Insurance Affordability Initiative ($0.5 million over two years – 2013-14 and 2014-15). </w:t>
      </w:r>
    </w:p>
    <w:p w:rsidR="00385F5F" w:rsidRDefault="00385F5F" w:rsidP="00DB747C">
      <w:pPr>
        <w:pStyle w:val="BodyText"/>
        <w:keepNext w:val="0"/>
        <w:keepLines w:val="0"/>
      </w:pPr>
      <w:r>
        <w:lastRenderedPageBreak/>
        <w:t>Two other National Partnerships were announced in the Federal Budget but have not been included in the ACT Budget:</w:t>
      </w:r>
    </w:p>
    <w:p w:rsidR="00385F5F" w:rsidRPr="00DB747C" w:rsidRDefault="00385F5F" w:rsidP="00DB747C">
      <w:pPr>
        <w:pStyle w:val="BodyTextIndent"/>
        <w:keepNext w:val="0"/>
        <w:keepLines w:val="0"/>
      </w:pPr>
      <w:r w:rsidRPr="00DB747C">
        <w:t xml:space="preserve">Early Psychosis Youth Centres ($35.1 million over four years) </w:t>
      </w:r>
      <w:r w:rsidR="00DB747C" w:rsidRPr="00DB747C">
        <w:t>–</w:t>
      </w:r>
      <w:r w:rsidRPr="00DB747C">
        <w:t xml:space="preserve"> this initiative was included as a National Partnership Payment in the Federal Budget but is now to be funded as a Commonwealth Own Purpose Expense; and</w:t>
      </w:r>
    </w:p>
    <w:p w:rsidR="00385F5F" w:rsidRPr="00DB747C" w:rsidRDefault="00385F5F" w:rsidP="00DB747C">
      <w:pPr>
        <w:pStyle w:val="BodyTextIndent"/>
        <w:keepNext w:val="0"/>
        <w:keepLines w:val="0"/>
      </w:pPr>
      <w:r w:rsidRPr="00DB747C">
        <w:t xml:space="preserve">Assistance to States for DisabilityCare Australia ($21.8 million over two years – 2015-16 and 2016-17) </w:t>
      </w:r>
      <w:r w:rsidR="00DB747C" w:rsidRPr="00DB747C">
        <w:t>–</w:t>
      </w:r>
      <w:r w:rsidRPr="00DB747C">
        <w:t xml:space="preserve"> this funding will not be paid as a National Partnership Payment but will be drawn from the DisabilityCare Australia Fund.</w:t>
      </w:r>
    </w:p>
    <w:p w:rsidR="003E474C" w:rsidRPr="00DB747C" w:rsidRDefault="003E474C" w:rsidP="00DB747C">
      <w:pPr>
        <w:pStyle w:val="BodyText"/>
        <w:keepNext w:val="0"/>
        <w:keepLines w:val="0"/>
      </w:pPr>
      <w:r w:rsidRPr="00DB747C">
        <w:t xml:space="preserve">Negotiations on </w:t>
      </w:r>
      <w:r w:rsidR="00C136BD" w:rsidRPr="00DB747C">
        <w:t xml:space="preserve">most of </w:t>
      </w:r>
      <w:r w:rsidRPr="00DB747C">
        <w:t>these NPs are still in progress between the ACT</w:t>
      </w:r>
      <w:r w:rsidR="00A5257F" w:rsidRPr="00DB747C">
        <w:t xml:space="preserve"> and the Commonw</w:t>
      </w:r>
      <w:r w:rsidR="004B10A7" w:rsidRPr="00DB747C">
        <w:t>ealth, however approximately $13</w:t>
      </w:r>
      <w:r w:rsidR="00A5257F" w:rsidRPr="00DB747C">
        <w:t>.</w:t>
      </w:r>
      <w:r w:rsidR="001A1D92" w:rsidRPr="00DB747C">
        <w:t>8</w:t>
      </w:r>
      <w:r w:rsidR="00A5257F" w:rsidRPr="00DB747C">
        <w:t xml:space="preserve"> m</w:t>
      </w:r>
      <w:r w:rsidR="001A1D92" w:rsidRPr="00DB747C">
        <w:t>illion</w:t>
      </w:r>
      <w:r w:rsidR="00A5257F" w:rsidRPr="00DB747C">
        <w:t xml:space="preserve"> </w:t>
      </w:r>
      <w:r w:rsidR="001A1D92" w:rsidRPr="00DB747C">
        <w:t xml:space="preserve">of new funding </w:t>
      </w:r>
      <w:r w:rsidR="00A5257F" w:rsidRPr="00DB747C">
        <w:t>has been identified in the 2013-14 Budget.</w:t>
      </w:r>
    </w:p>
    <w:p w:rsidR="0062537F" w:rsidRPr="00DB747C" w:rsidRDefault="0062537F" w:rsidP="00DB747C">
      <w:pPr>
        <w:pStyle w:val="BodyText"/>
        <w:keepNext w:val="0"/>
        <w:keepLines w:val="0"/>
      </w:pPr>
      <w:r w:rsidRPr="00DB747C">
        <w:t>The Commonwealth has also brought forward funding of $5.6 million of Health National Partnership Payments and $0.6 million of Community Services National Partnership Payments from 2013-14 to 2012-13.</w:t>
      </w:r>
    </w:p>
    <w:p w:rsidR="00FB6F35" w:rsidRPr="00DB747C" w:rsidRDefault="00FB6F35" w:rsidP="00DB747C">
      <w:pPr>
        <w:pStyle w:val="BodyText"/>
        <w:keepNext w:val="0"/>
        <w:keepLines w:val="0"/>
      </w:pPr>
      <w:r w:rsidRPr="00DB747C">
        <w:t>These movements in National Partnerships</w:t>
      </w:r>
      <w:r w:rsidR="00DD1B29" w:rsidRPr="00DB747C">
        <w:t>,</w:t>
      </w:r>
      <w:r w:rsidRPr="00DB747C">
        <w:t xml:space="preserve"> including existing National Partnerships</w:t>
      </w:r>
      <w:r w:rsidR="00DD1B29" w:rsidRPr="00DB747C">
        <w:t>,</w:t>
      </w:r>
      <w:r w:rsidRPr="00DB747C">
        <w:t xml:space="preserve"> are fully reflected in Table 4.9 below – Total Commonwealth Funding to the ACT.</w:t>
      </w:r>
    </w:p>
    <w:p w:rsidR="00492E38" w:rsidRPr="00DB747C" w:rsidRDefault="00492E38" w:rsidP="00DB747C">
      <w:pPr>
        <w:pStyle w:val="Heading4"/>
        <w:keepNext w:val="0"/>
        <w:keepLines w:val="0"/>
      </w:pPr>
      <w:r w:rsidRPr="00DB747C">
        <w:t>Financial Assistance Grants to Local Government</w:t>
      </w:r>
    </w:p>
    <w:p w:rsidR="00492E38" w:rsidRPr="00DB747C" w:rsidRDefault="00492E38" w:rsidP="00DB747C">
      <w:pPr>
        <w:pStyle w:val="BodyText"/>
        <w:keepNext w:val="0"/>
        <w:keepLines w:val="0"/>
      </w:pPr>
      <w:r w:rsidRPr="00DB747C">
        <w:t xml:space="preserve">Financial assistance grants </w:t>
      </w:r>
      <w:r w:rsidR="007803D7" w:rsidRPr="00DB747C">
        <w:t xml:space="preserve">(FAGs) </w:t>
      </w:r>
      <w:r w:rsidRPr="00DB747C">
        <w:t>to local governments are outside the federal funding framework and are paid to State governments for on-passing to local governments through the State Grants Commissions.  Financial assistance grants to local government are untied and can be spent according to local government priorities.</w:t>
      </w:r>
    </w:p>
    <w:p w:rsidR="00DB747C" w:rsidRPr="00DB747C" w:rsidRDefault="00492E38" w:rsidP="00DB747C">
      <w:pPr>
        <w:pStyle w:val="BodyText"/>
        <w:keepNext w:val="0"/>
        <w:keepLines w:val="0"/>
      </w:pPr>
      <w:r w:rsidRPr="00DB747C">
        <w:t>As the ACT Government has responsibility for both State and municipal functions, the financial assistance grants are paid direct to the Territory to be spent according to its budget priorities, at approximately two per cent of the financial assistance grants pool.</w:t>
      </w:r>
    </w:p>
    <w:p w:rsidR="009A2866" w:rsidRPr="00DB747C" w:rsidRDefault="009A2866" w:rsidP="00DB747C">
      <w:pPr>
        <w:pStyle w:val="BodyText"/>
      </w:pPr>
      <w:r w:rsidRPr="00DB747C">
        <w:t>The ACT’s FAGs funding is shown in Table 4.8 below.</w:t>
      </w:r>
    </w:p>
    <w:p w:rsidR="00492E38" w:rsidRPr="00DB747C" w:rsidRDefault="00492E38" w:rsidP="00DB747C">
      <w:pPr>
        <w:pStyle w:val="TableNumber"/>
      </w:pPr>
      <w:r w:rsidRPr="00DB747C">
        <w:t>Table</w:t>
      </w:r>
      <w:r w:rsidR="005B5D25" w:rsidRPr="00DB747C">
        <w:t xml:space="preserve"> 4.8</w:t>
      </w:r>
    </w:p>
    <w:p w:rsidR="00492E38" w:rsidRPr="00DB747C" w:rsidRDefault="00492E38" w:rsidP="00DB747C">
      <w:pPr>
        <w:pStyle w:val="TableName"/>
      </w:pPr>
      <w:r w:rsidRPr="00DB747C">
        <w:t>Commonwealth Government Financial Assistance Grants Funding to the ACT</w:t>
      </w:r>
    </w:p>
    <w:tbl>
      <w:tblPr>
        <w:tblW w:w="9100" w:type="dxa"/>
        <w:jc w:val="center"/>
        <w:tblLayout w:type="fixed"/>
        <w:tblLook w:val="04A0"/>
      </w:tblPr>
      <w:tblGrid>
        <w:gridCol w:w="2811"/>
        <w:gridCol w:w="913"/>
        <w:gridCol w:w="913"/>
        <w:gridCol w:w="913"/>
        <w:gridCol w:w="663"/>
        <w:gridCol w:w="913"/>
        <w:gridCol w:w="913"/>
        <w:gridCol w:w="1061"/>
      </w:tblGrid>
      <w:tr w:rsidR="00492E38" w:rsidRPr="006C6D20" w:rsidTr="008452C1">
        <w:trPr>
          <w:jc w:val="center"/>
        </w:trPr>
        <w:tc>
          <w:tcPr>
            <w:tcW w:w="2866" w:type="dxa"/>
            <w:tcBorders>
              <w:top w:val="single" w:sz="8" w:space="0" w:color="auto"/>
              <w:left w:val="nil"/>
              <w:bottom w:val="nil"/>
              <w:right w:val="nil"/>
            </w:tcBorders>
            <w:shd w:val="clear" w:color="auto" w:fill="auto"/>
            <w:vAlign w:val="bottom"/>
          </w:tcPr>
          <w:p w:rsidR="00492E38" w:rsidRPr="006C6D20" w:rsidRDefault="00492E38" w:rsidP="006C6D20">
            <w:pPr>
              <w:rPr>
                <w:rFonts w:cs="Calibri"/>
                <w:b/>
                <w:bCs/>
                <w:color w:val="000000"/>
                <w:sz w:val="18"/>
                <w:szCs w:val="18"/>
                <w:lang w:eastAsia="en-AU"/>
              </w:rPr>
            </w:pPr>
            <w:r w:rsidRPr="006C6D20">
              <w:rPr>
                <w:rFonts w:cs="Calibri"/>
                <w:b/>
                <w:bCs/>
                <w:color w:val="000000"/>
                <w:sz w:val="18"/>
                <w:szCs w:val="18"/>
                <w:lang w:eastAsia="en-AU"/>
              </w:rPr>
              <w:t> </w:t>
            </w:r>
          </w:p>
        </w:tc>
        <w:tc>
          <w:tcPr>
            <w:tcW w:w="927" w:type="dxa"/>
            <w:tcBorders>
              <w:top w:val="single" w:sz="8" w:space="0" w:color="auto"/>
              <w:left w:val="nil"/>
              <w:bottom w:val="nil"/>
              <w:right w:val="nil"/>
            </w:tcBorders>
            <w:shd w:val="clear" w:color="auto" w:fill="auto"/>
            <w:vAlign w:val="bottom"/>
          </w:tcPr>
          <w:p w:rsidR="00492E38" w:rsidRPr="006C6D20" w:rsidRDefault="00CE71AE" w:rsidP="006C6D20">
            <w:pPr>
              <w:jc w:val="right"/>
              <w:rPr>
                <w:rFonts w:cs="Calibri"/>
                <w:b/>
                <w:bCs/>
                <w:color w:val="000000"/>
                <w:sz w:val="18"/>
                <w:szCs w:val="18"/>
                <w:lang w:eastAsia="en-AU"/>
              </w:rPr>
            </w:pPr>
            <w:r>
              <w:rPr>
                <w:rFonts w:cs="Calibri"/>
                <w:b/>
                <w:bCs/>
                <w:color w:val="000000"/>
                <w:sz w:val="18"/>
                <w:szCs w:val="18"/>
                <w:lang w:eastAsia="en-AU"/>
              </w:rPr>
              <w:t>2012-13</w:t>
            </w:r>
          </w:p>
        </w:tc>
        <w:tc>
          <w:tcPr>
            <w:tcW w:w="927" w:type="dxa"/>
            <w:tcBorders>
              <w:top w:val="single" w:sz="8" w:space="0" w:color="auto"/>
              <w:left w:val="nil"/>
              <w:bottom w:val="nil"/>
              <w:right w:val="nil"/>
            </w:tcBorders>
            <w:shd w:val="clear" w:color="auto" w:fill="auto"/>
            <w:vAlign w:val="bottom"/>
          </w:tcPr>
          <w:p w:rsidR="00492E38" w:rsidRPr="006C6D20" w:rsidRDefault="00CE71AE" w:rsidP="006C6D20">
            <w:pPr>
              <w:jc w:val="right"/>
              <w:rPr>
                <w:rFonts w:cs="Calibri"/>
                <w:b/>
                <w:bCs/>
                <w:color w:val="000000"/>
                <w:sz w:val="18"/>
                <w:szCs w:val="18"/>
                <w:lang w:eastAsia="en-AU"/>
              </w:rPr>
            </w:pPr>
            <w:r>
              <w:rPr>
                <w:rFonts w:cs="Calibri"/>
                <w:b/>
                <w:bCs/>
                <w:color w:val="000000"/>
                <w:sz w:val="18"/>
                <w:szCs w:val="18"/>
                <w:lang w:eastAsia="en-AU"/>
              </w:rPr>
              <w:t>2013-14</w:t>
            </w:r>
          </w:p>
        </w:tc>
        <w:tc>
          <w:tcPr>
            <w:tcW w:w="1599" w:type="dxa"/>
            <w:gridSpan w:val="2"/>
            <w:tcBorders>
              <w:top w:val="single" w:sz="8" w:space="0" w:color="auto"/>
              <w:left w:val="nil"/>
              <w:bottom w:val="nil"/>
              <w:right w:val="nil"/>
            </w:tcBorders>
            <w:shd w:val="clear" w:color="auto" w:fill="auto"/>
            <w:vAlign w:val="bottom"/>
          </w:tcPr>
          <w:p w:rsidR="00492E38" w:rsidRPr="006C6D20" w:rsidRDefault="006C6D20" w:rsidP="006C6D20">
            <w:pPr>
              <w:jc w:val="center"/>
              <w:rPr>
                <w:rFonts w:cs="Calibri"/>
                <w:b/>
                <w:bCs/>
                <w:color w:val="000000"/>
                <w:sz w:val="18"/>
                <w:szCs w:val="18"/>
                <w:lang w:eastAsia="en-AU"/>
              </w:rPr>
            </w:pPr>
            <w:r>
              <w:rPr>
                <w:rFonts w:cs="Calibri"/>
                <w:b/>
                <w:bCs/>
                <w:color w:val="000000"/>
                <w:sz w:val="18"/>
                <w:szCs w:val="18"/>
                <w:lang w:eastAsia="en-AU"/>
              </w:rPr>
              <w:t xml:space="preserve">              </w:t>
            </w:r>
            <w:r w:rsidR="00492E38" w:rsidRPr="006C6D20">
              <w:rPr>
                <w:rFonts w:cs="Calibri"/>
                <w:b/>
                <w:bCs/>
                <w:color w:val="000000"/>
                <w:sz w:val="18"/>
                <w:szCs w:val="18"/>
                <w:lang w:eastAsia="en-AU"/>
              </w:rPr>
              <w:t>Variation</w:t>
            </w:r>
          </w:p>
        </w:tc>
        <w:tc>
          <w:tcPr>
            <w:tcW w:w="927" w:type="dxa"/>
            <w:tcBorders>
              <w:top w:val="single" w:sz="8" w:space="0" w:color="auto"/>
              <w:left w:val="nil"/>
              <w:bottom w:val="nil"/>
              <w:right w:val="nil"/>
            </w:tcBorders>
            <w:shd w:val="clear" w:color="auto" w:fill="auto"/>
            <w:vAlign w:val="bottom"/>
          </w:tcPr>
          <w:p w:rsidR="00492E38" w:rsidRPr="006C6D20" w:rsidRDefault="00CE71AE" w:rsidP="006C6D20">
            <w:pPr>
              <w:jc w:val="right"/>
              <w:rPr>
                <w:rFonts w:cs="Calibri"/>
                <w:b/>
                <w:bCs/>
                <w:color w:val="000000"/>
                <w:sz w:val="18"/>
                <w:szCs w:val="18"/>
                <w:lang w:eastAsia="en-AU"/>
              </w:rPr>
            </w:pPr>
            <w:r>
              <w:rPr>
                <w:rFonts w:cs="Calibri"/>
                <w:b/>
                <w:bCs/>
                <w:color w:val="000000"/>
                <w:sz w:val="18"/>
                <w:szCs w:val="18"/>
                <w:lang w:eastAsia="en-AU"/>
              </w:rPr>
              <w:t>2014-15</w:t>
            </w:r>
          </w:p>
        </w:tc>
        <w:tc>
          <w:tcPr>
            <w:tcW w:w="927" w:type="dxa"/>
            <w:tcBorders>
              <w:top w:val="single" w:sz="8" w:space="0" w:color="auto"/>
              <w:left w:val="nil"/>
              <w:bottom w:val="nil"/>
              <w:right w:val="nil"/>
            </w:tcBorders>
            <w:shd w:val="clear" w:color="auto" w:fill="auto"/>
            <w:vAlign w:val="bottom"/>
          </w:tcPr>
          <w:p w:rsidR="00492E38" w:rsidRPr="006C6D20" w:rsidRDefault="00CE71AE" w:rsidP="006C6D20">
            <w:pPr>
              <w:jc w:val="right"/>
              <w:rPr>
                <w:rFonts w:cs="Calibri"/>
                <w:b/>
                <w:bCs/>
                <w:color w:val="000000"/>
                <w:sz w:val="18"/>
                <w:szCs w:val="18"/>
                <w:lang w:eastAsia="en-AU"/>
              </w:rPr>
            </w:pPr>
            <w:r>
              <w:rPr>
                <w:rFonts w:cs="Calibri"/>
                <w:b/>
                <w:bCs/>
                <w:color w:val="000000"/>
                <w:sz w:val="18"/>
                <w:szCs w:val="18"/>
                <w:lang w:eastAsia="en-AU"/>
              </w:rPr>
              <w:t>2015-16</w:t>
            </w:r>
          </w:p>
        </w:tc>
        <w:tc>
          <w:tcPr>
            <w:tcW w:w="1078" w:type="dxa"/>
            <w:tcBorders>
              <w:top w:val="single" w:sz="8" w:space="0" w:color="auto"/>
              <w:left w:val="nil"/>
              <w:bottom w:val="nil"/>
              <w:right w:val="nil"/>
            </w:tcBorders>
            <w:shd w:val="clear" w:color="auto" w:fill="auto"/>
            <w:vAlign w:val="bottom"/>
          </w:tcPr>
          <w:p w:rsidR="00492E38" w:rsidRPr="006C6D20" w:rsidRDefault="00CE71AE" w:rsidP="006C6D20">
            <w:pPr>
              <w:jc w:val="right"/>
              <w:rPr>
                <w:rFonts w:cs="Calibri"/>
                <w:b/>
                <w:bCs/>
                <w:color w:val="000000"/>
                <w:sz w:val="18"/>
                <w:szCs w:val="18"/>
                <w:lang w:eastAsia="en-AU"/>
              </w:rPr>
            </w:pPr>
            <w:r>
              <w:rPr>
                <w:rFonts w:cs="Calibri"/>
                <w:b/>
                <w:bCs/>
                <w:color w:val="000000"/>
                <w:sz w:val="18"/>
                <w:szCs w:val="18"/>
                <w:lang w:eastAsia="en-AU"/>
              </w:rPr>
              <w:t>2016-17</w:t>
            </w:r>
          </w:p>
        </w:tc>
      </w:tr>
      <w:tr w:rsidR="00492E38" w:rsidRPr="006C6D20" w:rsidTr="008452C1">
        <w:trPr>
          <w:jc w:val="center"/>
        </w:trPr>
        <w:tc>
          <w:tcPr>
            <w:tcW w:w="2866" w:type="dxa"/>
            <w:tcBorders>
              <w:top w:val="nil"/>
              <w:left w:val="nil"/>
              <w:bottom w:val="nil"/>
              <w:right w:val="nil"/>
            </w:tcBorders>
            <w:shd w:val="clear" w:color="auto" w:fill="auto"/>
            <w:vAlign w:val="bottom"/>
          </w:tcPr>
          <w:p w:rsidR="00492E38" w:rsidRPr="006C6D20" w:rsidRDefault="00492E38" w:rsidP="006C6D20">
            <w:pPr>
              <w:rPr>
                <w:rFonts w:cs="Calibri"/>
                <w:b/>
                <w:bCs/>
                <w:color w:val="000000"/>
                <w:sz w:val="18"/>
                <w:szCs w:val="18"/>
                <w:lang w:eastAsia="en-AU"/>
              </w:rPr>
            </w:pPr>
          </w:p>
        </w:tc>
        <w:tc>
          <w:tcPr>
            <w:tcW w:w="927" w:type="dxa"/>
            <w:tcBorders>
              <w:top w:val="nil"/>
              <w:left w:val="nil"/>
              <w:bottom w:val="nil"/>
              <w:right w:val="nil"/>
            </w:tcBorders>
            <w:shd w:val="clear" w:color="auto" w:fill="auto"/>
            <w:vAlign w:val="bottom"/>
          </w:tcPr>
          <w:p w:rsidR="00492E38" w:rsidRPr="006C6D20" w:rsidRDefault="00492E38" w:rsidP="006C6D20">
            <w:pPr>
              <w:jc w:val="right"/>
              <w:rPr>
                <w:rFonts w:cs="Calibri"/>
                <w:b/>
                <w:bCs/>
                <w:color w:val="000000"/>
                <w:sz w:val="18"/>
                <w:szCs w:val="18"/>
                <w:lang w:eastAsia="en-AU"/>
              </w:rPr>
            </w:pPr>
            <w:r w:rsidRPr="006C6D20">
              <w:rPr>
                <w:rFonts w:cs="Calibri"/>
                <w:b/>
                <w:bCs/>
                <w:color w:val="000000"/>
                <w:sz w:val="18"/>
                <w:szCs w:val="18"/>
                <w:lang w:eastAsia="en-AU"/>
              </w:rPr>
              <w:t>Est. Out.</w:t>
            </w:r>
          </w:p>
        </w:tc>
        <w:tc>
          <w:tcPr>
            <w:tcW w:w="927" w:type="dxa"/>
            <w:tcBorders>
              <w:top w:val="nil"/>
              <w:left w:val="nil"/>
              <w:bottom w:val="nil"/>
              <w:right w:val="nil"/>
            </w:tcBorders>
            <w:shd w:val="clear" w:color="auto" w:fill="auto"/>
            <w:vAlign w:val="bottom"/>
          </w:tcPr>
          <w:p w:rsidR="00492E38" w:rsidRPr="006C6D20" w:rsidRDefault="00492E38" w:rsidP="006C6D20">
            <w:pPr>
              <w:jc w:val="right"/>
              <w:rPr>
                <w:rFonts w:cs="Calibri"/>
                <w:b/>
                <w:bCs/>
                <w:color w:val="000000"/>
                <w:sz w:val="18"/>
                <w:szCs w:val="18"/>
                <w:lang w:eastAsia="en-AU"/>
              </w:rPr>
            </w:pPr>
            <w:r w:rsidRPr="006C6D20">
              <w:rPr>
                <w:rFonts w:cs="Calibri"/>
                <w:b/>
                <w:bCs/>
                <w:color w:val="000000"/>
                <w:sz w:val="18"/>
                <w:szCs w:val="18"/>
                <w:lang w:eastAsia="en-AU"/>
              </w:rPr>
              <w:t>Budget</w:t>
            </w:r>
          </w:p>
        </w:tc>
        <w:tc>
          <w:tcPr>
            <w:tcW w:w="927" w:type="dxa"/>
            <w:tcBorders>
              <w:top w:val="nil"/>
              <w:left w:val="nil"/>
              <w:bottom w:val="nil"/>
              <w:right w:val="nil"/>
            </w:tcBorders>
            <w:shd w:val="clear" w:color="auto" w:fill="auto"/>
            <w:vAlign w:val="bottom"/>
          </w:tcPr>
          <w:p w:rsidR="00492E38" w:rsidRPr="006C6D20" w:rsidRDefault="00492E38" w:rsidP="006C6D20">
            <w:pPr>
              <w:jc w:val="right"/>
              <w:rPr>
                <w:rFonts w:cs="Calibri"/>
                <w:b/>
                <w:bCs/>
                <w:color w:val="000000"/>
                <w:sz w:val="18"/>
                <w:szCs w:val="18"/>
                <w:lang w:eastAsia="en-AU"/>
              </w:rPr>
            </w:pPr>
          </w:p>
        </w:tc>
        <w:tc>
          <w:tcPr>
            <w:tcW w:w="672" w:type="dxa"/>
            <w:tcBorders>
              <w:top w:val="nil"/>
              <w:left w:val="nil"/>
              <w:bottom w:val="nil"/>
              <w:right w:val="nil"/>
            </w:tcBorders>
            <w:shd w:val="clear" w:color="auto" w:fill="auto"/>
            <w:vAlign w:val="bottom"/>
          </w:tcPr>
          <w:p w:rsidR="00492E38" w:rsidRPr="006C6D20" w:rsidRDefault="00492E38" w:rsidP="006C6D20">
            <w:pPr>
              <w:tabs>
                <w:tab w:val="left" w:pos="454"/>
              </w:tabs>
              <w:ind w:left="-113" w:right="-281" w:hanging="113"/>
              <w:jc w:val="right"/>
              <w:rPr>
                <w:rFonts w:cs="Calibri"/>
                <w:b/>
                <w:bCs/>
                <w:color w:val="000000"/>
                <w:sz w:val="18"/>
                <w:szCs w:val="18"/>
                <w:lang w:eastAsia="en-AU"/>
              </w:rPr>
            </w:pPr>
          </w:p>
        </w:tc>
        <w:tc>
          <w:tcPr>
            <w:tcW w:w="927" w:type="dxa"/>
            <w:tcBorders>
              <w:top w:val="nil"/>
              <w:left w:val="nil"/>
              <w:bottom w:val="nil"/>
              <w:right w:val="nil"/>
            </w:tcBorders>
            <w:shd w:val="clear" w:color="auto" w:fill="auto"/>
            <w:vAlign w:val="bottom"/>
          </w:tcPr>
          <w:p w:rsidR="00492E38" w:rsidRPr="006C6D20" w:rsidRDefault="00492E38" w:rsidP="006C6D20">
            <w:pPr>
              <w:jc w:val="right"/>
              <w:rPr>
                <w:rFonts w:cs="Calibri"/>
                <w:b/>
                <w:bCs/>
                <w:color w:val="000000"/>
                <w:sz w:val="18"/>
                <w:szCs w:val="18"/>
                <w:lang w:eastAsia="en-AU"/>
              </w:rPr>
            </w:pPr>
            <w:r w:rsidRPr="006C6D20">
              <w:rPr>
                <w:rFonts w:cs="Calibri"/>
                <w:b/>
                <w:bCs/>
                <w:color w:val="000000"/>
                <w:sz w:val="18"/>
                <w:szCs w:val="18"/>
                <w:lang w:eastAsia="en-AU"/>
              </w:rPr>
              <w:t>Estimate</w:t>
            </w:r>
          </w:p>
        </w:tc>
        <w:tc>
          <w:tcPr>
            <w:tcW w:w="927" w:type="dxa"/>
            <w:tcBorders>
              <w:top w:val="nil"/>
              <w:left w:val="nil"/>
              <w:bottom w:val="nil"/>
              <w:right w:val="nil"/>
            </w:tcBorders>
            <w:shd w:val="clear" w:color="auto" w:fill="auto"/>
            <w:vAlign w:val="bottom"/>
          </w:tcPr>
          <w:p w:rsidR="00492E38" w:rsidRPr="006C6D20" w:rsidRDefault="00492E38" w:rsidP="006C6D20">
            <w:pPr>
              <w:jc w:val="right"/>
              <w:rPr>
                <w:rFonts w:cs="Calibri"/>
                <w:b/>
                <w:bCs/>
                <w:color w:val="000000"/>
                <w:sz w:val="18"/>
                <w:szCs w:val="18"/>
                <w:lang w:eastAsia="en-AU"/>
              </w:rPr>
            </w:pPr>
            <w:r w:rsidRPr="006C6D20">
              <w:rPr>
                <w:rFonts w:cs="Calibri"/>
                <w:b/>
                <w:bCs/>
                <w:color w:val="000000"/>
                <w:sz w:val="18"/>
                <w:szCs w:val="18"/>
                <w:lang w:eastAsia="en-AU"/>
              </w:rPr>
              <w:t>Estimate</w:t>
            </w:r>
          </w:p>
        </w:tc>
        <w:tc>
          <w:tcPr>
            <w:tcW w:w="1078" w:type="dxa"/>
            <w:tcBorders>
              <w:top w:val="nil"/>
              <w:left w:val="nil"/>
              <w:bottom w:val="nil"/>
              <w:right w:val="nil"/>
            </w:tcBorders>
            <w:shd w:val="clear" w:color="auto" w:fill="auto"/>
            <w:vAlign w:val="bottom"/>
          </w:tcPr>
          <w:p w:rsidR="00492E38" w:rsidRPr="006C6D20" w:rsidRDefault="00492E38" w:rsidP="006C6D20">
            <w:pPr>
              <w:jc w:val="right"/>
              <w:rPr>
                <w:rFonts w:cs="Calibri"/>
                <w:b/>
                <w:bCs/>
                <w:color w:val="000000"/>
                <w:sz w:val="18"/>
                <w:szCs w:val="18"/>
                <w:lang w:eastAsia="en-AU"/>
              </w:rPr>
            </w:pPr>
            <w:r w:rsidRPr="006C6D20">
              <w:rPr>
                <w:rFonts w:cs="Calibri"/>
                <w:b/>
                <w:bCs/>
                <w:color w:val="000000"/>
                <w:sz w:val="18"/>
                <w:szCs w:val="18"/>
                <w:lang w:eastAsia="en-AU"/>
              </w:rPr>
              <w:t>Estimate</w:t>
            </w:r>
          </w:p>
        </w:tc>
      </w:tr>
      <w:tr w:rsidR="00492E38" w:rsidRPr="006C6D20" w:rsidTr="008452C1">
        <w:trPr>
          <w:jc w:val="center"/>
        </w:trPr>
        <w:tc>
          <w:tcPr>
            <w:tcW w:w="2866" w:type="dxa"/>
            <w:tcBorders>
              <w:top w:val="nil"/>
              <w:left w:val="nil"/>
              <w:bottom w:val="single" w:sz="8" w:space="0" w:color="auto"/>
              <w:right w:val="nil"/>
            </w:tcBorders>
            <w:shd w:val="clear" w:color="auto" w:fill="auto"/>
            <w:vAlign w:val="bottom"/>
          </w:tcPr>
          <w:p w:rsidR="00492E38" w:rsidRPr="006C6D20" w:rsidRDefault="00492E38" w:rsidP="006C6D20">
            <w:pPr>
              <w:rPr>
                <w:rFonts w:cs="Calibri"/>
                <w:b/>
                <w:bCs/>
                <w:color w:val="000000"/>
                <w:sz w:val="18"/>
                <w:szCs w:val="18"/>
                <w:lang w:eastAsia="en-AU"/>
              </w:rPr>
            </w:pPr>
            <w:r w:rsidRPr="006C6D20">
              <w:rPr>
                <w:rFonts w:cs="Calibri"/>
                <w:b/>
                <w:bCs/>
                <w:color w:val="000000"/>
                <w:sz w:val="18"/>
                <w:szCs w:val="18"/>
                <w:lang w:eastAsia="en-AU"/>
              </w:rPr>
              <w:t> </w:t>
            </w:r>
          </w:p>
        </w:tc>
        <w:tc>
          <w:tcPr>
            <w:tcW w:w="927" w:type="dxa"/>
            <w:tcBorders>
              <w:top w:val="nil"/>
              <w:left w:val="nil"/>
              <w:bottom w:val="single" w:sz="8" w:space="0" w:color="auto"/>
              <w:right w:val="nil"/>
            </w:tcBorders>
            <w:shd w:val="clear" w:color="auto" w:fill="auto"/>
            <w:vAlign w:val="bottom"/>
          </w:tcPr>
          <w:p w:rsidR="00492E38" w:rsidRPr="006C6D20" w:rsidRDefault="00492E38" w:rsidP="006C6D20">
            <w:pPr>
              <w:jc w:val="right"/>
              <w:rPr>
                <w:rFonts w:cs="Calibri"/>
                <w:b/>
                <w:bCs/>
                <w:color w:val="000000"/>
                <w:sz w:val="18"/>
                <w:szCs w:val="18"/>
                <w:lang w:eastAsia="en-AU"/>
              </w:rPr>
            </w:pPr>
            <w:r w:rsidRPr="006C6D20">
              <w:rPr>
                <w:rFonts w:cs="Calibri"/>
                <w:b/>
                <w:bCs/>
                <w:color w:val="000000"/>
                <w:sz w:val="18"/>
                <w:szCs w:val="18"/>
                <w:lang w:eastAsia="en-AU"/>
              </w:rPr>
              <w:t>$m</w:t>
            </w:r>
          </w:p>
        </w:tc>
        <w:tc>
          <w:tcPr>
            <w:tcW w:w="927" w:type="dxa"/>
            <w:tcBorders>
              <w:top w:val="nil"/>
              <w:left w:val="nil"/>
              <w:bottom w:val="single" w:sz="8" w:space="0" w:color="auto"/>
              <w:right w:val="nil"/>
            </w:tcBorders>
            <w:shd w:val="clear" w:color="auto" w:fill="auto"/>
            <w:vAlign w:val="bottom"/>
          </w:tcPr>
          <w:p w:rsidR="00492E38" w:rsidRPr="006C6D20" w:rsidRDefault="00492E38" w:rsidP="006C6D20">
            <w:pPr>
              <w:jc w:val="right"/>
              <w:rPr>
                <w:rFonts w:cs="Calibri"/>
                <w:b/>
                <w:bCs/>
                <w:color w:val="000000"/>
                <w:sz w:val="18"/>
                <w:szCs w:val="18"/>
                <w:lang w:eastAsia="en-AU"/>
              </w:rPr>
            </w:pPr>
            <w:r w:rsidRPr="006C6D20">
              <w:rPr>
                <w:rFonts w:cs="Calibri"/>
                <w:b/>
                <w:bCs/>
                <w:color w:val="000000"/>
                <w:sz w:val="18"/>
                <w:szCs w:val="18"/>
                <w:lang w:eastAsia="en-AU"/>
              </w:rPr>
              <w:t>$m</w:t>
            </w:r>
          </w:p>
        </w:tc>
        <w:tc>
          <w:tcPr>
            <w:tcW w:w="927" w:type="dxa"/>
            <w:tcBorders>
              <w:top w:val="nil"/>
              <w:left w:val="nil"/>
              <w:bottom w:val="single" w:sz="8" w:space="0" w:color="auto"/>
              <w:right w:val="nil"/>
            </w:tcBorders>
            <w:shd w:val="clear" w:color="auto" w:fill="auto"/>
            <w:vAlign w:val="bottom"/>
          </w:tcPr>
          <w:p w:rsidR="00492E38" w:rsidRPr="006C6D20" w:rsidRDefault="00492E38" w:rsidP="006C6D20">
            <w:pPr>
              <w:jc w:val="right"/>
              <w:rPr>
                <w:rFonts w:cs="Calibri"/>
                <w:b/>
                <w:bCs/>
                <w:color w:val="000000"/>
                <w:sz w:val="18"/>
                <w:szCs w:val="18"/>
                <w:lang w:eastAsia="en-AU"/>
              </w:rPr>
            </w:pPr>
            <w:r w:rsidRPr="006C6D20">
              <w:rPr>
                <w:rFonts w:cs="Calibri"/>
                <w:b/>
                <w:bCs/>
                <w:color w:val="000000"/>
                <w:sz w:val="18"/>
                <w:szCs w:val="18"/>
                <w:lang w:eastAsia="en-AU"/>
              </w:rPr>
              <w:t>$m</w:t>
            </w:r>
          </w:p>
        </w:tc>
        <w:tc>
          <w:tcPr>
            <w:tcW w:w="672" w:type="dxa"/>
            <w:tcBorders>
              <w:top w:val="nil"/>
              <w:left w:val="nil"/>
              <w:bottom w:val="single" w:sz="8" w:space="0" w:color="auto"/>
              <w:right w:val="nil"/>
            </w:tcBorders>
            <w:shd w:val="clear" w:color="auto" w:fill="auto"/>
            <w:vAlign w:val="bottom"/>
          </w:tcPr>
          <w:p w:rsidR="00492E38" w:rsidRPr="006C6D20" w:rsidRDefault="00492E38" w:rsidP="006C6D20">
            <w:pPr>
              <w:jc w:val="right"/>
              <w:rPr>
                <w:rFonts w:cs="Calibri"/>
                <w:b/>
                <w:bCs/>
                <w:color w:val="000000"/>
                <w:sz w:val="18"/>
                <w:szCs w:val="18"/>
                <w:lang w:eastAsia="en-AU"/>
              </w:rPr>
            </w:pPr>
            <w:r w:rsidRPr="006C6D20">
              <w:rPr>
                <w:rFonts w:cs="Calibri"/>
                <w:b/>
                <w:bCs/>
                <w:color w:val="000000"/>
                <w:sz w:val="18"/>
                <w:szCs w:val="18"/>
                <w:lang w:eastAsia="en-AU"/>
              </w:rPr>
              <w:t>%</w:t>
            </w:r>
          </w:p>
        </w:tc>
        <w:tc>
          <w:tcPr>
            <w:tcW w:w="927" w:type="dxa"/>
            <w:tcBorders>
              <w:top w:val="nil"/>
              <w:left w:val="nil"/>
              <w:bottom w:val="single" w:sz="8" w:space="0" w:color="auto"/>
              <w:right w:val="nil"/>
            </w:tcBorders>
            <w:shd w:val="clear" w:color="auto" w:fill="auto"/>
            <w:vAlign w:val="bottom"/>
          </w:tcPr>
          <w:p w:rsidR="00492E38" w:rsidRPr="006C6D20" w:rsidRDefault="00492E38" w:rsidP="006C6D20">
            <w:pPr>
              <w:jc w:val="right"/>
              <w:rPr>
                <w:rFonts w:cs="Calibri"/>
                <w:b/>
                <w:bCs/>
                <w:color w:val="000000"/>
                <w:sz w:val="18"/>
                <w:szCs w:val="18"/>
                <w:lang w:eastAsia="en-AU"/>
              </w:rPr>
            </w:pPr>
            <w:r w:rsidRPr="006C6D20">
              <w:rPr>
                <w:rFonts w:cs="Calibri"/>
                <w:b/>
                <w:bCs/>
                <w:color w:val="000000"/>
                <w:sz w:val="18"/>
                <w:szCs w:val="18"/>
                <w:lang w:eastAsia="en-AU"/>
              </w:rPr>
              <w:t>$m</w:t>
            </w:r>
          </w:p>
        </w:tc>
        <w:tc>
          <w:tcPr>
            <w:tcW w:w="927" w:type="dxa"/>
            <w:tcBorders>
              <w:top w:val="nil"/>
              <w:left w:val="nil"/>
              <w:bottom w:val="single" w:sz="8" w:space="0" w:color="auto"/>
              <w:right w:val="nil"/>
            </w:tcBorders>
            <w:shd w:val="clear" w:color="auto" w:fill="auto"/>
            <w:vAlign w:val="bottom"/>
          </w:tcPr>
          <w:p w:rsidR="00492E38" w:rsidRPr="006C6D20" w:rsidRDefault="00492E38" w:rsidP="006C6D20">
            <w:pPr>
              <w:jc w:val="right"/>
              <w:rPr>
                <w:rFonts w:cs="Calibri"/>
                <w:b/>
                <w:bCs/>
                <w:color w:val="000000"/>
                <w:sz w:val="18"/>
                <w:szCs w:val="18"/>
                <w:lang w:eastAsia="en-AU"/>
              </w:rPr>
            </w:pPr>
            <w:r w:rsidRPr="006C6D20">
              <w:rPr>
                <w:rFonts w:cs="Calibri"/>
                <w:b/>
                <w:bCs/>
                <w:color w:val="000000"/>
                <w:sz w:val="18"/>
                <w:szCs w:val="18"/>
                <w:lang w:eastAsia="en-AU"/>
              </w:rPr>
              <w:t>$m</w:t>
            </w:r>
          </w:p>
        </w:tc>
        <w:tc>
          <w:tcPr>
            <w:tcW w:w="1078" w:type="dxa"/>
            <w:tcBorders>
              <w:top w:val="nil"/>
              <w:left w:val="nil"/>
              <w:bottom w:val="single" w:sz="8" w:space="0" w:color="auto"/>
              <w:right w:val="nil"/>
            </w:tcBorders>
            <w:shd w:val="clear" w:color="auto" w:fill="auto"/>
            <w:vAlign w:val="bottom"/>
          </w:tcPr>
          <w:p w:rsidR="00492E38" w:rsidRPr="006C6D20" w:rsidRDefault="00492E38" w:rsidP="006C6D20">
            <w:pPr>
              <w:jc w:val="right"/>
              <w:rPr>
                <w:rFonts w:cs="Calibri"/>
                <w:b/>
                <w:bCs/>
                <w:color w:val="000000"/>
                <w:sz w:val="18"/>
                <w:szCs w:val="18"/>
                <w:lang w:eastAsia="en-AU"/>
              </w:rPr>
            </w:pPr>
            <w:r w:rsidRPr="006C6D20">
              <w:rPr>
                <w:rFonts w:cs="Calibri"/>
                <w:b/>
                <w:bCs/>
                <w:color w:val="000000"/>
                <w:sz w:val="18"/>
                <w:szCs w:val="18"/>
                <w:lang w:eastAsia="en-AU"/>
              </w:rPr>
              <w:t>$m</w:t>
            </w:r>
          </w:p>
        </w:tc>
      </w:tr>
      <w:tr w:rsidR="00492E38" w:rsidRPr="006C6D20" w:rsidTr="008452C1">
        <w:trPr>
          <w:jc w:val="center"/>
        </w:trPr>
        <w:tc>
          <w:tcPr>
            <w:tcW w:w="2866" w:type="dxa"/>
            <w:tcBorders>
              <w:top w:val="nil"/>
              <w:left w:val="nil"/>
              <w:bottom w:val="single" w:sz="8" w:space="0" w:color="auto"/>
              <w:right w:val="nil"/>
            </w:tcBorders>
            <w:shd w:val="clear" w:color="auto" w:fill="auto"/>
          </w:tcPr>
          <w:p w:rsidR="00492E38" w:rsidRPr="00642650" w:rsidRDefault="00DB3468" w:rsidP="00890DEA">
            <w:pPr>
              <w:ind w:leftChars="2" w:left="145" w:hangingChars="78" w:hanging="140"/>
              <w:rPr>
                <w:rFonts w:cs="Calibri"/>
                <w:bCs/>
                <w:color w:val="000000"/>
                <w:sz w:val="18"/>
                <w:szCs w:val="18"/>
                <w:lang w:eastAsia="en-AU"/>
              </w:rPr>
            </w:pPr>
            <w:r w:rsidRPr="00642650">
              <w:rPr>
                <w:rFonts w:cs="Calibri"/>
                <w:bCs/>
                <w:color w:val="000000"/>
                <w:sz w:val="18"/>
                <w:szCs w:val="18"/>
                <w:lang w:eastAsia="en-AU"/>
              </w:rPr>
              <w:t>Financial Assistance Grants</w:t>
            </w:r>
          </w:p>
        </w:tc>
        <w:tc>
          <w:tcPr>
            <w:tcW w:w="927" w:type="dxa"/>
            <w:tcBorders>
              <w:top w:val="nil"/>
              <w:left w:val="nil"/>
              <w:bottom w:val="single" w:sz="8" w:space="0" w:color="auto"/>
              <w:right w:val="nil"/>
            </w:tcBorders>
            <w:shd w:val="clear" w:color="auto" w:fill="auto"/>
          </w:tcPr>
          <w:p w:rsidR="00492E38" w:rsidRPr="006C6D20" w:rsidRDefault="00CF40AF" w:rsidP="00CF40AF">
            <w:pPr>
              <w:ind w:left="146"/>
              <w:jc w:val="right"/>
              <w:rPr>
                <w:rFonts w:cs="Calibri"/>
                <w:bCs/>
                <w:color w:val="000000"/>
                <w:sz w:val="18"/>
                <w:szCs w:val="18"/>
                <w:lang w:eastAsia="en-AU"/>
              </w:rPr>
            </w:pPr>
            <w:r>
              <w:rPr>
                <w:rFonts w:cs="Calibri"/>
                <w:bCs/>
                <w:color w:val="000000"/>
                <w:sz w:val="18"/>
                <w:szCs w:val="18"/>
                <w:lang w:eastAsia="en-AU"/>
              </w:rPr>
              <w:t>46</w:t>
            </w:r>
            <w:r w:rsidR="00492E38" w:rsidRPr="006C6D20">
              <w:rPr>
                <w:rFonts w:cs="Calibri"/>
                <w:bCs/>
                <w:color w:val="000000"/>
                <w:sz w:val="18"/>
                <w:szCs w:val="18"/>
                <w:lang w:eastAsia="en-AU"/>
              </w:rPr>
              <w:t>.</w:t>
            </w:r>
            <w:r>
              <w:rPr>
                <w:rFonts w:cs="Calibri"/>
                <w:bCs/>
                <w:color w:val="000000"/>
                <w:sz w:val="18"/>
                <w:szCs w:val="18"/>
                <w:lang w:eastAsia="en-AU"/>
              </w:rPr>
              <w:t>9</w:t>
            </w:r>
          </w:p>
        </w:tc>
        <w:tc>
          <w:tcPr>
            <w:tcW w:w="927" w:type="dxa"/>
            <w:tcBorders>
              <w:top w:val="nil"/>
              <w:left w:val="nil"/>
              <w:bottom w:val="single" w:sz="8" w:space="0" w:color="auto"/>
              <w:right w:val="nil"/>
            </w:tcBorders>
            <w:shd w:val="clear" w:color="auto" w:fill="auto"/>
          </w:tcPr>
          <w:p w:rsidR="00492E38" w:rsidRPr="006C6D20" w:rsidRDefault="00CF40AF" w:rsidP="00CF40AF">
            <w:pPr>
              <w:ind w:left="146"/>
              <w:jc w:val="right"/>
              <w:rPr>
                <w:rFonts w:cs="Calibri"/>
                <w:bCs/>
                <w:color w:val="000000"/>
                <w:sz w:val="18"/>
                <w:szCs w:val="18"/>
                <w:lang w:eastAsia="en-AU"/>
              </w:rPr>
            </w:pPr>
            <w:r>
              <w:rPr>
                <w:rFonts w:cs="Calibri"/>
                <w:bCs/>
                <w:color w:val="000000"/>
                <w:sz w:val="18"/>
                <w:szCs w:val="18"/>
                <w:lang w:eastAsia="en-AU"/>
              </w:rPr>
              <w:t>24</w:t>
            </w:r>
            <w:r w:rsidR="00492E38" w:rsidRPr="006C6D20">
              <w:rPr>
                <w:rFonts w:cs="Calibri"/>
                <w:bCs/>
                <w:color w:val="000000"/>
                <w:sz w:val="18"/>
                <w:szCs w:val="18"/>
                <w:lang w:eastAsia="en-AU"/>
              </w:rPr>
              <w:t>.</w:t>
            </w:r>
            <w:r>
              <w:rPr>
                <w:rFonts w:cs="Calibri"/>
                <w:bCs/>
                <w:color w:val="000000"/>
                <w:sz w:val="18"/>
                <w:szCs w:val="18"/>
                <w:lang w:eastAsia="en-AU"/>
              </w:rPr>
              <w:t>2</w:t>
            </w:r>
          </w:p>
        </w:tc>
        <w:tc>
          <w:tcPr>
            <w:tcW w:w="927" w:type="dxa"/>
            <w:tcBorders>
              <w:top w:val="nil"/>
              <w:left w:val="nil"/>
              <w:bottom w:val="single" w:sz="8" w:space="0" w:color="auto"/>
              <w:right w:val="nil"/>
            </w:tcBorders>
            <w:shd w:val="clear" w:color="auto" w:fill="auto"/>
          </w:tcPr>
          <w:p w:rsidR="00492E38" w:rsidRPr="006C6D20" w:rsidRDefault="00257AF9" w:rsidP="00257AF9">
            <w:pPr>
              <w:ind w:left="146"/>
              <w:jc w:val="right"/>
              <w:rPr>
                <w:rFonts w:cs="Calibri"/>
                <w:bCs/>
                <w:color w:val="000000"/>
                <w:sz w:val="18"/>
                <w:szCs w:val="18"/>
                <w:lang w:eastAsia="en-AU"/>
              </w:rPr>
            </w:pPr>
            <w:r>
              <w:rPr>
                <w:rFonts w:cs="Calibri"/>
                <w:bCs/>
                <w:color w:val="000000"/>
                <w:sz w:val="18"/>
                <w:szCs w:val="18"/>
                <w:lang w:eastAsia="en-AU"/>
              </w:rPr>
              <w:t>-22</w:t>
            </w:r>
            <w:r w:rsidR="00492E38" w:rsidRPr="006C6D20">
              <w:rPr>
                <w:rFonts w:cs="Calibri"/>
                <w:bCs/>
                <w:color w:val="000000"/>
                <w:sz w:val="18"/>
                <w:szCs w:val="18"/>
                <w:lang w:eastAsia="en-AU"/>
              </w:rPr>
              <w:t>.</w:t>
            </w:r>
            <w:r>
              <w:rPr>
                <w:rFonts w:cs="Calibri"/>
                <w:bCs/>
                <w:color w:val="000000"/>
                <w:sz w:val="18"/>
                <w:szCs w:val="18"/>
                <w:lang w:eastAsia="en-AU"/>
              </w:rPr>
              <w:t>7</w:t>
            </w:r>
          </w:p>
        </w:tc>
        <w:tc>
          <w:tcPr>
            <w:tcW w:w="672" w:type="dxa"/>
            <w:tcBorders>
              <w:top w:val="nil"/>
              <w:left w:val="nil"/>
              <w:bottom w:val="single" w:sz="8" w:space="0" w:color="auto"/>
              <w:right w:val="nil"/>
            </w:tcBorders>
            <w:shd w:val="clear" w:color="auto" w:fill="auto"/>
          </w:tcPr>
          <w:p w:rsidR="00492E38" w:rsidRPr="006C6D20" w:rsidRDefault="00257AF9" w:rsidP="00257AF9">
            <w:pPr>
              <w:ind w:left="145" w:hanging="140"/>
              <w:jc w:val="right"/>
              <w:rPr>
                <w:rFonts w:cs="Calibri"/>
                <w:color w:val="000000"/>
                <w:sz w:val="18"/>
                <w:szCs w:val="18"/>
                <w:lang w:eastAsia="en-AU"/>
              </w:rPr>
            </w:pPr>
            <w:r>
              <w:rPr>
                <w:rFonts w:cs="Calibri"/>
                <w:color w:val="000000"/>
                <w:sz w:val="18"/>
                <w:szCs w:val="18"/>
                <w:lang w:eastAsia="en-AU"/>
              </w:rPr>
              <w:t>-48</w:t>
            </w:r>
            <w:r w:rsidR="00492E38" w:rsidRPr="006C6D20">
              <w:rPr>
                <w:rFonts w:cs="Calibri"/>
                <w:color w:val="000000"/>
                <w:sz w:val="18"/>
                <w:szCs w:val="18"/>
                <w:lang w:eastAsia="en-AU"/>
              </w:rPr>
              <w:t>.</w:t>
            </w:r>
            <w:r>
              <w:rPr>
                <w:rFonts w:cs="Calibri"/>
                <w:color w:val="000000"/>
                <w:sz w:val="18"/>
                <w:szCs w:val="18"/>
                <w:lang w:eastAsia="en-AU"/>
              </w:rPr>
              <w:t>4</w:t>
            </w:r>
          </w:p>
        </w:tc>
        <w:tc>
          <w:tcPr>
            <w:tcW w:w="927" w:type="dxa"/>
            <w:tcBorders>
              <w:top w:val="nil"/>
              <w:left w:val="nil"/>
              <w:bottom w:val="single" w:sz="8" w:space="0" w:color="auto"/>
              <w:right w:val="nil"/>
            </w:tcBorders>
            <w:shd w:val="clear" w:color="auto" w:fill="auto"/>
          </w:tcPr>
          <w:p w:rsidR="00492E38" w:rsidRPr="006C6D20" w:rsidRDefault="00CF40AF" w:rsidP="00CF40AF">
            <w:pPr>
              <w:ind w:left="146"/>
              <w:jc w:val="right"/>
              <w:rPr>
                <w:rFonts w:cs="Calibri"/>
                <w:bCs/>
                <w:color w:val="000000"/>
                <w:sz w:val="18"/>
                <w:szCs w:val="18"/>
                <w:lang w:eastAsia="en-AU"/>
              </w:rPr>
            </w:pPr>
            <w:r>
              <w:rPr>
                <w:rFonts w:cs="Calibri"/>
                <w:bCs/>
                <w:color w:val="000000"/>
                <w:sz w:val="18"/>
                <w:szCs w:val="18"/>
                <w:lang w:eastAsia="en-AU"/>
              </w:rPr>
              <w:t>50</w:t>
            </w:r>
            <w:r w:rsidR="00492E38" w:rsidRPr="006C6D20">
              <w:rPr>
                <w:rFonts w:cs="Calibri"/>
                <w:bCs/>
                <w:color w:val="000000"/>
                <w:sz w:val="18"/>
                <w:szCs w:val="18"/>
                <w:lang w:eastAsia="en-AU"/>
              </w:rPr>
              <w:t>.</w:t>
            </w:r>
            <w:r>
              <w:rPr>
                <w:rFonts w:cs="Calibri"/>
                <w:bCs/>
                <w:color w:val="000000"/>
                <w:sz w:val="18"/>
                <w:szCs w:val="18"/>
                <w:lang w:eastAsia="en-AU"/>
              </w:rPr>
              <w:t>5</w:t>
            </w:r>
          </w:p>
        </w:tc>
        <w:tc>
          <w:tcPr>
            <w:tcW w:w="927" w:type="dxa"/>
            <w:tcBorders>
              <w:top w:val="nil"/>
              <w:left w:val="nil"/>
              <w:bottom w:val="single" w:sz="8" w:space="0" w:color="auto"/>
              <w:right w:val="nil"/>
            </w:tcBorders>
            <w:shd w:val="clear" w:color="auto" w:fill="auto"/>
          </w:tcPr>
          <w:p w:rsidR="00492E38" w:rsidRPr="006C6D20" w:rsidRDefault="00CF40AF" w:rsidP="00CF40AF">
            <w:pPr>
              <w:ind w:left="146"/>
              <w:jc w:val="right"/>
              <w:rPr>
                <w:rFonts w:cs="Calibri"/>
                <w:bCs/>
                <w:color w:val="000000"/>
                <w:sz w:val="18"/>
                <w:szCs w:val="18"/>
                <w:lang w:eastAsia="en-AU"/>
              </w:rPr>
            </w:pPr>
            <w:r>
              <w:rPr>
                <w:rFonts w:cs="Calibri"/>
                <w:bCs/>
                <w:color w:val="000000"/>
                <w:sz w:val="18"/>
                <w:szCs w:val="18"/>
                <w:lang w:eastAsia="en-AU"/>
              </w:rPr>
              <w:t>52</w:t>
            </w:r>
            <w:r w:rsidR="00492E38" w:rsidRPr="006C6D20">
              <w:rPr>
                <w:rFonts w:cs="Calibri"/>
                <w:bCs/>
                <w:color w:val="000000"/>
                <w:sz w:val="18"/>
                <w:szCs w:val="18"/>
                <w:lang w:eastAsia="en-AU"/>
              </w:rPr>
              <w:t>.</w:t>
            </w:r>
            <w:r>
              <w:rPr>
                <w:rFonts w:cs="Calibri"/>
                <w:bCs/>
                <w:color w:val="000000"/>
                <w:sz w:val="18"/>
                <w:szCs w:val="18"/>
                <w:lang w:eastAsia="en-AU"/>
              </w:rPr>
              <w:t>8</w:t>
            </w:r>
          </w:p>
        </w:tc>
        <w:tc>
          <w:tcPr>
            <w:tcW w:w="1078" w:type="dxa"/>
            <w:tcBorders>
              <w:top w:val="nil"/>
              <w:left w:val="nil"/>
              <w:bottom w:val="single" w:sz="8" w:space="0" w:color="auto"/>
              <w:right w:val="nil"/>
            </w:tcBorders>
            <w:shd w:val="clear" w:color="auto" w:fill="auto"/>
          </w:tcPr>
          <w:p w:rsidR="00492E38" w:rsidRPr="006C6D20" w:rsidRDefault="00CF40AF" w:rsidP="00CF40AF">
            <w:pPr>
              <w:ind w:left="146"/>
              <w:jc w:val="right"/>
              <w:rPr>
                <w:rFonts w:cs="Calibri"/>
                <w:bCs/>
                <w:color w:val="000000"/>
                <w:sz w:val="18"/>
                <w:szCs w:val="18"/>
                <w:lang w:eastAsia="en-AU"/>
              </w:rPr>
            </w:pPr>
            <w:r>
              <w:rPr>
                <w:rFonts w:cs="Calibri"/>
                <w:bCs/>
                <w:color w:val="000000"/>
                <w:sz w:val="18"/>
                <w:szCs w:val="18"/>
                <w:lang w:eastAsia="en-AU"/>
              </w:rPr>
              <w:t>55</w:t>
            </w:r>
            <w:r w:rsidR="00492E38" w:rsidRPr="006C6D20">
              <w:rPr>
                <w:rFonts w:cs="Calibri"/>
                <w:bCs/>
                <w:color w:val="000000"/>
                <w:sz w:val="18"/>
                <w:szCs w:val="18"/>
                <w:lang w:eastAsia="en-AU"/>
              </w:rPr>
              <w:t>.</w:t>
            </w:r>
            <w:r>
              <w:rPr>
                <w:rFonts w:cs="Calibri"/>
                <w:bCs/>
                <w:color w:val="000000"/>
                <w:sz w:val="18"/>
                <w:szCs w:val="18"/>
                <w:lang w:eastAsia="en-AU"/>
              </w:rPr>
              <w:t>2</w:t>
            </w:r>
          </w:p>
        </w:tc>
      </w:tr>
    </w:tbl>
    <w:p w:rsidR="00492E38" w:rsidRPr="00DB747C" w:rsidRDefault="007A3D7C" w:rsidP="00DB747C">
      <w:pPr>
        <w:pStyle w:val="BodyText"/>
      </w:pPr>
      <w:r w:rsidRPr="00DB747C">
        <w:t>The ACT will receive $46</w:t>
      </w:r>
      <w:r w:rsidR="00492E38" w:rsidRPr="00DB747C">
        <w:t>.</w:t>
      </w:r>
      <w:r w:rsidRPr="00DB747C">
        <w:t>9 million in 2012</w:t>
      </w:r>
      <w:r w:rsidRPr="00DB747C">
        <w:noBreakHyphen/>
        <w:t>13, decreasing to $24.2</w:t>
      </w:r>
      <w:r w:rsidR="00850DF4" w:rsidRPr="00DB747C">
        <w:t xml:space="preserve"> million in 2013</w:t>
      </w:r>
      <w:r w:rsidR="00850DF4" w:rsidRPr="00DB747C">
        <w:noBreakHyphen/>
        <w:t>14.  The de</w:t>
      </w:r>
      <w:r w:rsidR="00492E38" w:rsidRPr="00DB747C">
        <w:t>crease i</w:t>
      </w:r>
      <w:r w:rsidR="005F12A9" w:rsidRPr="00DB747C">
        <w:t>s due to the Commonwealth’s 2013</w:t>
      </w:r>
      <w:r w:rsidR="00492E38" w:rsidRPr="00DB747C">
        <w:t>-1</w:t>
      </w:r>
      <w:r w:rsidR="005F12A9" w:rsidRPr="00DB747C">
        <w:t>4</w:t>
      </w:r>
      <w:r w:rsidR="00492E38" w:rsidRPr="00DB747C">
        <w:t xml:space="preserve"> Budget decision to bring forward the first two quarterly instalments of the </w:t>
      </w:r>
      <w:r w:rsidR="005F12A9" w:rsidRPr="00DB747C">
        <w:t>expected 2013</w:t>
      </w:r>
      <w:r w:rsidR="00492E38" w:rsidRPr="00DB747C">
        <w:t>-1</w:t>
      </w:r>
      <w:r w:rsidR="005F12A9" w:rsidRPr="00DB747C">
        <w:t>4</w:t>
      </w:r>
      <w:r w:rsidR="00492E38" w:rsidRPr="00DB747C">
        <w:t xml:space="preserve"> </w:t>
      </w:r>
      <w:r w:rsidR="005F12A9" w:rsidRPr="00DB747C">
        <w:t>grants</w:t>
      </w:r>
      <w:r w:rsidR="0007565E" w:rsidRPr="00DB747C">
        <w:t xml:space="preserve"> to 2012-13</w:t>
      </w:r>
      <w:r w:rsidR="008452C1" w:rsidRPr="00DB747C">
        <w:t>, amounting to $24.8 </w:t>
      </w:r>
      <w:r w:rsidR="0007198E" w:rsidRPr="00DB747C">
        <w:t>million for the ACT</w:t>
      </w:r>
      <w:r w:rsidR="005F12A9" w:rsidRPr="00DB747C">
        <w:t>.</w:t>
      </w:r>
      <w:r w:rsidR="007E4D23" w:rsidRPr="00DB747C">
        <w:t xml:space="preserve"> </w:t>
      </w:r>
      <w:r w:rsidR="008452C1" w:rsidRPr="00DB747C">
        <w:t xml:space="preserve"> </w:t>
      </w:r>
      <w:r w:rsidR="007E4D23" w:rsidRPr="00DB747C">
        <w:t xml:space="preserve">The bringing forward of these instalments continues the approach followed by the Commonwealth for </w:t>
      </w:r>
      <w:r w:rsidR="001F2E73">
        <w:t>FAGs</w:t>
      </w:r>
      <w:r w:rsidR="007E4D23" w:rsidRPr="00DB747C">
        <w:t xml:space="preserve"> in recent Budgets. </w:t>
      </w:r>
    </w:p>
    <w:p w:rsidR="00492E38" w:rsidRPr="00DB747C" w:rsidRDefault="00B3091F" w:rsidP="00DB747C">
      <w:pPr>
        <w:pStyle w:val="Heading3TopofPage"/>
      </w:pPr>
      <w:r>
        <w:rPr>
          <w:rFonts w:ascii="Calibri" w:hAnsi="Calibri"/>
          <w:szCs w:val="20"/>
        </w:rPr>
        <w:br w:type="page"/>
      </w:r>
      <w:r w:rsidR="00492E38" w:rsidRPr="00DB747C">
        <w:lastRenderedPageBreak/>
        <w:t>Total Commonwealth Funding to the ACT</w:t>
      </w:r>
    </w:p>
    <w:p w:rsidR="00417361" w:rsidRPr="00DB747C" w:rsidRDefault="00417361" w:rsidP="00DB747C">
      <w:pPr>
        <w:pStyle w:val="BodyText"/>
      </w:pPr>
      <w:r w:rsidRPr="00DB747C">
        <w:t>All estimated and expected revenue transfers from the Commonwealth Government to the ACT over the Budget period are detailed in Table 4.9</w:t>
      </w:r>
      <w:r w:rsidR="00BF6001" w:rsidRPr="00DB747C">
        <w:t xml:space="preserve"> below</w:t>
      </w:r>
    </w:p>
    <w:p w:rsidR="00957464" w:rsidRPr="008452C1" w:rsidRDefault="00957464" w:rsidP="008452C1">
      <w:pPr>
        <w:pStyle w:val="TableNumber"/>
      </w:pPr>
      <w:r w:rsidRPr="008452C1">
        <w:t>Table</w:t>
      </w:r>
      <w:r w:rsidR="005B5D25" w:rsidRPr="008452C1">
        <w:t xml:space="preserve"> 4.9</w:t>
      </w:r>
    </w:p>
    <w:p w:rsidR="00957464" w:rsidRDefault="00957464" w:rsidP="008452C1">
      <w:pPr>
        <w:pStyle w:val="TableName"/>
      </w:pPr>
      <w:r w:rsidRPr="008452C1">
        <w:t xml:space="preserve">Details of Commonwealth Government Grants </w:t>
      </w:r>
    </w:p>
    <w:tbl>
      <w:tblPr>
        <w:tblW w:w="9322" w:type="dxa"/>
        <w:tblLayout w:type="fixed"/>
        <w:tblLook w:val="04A0"/>
      </w:tblPr>
      <w:tblGrid>
        <w:gridCol w:w="959"/>
        <w:gridCol w:w="2977"/>
        <w:gridCol w:w="1275"/>
        <w:gridCol w:w="1134"/>
        <w:gridCol w:w="993"/>
        <w:gridCol w:w="992"/>
        <w:gridCol w:w="992"/>
      </w:tblGrid>
      <w:tr w:rsidR="00943973" w:rsidRPr="00943973" w:rsidTr="00C54177">
        <w:tc>
          <w:tcPr>
            <w:tcW w:w="959" w:type="dxa"/>
            <w:tcBorders>
              <w:top w:val="single" w:sz="8" w:space="0" w:color="auto"/>
              <w:left w:val="nil"/>
              <w:bottom w:val="nil"/>
              <w:right w:val="nil"/>
            </w:tcBorders>
            <w:shd w:val="clear" w:color="auto" w:fill="auto"/>
            <w:hideMark/>
          </w:tcPr>
          <w:p w:rsidR="00943973" w:rsidRPr="00943973" w:rsidRDefault="00943973" w:rsidP="00093645">
            <w:pPr>
              <w:jc w:val="right"/>
              <w:rPr>
                <w:b/>
                <w:bCs/>
                <w:color w:val="000000"/>
                <w:sz w:val="18"/>
                <w:szCs w:val="18"/>
                <w:lang w:eastAsia="en-AU"/>
              </w:rPr>
            </w:pPr>
            <w:r w:rsidRPr="00943973">
              <w:rPr>
                <w:b/>
                <w:bCs/>
                <w:color w:val="000000"/>
                <w:sz w:val="18"/>
                <w:szCs w:val="18"/>
                <w:lang w:eastAsia="en-AU"/>
              </w:rPr>
              <w:t>2012-13</w:t>
            </w:r>
          </w:p>
        </w:tc>
        <w:tc>
          <w:tcPr>
            <w:tcW w:w="2977" w:type="dxa"/>
            <w:tcBorders>
              <w:top w:val="single" w:sz="8" w:space="0" w:color="auto"/>
              <w:left w:val="nil"/>
              <w:bottom w:val="nil"/>
              <w:right w:val="nil"/>
            </w:tcBorders>
            <w:shd w:val="clear" w:color="auto" w:fill="auto"/>
            <w:hideMark/>
          </w:tcPr>
          <w:p w:rsidR="00943973" w:rsidRPr="00943973" w:rsidRDefault="00943973" w:rsidP="00093645">
            <w:pPr>
              <w:jc w:val="right"/>
              <w:rPr>
                <w:b/>
                <w:bCs/>
                <w:color w:val="000000"/>
                <w:sz w:val="18"/>
                <w:szCs w:val="18"/>
                <w:lang w:eastAsia="en-AU"/>
              </w:rPr>
            </w:pPr>
            <w:r w:rsidRPr="00943973">
              <w:rPr>
                <w:b/>
                <w:bCs/>
                <w:color w:val="000000"/>
                <w:sz w:val="18"/>
                <w:szCs w:val="18"/>
                <w:lang w:eastAsia="en-AU"/>
              </w:rPr>
              <w:t> </w:t>
            </w:r>
          </w:p>
        </w:tc>
        <w:tc>
          <w:tcPr>
            <w:tcW w:w="1275" w:type="dxa"/>
            <w:tcBorders>
              <w:top w:val="single" w:sz="8" w:space="0" w:color="auto"/>
              <w:left w:val="nil"/>
              <w:bottom w:val="nil"/>
              <w:right w:val="nil"/>
            </w:tcBorders>
            <w:shd w:val="clear" w:color="auto" w:fill="auto"/>
            <w:hideMark/>
          </w:tcPr>
          <w:p w:rsidR="00943973" w:rsidRPr="00943973" w:rsidRDefault="00943973" w:rsidP="00093645">
            <w:pPr>
              <w:jc w:val="right"/>
              <w:rPr>
                <w:b/>
                <w:bCs/>
                <w:color w:val="000000"/>
                <w:sz w:val="18"/>
                <w:szCs w:val="18"/>
                <w:lang w:eastAsia="en-AU"/>
              </w:rPr>
            </w:pPr>
            <w:r w:rsidRPr="00943973">
              <w:rPr>
                <w:b/>
                <w:bCs/>
                <w:color w:val="000000"/>
                <w:sz w:val="18"/>
                <w:szCs w:val="18"/>
                <w:lang w:eastAsia="en-AU"/>
              </w:rPr>
              <w:t>2012-13</w:t>
            </w:r>
          </w:p>
        </w:tc>
        <w:tc>
          <w:tcPr>
            <w:tcW w:w="1134" w:type="dxa"/>
            <w:tcBorders>
              <w:top w:val="single" w:sz="8" w:space="0" w:color="auto"/>
              <w:left w:val="nil"/>
              <w:bottom w:val="nil"/>
              <w:right w:val="nil"/>
            </w:tcBorders>
            <w:shd w:val="clear" w:color="auto" w:fill="auto"/>
            <w:hideMark/>
          </w:tcPr>
          <w:p w:rsidR="00943973" w:rsidRPr="00943973" w:rsidRDefault="00943973" w:rsidP="00093645">
            <w:pPr>
              <w:jc w:val="right"/>
              <w:rPr>
                <w:b/>
                <w:bCs/>
                <w:color w:val="000000"/>
                <w:sz w:val="18"/>
                <w:szCs w:val="18"/>
                <w:lang w:eastAsia="en-AU"/>
              </w:rPr>
            </w:pPr>
            <w:r w:rsidRPr="00943973">
              <w:rPr>
                <w:b/>
                <w:bCs/>
                <w:color w:val="000000"/>
                <w:sz w:val="18"/>
                <w:szCs w:val="18"/>
                <w:lang w:eastAsia="en-AU"/>
              </w:rPr>
              <w:t>2013-14</w:t>
            </w:r>
          </w:p>
        </w:tc>
        <w:tc>
          <w:tcPr>
            <w:tcW w:w="993" w:type="dxa"/>
            <w:tcBorders>
              <w:top w:val="single" w:sz="8" w:space="0" w:color="auto"/>
              <w:left w:val="nil"/>
              <w:bottom w:val="nil"/>
              <w:right w:val="nil"/>
            </w:tcBorders>
            <w:shd w:val="clear" w:color="auto" w:fill="auto"/>
            <w:hideMark/>
          </w:tcPr>
          <w:p w:rsidR="00943973" w:rsidRPr="00943973" w:rsidRDefault="00943973" w:rsidP="00093645">
            <w:pPr>
              <w:jc w:val="right"/>
              <w:rPr>
                <w:b/>
                <w:bCs/>
                <w:color w:val="000000"/>
                <w:sz w:val="18"/>
                <w:szCs w:val="18"/>
                <w:lang w:eastAsia="en-AU"/>
              </w:rPr>
            </w:pPr>
            <w:r w:rsidRPr="00943973">
              <w:rPr>
                <w:b/>
                <w:bCs/>
                <w:color w:val="000000"/>
                <w:sz w:val="18"/>
                <w:szCs w:val="18"/>
                <w:lang w:eastAsia="en-AU"/>
              </w:rPr>
              <w:t>2014-15</w:t>
            </w:r>
          </w:p>
        </w:tc>
        <w:tc>
          <w:tcPr>
            <w:tcW w:w="992" w:type="dxa"/>
            <w:tcBorders>
              <w:top w:val="single" w:sz="8" w:space="0" w:color="auto"/>
              <w:left w:val="nil"/>
              <w:bottom w:val="nil"/>
              <w:right w:val="nil"/>
            </w:tcBorders>
            <w:shd w:val="clear" w:color="auto" w:fill="auto"/>
            <w:hideMark/>
          </w:tcPr>
          <w:p w:rsidR="00943973" w:rsidRPr="00943973" w:rsidRDefault="00943973" w:rsidP="00093645">
            <w:pPr>
              <w:jc w:val="right"/>
              <w:rPr>
                <w:b/>
                <w:bCs/>
                <w:color w:val="000000"/>
                <w:sz w:val="18"/>
                <w:szCs w:val="18"/>
                <w:lang w:eastAsia="en-AU"/>
              </w:rPr>
            </w:pPr>
            <w:r w:rsidRPr="00943973">
              <w:rPr>
                <w:b/>
                <w:bCs/>
                <w:color w:val="000000"/>
                <w:sz w:val="18"/>
                <w:szCs w:val="18"/>
                <w:lang w:eastAsia="en-AU"/>
              </w:rPr>
              <w:t>2015-16</w:t>
            </w:r>
          </w:p>
        </w:tc>
        <w:tc>
          <w:tcPr>
            <w:tcW w:w="992" w:type="dxa"/>
            <w:tcBorders>
              <w:top w:val="single" w:sz="8" w:space="0" w:color="auto"/>
              <w:left w:val="nil"/>
              <w:bottom w:val="nil"/>
              <w:right w:val="nil"/>
            </w:tcBorders>
            <w:shd w:val="clear" w:color="auto" w:fill="auto"/>
            <w:hideMark/>
          </w:tcPr>
          <w:p w:rsidR="00943973" w:rsidRPr="00943973" w:rsidRDefault="00943973" w:rsidP="00093645">
            <w:pPr>
              <w:jc w:val="right"/>
              <w:rPr>
                <w:b/>
                <w:bCs/>
                <w:color w:val="000000"/>
                <w:sz w:val="18"/>
                <w:szCs w:val="18"/>
                <w:lang w:eastAsia="en-AU"/>
              </w:rPr>
            </w:pPr>
            <w:r w:rsidRPr="00943973">
              <w:rPr>
                <w:b/>
                <w:bCs/>
                <w:color w:val="000000"/>
                <w:sz w:val="18"/>
                <w:szCs w:val="18"/>
                <w:lang w:eastAsia="en-AU"/>
              </w:rPr>
              <w:t>2016-17</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Budget</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sz w:val="18"/>
                <w:szCs w:val="18"/>
                <w:lang w:eastAsia="en-AU"/>
              </w:rPr>
            </w:pPr>
            <w:r w:rsidRPr="00093645">
              <w:rPr>
                <w:sz w:val="18"/>
                <w:szCs w:val="18"/>
                <w:lang w:eastAsia="en-AU"/>
              </w:rPr>
              <w:t>FUNDING CATEGORIES</w:t>
            </w:r>
            <w:r w:rsidR="00FE215F">
              <w:rPr>
                <w:sz w:val="18"/>
                <w:szCs w:val="18"/>
                <w:lang w:eastAsia="en-AU"/>
              </w:rPr>
              <w:t xml:space="preserve"> (1)</w:t>
            </w:r>
          </w:p>
        </w:tc>
        <w:tc>
          <w:tcPr>
            <w:tcW w:w="1275"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Est.</w:t>
            </w:r>
            <w:r w:rsidR="00A4070D">
              <w:rPr>
                <w:b/>
                <w:bCs/>
                <w:color w:val="000000"/>
                <w:sz w:val="18"/>
                <w:szCs w:val="18"/>
                <w:lang w:eastAsia="en-AU"/>
              </w:rPr>
              <w:t xml:space="preserve"> </w:t>
            </w:r>
            <w:r w:rsidRPr="00943973">
              <w:rPr>
                <w:b/>
                <w:bCs/>
                <w:color w:val="000000"/>
                <w:sz w:val="18"/>
                <w:szCs w:val="18"/>
                <w:lang w:eastAsia="en-AU"/>
              </w:rPr>
              <w:t>Outcome</w:t>
            </w:r>
          </w:p>
        </w:tc>
        <w:tc>
          <w:tcPr>
            <w:tcW w:w="1134"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Budget</w:t>
            </w:r>
          </w:p>
        </w:tc>
        <w:tc>
          <w:tcPr>
            <w:tcW w:w="993"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Estimate</w:t>
            </w:r>
          </w:p>
        </w:tc>
        <w:tc>
          <w:tcPr>
            <w:tcW w:w="992"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Estimate</w:t>
            </w:r>
          </w:p>
        </w:tc>
        <w:tc>
          <w:tcPr>
            <w:tcW w:w="992"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Estimate</w:t>
            </w:r>
          </w:p>
        </w:tc>
      </w:tr>
      <w:tr w:rsidR="00943973" w:rsidRPr="00943973" w:rsidTr="00C54177">
        <w:tc>
          <w:tcPr>
            <w:tcW w:w="959" w:type="dxa"/>
            <w:tcBorders>
              <w:top w:val="nil"/>
              <w:left w:val="nil"/>
              <w:bottom w:val="single" w:sz="8"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$’000</w:t>
            </w:r>
          </w:p>
        </w:tc>
        <w:tc>
          <w:tcPr>
            <w:tcW w:w="2977" w:type="dxa"/>
            <w:tcBorders>
              <w:top w:val="nil"/>
              <w:left w:val="nil"/>
              <w:bottom w:val="single" w:sz="8"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 </w:t>
            </w:r>
          </w:p>
        </w:tc>
        <w:tc>
          <w:tcPr>
            <w:tcW w:w="1275" w:type="dxa"/>
            <w:tcBorders>
              <w:top w:val="nil"/>
              <w:left w:val="nil"/>
              <w:bottom w:val="single" w:sz="8"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$’000</w:t>
            </w:r>
          </w:p>
        </w:tc>
        <w:tc>
          <w:tcPr>
            <w:tcW w:w="1134" w:type="dxa"/>
            <w:tcBorders>
              <w:top w:val="nil"/>
              <w:left w:val="nil"/>
              <w:bottom w:val="single" w:sz="8"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$’000</w:t>
            </w:r>
          </w:p>
        </w:tc>
        <w:tc>
          <w:tcPr>
            <w:tcW w:w="993" w:type="dxa"/>
            <w:tcBorders>
              <w:top w:val="nil"/>
              <w:left w:val="nil"/>
              <w:bottom w:val="single" w:sz="8"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$’000</w:t>
            </w:r>
          </w:p>
        </w:tc>
        <w:tc>
          <w:tcPr>
            <w:tcW w:w="992" w:type="dxa"/>
            <w:tcBorders>
              <w:top w:val="nil"/>
              <w:left w:val="nil"/>
              <w:bottom w:val="single" w:sz="8"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$’000</w:t>
            </w:r>
          </w:p>
        </w:tc>
        <w:tc>
          <w:tcPr>
            <w:tcW w:w="992" w:type="dxa"/>
            <w:tcBorders>
              <w:top w:val="nil"/>
              <w:left w:val="nil"/>
              <w:bottom w:val="single" w:sz="8"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$'000</w:t>
            </w:r>
          </w:p>
        </w:tc>
      </w:tr>
      <w:tr w:rsidR="00DB747C" w:rsidRPr="00943973" w:rsidTr="00C54177">
        <w:tc>
          <w:tcPr>
            <w:tcW w:w="959" w:type="dxa"/>
            <w:tcBorders>
              <w:top w:val="nil"/>
              <w:left w:val="nil"/>
              <w:bottom w:val="nil"/>
              <w:right w:val="nil"/>
            </w:tcBorders>
            <w:shd w:val="clear" w:color="auto" w:fill="auto"/>
            <w:hideMark/>
          </w:tcPr>
          <w:p w:rsidR="00DB747C" w:rsidRPr="00943973" w:rsidRDefault="00DB747C" w:rsidP="00D967E3">
            <w:pPr>
              <w:jc w:val="right"/>
              <w:rPr>
                <w:color w:val="000000"/>
                <w:sz w:val="18"/>
                <w:szCs w:val="18"/>
                <w:lang w:eastAsia="en-AU"/>
              </w:rPr>
            </w:pPr>
          </w:p>
        </w:tc>
        <w:tc>
          <w:tcPr>
            <w:tcW w:w="2977" w:type="dxa"/>
            <w:tcBorders>
              <w:top w:val="nil"/>
              <w:left w:val="nil"/>
              <w:bottom w:val="nil"/>
              <w:right w:val="nil"/>
            </w:tcBorders>
            <w:shd w:val="clear" w:color="auto" w:fill="auto"/>
            <w:hideMark/>
          </w:tcPr>
          <w:p w:rsidR="00DB747C" w:rsidRPr="00093645" w:rsidRDefault="00DB747C" w:rsidP="00093645">
            <w:pPr>
              <w:pStyle w:val="TableTextLeftBold-BP3"/>
              <w:rPr>
                <w:sz w:val="18"/>
                <w:szCs w:val="18"/>
                <w:lang w:eastAsia="en-AU"/>
              </w:rPr>
            </w:pPr>
            <w:r>
              <w:rPr>
                <w:sz w:val="18"/>
                <w:szCs w:val="18"/>
                <w:lang w:eastAsia="en-AU"/>
              </w:rPr>
              <w:t xml:space="preserve">  </w:t>
            </w:r>
          </w:p>
        </w:tc>
        <w:tc>
          <w:tcPr>
            <w:tcW w:w="1275" w:type="dxa"/>
            <w:tcBorders>
              <w:top w:val="nil"/>
              <w:left w:val="nil"/>
              <w:bottom w:val="nil"/>
              <w:right w:val="nil"/>
            </w:tcBorders>
            <w:shd w:val="clear" w:color="auto" w:fill="auto"/>
            <w:hideMark/>
          </w:tcPr>
          <w:p w:rsidR="00DB747C" w:rsidRPr="00943973" w:rsidRDefault="00DB747C"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DB747C" w:rsidRPr="00943973" w:rsidRDefault="00DB747C"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DB747C" w:rsidRPr="00943973" w:rsidRDefault="00DB747C"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DB747C" w:rsidRPr="00943973" w:rsidRDefault="00DB747C"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DB747C" w:rsidRPr="00943973" w:rsidRDefault="00DB747C" w:rsidP="00943973">
            <w:pPr>
              <w:jc w:val="right"/>
              <w:rPr>
                <w:color w:val="000000"/>
                <w:sz w:val="18"/>
                <w:szCs w:val="18"/>
                <w:lang w:eastAsia="en-AU"/>
              </w:rPr>
            </w:pP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sz w:val="18"/>
                <w:szCs w:val="18"/>
                <w:lang w:eastAsia="en-AU"/>
              </w:rPr>
            </w:pPr>
            <w:r w:rsidRPr="00093645">
              <w:rPr>
                <w:sz w:val="18"/>
                <w:szCs w:val="18"/>
                <w:lang w:eastAsia="en-AU"/>
              </w:rPr>
              <w:t>General Revenue Assistance</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r w:rsidRPr="00943973">
              <w:rPr>
                <w:color w:val="000000"/>
                <w:sz w:val="18"/>
                <w:szCs w:val="18"/>
                <w:lang w:eastAsia="en-AU"/>
              </w:rPr>
              <w:t>938,130</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GST Revenue</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970,600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1,021,800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1,078,900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1,144,600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1,208,500</w:t>
            </w:r>
          </w:p>
        </w:tc>
      </w:tr>
      <w:tr w:rsidR="00943973" w:rsidRPr="00943973" w:rsidTr="0001117A">
        <w:tc>
          <w:tcPr>
            <w:tcW w:w="959" w:type="dxa"/>
            <w:tcBorders>
              <w:top w:val="nil"/>
              <w:left w:val="nil"/>
              <w:bottom w:val="single" w:sz="4" w:space="0" w:color="auto"/>
              <w:right w:val="nil"/>
            </w:tcBorders>
            <w:shd w:val="clear" w:color="auto" w:fill="auto"/>
            <w:hideMark/>
          </w:tcPr>
          <w:p w:rsidR="00943973" w:rsidRPr="00943973" w:rsidRDefault="00943973" w:rsidP="00D967E3">
            <w:pPr>
              <w:jc w:val="right"/>
              <w:rPr>
                <w:color w:val="000000"/>
                <w:sz w:val="18"/>
                <w:szCs w:val="18"/>
                <w:lang w:eastAsia="en-AU"/>
              </w:rPr>
            </w:pPr>
            <w:r w:rsidRPr="00943973">
              <w:rPr>
                <w:color w:val="000000"/>
                <w:sz w:val="18"/>
                <w:szCs w:val="18"/>
                <w:lang w:eastAsia="en-AU"/>
              </w:rPr>
              <w:t>36,832</w:t>
            </w:r>
          </w:p>
        </w:tc>
        <w:tc>
          <w:tcPr>
            <w:tcW w:w="2977" w:type="dxa"/>
            <w:tcBorders>
              <w:top w:val="nil"/>
              <w:left w:val="nil"/>
              <w:bottom w:val="single" w:sz="4" w:space="0" w:color="auto"/>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ACT Municipal Services</w:t>
            </w:r>
          </w:p>
        </w:tc>
        <w:tc>
          <w:tcPr>
            <w:tcW w:w="1275" w:type="dxa"/>
            <w:tcBorders>
              <w:top w:val="nil"/>
              <w:left w:val="nil"/>
              <w:bottom w:val="single" w:sz="4" w:space="0" w:color="auto"/>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36,832</w:t>
            </w:r>
          </w:p>
        </w:tc>
        <w:tc>
          <w:tcPr>
            <w:tcW w:w="1134" w:type="dxa"/>
            <w:tcBorders>
              <w:top w:val="nil"/>
              <w:left w:val="nil"/>
              <w:bottom w:val="single" w:sz="4" w:space="0" w:color="auto"/>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37,495</w:t>
            </w:r>
          </w:p>
        </w:tc>
        <w:tc>
          <w:tcPr>
            <w:tcW w:w="993" w:type="dxa"/>
            <w:tcBorders>
              <w:top w:val="nil"/>
              <w:left w:val="nil"/>
              <w:bottom w:val="single" w:sz="4" w:space="0" w:color="auto"/>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38,208</w:t>
            </w:r>
          </w:p>
        </w:tc>
        <w:tc>
          <w:tcPr>
            <w:tcW w:w="992" w:type="dxa"/>
            <w:tcBorders>
              <w:top w:val="nil"/>
              <w:left w:val="nil"/>
              <w:bottom w:val="single" w:sz="4" w:space="0" w:color="auto"/>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38,934</w:t>
            </w:r>
          </w:p>
        </w:tc>
        <w:tc>
          <w:tcPr>
            <w:tcW w:w="992" w:type="dxa"/>
            <w:tcBorders>
              <w:top w:val="nil"/>
              <w:left w:val="nil"/>
              <w:bottom w:val="single" w:sz="4" w:space="0" w:color="auto"/>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39,634</w:t>
            </w:r>
          </w:p>
        </w:tc>
      </w:tr>
      <w:tr w:rsidR="00943973" w:rsidRPr="00943973" w:rsidTr="00C54177">
        <w:tc>
          <w:tcPr>
            <w:tcW w:w="959" w:type="dxa"/>
            <w:tcBorders>
              <w:top w:val="single" w:sz="4" w:space="0" w:color="auto"/>
              <w:left w:val="nil"/>
              <w:bottom w:val="single" w:sz="4" w:space="0" w:color="auto"/>
              <w:right w:val="nil"/>
            </w:tcBorders>
            <w:shd w:val="clear" w:color="auto" w:fill="auto"/>
            <w:hideMark/>
          </w:tcPr>
          <w:p w:rsidR="00943973" w:rsidRPr="00943973" w:rsidRDefault="00943973" w:rsidP="00D967E3">
            <w:pPr>
              <w:jc w:val="right"/>
              <w:rPr>
                <w:b/>
                <w:bCs/>
                <w:color w:val="000000"/>
                <w:sz w:val="18"/>
                <w:szCs w:val="18"/>
                <w:lang w:eastAsia="en-AU"/>
              </w:rPr>
            </w:pPr>
            <w:r w:rsidRPr="00943973">
              <w:rPr>
                <w:b/>
                <w:bCs/>
                <w:color w:val="000000"/>
                <w:sz w:val="18"/>
                <w:szCs w:val="18"/>
                <w:lang w:eastAsia="en-AU"/>
              </w:rPr>
              <w:t>974,962</w:t>
            </w:r>
          </w:p>
        </w:tc>
        <w:tc>
          <w:tcPr>
            <w:tcW w:w="2977" w:type="dxa"/>
            <w:tcBorders>
              <w:top w:val="single" w:sz="4" w:space="0" w:color="auto"/>
              <w:left w:val="nil"/>
              <w:bottom w:val="single" w:sz="4" w:space="0" w:color="auto"/>
              <w:right w:val="nil"/>
            </w:tcBorders>
            <w:shd w:val="clear" w:color="auto" w:fill="auto"/>
            <w:hideMark/>
          </w:tcPr>
          <w:p w:rsidR="00943973" w:rsidRPr="00093645" w:rsidRDefault="00943973" w:rsidP="00093645">
            <w:pPr>
              <w:pStyle w:val="TableTextLeftBold-BP3"/>
              <w:rPr>
                <w:sz w:val="18"/>
                <w:szCs w:val="18"/>
                <w:lang w:eastAsia="en-AU"/>
              </w:rPr>
            </w:pPr>
            <w:r w:rsidRPr="00093645">
              <w:rPr>
                <w:sz w:val="18"/>
                <w:szCs w:val="18"/>
                <w:lang w:eastAsia="en-AU"/>
              </w:rPr>
              <w:t>Total General Revenue Assistance</w:t>
            </w:r>
          </w:p>
        </w:tc>
        <w:tc>
          <w:tcPr>
            <w:tcW w:w="1275"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1,007,432</w:t>
            </w:r>
          </w:p>
        </w:tc>
        <w:tc>
          <w:tcPr>
            <w:tcW w:w="1134"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1,059,295</w:t>
            </w:r>
          </w:p>
        </w:tc>
        <w:tc>
          <w:tcPr>
            <w:tcW w:w="993"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1,117,108</w:t>
            </w:r>
          </w:p>
        </w:tc>
        <w:tc>
          <w:tcPr>
            <w:tcW w:w="992"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1,183,534</w:t>
            </w:r>
          </w:p>
        </w:tc>
        <w:tc>
          <w:tcPr>
            <w:tcW w:w="992" w:type="dxa"/>
            <w:tcBorders>
              <w:top w:val="single" w:sz="4" w:space="0" w:color="auto"/>
              <w:left w:val="nil"/>
              <w:bottom w:val="single" w:sz="4" w:space="0" w:color="auto"/>
              <w:right w:val="nil"/>
            </w:tcBorders>
            <w:shd w:val="clear" w:color="auto" w:fill="auto"/>
            <w:hideMark/>
          </w:tcPr>
          <w:p w:rsidR="00943973" w:rsidRPr="00943973" w:rsidRDefault="00943973" w:rsidP="000E110C">
            <w:pPr>
              <w:jc w:val="right"/>
              <w:rPr>
                <w:b/>
                <w:bCs/>
                <w:color w:val="000000"/>
                <w:sz w:val="18"/>
                <w:szCs w:val="18"/>
                <w:lang w:eastAsia="en-AU"/>
              </w:rPr>
            </w:pPr>
            <w:r w:rsidRPr="00943973">
              <w:rPr>
                <w:b/>
                <w:bCs/>
                <w:color w:val="000000"/>
                <w:sz w:val="18"/>
                <w:szCs w:val="18"/>
                <w:lang w:eastAsia="en-AU"/>
              </w:rPr>
              <w:t>1,248,134</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p>
        </w:tc>
        <w:tc>
          <w:tcPr>
            <w:tcW w:w="2977" w:type="dxa"/>
            <w:tcBorders>
              <w:top w:val="nil"/>
              <w:left w:val="nil"/>
              <w:bottom w:val="nil"/>
              <w:right w:val="nil"/>
            </w:tcBorders>
            <w:shd w:val="clear" w:color="auto" w:fill="auto"/>
            <w:hideMark/>
          </w:tcPr>
          <w:p w:rsidR="00943973" w:rsidRPr="00770995" w:rsidRDefault="009F4007" w:rsidP="00770995">
            <w:pPr>
              <w:rPr>
                <w:color w:val="000000"/>
                <w:sz w:val="18"/>
                <w:szCs w:val="18"/>
                <w:lang w:eastAsia="en-AU"/>
              </w:rPr>
            </w:pPr>
            <w:r>
              <w:rPr>
                <w:color w:val="000000"/>
                <w:sz w:val="18"/>
                <w:szCs w:val="18"/>
                <w:lang w:eastAsia="en-AU"/>
              </w:rPr>
              <w:t xml:space="preserve">  </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C54177">
        <w:tc>
          <w:tcPr>
            <w:tcW w:w="959" w:type="dxa"/>
            <w:tcBorders>
              <w:top w:val="nil"/>
              <w:left w:val="nil"/>
              <w:bottom w:val="nil"/>
              <w:right w:val="nil"/>
            </w:tcBorders>
            <w:shd w:val="clear" w:color="auto" w:fill="auto"/>
            <w:hideMark/>
          </w:tcPr>
          <w:p w:rsidR="00943973" w:rsidRPr="00D967E3" w:rsidRDefault="00943973" w:rsidP="00D967E3">
            <w:pPr>
              <w:jc w:val="right"/>
              <w:rPr>
                <w:b/>
                <w:color w:val="000000"/>
                <w:sz w:val="18"/>
                <w:szCs w:val="18"/>
                <w:lang w:eastAsia="en-AU"/>
              </w:rPr>
            </w:pP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sz w:val="18"/>
                <w:szCs w:val="18"/>
                <w:lang w:eastAsia="en-AU"/>
              </w:rPr>
            </w:pPr>
            <w:r w:rsidRPr="00770995">
              <w:rPr>
                <w:sz w:val="18"/>
                <w:szCs w:val="18"/>
                <w:lang w:eastAsia="en-AU"/>
              </w:rPr>
              <w:t>Health Services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i/>
                <w:sz w:val="18"/>
                <w:szCs w:val="18"/>
                <w:lang w:eastAsia="en-AU"/>
              </w:rPr>
            </w:pPr>
            <w:r w:rsidRPr="00770995">
              <w:rPr>
                <w:i/>
                <w:sz w:val="18"/>
                <w:szCs w:val="18"/>
                <w:lang w:eastAsia="en-AU"/>
              </w:rPr>
              <w:t>National Healthcare SPP and Payments under the National Health Reform Agreement</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r w:rsidRPr="00943973">
              <w:rPr>
                <w:color w:val="000000"/>
                <w:sz w:val="18"/>
                <w:szCs w:val="18"/>
                <w:lang w:eastAsia="en-AU"/>
              </w:rPr>
              <w:t>203,526</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 xml:space="preserve">National Healthcare SPP </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National Health Reform Payment</w:t>
            </w:r>
            <w:r w:rsidR="00FE215F">
              <w:rPr>
                <w:b w:val="0"/>
                <w:sz w:val="18"/>
                <w:szCs w:val="18"/>
                <w:lang w:eastAsia="en-AU"/>
              </w:rPr>
              <w:t xml:space="preserve"> (2)</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244,684</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279,536</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318,438</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360,980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407,623</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i/>
                <w:iCs/>
                <w:color w:val="000000"/>
                <w:sz w:val="18"/>
                <w:szCs w:val="18"/>
                <w:lang w:eastAsia="en-AU"/>
              </w:rPr>
            </w:pPr>
            <w:r w:rsidRPr="00943973">
              <w:rPr>
                <w:i/>
                <w:iCs/>
                <w:color w:val="000000"/>
                <w:sz w:val="18"/>
                <w:szCs w:val="18"/>
                <w:lang w:eastAsia="en-AU"/>
              </w:rPr>
              <w:t>203,526</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i/>
                <w:sz w:val="18"/>
                <w:szCs w:val="18"/>
                <w:lang w:eastAsia="en-AU"/>
              </w:rPr>
            </w:pPr>
            <w:r w:rsidRPr="00770995">
              <w:rPr>
                <w:b w:val="0"/>
                <w:i/>
                <w:sz w:val="18"/>
                <w:szCs w:val="18"/>
                <w:lang w:eastAsia="en-AU"/>
              </w:rPr>
              <w:t>Total National Healthcare SPP and Payments under the National Health Reform Agreement</w:t>
            </w:r>
          </w:p>
        </w:tc>
        <w:tc>
          <w:tcPr>
            <w:tcW w:w="1275" w:type="dxa"/>
            <w:tcBorders>
              <w:top w:val="nil"/>
              <w:left w:val="nil"/>
              <w:bottom w:val="nil"/>
              <w:right w:val="nil"/>
            </w:tcBorders>
            <w:shd w:val="clear" w:color="auto" w:fill="auto"/>
            <w:hideMark/>
          </w:tcPr>
          <w:p w:rsidR="00943973" w:rsidRPr="00943973" w:rsidRDefault="00943973" w:rsidP="00943973">
            <w:pPr>
              <w:jc w:val="right"/>
              <w:rPr>
                <w:i/>
                <w:iCs/>
                <w:color w:val="000000"/>
                <w:sz w:val="18"/>
                <w:szCs w:val="18"/>
                <w:lang w:eastAsia="en-AU"/>
              </w:rPr>
            </w:pPr>
            <w:r w:rsidRPr="00943973">
              <w:rPr>
                <w:i/>
                <w:iCs/>
                <w:color w:val="000000"/>
                <w:sz w:val="18"/>
                <w:szCs w:val="18"/>
                <w:lang w:eastAsia="en-AU"/>
              </w:rPr>
              <w:t>244,684</w:t>
            </w:r>
          </w:p>
        </w:tc>
        <w:tc>
          <w:tcPr>
            <w:tcW w:w="1134" w:type="dxa"/>
            <w:tcBorders>
              <w:top w:val="nil"/>
              <w:left w:val="nil"/>
              <w:bottom w:val="nil"/>
              <w:right w:val="nil"/>
            </w:tcBorders>
            <w:shd w:val="clear" w:color="auto" w:fill="auto"/>
            <w:hideMark/>
          </w:tcPr>
          <w:p w:rsidR="00943973" w:rsidRPr="00943973" w:rsidRDefault="00943973" w:rsidP="00943973">
            <w:pPr>
              <w:jc w:val="right"/>
              <w:rPr>
                <w:i/>
                <w:iCs/>
                <w:color w:val="000000"/>
                <w:sz w:val="18"/>
                <w:szCs w:val="18"/>
                <w:lang w:eastAsia="en-AU"/>
              </w:rPr>
            </w:pPr>
            <w:r w:rsidRPr="00943973">
              <w:rPr>
                <w:i/>
                <w:iCs/>
                <w:color w:val="000000"/>
                <w:sz w:val="18"/>
                <w:szCs w:val="18"/>
                <w:lang w:eastAsia="en-AU"/>
              </w:rPr>
              <w:t>279,536</w:t>
            </w:r>
          </w:p>
        </w:tc>
        <w:tc>
          <w:tcPr>
            <w:tcW w:w="993" w:type="dxa"/>
            <w:tcBorders>
              <w:top w:val="nil"/>
              <w:left w:val="nil"/>
              <w:bottom w:val="nil"/>
              <w:right w:val="nil"/>
            </w:tcBorders>
            <w:shd w:val="clear" w:color="auto" w:fill="auto"/>
            <w:hideMark/>
          </w:tcPr>
          <w:p w:rsidR="00943973" w:rsidRPr="00943973" w:rsidRDefault="00943973" w:rsidP="00943973">
            <w:pPr>
              <w:jc w:val="right"/>
              <w:rPr>
                <w:i/>
                <w:iCs/>
                <w:color w:val="000000"/>
                <w:sz w:val="18"/>
                <w:szCs w:val="18"/>
                <w:lang w:eastAsia="en-AU"/>
              </w:rPr>
            </w:pPr>
            <w:r w:rsidRPr="00943973">
              <w:rPr>
                <w:i/>
                <w:iCs/>
                <w:color w:val="000000"/>
                <w:sz w:val="18"/>
                <w:szCs w:val="18"/>
                <w:lang w:eastAsia="en-AU"/>
              </w:rPr>
              <w:t>318,438</w:t>
            </w:r>
          </w:p>
        </w:tc>
        <w:tc>
          <w:tcPr>
            <w:tcW w:w="992" w:type="dxa"/>
            <w:tcBorders>
              <w:top w:val="nil"/>
              <w:left w:val="nil"/>
              <w:bottom w:val="nil"/>
              <w:right w:val="nil"/>
            </w:tcBorders>
            <w:shd w:val="clear" w:color="auto" w:fill="auto"/>
            <w:hideMark/>
          </w:tcPr>
          <w:p w:rsidR="00943973" w:rsidRPr="00943973" w:rsidRDefault="00943973" w:rsidP="00943973">
            <w:pPr>
              <w:jc w:val="right"/>
              <w:rPr>
                <w:i/>
                <w:iCs/>
                <w:color w:val="000000"/>
                <w:sz w:val="18"/>
                <w:szCs w:val="18"/>
                <w:lang w:eastAsia="en-AU"/>
              </w:rPr>
            </w:pPr>
            <w:r w:rsidRPr="00943973">
              <w:rPr>
                <w:i/>
                <w:iCs/>
                <w:color w:val="000000"/>
                <w:sz w:val="18"/>
                <w:szCs w:val="18"/>
                <w:lang w:eastAsia="en-AU"/>
              </w:rPr>
              <w:t>360,980</w:t>
            </w:r>
          </w:p>
        </w:tc>
        <w:tc>
          <w:tcPr>
            <w:tcW w:w="992" w:type="dxa"/>
            <w:tcBorders>
              <w:top w:val="nil"/>
              <w:left w:val="nil"/>
              <w:bottom w:val="nil"/>
              <w:right w:val="nil"/>
            </w:tcBorders>
            <w:shd w:val="clear" w:color="auto" w:fill="auto"/>
            <w:hideMark/>
          </w:tcPr>
          <w:p w:rsidR="00943973" w:rsidRPr="00943973" w:rsidRDefault="00943973" w:rsidP="00943973">
            <w:pPr>
              <w:jc w:val="right"/>
              <w:rPr>
                <w:i/>
                <w:iCs/>
                <w:color w:val="000000"/>
                <w:sz w:val="18"/>
                <w:szCs w:val="18"/>
                <w:lang w:eastAsia="en-AU"/>
              </w:rPr>
            </w:pPr>
            <w:r w:rsidRPr="00943973">
              <w:rPr>
                <w:i/>
                <w:iCs/>
                <w:color w:val="000000"/>
                <w:sz w:val="18"/>
                <w:szCs w:val="18"/>
                <w:lang w:eastAsia="en-AU"/>
              </w:rPr>
              <w:t>407,623</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p>
        </w:tc>
        <w:tc>
          <w:tcPr>
            <w:tcW w:w="2977" w:type="dxa"/>
            <w:tcBorders>
              <w:top w:val="nil"/>
              <w:left w:val="nil"/>
              <w:bottom w:val="nil"/>
              <w:right w:val="nil"/>
            </w:tcBorders>
            <w:shd w:val="clear" w:color="auto" w:fill="auto"/>
            <w:hideMark/>
          </w:tcPr>
          <w:p w:rsidR="00943973" w:rsidRPr="00770995" w:rsidRDefault="009F4007" w:rsidP="00770995">
            <w:pPr>
              <w:pStyle w:val="TableTextLeftBold-BP3"/>
              <w:rPr>
                <w:b w:val="0"/>
                <w:sz w:val="18"/>
                <w:szCs w:val="18"/>
                <w:lang w:eastAsia="en-AU"/>
              </w:rPr>
            </w:pPr>
            <w:r>
              <w:rPr>
                <w:b w:val="0"/>
                <w:sz w:val="18"/>
                <w:szCs w:val="18"/>
                <w:lang w:eastAsia="en-AU"/>
              </w:rPr>
              <w:t xml:space="preserve">  </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sz w:val="18"/>
                <w:szCs w:val="18"/>
                <w:lang w:eastAsia="en-AU"/>
              </w:rPr>
            </w:pPr>
            <w:r w:rsidRPr="00770995">
              <w:rPr>
                <w:sz w:val="18"/>
                <w:szCs w:val="18"/>
                <w:lang w:eastAsia="en-AU"/>
              </w:rPr>
              <w:t>Health Services NPPs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r w:rsidRPr="00943973">
              <w:rPr>
                <w:color w:val="000000"/>
                <w:sz w:val="18"/>
                <w:szCs w:val="18"/>
                <w:lang w:eastAsia="en-AU"/>
              </w:rPr>
              <w:t>548</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Health Services NPP</w:t>
            </w:r>
            <w:r w:rsidR="00FE215F">
              <w:rPr>
                <w:b w:val="0"/>
                <w:sz w:val="18"/>
                <w:szCs w:val="18"/>
                <w:lang w:eastAsia="en-AU"/>
              </w:rPr>
              <w:t>s (3)</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455</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1,113</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8,913</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5,510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7,018</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r w:rsidRPr="00943973">
              <w:rPr>
                <w:color w:val="000000"/>
                <w:sz w:val="18"/>
                <w:szCs w:val="18"/>
                <w:lang w:eastAsia="en-AU"/>
              </w:rPr>
              <w:t>620</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Mental Health (Reform Program)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620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620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620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620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r w:rsidRPr="00943973">
              <w:rPr>
                <w:color w:val="000000"/>
                <w:sz w:val="18"/>
                <w:szCs w:val="18"/>
                <w:lang w:eastAsia="en-AU"/>
              </w:rPr>
              <w:t>1,320</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Hospital and Health Workforce Reform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610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r w:rsidRPr="00943973">
              <w:rPr>
                <w:color w:val="000000"/>
                <w:sz w:val="18"/>
                <w:szCs w:val="18"/>
                <w:lang w:eastAsia="en-AU"/>
              </w:rPr>
              <w:t>10,935</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 xml:space="preserve">Health and Hospital Fund Projects NPP </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6,420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4,444</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70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r w:rsidRPr="00943973">
              <w:rPr>
                <w:color w:val="000000"/>
                <w:sz w:val="18"/>
                <w:szCs w:val="18"/>
                <w:lang w:eastAsia="en-AU"/>
              </w:rPr>
              <w:t>2,563</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Preventative Health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2,069</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894</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894</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2,181</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r w:rsidRPr="00943973">
              <w:rPr>
                <w:color w:val="000000"/>
                <w:sz w:val="18"/>
                <w:szCs w:val="18"/>
                <w:lang w:eastAsia="en-AU"/>
              </w:rPr>
              <w:t>240</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Indigenous Early Childhood Development NPP (Health Component)</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240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250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r w:rsidRPr="00943973">
              <w:rPr>
                <w:color w:val="000000"/>
                <w:sz w:val="18"/>
                <w:szCs w:val="18"/>
                <w:lang w:eastAsia="en-AU"/>
              </w:rPr>
              <w:t>2,568</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Essential Vaccines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6,007</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106</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3,937</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3,684</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4,000</w:t>
            </w:r>
          </w:p>
        </w:tc>
      </w:tr>
      <w:tr w:rsidR="00943973" w:rsidRPr="00943973" w:rsidTr="00C54177">
        <w:tc>
          <w:tcPr>
            <w:tcW w:w="959" w:type="dxa"/>
            <w:tcBorders>
              <w:top w:val="nil"/>
              <w:left w:val="nil"/>
              <w:bottom w:val="nil"/>
              <w:right w:val="nil"/>
            </w:tcBorders>
            <w:shd w:val="clear" w:color="auto" w:fill="auto"/>
            <w:hideMark/>
          </w:tcPr>
          <w:p w:rsidR="00943973" w:rsidRPr="00D967E3" w:rsidRDefault="00943973" w:rsidP="00D967E3">
            <w:pPr>
              <w:jc w:val="right"/>
              <w:rPr>
                <w:color w:val="000000"/>
                <w:sz w:val="18"/>
                <w:szCs w:val="18"/>
                <w:lang w:eastAsia="en-AU"/>
              </w:rPr>
            </w:pPr>
            <w:r w:rsidRPr="00D967E3">
              <w:rPr>
                <w:color w:val="000000"/>
                <w:sz w:val="18"/>
                <w:szCs w:val="18"/>
                <w:lang w:eastAsia="en-AU"/>
              </w:rPr>
              <w:t>9,664</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National Health Reforms NPP</w:t>
            </w:r>
            <w:r w:rsidR="00FE215F">
              <w:rPr>
                <w:b w:val="0"/>
                <w:sz w:val="18"/>
                <w:szCs w:val="18"/>
                <w:lang w:eastAsia="en-AU"/>
              </w:rPr>
              <w:t>s (4)</w:t>
            </w:r>
          </w:p>
        </w:tc>
        <w:tc>
          <w:tcPr>
            <w:tcW w:w="1275" w:type="dxa"/>
            <w:tcBorders>
              <w:top w:val="nil"/>
              <w:left w:val="nil"/>
              <w:bottom w:val="nil"/>
              <w:right w:val="nil"/>
            </w:tcBorders>
            <w:shd w:val="clear" w:color="auto" w:fill="auto"/>
            <w:hideMark/>
          </w:tcPr>
          <w:p w:rsidR="00943973" w:rsidRPr="00D967E3" w:rsidRDefault="00943973" w:rsidP="00943973">
            <w:pPr>
              <w:jc w:val="right"/>
              <w:rPr>
                <w:color w:val="000000"/>
                <w:sz w:val="18"/>
                <w:szCs w:val="18"/>
                <w:lang w:eastAsia="en-AU"/>
              </w:rPr>
            </w:pPr>
            <w:r w:rsidRPr="00D967E3">
              <w:rPr>
                <w:color w:val="000000"/>
                <w:sz w:val="18"/>
                <w:szCs w:val="18"/>
                <w:lang w:eastAsia="en-AU"/>
              </w:rPr>
              <w:t>12,573</w:t>
            </w:r>
          </w:p>
        </w:tc>
        <w:tc>
          <w:tcPr>
            <w:tcW w:w="1134" w:type="dxa"/>
            <w:tcBorders>
              <w:top w:val="nil"/>
              <w:left w:val="nil"/>
              <w:bottom w:val="nil"/>
              <w:right w:val="nil"/>
            </w:tcBorders>
            <w:shd w:val="clear" w:color="auto" w:fill="auto"/>
            <w:hideMark/>
          </w:tcPr>
          <w:p w:rsidR="00943973" w:rsidRPr="00D967E3" w:rsidRDefault="00943973" w:rsidP="00943973">
            <w:pPr>
              <w:jc w:val="right"/>
              <w:rPr>
                <w:color w:val="000000"/>
                <w:sz w:val="18"/>
                <w:szCs w:val="18"/>
                <w:lang w:eastAsia="en-AU"/>
              </w:rPr>
            </w:pPr>
            <w:r w:rsidRPr="00D967E3">
              <w:rPr>
                <w:color w:val="000000"/>
                <w:sz w:val="18"/>
                <w:szCs w:val="18"/>
                <w:lang w:eastAsia="en-AU"/>
              </w:rPr>
              <w:t>11,383</w:t>
            </w:r>
          </w:p>
        </w:tc>
        <w:tc>
          <w:tcPr>
            <w:tcW w:w="993" w:type="dxa"/>
            <w:tcBorders>
              <w:top w:val="nil"/>
              <w:left w:val="nil"/>
              <w:bottom w:val="nil"/>
              <w:right w:val="nil"/>
            </w:tcBorders>
            <w:shd w:val="clear" w:color="auto" w:fill="auto"/>
            <w:hideMark/>
          </w:tcPr>
          <w:p w:rsidR="00943973" w:rsidRPr="00D967E3" w:rsidRDefault="00943973" w:rsidP="00943973">
            <w:pPr>
              <w:jc w:val="right"/>
              <w:rPr>
                <w:color w:val="000000"/>
                <w:sz w:val="18"/>
                <w:szCs w:val="18"/>
                <w:lang w:eastAsia="en-AU"/>
              </w:rPr>
            </w:pPr>
            <w:r w:rsidRPr="00D967E3">
              <w:rPr>
                <w:color w:val="000000"/>
                <w:sz w:val="18"/>
                <w:szCs w:val="18"/>
                <w:lang w:eastAsia="en-AU"/>
              </w:rPr>
              <w:t>1,483</w:t>
            </w:r>
          </w:p>
        </w:tc>
        <w:tc>
          <w:tcPr>
            <w:tcW w:w="992" w:type="dxa"/>
            <w:tcBorders>
              <w:top w:val="nil"/>
              <w:left w:val="nil"/>
              <w:bottom w:val="nil"/>
              <w:right w:val="nil"/>
            </w:tcBorders>
            <w:shd w:val="clear" w:color="auto" w:fill="auto"/>
            <w:hideMark/>
          </w:tcPr>
          <w:p w:rsidR="00943973" w:rsidRPr="00D967E3" w:rsidRDefault="00943973" w:rsidP="00943973">
            <w:pPr>
              <w:jc w:val="right"/>
              <w:rPr>
                <w:color w:val="000000"/>
                <w:sz w:val="18"/>
                <w:szCs w:val="18"/>
                <w:lang w:eastAsia="en-AU"/>
              </w:rPr>
            </w:pPr>
            <w:r w:rsidRPr="00D967E3">
              <w:rPr>
                <w:color w:val="000000"/>
                <w:sz w:val="18"/>
                <w:szCs w:val="18"/>
                <w:lang w:eastAsia="en-AU"/>
              </w:rPr>
              <w:t>1,483</w:t>
            </w:r>
          </w:p>
        </w:tc>
        <w:tc>
          <w:tcPr>
            <w:tcW w:w="992" w:type="dxa"/>
            <w:tcBorders>
              <w:top w:val="nil"/>
              <w:left w:val="nil"/>
              <w:bottom w:val="nil"/>
              <w:right w:val="nil"/>
            </w:tcBorders>
            <w:shd w:val="clear" w:color="auto" w:fill="auto"/>
            <w:hideMark/>
          </w:tcPr>
          <w:p w:rsidR="00943973" w:rsidRPr="00D967E3" w:rsidRDefault="00943973" w:rsidP="00943973">
            <w:pPr>
              <w:jc w:val="right"/>
              <w:rPr>
                <w:color w:val="000000"/>
                <w:sz w:val="18"/>
                <w:szCs w:val="18"/>
                <w:lang w:eastAsia="en-AU"/>
              </w:rPr>
            </w:pPr>
            <w:r w:rsidRPr="00D967E3">
              <w:rPr>
                <w:color w:val="000000"/>
                <w:sz w:val="18"/>
                <w:szCs w:val="18"/>
                <w:lang w:eastAsia="en-AU"/>
              </w:rPr>
              <w:t>1,483</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r w:rsidRPr="00943973">
              <w:rPr>
                <w:color w:val="000000"/>
                <w:sz w:val="18"/>
                <w:szCs w:val="18"/>
                <w:lang w:eastAsia="en-AU"/>
              </w:rPr>
              <w:t>1,669</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National Health Reforms (Emergency Departments) NPP (Capital)</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1,669</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C54177">
        <w:tc>
          <w:tcPr>
            <w:tcW w:w="959" w:type="dxa"/>
            <w:tcBorders>
              <w:top w:val="nil"/>
              <w:left w:val="nil"/>
              <w:bottom w:val="nil"/>
              <w:right w:val="nil"/>
            </w:tcBorders>
            <w:shd w:val="clear" w:color="auto" w:fill="auto"/>
            <w:hideMark/>
          </w:tcPr>
          <w:p w:rsidR="00943973" w:rsidRPr="00D967E3" w:rsidRDefault="00943973" w:rsidP="00D967E3">
            <w:pPr>
              <w:pStyle w:val="TableTextLeft-BP3"/>
              <w:jc w:val="right"/>
              <w:rPr>
                <w:sz w:val="18"/>
                <w:lang w:eastAsia="en-AU"/>
              </w:rPr>
            </w:pPr>
            <w:r w:rsidRPr="00D967E3">
              <w:rPr>
                <w:sz w:val="18"/>
                <w:lang w:eastAsia="en-AU"/>
              </w:rPr>
              <w:t>0</w:t>
            </w:r>
          </w:p>
        </w:tc>
        <w:tc>
          <w:tcPr>
            <w:tcW w:w="2977" w:type="dxa"/>
            <w:tcBorders>
              <w:top w:val="nil"/>
              <w:left w:val="nil"/>
              <w:bottom w:val="nil"/>
              <w:right w:val="nil"/>
            </w:tcBorders>
            <w:shd w:val="clear" w:color="auto" w:fill="auto"/>
            <w:noWrap/>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Hepatitis C Settlement Fund</w:t>
            </w:r>
          </w:p>
        </w:tc>
        <w:tc>
          <w:tcPr>
            <w:tcW w:w="1275" w:type="dxa"/>
            <w:tcBorders>
              <w:top w:val="nil"/>
              <w:left w:val="nil"/>
              <w:bottom w:val="nil"/>
              <w:right w:val="nil"/>
            </w:tcBorders>
            <w:shd w:val="clear" w:color="auto" w:fill="auto"/>
            <w:hideMark/>
          </w:tcPr>
          <w:p w:rsidR="00943973" w:rsidRPr="00D967E3" w:rsidRDefault="00943973" w:rsidP="00D967E3">
            <w:pPr>
              <w:jc w:val="right"/>
              <w:rPr>
                <w:color w:val="000000"/>
                <w:sz w:val="18"/>
                <w:szCs w:val="18"/>
                <w:lang w:eastAsia="en-AU"/>
              </w:rPr>
            </w:pPr>
            <w:r w:rsidRPr="00D967E3">
              <w:rPr>
                <w:color w:val="000000"/>
                <w:sz w:val="18"/>
                <w:szCs w:val="18"/>
                <w:lang w:eastAsia="en-AU"/>
              </w:rPr>
              <w:t>33</w:t>
            </w:r>
          </w:p>
        </w:tc>
        <w:tc>
          <w:tcPr>
            <w:tcW w:w="1134" w:type="dxa"/>
            <w:tcBorders>
              <w:top w:val="nil"/>
              <w:left w:val="nil"/>
              <w:bottom w:val="nil"/>
              <w:right w:val="nil"/>
            </w:tcBorders>
            <w:shd w:val="clear" w:color="auto" w:fill="auto"/>
            <w:hideMark/>
          </w:tcPr>
          <w:p w:rsidR="00943973" w:rsidRPr="00D967E3" w:rsidRDefault="00943973" w:rsidP="00D967E3">
            <w:pPr>
              <w:jc w:val="right"/>
              <w:rPr>
                <w:color w:val="000000"/>
                <w:sz w:val="18"/>
                <w:szCs w:val="18"/>
                <w:lang w:eastAsia="en-AU"/>
              </w:rPr>
            </w:pPr>
            <w:r w:rsidRPr="00D967E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D967E3" w:rsidRDefault="00943973" w:rsidP="00D967E3">
            <w:pPr>
              <w:jc w:val="right"/>
              <w:rPr>
                <w:color w:val="000000"/>
                <w:sz w:val="18"/>
                <w:szCs w:val="18"/>
                <w:lang w:eastAsia="en-AU"/>
              </w:rPr>
            </w:pPr>
            <w:r w:rsidRPr="00D967E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D967E3" w:rsidRDefault="00943973" w:rsidP="00D967E3">
            <w:pPr>
              <w:jc w:val="right"/>
              <w:rPr>
                <w:color w:val="000000"/>
                <w:sz w:val="18"/>
                <w:szCs w:val="18"/>
                <w:lang w:eastAsia="en-AU"/>
              </w:rPr>
            </w:pPr>
            <w:r w:rsidRPr="00D967E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D967E3" w:rsidRDefault="00943973" w:rsidP="00D967E3">
            <w:pPr>
              <w:jc w:val="right"/>
              <w:rPr>
                <w:color w:val="000000"/>
                <w:sz w:val="18"/>
                <w:szCs w:val="18"/>
                <w:lang w:eastAsia="en-AU"/>
              </w:rPr>
            </w:pPr>
            <w:r w:rsidRPr="00D967E3">
              <w:rPr>
                <w:color w:val="000000"/>
                <w:sz w:val="18"/>
                <w:szCs w:val="18"/>
                <w:lang w:eastAsia="en-AU"/>
              </w:rPr>
              <w:t>0</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color w:val="000000"/>
                <w:sz w:val="18"/>
                <w:szCs w:val="18"/>
                <w:lang w:eastAsia="en-AU"/>
              </w:rPr>
            </w:pPr>
            <w:r w:rsidRPr="00943973">
              <w:rPr>
                <w:color w:val="000000"/>
                <w:sz w:val="18"/>
                <w:szCs w:val="18"/>
                <w:lang w:eastAsia="en-AU"/>
              </w:rPr>
              <w:t>1,102</w:t>
            </w:r>
          </w:p>
        </w:tc>
        <w:tc>
          <w:tcPr>
            <w:tcW w:w="2977" w:type="dxa"/>
            <w:tcBorders>
              <w:top w:val="nil"/>
              <w:left w:val="nil"/>
              <w:bottom w:val="nil"/>
              <w:right w:val="nil"/>
            </w:tcBorders>
            <w:shd w:val="clear" w:color="auto" w:fill="auto"/>
            <w:noWrap/>
            <w:hideMark/>
          </w:tcPr>
          <w:p w:rsidR="00943973" w:rsidRPr="00770995" w:rsidRDefault="00770D66" w:rsidP="00770D66">
            <w:pPr>
              <w:pStyle w:val="TableTextLeftBold-BP3"/>
              <w:rPr>
                <w:b w:val="0"/>
                <w:sz w:val="18"/>
                <w:szCs w:val="18"/>
                <w:lang w:eastAsia="en-AU"/>
              </w:rPr>
            </w:pPr>
            <w:r>
              <w:rPr>
                <w:b w:val="0"/>
                <w:sz w:val="18"/>
                <w:szCs w:val="18"/>
                <w:lang w:eastAsia="en-AU"/>
              </w:rPr>
              <w:t>Treating More Public Dental Patients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1,102</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2,471</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1,904</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D967E3">
            <w:pPr>
              <w:jc w:val="right"/>
              <w:rPr>
                <w:i/>
                <w:iCs/>
                <w:color w:val="000000"/>
                <w:sz w:val="18"/>
                <w:szCs w:val="18"/>
                <w:lang w:eastAsia="en-AU"/>
              </w:rPr>
            </w:pPr>
            <w:r w:rsidRPr="00943973">
              <w:rPr>
                <w:i/>
                <w:iCs/>
                <w:color w:val="000000"/>
                <w:sz w:val="18"/>
                <w:szCs w:val="18"/>
                <w:lang w:eastAsia="en-AU"/>
              </w:rPr>
              <w:t>31,229</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i/>
                <w:sz w:val="18"/>
                <w:szCs w:val="18"/>
                <w:lang w:eastAsia="en-AU"/>
              </w:rPr>
            </w:pPr>
            <w:r w:rsidRPr="00770995">
              <w:rPr>
                <w:b w:val="0"/>
                <w:i/>
                <w:sz w:val="18"/>
                <w:szCs w:val="18"/>
                <w:lang w:eastAsia="en-AU"/>
              </w:rPr>
              <w:t>Total Health Services NPPs</w:t>
            </w:r>
          </w:p>
        </w:tc>
        <w:tc>
          <w:tcPr>
            <w:tcW w:w="1275" w:type="dxa"/>
            <w:tcBorders>
              <w:top w:val="nil"/>
              <w:left w:val="nil"/>
              <w:bottom w:val="nil"/>
              <w:right w:val="nil"/>
            </w:tcBorders>
            <w:shd w:val="clear" w:color="auto" w:fill="auto"/>
            <w:hideMark/>
          </w:tcPr>
          <w:p w:rsidR="00943973" w:rsidRPr="00770995" w:rsidRDefault="00943973" w:rsidP="00943973">
            <w:pPr>
              <w:jc w:val="right"/>
              <w:rPr>
                <w:i/>
                <w:iCs/>
                <w:color w:val="000000"/>
                <w:sz w:val="18"/>
                <w:szCs w:val="18"/>
                <w:lang w:eastAsia="en-AU"/>
              </w:rPr>
            </w:pPr>
            <w:r w:rsidRPr="00770995">
              <w:rPr>
                <w:i/>
                <w:iCs/>
                <w:color w:val="000000"/>
                <w:sz w:val="18"/>
                <w:szCs w:val="18"/>
                <w:lang w:eastAsia="en-AU"/>
              </w:rPr>
              <w:t>31,798</w:t>
            </w:r>
          </w:p>
        </w:tc>
        <w:tc>
          <w:tcPr>
            <w:tcW w:w="1134" w:type="dxa"/>
            <w:tcBorders>
              <w:top w:val="nil"/>
              <w:left w:val="nil"/>
              <w:bottom w:val="nil"/>
              <w:right w:val="nil"/>
            </w:tcBorders>
            <w:shd w:val="clear" w:color="auto" w:fill="auto"/>
            <w:hideMark/>
          </w:tcPr>
          <w:p w:rsidR="00943973" w:rsidRPr="00770995" w:rsidRDefault="00943973" w:rsidP="00943973">
            <w:pPr>
              <w:jc w:val="right"/>
              <w:rPr>
                <w:i/>
                <w:iCs/>
                <w:color w:val="000000"/>
                <w:sz w:val="18"/>
                <w:szCs w:val="18"/>
                <w:lang w:eastAsia="en-AU"/>
              </w:rPr>
            </w:pPr>
            <w:r w:rsidRPr="00770995">
              <w:rPr>
                <w:i/>
                <w:iCs/>
                <w:color w:val="000000"/>
                <w:sz w:val="18"/>
                <w:szCs w:val="18"/>
                <w:lang w:eastAsia="en-AU"/>
              </w:rPr>
              <w:t>20,387</w:t>
            </w:r>
          </w:p>
        </w:tc>
        <w:tc>
          <w:tcPr>
            <w:tcW w:w="993" w:type="dxa"/>
            <w:tcBorders>
              <w:top w:val="nil"/>
              <w:left w:val="nil"/>
              <w:bottom w:val="nil"/>
              <w:right w:val="nil"/>
            </w:tcBorders>
            <w:shd w:val="clear" w:color="auto" w:fill="auto"/>
            <w:hideMark/>
          </w:tcPr>
          <w:p w:rsidR="00943973" w:rsidRPr="00770995" w:rsidRDefault="00943973" w:rsidP="00943973">
            <w:pPr>
              <w:jc w:val="right"/>
              <w:rPr>
                <w:i/>
                <w:iCs/>
                <w:color w:val="000000"/>
                <w:sz w:val="18"/>
                <w:szCs w:val="18"/>
                <w:lang w:eastAsia="en-AU"/>
              </w:rPr>
            </w:pPr>
            <w:r w:rsidRPr="00770995">
              <w:rPr>
                <w:i/>
                <w:iCs/>
                <w:color w:val="000000"/>
                <w:sz w:val="18"/>
                <w:szCs w:val="18"/>
                <w:lang w:eastAsia="en-AU"/>
              </w:rPr>
              <w:t>17,821</w:t>
            </w:r>
          </w:p>
        </w:tc>
        <w:tc>
          <w:tcPr>
            <w:tcW w:w="992" w:type="dxa"/>
            <w:tcBorders>
              <w:top w:val="nil"/>
              <w:left w:val="nil"/>
              <w:bottom w:val="nil"/>
              <w:right w:val="nil"/>
            </w:tcBorders>
            <w:shd w:val="clear" w:color="auto" w:fill="auto"/>
            <w:hideMark/>
          </w:tcPr>
          <w:p w:rsidR="00943973" w:rsidRPr="00770995" w:rsidRDefault="00943973" w:rsidP="00943973">
            <w:pPr>
              <w:jc w:val="right"/>
              <w:rPr>
                <w:i/>
                <w:iCs/>
                <w:color w:val="000000"/>
                <w:sz w:val="18"/>
                <w:szCs w:val="18"/>
                <w:lang w:eastAsia="en-AU"/>
              </w:rPr>
            </w:pPr>
            <w:r w:rsidRPr="00770995">
              <w:rPr>
                <w:i/>
                <w:iCs/>
                <w:color w:val="000000"/>
                <w:sz w:val="18"/>
                <w:szCs w:val="18"/>
                <w:lang w:eastAsia="en-AU"/>
              </w:rPr>
              <w:t>12,191</w:t>
            </w:r>
          </w:p>
        </w:tc>
        <w:tc>
          <w:tcPr>
            <w:tcW w:w="992" w:type="dxa"/>
            <w:tcBorders>
              <w:top w:val="nil"/>
              <w:left w:val="nil"/>
              <w:bottom w:val="nil"/>
              <w:right w:val="nil"/>
            </w:tcBorders>
            <w:shd w:val="clear" w:color="auto" w:fill="auto"/>
            <w:hideMark/>
          </w:tcPr>
          <w:p w:rsidR="00943973" w:rsidRPr="00770995" w:rsidRDefault="00943973" w:rsidP="00943973">
            <w:pPr>
              <w:jc w:val="right"/>
              <w:rPr>
                <w:i/>
                <w:iCs/>
                <w:color w:val="000000"/>
                <w:sz w:val="18"/>
                <w:szCs w:val="18"/>
                <w:lang w:eastAsia="en-AU"/>
              </w:rPr>
            </w:pPr>
            <w:r w:rsidRPr="00770995">
              <w:rPr>
                <w:i/>
                <w:iCs/>
                <w:color w:val="000000"/>
                <w:sz w:val="18"/>
                <w:szCs w:val="18"/>
                <w:lang w:eastAsia="en-AU"/>
              </w:rPr>
              <w:t>14,682</w:t>
            </w:r>
          </w:p>
        </w:tc>
      </w:tr>
      <w:tr w:rsidR="00943973" w:rsidRPr="00943973" w:rsidTr="00C54177">
        <w:tc>
          <w:tcPr>
            <w:tcW w:w="959" w:type="dxa"/>
            <w:tcBorders>
              <w:top w:val="single" w:sz="4" w:space="0" w:color="auto"/>
              <w:left w:val="nil"/>
              <w:bottom w:val="single" w:sz="4" w:space="0" w:color="auto"/>
              <w:right w:val="nil"/>
            </w:tcBorders>
            <w:shd w:val="clear" w:color="auto" w:fill="auto"/>
            <w:hideMark/>
          </w:tcPr>
          <w:p w:rsidR="00943973" w:rsidRPr="00943973" w:rsidRDefault="00943973" w:rsidP="00D967E3">
            <w:pPr>
              <w:jc w:val="right"/>
              <w:rPr>
                <w:b/>
                <w:bCs/>
                <w:color w:val="000000"/>
                <w:sz w:val="18"/>
                <w:szCs w:val="18"/>
                <w:lang w:eastAsia="en-AU"/>
              </w:rPr>
            </w:pPr>
            <w:r w:rsidRPr="00943973">
              <w:rPr>
                <w:b/>
                <w:bCs/>
                <w:color w:val="000000"/>
                <w:sz w:val="18"/>
                <w:szCs w:val="18"/>
                <w:lang w:eastAsia="en-AU"/>
              </w:rPr>
              <w:t>234,755</w:t>
            </w:r>
          </w:p>
        </w:tc>
        <w:tc>
          <w:tcPr>
            <w:tcW w:w="2977" w:type="dxa"/>
            <w:tcBorders>
              <w:top w:val="single" w:sz="4" w:space="0" w:color="auto"/>
              <w:left w:val="nil"/>
              <w:bottom w:val="single" w:sz="4" w:space="0" w:color="auto"/>
              <w:right w:val="nil"/>
            </w:tcBorders>
            <w:shd w:val="clear" w:color="auto" w:fill="auto"/>
            <w:hideMark/>
          </w:tcPr>
          <w:p w:rsidR="00943973" w:rsidRPr="00D967E3" w:rsidRDefault="00943973" w:rsidP="00A4070D">
            <w:pPr>
              <w:pStyle w:val="TableTextLeft-BP3"/>
              <w:rPr>
                <w:b/>
                <w:sz w:val="18"/>
                <w:lang w:eastAsia="en-AU"/>
              </w:rPr>
            </w:pPr>
            <w:r w:rsidRPr="00D967E3">
              <w:rPr>
                <w:b/>
                <w:sz w:val="18"/>
                <w:lang w:eastAsia="en-AU"/>
              </w:rPr>
              <w:t>Total Health Services</w:t>
            </w:r>
          </w:p>
        </w:tc>
        <w:tc>
          <w:tcPr>
            <w:tcW w:w="1275"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276,482</w:t>
            </w:r>
          </w:p>
        </w:tc>
        <w:tc>
          <w:tcPr>
            <w:tcW w:w="1134"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299,923</w:t>
            </w:r>
          </w:p>
        </w:tc>
        <w:tc>
          <w:tcPr>
            <w:tcW w:w="993"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336,259</w:t>
            </w:r>
          </w:p>
        </w:tc>
        <w:tc>
          <w:tcPr>
            <w:tcW w:w="992"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373,171</w:t>
            </w:r>
          </w:p>
        </w:tc>
        <w:tc>
          <w:tcPr>
            <w:tcW w:w="992"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422,305</w:t>
            </w:r>
          </w:p>
        </w:tc>
      </w:tr>
      <w:tr w:rsidR="00341BCF" w:rsidRPr="00D967E3" w:rsidTr="00C54177">
        <w:tc>
          <w:tcPr>
            <w:tcW w:w="959" w:type="dxa"/>
            <w:tcBorders>
              <w:top w:val="single" w:sz="4" w:space="0" w:color="auto"/>
              <w:left w:val="nil"/>
              <w:right w:val="nil"/>
            </w:tcBorders>
            <w:shd w:val="clear" w:color="auto" w:fill="auto"/>
            <w:hideMark/>
          </w:tcPr>
          <w:p w:rsidR="00341BCF" w:rsidRPr="00943973" w:rsidRDefault="00341BCF" w:rsidP="00943973">
            <w:pPr>
              <w:jc w:val="right"/>
              <w:rPr>
                <w:color w:val="000000"/>
                <w:sz w:val="18"/>
                <w:szCs w:val="18"/>
                <w:lang w:eastAsia="en-AU"/>
              </w:rPr>
            </w:pPr>
          </w:p>
        </w:tc>
        <w:tc>
          <w:tcPr>
            <w:tcW w:w="2977" w:type="dxa"/>
            <w:tcBorders>
              <w:top w:val="single" w:sz="4" w:space="0" w:color="auto"/>
              <w:left w:val="nil"/>
              <w:right w:val="nil"/>
            </w:tcBorders>
            <w:shd w:val="clear" w:color="auto" w:fill="auto"/>
            <w:hideMark/>
          </w:tcPr>
          <w:p w:rsidR="00341BCF" w:rsidRPr="00D967E3" w:rsidRDefault="009F4007" w:rsidP="00770995">
            <w:pPr>
              <w:rPr>
                <w:color w:val="000000"/>
                <w:sz w:val="18"/>
                <w:szCs w:val="18"/>
                <w:lang w:eastAsia="en-AU"/>
              </w:rPr>
            </w:pPr>
            <w:r>
              <w:rPr>
                <w:color w:val="000000"/>
                <w:sz w:val="18"/>
                <w:szCs w:val="18"/>
                <w:lang w:eastAsia="en-AU"/>
              </w:rPr>
              <w:t xml:space="preserve">  </w:t>
            </w:r>
          </w:p>
        </w:tc>
        <w:tc>
          <w:tcPr>
            <w:tcW w:w="1275" w:type="dxa"/>
            <w:tcBorders>
              <w:top w:val="single" w:sz="4" w:space="0" w:color="auto"/>
              <w:left w:val="nil"/>
              <w:right w:val="nil"/>
            </w:tcBorders>
            <w:shd w:val="clear" w:color="auto" w:fill="auto"/>
            <w:hideMark/>
          </w:tcPr>
          <w:p w:rsidR="00341BCF" w:rsidRPr="00943973" w:rsidRDefault="00341BCF" w:rsidP="00943973">
            <w:pPr>
              <w:jc w:val="right"/>
              <w:rPr>
                <w:color w:val="000000"/>
                <w:sz w:val="18"/>
                <w:szCs w:val="18"/>
                <w:lang w:eastAsia="en-AU"/>
              </w:rPr>
            </w:pPr>
          </w:p>
        </w:tc>
        <w:tc>
          <w:tcPr>
            <w:tcW w:w="1134" w:type="dxa"/>
            <w:tcBorders>
              <w:top w:val="single" w:sz="4" w:space="0" w:color="auto"/>
              <w:left w:val="nil"/>
              <w:right w:val="nil"/>
            </w:tcBorders>
            <w:shd w:val="clear" w:color="auto" w:fill="auto"/>
            <w:hideMark/>
          </w:tcPr>
          <w:p w:rsidR="00341BCF" w:rsidRPr="00943973" w:rsidRDefault="00341BCF" w:rsidP="00943973">
            <w:pPr>
              <w:jc w:val="right"/>
              <w:rPr>
                <w:color w:val="000000"/>
                <w:sz w:val="18"/>
                <w:szCs w:val="18"/>
                <w:lang w:eastAsia="en-AU"/>
              </w:rPr>
            </w:pPr>
          </w:p>
        </w:tc>
        <w:tc>
          <w:tcPr>
            <w:tcW w:w="993" w:type="dxa"/>
            <w:tcBorders>
              <w:top w:val="single" w:sz="4" w:space="0" w:color="auto"/>
              <w:left w:val="nil"/>
              <w:right w:val="nil"/>
            </w:tcBorders>
            <w:shd w:val="clear" w:color="auto" w:fill="auto"/>
            <w:hideMark/>
          </w:tcPr>
          <w:p w:rsidR="00341BCF" w:rsidRPr="00943973" w:rsidRDefault="00341BCF" w:rsidP="00943973">
            <w:pPr>
              <w:jc w:val="right"/>
              <w:rPr>
                <w:color w:val="000000"/>
                <w:sz w:val="18"/>
                <w:szCs w:val="18"/>
                <w:lang w:eastAsia="en-AU"/>
              </w:rPr>
            </w:pPr>
          </w:p>
        </w:tc>
        <w:tc>
          <w:tcPr>
            <w:tcW w:w="992" w:type="dxa"/>
            <w:tcBorders>
              <w:top w:val="single" w:sz="4" w:space="0" w:color="auto"/>
              <w:left w:val="nil"/>
              <w:right w:val="nil"/>
            </w:tcBorders>
            <w:shd w:val="clear" w:color="auto" w:fill="auto"/>
            <w:hideMark/>
          </w:tcPr>
          <w:p w:rsidR="00341BCF" w:rsidRPr="00943973" w:rsidRDefault="00341BCF" w:rsidP="00943973">
            <w:pPr>
              <w:jc w:val="right"/>
              <w:rPr>
                <w:color w:val="000000"/>
                <w:sz w:val="18"/>
                <w:szCs w:val="18"/>
                <w:lang w:eastAsia="en-AU"/>
              </w:rPr>
            </w:pPr>
          </w:p>
        </w:tc>
        <w:tc>
          <w:tcPr>
            <w:tcW w:w="992" w:type="dxa"/>
            <w:tcBorders>
              <w:top w:val="single" w:sz="4" w:space="0" w:color="auto"/>
              <w:left w:val="nil"/>
              <w:right w:val="nil"/>
            </w:tcBorders>
            <w:shd w:val="clear" w:color="auto" w:fill="auto"/>
            <w:hideMark/>
          </w:tcPr>
          <w:p w:rsidR="00341BCF" w:rsidRPr="00943973" w:rsidRDefault="00341BCF" w:rsidP="00943973">
            <w:pPr>
              <w:jc w:val="right"/>
              <w:rPr>
                <w:color w:val="000000"/>
                <w:sz w:val="18"/>
                <w:szCs w:val="18"/>
                <w:lang w:eastAsia="en-AU"/>
              </w:rPr>
            </w:pPr>
          </w:p>
        </w:tc>
      </w:tr>
      <w:tr w:rsidR="00943973" w:rsidRPr="00943973" w:rsidTr="00C54177">
        <w:tc>
          <w:tcPr>
            <w:tcW w:w="959"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2977" w:type="dxa"/>
            <w:tcBorders>
              <w:left w:val="nil"/>
              <w:bottom w:val="nil"/>
              <w:right w:val="nil"/>
            </w:tcBorders>
            <w:shd w:val="clear" w:color="auto" w:fill="auto"/>
            <w:hideMark/>
          </w:tcPr>
          <w:p w:rsidR="00943973" w:rsidRPr="00770995" w:rsidRDefault="00943973" w:rsidP="00770995">
            <w:pPr>
              <w:rPr>
                <w:b/>
                <w:color w:val="000000"/>
                <w:sz w:val="18"/>
                <w:szCs w:val="18"/>
                <w:lang w:eastAsia="en-AU"/>
              </w:rPr>
            </w:pPr>
            <w:r w:rsidRPr="00770995">
              <w:rPr>
                <w:b/>
                <w:color w:val="000000"/>
                <w:sz w:val="18"/>
                <w:szCs w:val="18"/>
                <w:lang w:eastAsia="en-AU"/>
              </w:rPr>
              <w:t>Housing</w:t>
            </w:r>
          </w:p>
        </w:tc>
        <w:tc>
          <w:tcPr>
            <w:tcW w:w="1275"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23,313</w:t>
            </w:r>
          </w:p>
        </w:tc>
        <w:tc>
          <w:tcPr>
            <w:tcW w:w="2977" w:type="dxa"/>
            <w:tcBorders>
              <w:top w:val="nil"/>
              <w:left w:val="nil"/>
              <w:bottom w:val="nil"/>
              <w:right w:val="nil"/>
            </w:tcBorders>
            <w:shd w:val="clear" w:color="auto" w:fill="auto"/>
            <w:hideMark/>
          </w:tcPr>
          <w:p w:rsidR="00943973" w:rsidRPr="00943973" w:rsidRDefault="00943973" w:rsidP="00770995">
            <w:pPr>
              <w:rPr>
                <w:color w:val="000000"/>
                <w:sz w:val="18"/>
                <w:szCs w:val="18"/>
                <w:lang w:eastAsia="en-AU"/>
              </w:rPr>
            </w:pPr>
            <w:r w:rsidRPr="00943973">
              <w:rPr>
                <w:color w:val="000000"/>
                <w:sz w:val="18"/>
                <w:szCs w:val="18"/>
                <w:lang w:eastAsia="en-AU"/>
              </w:rPr>
              <w:t>National Affordable Housing SPP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23,536</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22,611</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21,763</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22,222</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22,687</w:t>
            </w:r>
          </w:p>
        </w:tc>
      </w:tr>
      <w:tr w:rsidR="00341BCF" w:rsidRPr="00943973" w:rsidTr="00C54177">
        <w:tc>
          <w:tcPr>
            <w:tcW w:w="959" w:type="dxa"/>
            <w:tcBorders>
              <w:top w:val="nil"/>
              <w:left w:val="nil"/>
              <w:bottom w:val="nil"/>
              <w:right w:val="nil"/>
            </w:tcBorders>
            <w:shd w:val="clear" w:color="auto" w:fill="auto"/>
            <w:hideMark/>
          </w:tcPr>
          <w:p w:rsidR="00341BCF" w:rsidRPr="00943973" w:rsidRDefault="00341BCF" w:rsidP="00943973">
            <w:pPr>
              <w:jc w:val="right"/>
              <w:rPr>
                <w:color w:val="000000"/>
                <w:sz w:val="18"/>
                <w:szCs w:val="18"/>
                <w:lang w:eastAsia="en-AU"/>
              </w:rPr>
            </w:pPr>
          </w:p>
        </w:tc>
        <w:tc>
          <w:tcPr>
            <w:tcW w:w="2977" w:type="dxa"/>
            <w:tcBorders>
              <w:top w:val="nil"/>
              <w:left w:val="nil"/>
              <w:bottom w:val="nil"/>
              <w:right w:val="nil"/>
            </w:tcBorders>
            <w:shd w:val="clear" w:color="auto" w:fill="auto"/>
            <w:hideMark/>
          </w:tcPr>
          <w:p w:rsidR="00341BCF" w:rsidRPr="00943973" w:rsidRDefault="009F4007" w:rsidP="00770995">
            <w:pPr>
              <w:ind w:firstLineChars="100" w:firstLine="181"/>
              <w:rPr>
                <w:b/>
                <w:bCs/>
                <w:i/>
                <w:iCs/>
                <w:color w:val="000000"/>
                <w:sz w:val="18"/>
                <w:szCs w:val="18"/>
                <w:lang w:eastAsia="en-AU"/>
              </w:rPr>
            </w:pPr>
            <w:r>
              <w:rPr>
                <w:b/>
                <w:bCs/>
                <w:i/>
                <w:iCs/>
                <w:color w:val="000000"/>
                <w:sz w:val="18"/>
                <w:szCs w:val="18"/>
                <w:lang w:eastAsia="en-AU"/>
              </w:rPr>
              <w:t xml:space="preserve">  </w:t>
            </w:r>
          </w:p>
        </w:tc>
        <w:tc>
          <w:tcPr>
            <w:tcW w:w="1275" w:type="dxa"/>
            <w:tcBorders>
              <w:top w:val="nil"/>
              <w:left w:val="nil"/>
              <w:bottom w:val="nil"/>
              <w:right w:val="nil"/>
            </w:tcBorders>
            <w:shd w:val="clear" w:color="auto" w:fill="auto"/>
            <w:hideMark/>
          </w:tcPr>
          <w:p w:rsidR="00341BCF" w:rsidRPr="00943973" w:rsidRDefault="00341BCF"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341BCF" w:rsidRPr="00943973" w:rsidRDefault="00341BCF"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341BCF" w:rsidRPr="00943973" w:rsidRDefault="00341BCF"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341BCF" w:rsidRPr="00943973" w:rsidRDefault="00341BCF"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341BCF" w:rsidRPr="00943973" w:rsidRDefault="00341BCF" w:rsidP="00943973">
            <w:pPr>
              <w:jc w:val="right"/>
              <w:rPr>
                <w:color w:val="000000"/>
                <w:sz w:val="18"/>
                <w:szCs w:val="18"/>
                <w:lang w:eastAsia="en-AU"/>
              </w:rPr>
            </w:pP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i/>
                <w:sz w:val="18"/>
                <w:szCs w:val="18"/>
                <w:lang w:eastAsia="en-AU"/>
              </w:rPr>
            </w:pPr>
            <w:r w:rsidRPr="00770995">
              <w:rPr>
                <w:i/>
                <w:sz w:val="18"/>
                <w:szCs w:val="18"/>
                <w:lang w:eastAsia="en-AU"/>
              </w:rPr>
              <w:t>Housing NPP's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325</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First Home Owners Boost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38</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2,401</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 xml:space="preserve">Homelessness NPP </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2,401</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C54177">
        <w:tc>
          <w:tcPr>
            <w:tcW w:w="959" w:type="dxa"/>
            <w:tcBorders>
              <w:top w:val="nil"/>
              <w:left w:val="nil"/>
              <w:bottom w:val="nil"/>
              <w:right w:val="nil"/>
            </w:tcBorders>
            <w:shd w:val="clear" w:color="auto" w:fill="auto"/>
            <w:noWrap/>
            <w:vAlign w:val="bottom"/>
            <w:hideMark/>
          </w:tcPr>
          <w:p w:rsidR="00943973" w:rsidRPr="00D967E3" w:rsidRDefault="00943973" w:rsidP="00943973">
            <w:pPr>
              <w:jc w:val="right"/>
              <w:rPr>
                <w:color w:val="000000"/>
                <w:sz w:val="18"/>
                <w:szCs w:val="18"/>
                <w:lang w:eastAsia="en-AU"/>
              </w:rPr>
            </w:pPr>
            <w:r w:rsidRPr="00D967E3">
              <w:rPr>
                <w:color w:val="000000"/>
                <w:sz w:val="18"/>
                <w:szCs w:val="18"/>
                <w:lang w:eastAsia="en-AU"/>
              </w:rPr>
              <w:t>2,726</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i/>
                <w:sz w:val="18"/>
                <w:szCs w:val="18"/>
                <w:lang w:eastAsia="en-AU"/>
              </w:rPr>
            </w:pPr>
            <w:r w:rsidRPr="00770995">
              <w:rPr>
                <w:b w:val="0"/>
                <w:i/>
                <w:sz w:val="18"/>
                <w:szCs w:val="18"/>
                <w:lang w:eastAsia="en-AU"/>
              </w:rPr>
              <w:t>Total Housing NPPs</w:t>
            </w:r>
          </w:p>
        </w:tc>
        <w:tc>
          <w:tcPr>
            <w:tcW w:w="1275" w:type="dxa"/>
            <w:tcBorders>
              <w:top w:val="nil"/>
              <w:left w:val="nil"/>
              <w:bottom w:val="nil"/>
              <w:right w:val="nil"/>
            </w:tcBorders>
            <w:shd w:val="clear" w:color="auto" w:fill="auto"/>
            <w:hideMark/>
          </w:tcPr>
          <w:p w:rsidR="00943973" w:rsidRPr="00770995" w:rsidRDefault="00943973" w:rsidP="00943973">
            <w:pPr>
              <w:jc w:val="right"/>
              <w:rPr>
                <w:i/>
                <w:color w:val="000000"/>
                <w:sz w:val="18"/>
                <w:szCs w:val="18"/>
                <w:lang w:eastAsia="en-AU"/>
              </w:rPr>
            </w:pPr>
            <w:r w:rsidRPr="00770995">
              <w:rPr>
                <w:i/>
                <w:color w:val="000000"/>
                <w:sz w:val="18"/>
                <w:szCs w:val="18"/>
                <w:lang w:eastAsia="en-AU"/>
              </w:rPr>
              <w:t>2,439</w:t>
            </w:r>
          </w:p>
        </w:tc>
        <w:tc>
          <w:tcPr>
            <w:tcW w:w="1134" w:type="dxa"/>
            <w:tcBorders>
              <w:top w:val="nil"/>
              <w:left w:val="nil"/>
              <w:bottom w:val="nil"/>
              <w:right w:val="nil"/>
            </w:tcBorders>
            <w:shd w:val="clear" w:color="auto" w:fill="auto"/>
            <w:hideMark/>
          </w:tcPr>
          <w:p w:rsidR="00943973" w:rsidRPr="00770995" w:rsidRDefault="00943973" w:rsidP="00943973">
            <w:pPr>
              <w:jc w:val="right"/>
              <w:rPr>
                <w:i/>
                <w:color w:val="000000"/>
                <w:sz w:val="18"/>
                <w:szCs w:val="18"/>
                <w:lang w:eastAsia="en-AU"/>
              </w:rPr>
            </w:pPr>
            <w:r w:rsidRPr="00770995">
              <w:rPr>
                <w:i/>
                <w:color w:val="000000"/>
                <w:sz w:val="18"/>
                <w:szCs w:val="18"/>
                <w:lang w:eastAsia="en-AU"/>
              </w:rPr>
              <w:t>0</w:t>
            </w:r>
          </w:p>
        </w:tc>
        <w:tc>
          <w:tcPr>
            <w:tcW w:w="993" w:type="dxa"/>
            <w:tcBorders>
              <w:top w:val="nil"/>
              <w:left w:val="nil"/>
              <w:bottom w:val="nil"/>
              <w:right w:val="nil"/>
            </w:tcBorders>
            <w:shd w:val="clear" w:color="auto" w:fill="auto"/>
            <w:hideMark/>
          </w:tcPr>
          <w:p w:rsidR="00943973" w:rsidRPr="00770995" w:rsidRDefault="00943973" w:rsidP="00943973">
            <w:pPr>
              <w:jc w:val="right"/>
              <w:rPr>
                <w:i/>
                <w:color w:val="000000"/>
                <w:sz w:val="18"/>
                <w:szCs w:val="18"/>
                <w:lang w:eastAsia="en-AU"/>
              </w:rPr>
            </w:pPr>
            <w:r w:rsidRPr="00770995">
              <w:rPr>
                <w:i/>
                <w:color w:val="000000"/>
                <w:sz w:val="18"/>
                <w:szCs w:val="18"/>
                <w:lang w:eastAsia="en-AU"/>
              </w:rPr>
              <w:t>0</w:t>
            </w:r>
          </w:p>
        </w:tc>
        <w:tc>
          <w:tcPr>
            <w:tcW w:w="992" w:type="dxa"/>
            <w:tcBorders>
              <w:top w:val="nil"/>
              <w:left w:val="nil"/>
              <w:bottom w:val="nil"/>
              <w:right w:val="nil"/>
            </w:tcBorders>
            <w:shd w:val="clear" w:color="auto" w:fill="auto"/>
            <w:hideMark/>
          </w:tcPr>
          <w:p w:rsidR="00943973" w:rsidRPr="00770995" w:rsidRDefault="00943973" w:rsidP="00943973">
            <w:pPr>
              <w:jc w:val="right"/>
              <w:rPr>
                <w:i/>
                <w:color w:val="000000"/>
                <w:sz w:val="18"/>
                <w:szCs w:val="18"/>
                <w:lang w:eastAsia="en-AU"/>
              </w:rPr>
            </w:pPr>
            <w:r w:rsidRPr="00770995">
              <w:rPr>
                <w:i/>
                <w:color w:val="000000"/>
                <w:sz w:val="18"/>
                <w:szCs w:val="18"/>
                <w:lang w:eastAsia="en-AU"/>
              </w:rPr>
              <w:t>0</w:t>
            </w:r>
          </w:p>
        </w:tc>
        <w:tc>
          <w:tcPr>
            <w:tcW w:w="992" w:type="dxa"/>
            <w:tcBorders>
              <w:top w:val="nil"/>
              <w:left w:val="nil"/>
              <w:bottom w:val="nil"/>
              <w:right w:val="nil"/>
            </w:tcBorders>
            <w:shd w:val="clear" w:color="auto" w:fill="auto"/>
            <w:hideMark/>
          </w:tcPr>
          <w:p w:rsidR="00943973" w:rsidRPr="00770995" w:rsidRDefault="00943973" w:rsidP="00943973">
            <w:pPr>
              <w:jc w:val="right"/>
              <w:rPr>
                <w:i/>
                <w:color w:val="000000"/>
                <w:sz w:val="18"/>
                <w:szCs w:val="18"/>
                <w:lang w:eastAsia="en-AU"/>
              </w:rPr>
            </w:pPr>
            <w:r w:rsidRPr="00770995">
              <w:rPr>
                <w:i/>
                <w:color w:val="000000"/>
                <w:sz w:val="18"/>
                <w:szCs w:val="18"/>
                <w:lang w:eastAsia="en-AU"/>
              </w:rPr>
              <w:t>0</w:t>
            </w:r>
          </w:p>
        </w:tc>
      </w:tr>
      <w:tr w:rsidR="00943973" w:rsidRPr="00943973" w:rsidTr="00C54177">
        <w:tc>
          <w:tcPr>
            <w:tcW w:w="959"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26,039</w:t>
            </w:r>
          </w:p>
        </w:tc>
        <w:tc>
          <w:tcPr>
            <w:tcW w:w="2977" w:type="dxa"/>
            <w:tcBorders>
              <w:top w:val="single" w:sz="4" w:space="0" w:color="auto"/>
              <w:left w:val="nil"/>
              <w:bottom w:val="single" w:sz="4" w:space="0" w:color="auto"/>
              <w:right w:val="nil"/>
            </w:tcBorders>
            <w:shd w:val="clear" w:color="auto" w:fill="auto"/>
            <w:hideMark/>
          </w:tcPr>
          <w:p w:rsidR="00943973" w:rsidRPr="00943973" w:rsidRDefault="00943973" w:rsidP="00770995">
            <w:pPr>
              <w:rPr>
                <w:b/>
                <w:bCs/>
                <w:color w:val="000000"/>
                <w:sz w:val="18"/>
                <w:szCs w:val="18"/>
                <w:lang w:eastAsia="en-AU"/>
              </w:rPr>
            </w:pPr>
            <w:r w:rsidRPr="00943973">
              <w:rPr>
                <w:b/>
                <w:bCs/>
                <w:color w:val="000000"/>
                <w:sz w:val="18"/>
                <w:szCs w:val="18"/>
                <w:lang w:eastAsia="en-AU"/>
              </w:rPr>
              <w:t>Total Housing</w:t>
            </w:r>
          </w:p>
        </w:tc>
        <w:tc>
          <w:tcPr>
            <w:tcW w:w="1275"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25,975</w:t>
            </w:r>
          </w:p>
        </w:tc>
        <w:tc>
          <w:tcPr>
            <w:tcW w:w="1134"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22,611</w:t>
            </w:r>
          </w:p>
        </w:tc>
        <w:tc>
          <w:tcPr>
            <w:tcW w:w="993"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21,763</w:t>
            </w:r>
          </w:p>
        </w:tc>
        <w:tc>
          <w:tcPr>
            <w:tcW w:w="992"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22,222</w:t>
            </w:r>
          </w:p>
        </w:tc>
        <w:tc>
          <w:tcPr>
            <w:tcW w:w="992"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22,687</w:t>
            </w:r>
          </w:p>
        </w:tc>
      </w:tr>
    </w:tbl>
    <w:p w:rsidR="00D967E3" w:rsidRDefault="00D967E3">
      <w:r>
        <w:br w:type="page"/>
      </w:r>
    </w:p>
    <w:tbl>
      <w:tblPr>
        <w:tblW w:w="9322" w:type="dxa"/>
        <w:tblLayout w:type="fixed"/>
        <w:tblLook w:val="04A0"/>
      </w:tblPr>
      <w:tblGrid>
        <w:gridCol w:w="959"/>
        <w:gridCol w:w="2977"/>
        <w:gridCol w:w="1275"/>
        <w:gridCol w:w="1134"/>
        <w:gridCol w:w="993"/>
        <w:gridCol w:w="992"/>
        <w:gridCol w:w="992"/>
      </w:tblGrid>
      <w:tr w:rsidR="00D967E3" w:rsidRPr="00943973" w:rsidTr="0001117A">
        <w:trPr>
          <w:trHeight w:val="95"/>
        </w:trPr>
        <w:tc>
          <w:tcPr>
            <w:tcW w:w="959" w:type="dxa"/>
            <w:tcBorders>
              <w:top w:val="single" w:sz="8" w:space="0" w:color="auto"/>
              <w:left w:val="nil"/>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lastRenderedPageBreak/>
              <w:t>2012-13</w:t>
            </w:r>
          </w:p>
        </w:tc>
        <w:tc>
          <w:tcPr>
            <w:tcW w:w="2977" w:type="dxa"/>
            <w:tcBorders>
              <w:top w:val="single" w:sz="8" w:space="0" w:color="auto"/>
              <w:left w:val="nil"/>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 </w:t>
            </w:r>
          </w:p>
        </w:tc>
        <w:tc>
          <w:tcPr>
            <w:tcW w:w="1275" w:type="dxa"/>
            <w:tcBorders>
              <w:top w:val="single" w:sz="8" w:space="0" w:color="auto"/>
              <w:left w:val="nil"/>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2012-13</w:t>
            </w:r>
          </w:p>
        </w:tc>
        <w:tc>
          <w:tcPr>
            <w:tcW w:w="1134" w:type="dxa"/>
            <w:tcBorders>
              <w:top w:val="single" w:sz="8" w:space="0" w:color="auto"/>
              <w:left w:val="nil"/>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2013-14</w:t>
            </w:r>
          </w:p>
        </w:tc>
        <w:tc>
          <w:tcPr>
            <w:tcW w:w="993" w:type="dxa"/>
            <w:tcBorders>
              <w:top w:val="single" w:sz="8" w:space="0" w:color="auto"/>
              <w:left w:val="nil"/>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2014-15</w:t>
            </w:r>
          </w:p>
        </w:tc>
        <w:tc>
          <w:tcPr>
            <w:tcW w:w="992" w:type="dxa"/>
            <w:tcBorders>
              <w:top w:val="single" w:sz="8" w:space="0" w:color="auto"/>
              <w:left w:val="nil"/>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2015-16</w:t>
            </w:r>
          </w:p>
        </w:tc>
        <w:tc>
          <w:tcPr>
            <w:tcW w:w="992" w:type="dxa"/>
            <w:tcBorders>
              <w:top w:val="single" w:sz="8" w:space="0" w:color="auto"/>
              <w:left w:val="nil"/>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2016-17</w:t>
            </w:r>
          </w:p>
        </w:tc>
      </w:tr>
      <w:tr w:rsidR="00D967E3" w:rsidRPr="00943973" w:rsidTr="00D967E3">
        <w:trPr>
          <w:trHeight w:val="95"/>
        </w:trPr>
        <w:tc>
          <w:tcPr>
            <w:tcW w:w="959" w:type="dxa"/>
            <w:tcBorders>
              <w:left w:val="nil"/>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Budget</w:t>
            </w:r>
          </w:p>
        </w:tc>
        <w:tc>
          <w:tcPr>
            <w:tcW w:w="2977" w:type="dxa"/>
            <w:tcBorders>
              <w:left w:val="nil"/>
              <w:right w:val="nil"/>
            </w:tcBorders>
            <w:shd w:val="clear" w:color="auto" w:fill="auto"/>
            <w:hideMark/>
          </w:tcPr>
          <w:p w:rsidR="00D967E3" w:rsidRPr="00093645" w:rsidRDefault="00D967E3" w:rsidP="00093645">
            <w:pPr>
              <w:pStyle w:val="TableTextLeftBold-BP3"/>
              <w:rPr>
                <w:bCs/>
                <w:color w:val="000000"/>
                <w:sz w:val="18"/>
                <w:szCs w:val="18"/>
                <w:lang w:eastAsia="en-AU"/>
              </w:rPr>
            </w:pPr>
            <w:r w:rsidRPr="00093645">
              <w:rPr>
                <w:bCs/>
                <w:color w:val="000000"/>
                <w:sz w:val="18"/>
                <w:szCs w:val="18"/>
                <w:lang w:eastAsia="en-AU"/>
              </w:rPr>
              <w:t>FUNDING CATEGORIES</w:t>
            </w:r>
          </w:p>
        </w:tc>
        <w:tc>
          <w:tcPr>
            <w:tcW w:w="1275" w:type="dxa"/>
            <w:tcBorders>
              <w:left w:val="nil"/>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Est.</w:t>
            </w:r>
            <w:r>
              <w:rPr>
                <w:b/>
                <w:bCs/>
                <w:color w:val="000000"/>
                <w:sz w:val="18"/>
                <w:szCs w:val="18"/>
                <w:lang w:eastAsia="en-AU"/>
              </w:rPr>
              <w:t xml:space="preserve"> </w:t>
            </w:r>
            <w:r w:rsidRPr="00943973">
              <w:rPr>
                <w:b/>
                <w:bCs/>
                <w:color w:val="000000"/>
                <w:sz w:val="18"/>
                <w:szCs w:val="18"/>
                <w:lang w:eastAsia="en-AU"/>
              </w:rPr>
              <w:t>Outcome</w:t>
            </w:r>
          </w:p>
        </w:tc>
        <w:tc>
          <w:tcPr>
            <w:tcW w:w="1134" w:type="dxa"/>
            <w:tcBorders>
              <w:left w:val="nil"/>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Budget</w:t>
            </w:r>
          </w:p>
        </w:tc>
        <w:tc>
          <w:tcPr>
            <w:tcW w:w="993" w:type="dxa"/>
            <w:tcBorders>
              <w:left w:val="nil"/>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Estimate</w:t>
            </w:r>
          </w:p>
        </w:tc>
        <w:tc>
          <w:tcPr>
            <w:tcW w:w="992" w:type="dxa"/>
            <w:tcBorders>
              <w:left w:val="nil"/>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Estimate</w:t>
            </w:r>
          </w:p>
        </w:tc>
        <w:tc>
          <w:tcPr>
            <w:tcW w:w="992" w:type="dxa"/>
            <w:tcBorders>
              <w:left w:val="nil"/>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Estimate</w:t>
            </w:r>
          </w:p>
        </w:tc>
      </w:tr>
      <w:tr w:rsidR="00D967E3" w:rsidRPr="00943973" w:rsidTr="0001117A">
        <w:trPr>
          <w:trHeight w:val="95"/>
        </w:trPr>
        <w:tc>
          <w:tcPr>
            <w:tcW w:w="959" w:type="dxa"/>
            <w:tcBorders>
              <w:left w:val="nil"/>
              <w:bottom w:val="single" w:sz="8" w:space="0" w:color="auto"/>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$’000</w:t>
            </w:r>
          </w:p>
        </w:tc>
        <w:tc>
          <w:tcPr>
            <w:tcW w:w="2977" w:type="dxa"/>
            <w:tcBorders>
              <w:left w:val="nil"/>
              <w:bottom w:val="single" w:sz="8" w:space="0" w:color="auto"/>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 </w:t>
            </w:r>
          </w:p>
        </w:tc>
        <w:tc>
          <w:tcPr>
            <w:tcW w:w="1275" w:type="dxa"/>
            <w:tcBorders>
              <w:left w:val="nil"/>
              <w:bottom w:val="single" w:sz="8" w:space="0" w:color="auto"/>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$’000</w:t>
            </w:r>
          </w:p>
        </w:tc>
        <w:tc>
          <w:tcPr>
            <w:tcW w:w="1134" w:type="dxa"/>
            <w:tcBorders>
              <w:left w:val="nil"/>
              <w:bottom w:val="single" w:sz="8" w:space="0" w:color="auto"/>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$’000</w:t>
            </w:r>
          </w:p>
        </w:tc>
        <w:tc>
          <w:tcPr>
            <w:tcW w:w="993" w:type="dxa"/>
            <w:tcBorders>
              <w:left w:val="nil"/>
              <w:bottom w:val="single" w:sz="8" w:space="0" w:color="auto"/>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$’000</w:t>
            </w:r>
          </w:p>
        </w:tc>
        <w:tc>
          <w:tcPr>
            <w:tcW w:w="992" w:type="dxa"/>
            <w:tcBorders>
              <w:left w:val="nil"/>
              <w:bottom w:val="single" w:sz="8" w:space="0" w:color="auto"/>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$’000</w:t>
            </w:r>
          </w:p>
        </w:tc>
        <w:tc>
          <w:tcPr>
            <w:tcW w:w="992" w:type="dxa"/>
            <w:tcBorders>
              <w:left w:val="nil"/>
              <w:bottom w:val="single" w:sz="8" w:space="0" w:color="auto"/>
              <w:right w:val="nil"/>
            </w:tcBorders>
            <w:shd w:val="clear" w:color="auto" w:fill="auto"/>
            <w:hideMark/>
          </w:tcPr>
          <w:p w:rsidR="00D967E3" w:rsidRPr="00943973" w:rsidRDefault="00D967E3" w:rsidP="00D967E3">
            <w:pPr>
              <w:jc w:val="right"/>
              <w:rPr>
                <w:b/>
                <w:bCs/>
                <w:color w:val="000000"/>
                <w:sz w:val="18"/>
                <w:szCs w:val="18"/>
                <w:lang w:eastAsia="en-AU"/>
              </w:rPr>
            </w:pPr>
            <w:r w:rsidRPr="00943973">
              <w:rPr>
                <w:b/>
                <w:bCs/>
                <w:color w:val="000000"/>
                <w:sz w:val="18"/>
                <w:szCs w:val="18"/>
                <w:lang w:eastAsia="en-AU"/>
              </w:rPr>
              <w:t>$'000</w:t>
            </w:r>
          </w:p>
        </w:tc>
      </w:tr>
      <w:tr w:rsidR="009F4007" w:rsidRPr="00943973" w:rsidTr="0001117A">
        <w:trPr>
          <w:trHeight w:val="222"/>
        </w:trPr>
        <w:tc>
          <w:tcPr>
            <w:tcW w:w="959" w:type="dxa"/>
            <w:tcBorders>
              <w:top w:val="single" w:sz="8" w:space="0" w:color="auto"/>
              <w:left w:val="nil"/>
              <w:right w:val="nil"/>
            </w:tcBorders>
            <w:shd w:val="clear" w:color="auto" w:fill="auto"/>
            <w:hideMark/>
          </w:tcPr>
          <w:p w:rsidR="009F4007" w:rsidRPr="00943973" w:rsidRDefault="009F4007" w:rsidP="00943973">
            <w:pPr>
              <w:jc w:val="right"/>
              <w:rPr>
                <w:color w:val="000000"/>
                <w:sz w:val="18"/>
                <w:szCs w:val="18"/>
                <w:lang w:eastAsia="en-AU"/>
              </w:rPr>
            </w:pPr>
          </w:p>
        </w:tc>
        <w:tc>
          <w:tcPr>
            <w:tcW w:w="2977" w:type="dxa"/>
            <w:tcBorders>
              <w:top w:val="single" w:sz="8" w:space="0" w:color="auto"/>
              <w:left w:val="nil"/>
              <w:right w:val="nil"/>
            </w:tcBorders>
            <w:shd w:val="clear" w:color="auto" w:fill="auto"/>
            <w:hideMark/>
          </w:tcPr>
          <w:p w:rsidR="009F4007" w:rsidRPr="00093645" w:rsidRDefault="009F4007" w:rsidP="00093645">
            <w:pPr>
              <w:pStyle w:val="TableTextLeftBold-BP3"/>
              <w:rPr>
                <w:sz w:val="18"/>
                <w:szCs w:val="18"/>
                <w:lang w:eastAsia="en-AU"/>
              </w:rPr>
            </w:pPr>
            <w:r>
              <w:rPr>
                <w:sz w:val="18"/>
                <w:szCs w:val="18"/>
                <w:lang w:eastAsia="en-AU"/>
              </w:rPr>
              <w:t xml:space="preserve">  </w:t>
            </w:r>
          </w:p>
        </w:tc>
        <w:tc>
          <w:tcPr>
            <w:tcW w:w="1275" w:type="dxa"/>
            <w:tcBorders>
              <w:top w:val="single" w:sz="8" w:space="0" w:color="auto"/>
              <w:left w:val="nil"/>
              <w:right w:val="nil"/>
            </w:tcBorders>
            <w:shd w:val="clear" w:color="auto" w:fill="auto"/>
            <w:hideMark/>
          </w:tcPr>
          <w:p w:rsidR="009F4007" w:rsidRPr="00943973" w:rsidRDefault="009F4007" w:rsidP="00943973">
            <w:pPr>
              <w:jc w:val="right"/>
              <w:rPr>
                <w:color w:val="000000"/>
                <w:sz w:val="18"/>
                <w:szCs w:val="18"/>
                <w:lang w:eastAsia="en-AU"/>
              </w:rPr>
            </w:pPr>
          </w:p>
        </w:tc>
        <w:tc>
          <w:tcPr>
            <w:tcW w:w="1134" w:type="dxa"/>
            <w:tcBorders>
              <w:top w:val="single" w:sz="8" w:space="0" w:color="auto"/>
              <w:left w:val="nil"/>
              <w:right w:val="nil"/>
            </w:tcBorders>
            <w:shd w:val="clear" w:color="auto" w:fill="auto"/>
            <w:hideMark/>
          </w:tcPr>
          <w:p w:rsidR="009F4007" w:rsidRPr="00943973" w:rsidRDefault="009F4007" w:rsidP="00943973">
            <w:pPr>
              <w:jc w:val="right"/>
              <w:rPr>
                <w:color w:val="000000"/>
                <w:sz w:val="18"/>
                <w:szCs w:val="18"/>
                <w:lang w:eastAsia="en-AU"/>
              </w:rPr>
            </w:pPr>
          </w:p>
        </w:tc>
        <w:tc>
          <w:tcPr>
            <w:tcW w:w="993" w:type="dxa"/>
            <w:tcBorders>
              <w:top w:val="single" w:sz="8" w:space="0" w:color="auto"/>
              <w:left w:val="nil"/>
              <w:right w:val="nil"/>
            </w:tcBorders>
            <w:shd w:val="clear" w:color="auto" w:fill="auto"/>
            <w:hideMark/>
          </w:tcPr>
          <w:p w:rsidR="009F4007" w:rsidRPr="00943973" w:rsidRDefault="009F4007" w:rsidP="00943973">
            <w:pPr>
              <w:jc w:val="right"/>
              <w:rPr>
                <w:color w:val="000000"/>
                <w:sz w:val="18"/>
                <w:szCs w:val="18"/>
                <w:lang w:eastAsia="en-AU"/>
              </w:rPr>
            </w:pPr>
          </w:p>
        </w:tc>
        <w:tc>
          <w:tcPr>
            <w:tcW w:w="992" w:type="dxa"/>
            <w:tcBorders>
              <w:top w:val="single" w:sz="8" w:space="0" w:color="auto"/>
              <w:left w:val="nil"/>
              <w:right w:val="nil"/>
            </w:tcBorders>
            <w:shd w:val="clear" w:color="auto" w:fill="auto"/>
            <w:hideMark/>
          </w:tcPr>
          <w:p w:rsidR="009F4007" w:rsidRPr="00943973" w:rsidRDefault="009F4007" w:rsidP="00943973">
            <w:pPr>
              <w:jc w:val="right"/>
              <w:rPr>
                <w:color w:val="000000"/>
                <w:sz w:val="18"/>
                <w:szCs w:val="18"/>
                <w:lang w:eastAsia="en-AU"/>
              </w:rPr>
            </w:pPr>
          </w:p>
        </w:tc>
        <w:tc>
          <w:tcPr>
            <w:tcW w:w="992" w:type="dxa"/>
            <w:tcBorders>
              <w:top w:val="single" w:sz="8" w:space="0" w:color="auto"/>
              <w:left w:val="nil"/>
              <w:right w:val="nil"/>
            </w:tcBorders>
            <w:shd w:val="clear" w:color="auto" w:fill="auto"/>
            <w:hideMark/>
          </w:tcPr>
          <w:p w:rsidR="009F4007" w:rsidRPr="00943973" w:rsidRDefault="009F4007" w:rsidP="00943973">
            <w:pPr>
              <w:jc w:val="right"/>
              <w:rPr>
                <w:color w:val="000000"/>
                <w:sz w:val="18"/>
                <w:szCs w:val="18"/>
                <w:lang w:eastAsia="en-AU"/>
              </w:rPr>
            </w:pPr>
          </w:p>
        </w:tc>
      </w:tr>
      <w:tr w:rsidR="00943973" w:rsidRPr="00943973" w:rsidTr="00770995">
        <w:trPr>
          <w:trHeight w:val="222"/>
        </w:trPr>
        <w:tc>
          <w:tcPr>
            <w:tcW w:w="959" w:type="dxa"/>
            <w:tcBorders>
              <w:left w:val="nil"/>
              <w:right w:val="nil"/>
            </w:tcBorders>
            <w:shd w:val="clear" w:color="auto" w:fill="auto"/>
            <w:hideMark/>
          </w:tcPr>
          <w:p w:rsidR="00943973" w:rsidRPr="00943973" w:rsidRDefault="00943973" w:rsidP="00943973">
            <w:pPr>
              <w:jc w:val="right"/>
              <w:rPr>
                <w:color w:val="000000"/>
                <w:sz w:val="18"/>
                <w:szCs w:val="18"/>
                <w:lang w:eastAsia="en-AU"/>
              </w:rPr>
            </w:pPr>
          </w:p>
        </w:tc>
        <w:tc>
          <w:tcPr>
            <w:tcW w:w="2977" w:type="dxa"/>
            <w:tcBorders>
              <w:left w:val="nil"/>
              <w:right w:val="nil"/>
            </w:tcBorders>
            <w:shd w:val="clear" w:color="auto" w:fill="auto"/>
            <w:hideMark/>
          </w:tcPr>
          <w:p w:rsidR="00943973" w:rsidRPr="00093645" w:rsidRDefault="00943973" w:rsidP="00093645">
            <w:pPr>
              <w:pStyle w:val="TableTextLeftBold-BP3"/>
              <w:rPr>
                <w:sz w:val="18"/>
                <w:szCs w:val="18"/>
                <w:lang w:eastAsia="en-AU"/>
              </w:rPr>
            </w:pPr>
            <w:r w:rsidRPr="00093645">
              <w:rPr>
                <w:sz w:val="18"/>
                <w:szCs w:val="18"/>
                <w:lang w:eastAsia="en-AU"/>
              </w:rPr>
              <w:t>Community Services</w:t>
            </w:r>
          </w:p>
        </w:tc>
        <w:tc>
          <w:tcPr>
            <w:tcW w:w="1275" w:type="dxa"/>
            <w:tcBorders>
              <w:left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left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left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left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left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770995">
        <w:trPr>
          <w:trHeight w:val="155"/>
        </w:trPr>
        <w:tc>
          <w:tcPr>
            <w:tcW w:w="959"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20,269</w:t>
            </w:r>
          </w:p>
        </w:tc>
        <w:tc>
          <w:tcPr>
            <w:tcW w:w="2977" w:type="dxa"/>
            <w:tcBorders>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National Disability Services SPP</w:t>
            </w:r>
          </w:p>
        </w:tc>
        <w:tc>
          <w:tcPr>
            <w:tcW w:w="1275"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19,961</w:t>
            </w:r>
          </w:p>
        </w:tc>
        <w:tc>
          <w:tcPr>
            <w:tcW w:w="1134"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24,166</w:t>
            </w:r>
          </w:p>
        </w:tc>
        <w:tc>
          <w:tcPr>
            <w:tcW w:w="993"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25,601</w:t>
            </w:r>
          </w:p>
        </w:tc>
        <w:tc>
          <w:tcPr>
            <w:tcW w:w="992"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26,880</w:t>
            </w:r>
          </w:p>
        </w:tc>
        <w:tc>
          <w:tcPr>
            <w:tcW w:w="992"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28,201</w:t>
            </w:r>
          </w:p>
        </w:tc>
      </w:tr>
      <w:tr w:rsidR="00341BCF" w:rsidRPr="00943973" w:rsidTr="00C54177">
        <w:tc>
          <w:tcPr>
            <w:tcW w:w="959" w:type="dxa"/>
            <w:tcBorders>
              <w:top w:val="nil"/>
              <w:left w:val="nil"/>
              <w:bottom w:val="nil"/>
              <w:right w:val="nil"/>
            </w:tcBorders>
            <w:shd w:val="clear" w:color="auto" w:fill="auto"/>
            <w:hideMark/>
          </w:tcPr>
          <w:p w:rsidR="00341BCF" w:rsidRPr="00943973" w:rsidRDefault="00341BCF" w:rsidP="00C54177">
            <w:pPr>
              <w:jc w:val="right"/>
              <w:rPr>
                <w:color w:val="000000"/>
                <w:sz w:val="18"/>
                <w:szCs w:val="18"/>
                <w:lang w:eastAsia="en-AU"/>
              </w:rPr>
            </w:pPr>
          </w:p>
        </w:tc>
        <w:tc>
          <w:tcPr>
            <w:tcW w:w="2977" w:type="dxa"/>
            <w:tcBorders>
              <w:top w:val="nil"/>
              <w:left w:val="nil"/>
              <w:bottom w:val="nil"/>
              <w:right w:val="nil"/>
            </w:tcBorders>
            <w:shd w:val="clear" w:color="auto" w:fill="auto"/>
            <w:hideMark/>
          </w:tcPr>
          <w:p w:rsidR="00341BCF" w:rsidRPr="00943973" w:rsidRDefault="009F4007" w:rsidP="009F4007">
            <w:pPr>
              <w:rPr>
                <w:b/>
                <w:bCs/>
                <w:i/>
                <w:iCs/>
                <w:color w:val="000000"/>
                <w:sz w:val="18"/>
                <w:szCs w:val="18"/>
                <w:lang w:eastAsia="en-AU"/>
              </w:rPr>
            </w:pPr>
            <w:r>
              <w:rPr>
                <w:b/>
                <w:bCs/>
                <w:i/>
                <w:iCs/>
                <w:color w:val="000000"/>
                <w:sz w:val="18"/>
                <w:szCs w:val="18"/>
                <w:lang w:eastAsia="en-AU"/>
              </w:rPr>
              <w:t xml:space="preserve">  </w:t>
            </w:r>
          </w:p>
        </w:tc>
        <w:tc>
          <w:tcPr>
            <w:tcW w:w="1275" w:type="dxa"/>
            <w:tcBorders>
              <w:top w:val="nil"/>
              <w:left w:val="nil"/>
              <w:bottom w:val="nil"/>
              <w:right w:val="nil"/>
            </w:tcBorders>
            <w:shd w:val="clear" w:color="auto" w:fill="auto"/>
            <w:hideMark/>
          </w:tcPr>
          <w:p w:rsidR="00341BCF" w:rsidRPr="00943973" w:rsidRDefault="00341BCF" w:rsidP="00C54177">
            <w:pPr>
              <w:jc w:val="right"/>
              <w:rPr>
                <w:color w:val="000000"/>
                <w:sz w:val="18"/>
                <w:szCs w:val="18"/>
                <w:lang w:eastAsia="en-AU"/>
              </w:rPr>
            </w:pPr>
          </w:p>
        </w:tc>
        <w:tc>
          <w:tcPr>
            <w:tcW w:w="1134" w:type="dxa"/>
            <w:tcBorders>
              <w:top w:val="nil"/>
              <w:left w:val="nil"/>
              <w:bottom w:val="nil"/>
              <w:right w:val="nil"/>
            </w:tcBorders>
            <w:shd w:val="clear" w:color="auto" w:fill="auto"/>
            <w:hideMark/>
          </w:tcPr>
          <w:p w:rsidR="00341BCF" w:rsidRPr="00943973" w:rsidRDefault="00341BCF" w:rsidP="00C54177">
            <w:pPr>
              <w:jc w:val="right"/>
              <w:rPr>
                <w:color w:val="000000"/>
                <w:sz w:val="18"/>
                <w:szCs w:val="18"/>
                <w:lang w:eastAsia="en-AU"/>
              </w:rPr>
            </w:pPr>
          </w:p>
        </w:tc>
        <w:tc>
          <w:tcPr>
            <w:tcW w:w="993" w:type="dxa"/>
            <w:tcBorders>
              <w:top w:val="nil"/>
              <w:left w:val="nil"/>
              <w:bottom w:val="nil"/>
              <w:right w:val="nil"/>
            </w:tcBorders>
            <w:shd w:val="clear" w:color="auto" w:fill="auto"/>
            <w:hideMark/>
          </w:tcPr>
          <w:p w:rsidR="00341BCF" w:rsidRPr="00943973" w:rsidRDefault="00341BCF" w:rsidP="00C54177">
            <w:pPr>
              <w:jc w:val="right"/>
              <w:rPr>
                <w:color w:val="000000"/>
                <w:sz w:val="18"/>
                <w:szCs w:val="18"/>
                <w:lang w:eastAsia="en-AU"/>
              </w:rPr>
            </w:pPr>
          </w:p>
        </w:tc>
        <w:tc>
          <w:tcPr>
            <w:tcW w:w="992" w:type="dxa"/>
            <w:tcBorders>
              <w:top w:val="nil"/>
              <w:left w:val="nil"/>
              <w:bottom w:val="nil"/>
              <w:right w:val="nil"/>
            </w:tcBorders>
            <w:shd w:val="clear" w:color="auto" w:fill="auto"/>
            <w:hideMark/>
          </w:tcPr>
          <w:p w:rsidR="00341BCF" w:rsidRPr="00943973" w:rsidRDefault="00341BCF" w:rsidP="00C54177">
            <w:pPr>
              <w:jc w:val="right"/>
              <w:rPr>
                <w:color w:val="000000"/>
                <w:sz w:val="18"/>
                <w:szCs w:val="18"/>
                <w:lang w:eastAsia="en-AU"/>
              </w:rPr>
            </w:pPr>
          </w:p>
        </w:tc>
        <w:tc>
          <w:tcPr>
            <w:tcW w:w="992" w:type="dxa"/>
            <w:tcBorders>
              <w:top w:val="nil"/>
              <w:left w:val="nil"/>
              <w:bottom w:val="nil"/>
              <w:right w:val="nil"/>
            </w:tcBorders>
            <w:shd w:val="clear" w:color="auto" w:fill="auto"/>
            <w:hideMark/>
          </w:tcPr>
          <w:p w:rsidR="00341BCF" w:rsidRPr="00943973" w:rsidRDefault="00341BCF" w:rsidP="00C54177">
            <w:pPr>
              <w:jc w:val="right"/>
              <w:rPr>
                <w:color w:val="000000"/>
                <w:sz w:val="18"/>
                <w:szCs w:val="18"/>
                <w:lang w:eastAsia="en-AU"/>
              </w:rPr>
            </w:pPr>
          </w:p>
        </w:tc>
      </w:tr>
      <w:tr w:rsidR="00943973" w:rsidRPr="00943973" w:rsidTr="00770995">
        <w:trPr>
          <w:trHeight w:val="144"/>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i/>
                <w:sz w:val="18"/>
                <w:szCs w:val="18"/>
                <w:lang w:eastAsia="en-AU"/>
              </w:rPr>
            </w:pPr>
            <w:r w:rsidRPr="00770995">
              <w:rPr>
                <w:i/>
                <w:sz w:val="18"/>
                <w:szCs w:val="18"/>
                <w:lang w:eastAsia="en-AU"/>
              </w:rPr>
              <w:t>Community Services NPPs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770995">
        <w:trPr>
          <w:trHeight w:val="421"/>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787</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Transitioning Responsibilities for Aged Care and Disability Services NPP</w:t>
            </w:r>
          </w:p>
        </w:tc>
        <w:tc>
          <w:tcPr>
            <w:tcW w:w="1275"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787</w:t>
            </w:r>
          </w:p>
        </w:tc>
        <w:tc>
          <w:tcPr>
            <w:tcW w:w="1134"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r>
      <w:tr w:rsidR="00943973" w:rsidRPr="00943973" w:rsidTr="00770995">
        <w:trPr>
          <w:trHeight w:val="413"/>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149</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Home and Community Care Services for Veterans NPP</w:t>
            </w:r>
          </w:p>
        </w:tc>
        <w:tc>
          <w:tcPr>
            <w:tcW w:w="1275"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149</w:t>
            </w:r>
          </w:p>
        </w:tc>
        <w:tc>
          <w:tcPr>
            <w:tcW w:w="1134"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141</w:t>
            </w:r>
          </w:p>
        </w:tc>
        <w:tc>
          <w:tcPr>
            <w:tcW w:w="993"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r>
      <w:tr w:rsidR="00943973" w:rsidRPr="00943973" w:rsidTr="00770995">
        <w:trPr>
          <w:trHeight w:val="122"/>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95</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Aged Care Assessment NPP</w:t>
            </w:r>
          </w:p>
        </w:tc>
        <w:tc>
          <w:tcPr>
            <w:tcW w:w="1275"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95</w:t>
            </w:r>
          </w:p>
        </w:tc>
        <w:tc>
          <w:tcPr>
            <w:tcW w:w="1134"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r>
      <w:tr w:rsidR="00943973" w:rsidRPr="00943973" w:rsidTr="00770995">
        <w:trPr>
          <w:trHeight w:val="309"/>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1,110</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 xml:space="preserve">Indigenous Early Childhood Development NPP (Family Centres) </w:t>
            </w:r>
          </w:p>
        </w:tc>
        <w:tc>
          <w:tcPr>
            <w:tcW w:w="1275"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1,110</w:t>
            </w:r>
          </w:p>
        </w:tc>
        <w:tc>
          <w:tcPr>
            <w:tcW w:w="1134"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1,107</w:t>
            </w:r>
          </w:p>
        </w:tc>
        <w:tc>
          <w:tcPr>
            <w:tcW w:w="993"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r>
      <w:tr w:rsidR="00943973" w:rsidRPr="00943973" w:rsidTr="00770995">
        <w:trPr>
          <w:trHeight w:val="540"/>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199</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National Reciprocal Transport Concessions NPP (Formerly Concessions for Pensioners)</w:t>
            </w:r>
          </w:p>
        </w:tc>
        <w:tc>
          <w:tcPr>
            <w:tcW w:w="1275"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170</w:t>
            </w:r>
          </w:p>
        </w:tc>
        <w:tc>
          <w:tcPr>
            <w:tcW w:w="1134"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170</w:t>
            </w:r>
          </w:p>
        </w:tc>
        <w:tc>
          <w:tcPr>
            <w:tcW w:w="993"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170</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170</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170</w:t>
            </w:r>
          </w:p>
        </w:tc>
      </w:tr>
      <w:tr w:rsidR="00943973" w:rsidRPr="00943973" w:rsidTr="00770995">
        <w:trPr>
          <w:trHeight w:val="366"/>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1,911</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Certain Concessions for Pensioners and Senior Card Holders NPP</w:t>
            </w:r>
          </w:p>
        </w:tc>
        <w:tc>
          <w:tcPr>
            <w:tcW w:w="1275"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2,511</w:t>
            </w:r>
          </w:p>
        </w:tc>
        <w:tc>
          <w:tcPr>
            <w:tcW w:w="1134"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1,376</w:t>
            </w:r>
          </w:p>
        </w:tc>
        <w:tc>
          <w:tcPr>
            <w:tcW w:w="993"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2,057</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2,144</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2,233</w:t>
            </w:r>
          </w:p>
        </w:tc>
      </w:tr>
      <w:tr w:rsidR="00943973" w:rsidRPr="00943973" w:rsidTr="00770995">
        <w:trPr>
          <w:trHeight w:val="344"/>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NDIS Readiness and Enhanced Service Officer Project</w:t>
            </w:r>
          </w:p>
        </w:tc>
        <w:tc>
          <w:tcPr>
            <w:tcW w:w="1275"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500</w:t>
            </w:r>
          </w:p>
        </w:tc>
        <w:tc>
          <w:tcPr>
            <w:tcW w:w="1134"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6,424</w:t>
            </w:r>
          </w:p>
        </w:tc>
        <w:tc>
          <w:tcPr>
            <w:tcW w:w="993"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3,700</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r>
      <w:tr w:rsidR="00943973" w:rsidRPr="00943973" w:rsidTr="00770995">
        <w:trPr>
          <w:trHeight w:val="322"/>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Pay Equity for Social and Community Services Sector</w:t>
            </w:r>
          </w:p>
        </w:tc>
        <w:tc>
          <w:tcPr>
            <w:tcW w:w="1275"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280</w:t>
            </w:r>
          </w:p>
        </w:tc>
        <w:tc>
          <w:tcPr>
            <w:tcW w:w="1134"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764</w:t>
            </w:r>
          </w:p>
        </w:tc>
        <w:tc>
          <w:tcPr>
            <w:tcW w:w="993"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1,329</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1,949</w:t>
            </w:r>
          </w:p>
        </w:tc>
        <w:tc>
          <w:tcPr>
            <w:tcW w:w="992"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2,603</w:t>
            </w:r>
          </w:p>
        </w:tc>
      </w:tr>
      <w:tr w:rsidR="00943973" w:rsidRPr="00943973" w:rsidTr="00770995">
        <w:trPr>
          <w:trHeight w:val="159"/>
        </w:trPr>
        <w:tc>
          <w:tcPr>
            <w:tcW w:w="959" w:type="dxa"/>
            <w:tcBorders>
              <w:top w:val="nil"/>
              <w:left w:val="nil"/>
              <w:bottom w:val="nil"/>
              <w:right w:val="nil"/>
            </w:tcBorders>
            <w:shd w:val="clear" w:color="auto" w:fill="auto"/>
            <w:hideMark/>
          </w:tcPr>
          <w:p w:rsidR="00943973" w:rsidRPr="00770995" w:rsidRDefault="00943973" w:rsidP="00943973">
            <w:pPr>
              <w:jc w:val="right"/>
              <w:rPr>
                <w:b/>
                <w:i/>
                <w:color w:val="000000"/>
                <w:sz w:val="18"/>
                <w:szCs w:val="18"/>
                <w:lang w:eastAsia="en-AU"/>
              </w:rPr>
            </w:pPr>
            <w:r w:rsidRPr="00770995">
              <w:rPr>
                <w:b/>
                <w:i/>
                <w:color w:val="000000"/>
                <w:sz w:val="18"/>
                <w:szCs w:val="18"/>
                <w:lang w:eastAsia="en-AU"/>
              </w:rPr>
              <w:t>4,251</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i/>
                <w:color w:val="000000"/>
                <w:sz w:val="18"/>
                <w:szCs w:val="18"/>
                <w:lang w:eastAsia="en-AU"/>
              </w:rPr>
            </w:pPr>
            <w:r w:rsidRPr="00770995">
              <w:rPr>
                <w:i/>
                <w:color w:val="000000"/>
                <w:sz w:val="18"/>
                <w:szCs w:val="18"/>
                <w:lang w:eastAsia="en-AU"/>
              </w:rPr>
              <w:t xml:space="preserve">Total Community Services </w:t>
            </w:r>
            <w:r w:rsidRPr="00770995">
              <w:rPr>
                <w:i/>
                <w:sz w:val="18"/>
                <w:szCs w:val="18"/>
                <w:lang w:eastAsia="en-AU"/>
              </w:rPr>
              <w:t>NPPs</w:t>
            </w:r>
          </w:p>
        </w:tc>
        <w:tc>
          <w:tcPr>
            <w:tcW w:w="1275" w:type="dxa"/>
            <w:tcBorders>
              <w:top w:val="nil"/>
              <w:left w:val="nil"/>
              <w:bottom w:val="nil"/>
              <w:right w:val="nil"/>
            </w:tcBorders>
            <w:shd w:val="clear" w:color="auto" w:fill="auto"/>
            <w:hideMark/>
          </w:tcPr>
          <w:p w:rsidR="00943973" w:rsidRPr="00770995" w:rsidRDefault="00943973" w:rsidP="00770995">
            <w:pPr>
              <w:jc w:val="right"/>
              <w:rPr>
                <w:b/>
                <w:i/>
                <w:color w:val="000000"/>
                <w:sz w:val="18"/>
                <w:szCs w:val="18"/>
                <w:lang w:eastAsia="en-AU"/>
              </w:rPr>
            </w:pPr>
            <w:r w:rsidRPr="00770995">
              <w:rPr>
                <w:b/>
                <w:i/>
                <w:color w:val="000000"/>
                <w:sz w:val="18"/>
                <w:szCs w:val="18"/>
                <w:lang w:eastAsia="en-AU"/>
              </w:rPr>
              <w:t>5,602</w:t>
            </w:r>
          </w:p>
        </w:tc>
        <w:tc>
          <w:tcPr>
            <w:tcW w:w="1134" w:type="dxa"/>
            <w:tcBorders>
              <w:top w:val="nil"/>
              <w:left w:val="nil"/>
              <w:bottom w:val="nil"/>
              <w:right w:val="nil"/>
            </w:tcBorders>
            <w:shd w:val="clear" w:color="auto" w:fill="auto"/>
            <w:hideMark/>
          </w:tcPr>
          <w:p w:rsidR="00943973" w:rsidRPr="00770995" w:rsidRDefault="00943973" w:rsidP="00770995">
            <w:pPr>
              <w:jc w:val="right"/>
              <w:rPr>
                <w:b/>
                <w:i/>
                <w:color w:val="000000"/>
                <w:sz w:val="18"/>
                <w:szCs w:val="18"/>
                <w:lang w:eastAsia="en-AU"/>
              </w:rPr>
            </w:pPr>
            <w:r w:rsidRPr="00770995">
              <w:rPr>
                <w:b/>
                <w:i/>
                <w:color w:val="000000"/>
                <w:sz w:val="18"/>
                <w:szCs w:val="18"/>
                <w:lang w:eastAsia="en-AU"/>
              </w:rPr>
              <w:t>9,982</w:t>
            </w:r>
          </w:p>
        </w:tc>
        <w:tc>
          <w:tcPr>
            <w:tcW w:w="993" w:type="dxa"/>
            <w:tcBorders>
              <w:top w:val="nil"/>
              <w:left w:val="nil"/>
              <w:bottom w:val="nil"/>
              <w:right w:val="nil"/>
            </w:tcBorders>
            <w:shd w:val="clear" w:color="auto" w:fill="auto"/>
            <w:hideMark/>
          </w:tcPr>
          <w:p w:rsidR="00943973" w:rsidRPr="00770995" w:rsidRDefault="00943973" w:rsidP="00770995">
            <w:pPr>
              <w:jc w:val="right"/>
              <w:rPr>
                <w:b/>
                <w:i/>
                <w:color w:val="000000"/>
                <w:sz w:val="18"/>
                <w:szCs w:val="18"/>
                <w:lang w:eastAsia="en-AU"/>
              </w:rPr>
            </w:pPr>
            <w:r w:rsidRPr="00770995">
              <w:rPr>
                <w:b/>
                <w:i/>
                <w:color w:val="000000"/>
                <w:sz w:val="18"/>
                <w:szCs w:val="18"/>
                <w:lang w:eastAsia="en-AU"/>
              </w:rPr>
              <w:t>7,256</w:t>
            </w:r>
          </w:p>
        </w:tc>
        <w:tc>
          <w:tcPr>
            <w:tcW w:w="992" w:type="dxa"/>
            <w:tcBorders>
              <w:top w:val="nil"/>
              <w:left w:val="nil"/>
              <w:bottom w:val="nil"/>
              <w:right w:val="nil"/>
            </w:tcBorders>
            <w:shd w:val="clear" w:color="auto" w:fill="auto"/>
            <w:hideMark/>
          </w:tcPr>
          <w:p w:rsidR="00943973" w:rsidRPr="00770995" w:rsidRDefault="00943973" w:rsidP="00770995">
            <w:pPr>
              <w:jc w:val="right"/>
              <w:rPr>
                <w:b/>
                <w:i/>
                <w:color w:val="000000"/>
                <w:sz w:val="18"/>
                <w:szCs w:val="18"/>
                <w:lang w:eastAsia="en-AU"/>
              </w:rPr>
            </w:pPr>
            <w:r w:rsidRPr="00770995">
              <w:rPr>
                <w:b/>
                <w:i/>
                <w:color w:val="000000"/>
                <w:sz w:val="18"/>
                <w:szCs w:val="18"/>
                <w:lang w:eastAsia="en-AU"/>
              </w:rPr>
              <w:t>4,263</w:t>
            </w:r>
          </w:p>
        </w:tc>
        <w:tc>
          <w:tcPr>
            <w:tcW w:w="992" w:type="dxa"/>
            <w:tcBorders>
              <w:top w:val="nil"/>
              <w:left w:val="nil"/>
              <w:bottom w:val="nil"/>
              <w:right w:val="nil"/>
            </w:tcBorders>
            <w:shd w:val="clear" w:color="auto" w:fill="auto"/>
            <w:hideMark/>
          </w:tcPr>
          <w:p w:rsidR="00943973" w:rsidRPr="00770995" w:rsidRDefault="00943973" w:rsidP="00770995">
            <w:pPr>
              <w:jc w:val="right"/>
              <w:rPr>
                <w:b/>
                <w:i/>
                <w:color w:val="000000"/>
                <w:sz w:val="18"/>
                <w:szCs w:val="18"/>
                <w:lang w:eastAsia="en-AU"/>
              </w:rPr>
            </w:pPr>
            <w:r w:rsidRPr="00770995">
              <w:rPr>
                <w:b/>
                <w:i/>
                <w:color w:val="000000"/>
                <w:sz w:val="18"/>
                <w:szCs w:val="18"/>
                <w:lang w:eastAsia="en-AU"/>
              </w:rPr>
              <w:t>5,006</w:t>
            </w:r>
          </w:p>
        </w:tc>
      </w:tr>
      <w:tr w:rsidR="00943973" w:rsidRPr="00943973" w:rsidTr="00770995">
        <w:trPr>
          <w:trHeight w:val="105"/>
        </w:trPr>
        <w:tc>
          <w:tcPr>
            <w:tcW w:w="959"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24,520</w:t>
            </w:r>
          </w:p>
        </w:tc>
        <w:tc>
          <w:tcPr>
            <w:tcW w:w="2977" w:type="dxa"/>
            <w:tcBorders>
              <w:top w:val="single" w:sz="4" w:space="0" w:color="auto"/>
              <w:left w:val="nil"/>
              <w:bottom w:val="single" w:sz="4" w:space="0" w:color="auto"/>
              <w:right w:val="nil"/>
            </w:tcBorders>
            <w:shd w:val="clear" w:color="auto" w:fill="auto"/>
            <w:hideMark/>
          </w:tcPr>
          <w:p w:rsidR="00943973" w:rsidRPr="00943973" w:rsidRDefault="00943973" w:rsidP="00770995">
            <w:pPr>
              <w:pStyle w:val="TableTextLeftBold-BP3"/>
              <w:rPr>
                <w:b w:val="0"/>
                <w:bCs/>
                <w:color w:val="000000"/>
                <w:sz w:val="18"/>
                <w:szCs w:val="18"/>
                <w:lang w:eastAsia="en-AU"/>
              </w:rPr>
            </w:pPr>
            <w:r w:rsidRPr="00770995">
              <w:rPr>
                <w:color w:val="000000"/>
                <w:sz w:val="18"/>
                <w:szCs w:val="18"/>
                <w:lang w:eastAsia="en-AU"/>
              </w:rPr>
              <w:t>Total Community Services</w:t>
            </w:r>
          </w:p>
        </w:tc>
        <w:tc>
          <w:tcPr>
            <w:tcW w:w="1275"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25,563</w:t>
            </w:r>
          </w:p>
        </w:tc>
        <w:tc>
          <w:tcPr>
            <w:tcW w:w="1134"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34,148</w:t>
            </w:r>
          </w:p>
        </w:tc>
        <w:tc>
          <w:tcPr>
            <w:tcW w:w="993"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32,857</w:t>
            </w:r>
          </w:p>
        </w:tc>
        <w:tc>
          <w:tcPr>
            <w:tcW w:w="992"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31,143</w:t>
            </w:r>
          </w:p>
        </w:tc>
        <w:tc>
          <w:tcPr>
            <w:tcW w:w="992" w:type="dxa"/>
            <w:tcBorders>
              <w:top w:val="single" w:sz="4" w:space="0" w:color="auto"/>
              <w:left w:val="nil"/>
              <w:bottom w:val="single" w:sz="4" w:space="0" w:color="auto"/>
              <w:right w:val="nil"/>
            </w:tcBorders>
            <w:shd w:val="clear" w:color="auto" w:fill="auto"/>
            <w:hideMark/>
          </w:tcPr>
          <w:p w:rsidR="00943973" w:rsidRPr="00943973" w:rsidRDefault="00943973" w:rsidP="00943973">
            <w:pPr>
              <w:jc w:val="right"/>
              <w:rPr>
                <w:b/>
                <w:bCs/>
                <w:color w:val="000000"/>
                <w:sz w:val="18"/>
                <w:szCs w:val="18"/>
                <w:lang w:eastAsia="en-AU"/>
              </w:rPr>
            </w:pPr>
            <w:r w:rsidRPr="00943973">
              <w:rPr>
                <w:b/>
                <w:bCs/>
                <w:color w:val="000000"/>
                <w:sz w:val="18"/>
                <w:szCs w:val="18"/>
                <w:lang w:eastAsia="en-AU"/>
              </w:rPr>
              <w:t>33,207</w:t>
            </w:r>
          </w:p>
        </w:tc>
      </w:tr>
      <w:tr w:rsidR="009F4007" w:rsidRPr="00943973" w:rsidTr="009F4007">
        <w:tc>
          <w:tcPr>
            <w:tcW w:w="959" w:type="dxa"/>
            <w:tcBorders>
              <w:top w:val="nil"/>
              <w:left w:val="nil"/>
              <w:bottom w:val="nil"/>
              <w:right w:val="nil"/>
            </w:tcBorders>
            <w:shd w:val="clear" w:color="auto" w:fill="auto"/>
            <w:hideMark/>
          </w:tcPr>
          <w:p w:rsidR="009F4007" w:rsidRPr="00770995" w:rsidRDefault="009F4007" w:rsidP="00770995">
            <w:pPr>
              <w:jc w:val="right"/>
              <w:rPr>
                <w:b/>
                <w:color w:val="000000"/>
                <w:sz w:val="18"/>
                <w:szCs w:val="18"/>
                <w:lang w:eastAsia="en-AU"/>
              </w:rPr>
            </w:pPr>
          </w:p>
        </w:tc>
        <w:tc>
          <w:tcPr>
            <w:tcW w:w="2977" w:type="dxa"/>
            <w:tcBorders>
              <w:top w:val="nil"/>
              <w:left w:val="nil"/>
              <w:bottom w:val="nil"/>
              <w:right w:val="nil"/>
            </w:tcBorders>
            <w:shd w:val="clear" w:color="auto" w:fill="auto"/>
            <w:hideMark/>
          </w:tcPr>
          <w:p w:rsidR="009F4007" w:rsidRPr="00770995" w:rsidRDefault="009F4007" w:rsidP="00770995">
            <w:pPr>
              <w:pStyle w:val="TableTextLeftBold-BP3"/>
              <w:rPr>
                <w:sz w:val="18"/>
                <w:szCs w:val="18"/>
                <w:lang w:eastAsia="en-AU"/>
              </w:rPr>
            </w:pPr>
            <w:r>
              <w:rPr>
                <w:sz w:val="18"/>
                <w:szCs w:val="18"/>
                <w:lang w:eastAsia="en-AU"/>
              </w:rPr>
              <w:t xml:space="preserve">  </w:t>
            </w:r>
          </w:p>
        </w:tc>
        <w:tc>
          <w:tcPr>
            <w:tcW w:w="1275" w:type="dxa"/>
            <w:tcBorders>
              <w:top w:val="nil"/>
              <w:left w:val="nil"/>
              <w:bottom w:val="nil"/>
              <w:right w:val="nil"/>
            </w:tcBorders>
            <w:shd w:val="clear" w:color="auto" w:fill="auto"/>
            <w:hideMark/>
          </w:tcPr>
          <w:p w:rsidR="009F4007" w:rsidRPr="00943973" w:rsidRDefault="009F4007"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F4007" w:rsidRPr="00943973" w:rsidRDefault="009F4007"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F4007" w:rsidRPr="00943973" w:rsidRDefault="009F4007"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F4007" w:rsidRPr="00943973" w:rsidRDefault="009F4007"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F4007" w:rsidRPr="00943973" w:rsidRDefault="009F4007" w:rsidP="00943973">
            <w:pPr>
              <w:jc w:val="right"/>
              <w:rPr>
                <w:color w:val="000000"/>
                <w:sz w:val="18"/>
                <w:szCs w:val="18"/>
                <w:lang w:eastAsia="en-AU"/>
              </w:rPr>
            </w:pPr>
          </w:p>
        </w:tc>
      </w:tr>
      <w:tr w:rsidR="00943973" w:rsidRPr="00943973" w:rsidTr="00770995">
        <w:trPr>
          <w:trHeight w:val="140"/>
        </w:trPr>
        <w:tc>
          <w:tcPr>
            <w:tcW w:w="959" w:type="dxa"/>
            <w:tcBorders>
              <w:top w:val="nil"/>
              <w:left w:val="nil"/>
              <w:bottom w:val="nil"/>
              <w:right w:val="nil"/>
            </w:tcBorders>
            <w:shd w:val="clear" w:color="auto" w:fill="auto"/>
            <w:hideMark/>
          </w:tcPr>
          <w:p w:rsidR="00943973" w:rsidRPr="00770995" w:rsidRDefault="00943973" w:rsidP="00770995">
            <w:pPr>
              <w:jc w:val="right"/>
              <w:rPr>
                <w:b/>
                <w:color w:val="000000"/>
                <w:sz w:val="18"/>
                <w:szCs w:val="18"/>
                <w:lang w:eastAsia="en-AU"/>
              </w:rPr>
            </w:pP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sz w:val="18"/>
                <w:szCs w:val="18"/>
                <w:lang w:eastAsia="en-AU"/>
              </w:rPr>
            </w:pPr>
            <w:r w:rsidRPr="00770995">
              <w:rPr>
                <w:sz w:val="18"/>
                <w:szCs w:val="18"/>
                <w:lang w:eastAsia="en-AU"/>
              </w:rPr>
              <w:t>Education &amp; Early Childhood</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F4007" w:rsidRPr="00943973" w:rsidTr="009F4007">
        <w:tc>
          <w:tcPr>
            <w:tcW w:w="959" w:type="dxa"/>
            <w:tcBorders>
              <w:top w:val="nil"/>
              <w:left w:val="nil"/>
              <w:bottom w:val="nil"/>
              <w:right w:val="nil"/>
            </w:tcBorders>
            <w:shd w:val="clear" w:color="auto" w:fill="auto"/>
            <w:hideMark/>
          </w:tcPr>
          <w:p w:rsidR="009F4007" w:rsidRPr="00943973" w:rsidRDefault="009F4007" w:rsidP="00770995">
            <w:pPr>
              <w:jc w:val="right"/>
              <w:rPr>
                <w:color w:val="000000"/>
                <w:sz w:val="18"/>
                <w:szCs w:val="18"/>
                <w:lang w:eastAsia="en-AU"/>
              </w:rPr>
            </w:pPr>
          </w:p>
        </w:tc>
        <w:tc>
          <w:tcPr>
            <w:tcW w:w="2977" w:type="dxa"/>
            <w:tcBorders>
              <w:top w:val="nil"/>
              <w:left w:val="nil"/>
              <w:bottom w:val="nil"/>
              <w:right w:val="nil"/>
            </w:tcBorders>
            <w:shd w:val="clear" w:color="auto" w:fill="auto"/>
            <w:hideMark/>
          </w:tcPr>
          <w:p w:rsidR="009F4007" w:rsidRPr="00770995" w:rsidRDefault="009F4007" w:rsidP="00770995">
            <w:pPr>
              <w:pStyle w:val="TableTextLeftBold-BP3"/>
              <w:rPr>
                <w:i/>
                <w:sz w:val="18"/>
                <w:szCs w:val="18"/>
                <w:lang w:eastAsia="en-AU"/>
              </w:rPr>
            </w:pPr>
            <w:r>
              <w:rPr>
                <w:i/>
                <w:sz w:val="18"/>
                <w:szCs w:val="18"/>
                <w:lang w:eastAsia="en-AU"/>
              </w:rPr>
              <w:t xml:space="preserve">  </w:t>
            </w:r>
          </w:p>
        </w:tc>
        <w:tc>
          <w:tcPr>
            <w:tcW w:w="1275" w:type="dxa"/>
            <w:tcBorders>
              <w:top w:val="nil"/>
              <w:left w:val="nil"/>
              <w:bottom w:val="nil"/>
              <w:right w:val="nil"/>
            </w:tcBorders>
            <w:shd w:val="clear" w:color="auto" w:fill="auto"/>
            <w:hideMark/>
          </w:tcPr>
          <w:p w:rsidR="009F4007" w:rsidRPr="00943973" w:rsidRDefault="009F4007"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F4007" w:rsidRPr="00943973" w:rsidRDefault="009F4007"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F4007" w:rsidRPr="00943973" w:rsidRDefault="009F4007"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F4007" w:rsidRPr="00943973" w:rsidRDefault="009F4007"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F4007" w:rsidRPr="00943973" w:rsidRDefault="009F4007" w:rsidP="00943973">
            <w:pPr>
              <w:jc w:val="right"/>
              <w:rPr>
                <w:color w:val="000000"/>
                <w:sz w:val="18"/>
                <w:szCs w:val="18"/>
                <w:lang w:eastAsia="en-AU"/>
              </w:rPr>
            </w:pPr>
          </w:p>
        </w:tc>
      </w:tr>
      <w:tr w:rsidR="00943973" w:rsidRPr="00943973" w:rsidTr="00770995">
        <w:trPr>
          <w:trHeight w:val="570"/>
        </w:trPr>
        <w:tc>
          <w:tcPr>
            <w:tcW w:w="959"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i/>
                <w:sz w:val="18"/>
                <w:szCs w:val="18"/>
                <w:lang w:eastAsia="en-AU"/>
              </w:rPr>
            </w:pPr>
            <w:r w:rsidRPr="00770995">
              <w:rPr>
                <w:i/>
                <w:sz w:val="18"/>
                <w:szCs w:val="18"/>
                <w:lang w:eastAsia="en-AU"/>
              </w:rPr>
              <w:t>National Schools SPP's and National Education Reform Agreement Funding</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770995">
        <w:trPr>
          <w:trHeight w:val="480"/>
        </w:trPr>
        <w:tc>
          <w:tcPr>
            <w:tcW w:w="959"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60,053</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 xml:space="preserve">National Schools SPP </w:t>
            </w:r>
            <w:r w:rsidR="00093645">
              <w:rPr>
                <w:b w:val="0"/>
                <w:sz w:val="18"/>
                <w:szCs w:val="18"/>
                <w:lang w:eastAsia="en-AU"/>
              </w:rPr>
              <w:t xml:space="preserve">– </w:t>
            </w:r>
            <w:r w:rsidRPr="00770995">
              <w:rPr>
                <w:b w:val="0"/>
                <w:sz w:val="18"/>
                <w:szCs w:val="18"/>
                <w:lang w:eastAsia="en-AU"/>
              </w:rPr>
              <w:t>Government Schools Component</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59,577</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32,225</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770995">
        <w:trPr>
          <w:trHeight w:val="480"/>
        </w:trPr>
        <w:tc>
          <w:tcPr>
            <w:tcW w:w="959"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154,996</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 xml:space="preserve">National Schools SPP </w:t>
            </w:r>
            <w:r w:rsidR="00093645">
              <w:rPr>
                <w:b w:val="0"/>
                <w:sz w:val="18"/>
                <w:szCs w:val="18"/>
                <w:lang w:eastAsia="en-AU"/>
              </w:rPr>
              <w:t>– Non</w:t>
            </w:r>
            <w:r w:rsidR="00093645">
              <w:rPr>
                <w:b w:val="0"/>
                <w:sz w:val="18"/>
                <w:szCs w:val="18"/>
                <w:lang w:eastAsia="en-AU"/>
              </w:rPr>
              <w:noBreakHyphen/>
            </w:r>
            <w:proofErr w:type="spellStart"/>
            <w:r w:rsidRPr="00770995">
              <w:rPr>
                <w:b w:val="0"/>
                <w:sz w:val="18"/>
                <w:szCs w:val="18"/>
                <w:lang w:eastAsia="en-AU"/>
              </w:rPr>
              <w:t>Government</w:t>
            </w:r>
            <w:proofErr w:type="spellEnd"/>
            <w:r w:rsidRPr="00770995">
              <w:rPr>
                <w:b w:val="0"/>
                <w:sz w:val="18"/>
                <w:szCs w:val="18"/>
                <w:lang w:eastAsia="en-AU"/>
              </w:rPr>
              <w:t xml:space="preserve"> Schools Component</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148,504</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81,069</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770995">
        <w:trPr>
          <w:trHeight w:val="330"/>
        </w:trPr>
        <w:tc>
          <w:tcPr>
            <w:tcW w:w="959"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 xml:space="preserve">National Education Reform </w:t>
            </w:r>
            <w:r w:rsidR="00093645">
              <w:rPr>
                <w:b w:val="0"/>
                <w:sz w:val="18"/>
                <w:szCs w:val="18"/>
                <w:lang w:eastAsia="en-AU"/>
              </w:rPr>
              <w:t xml:space="preserve">– </w:t>
            </w:r>
            <w:r w:rsidRPr="00770995">
              <w:rPr>
                <w:b w:val="0"/>
                <w:sz w:val="18"/>
                <w:szCs w:val="18"/>
                <w:lang w:eastAsia="en-AU"/>
              </w:rPr>
              <w:t>Government</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35,704</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73,050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76,447</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80,040</w:t>
            </w:r>
          </w:p>
        </w:tc>
      </w:tr>
      <w:tr w:rsidR="00943973" w:rsidRPr="00943973" w:rsidTr="00770995">
        <w:trPr>
          <w:trHeight w:val="300"/>
        </w:trPr>
        <w:tc>
          <w:tcPr>
            <w:tcW w:w="959"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 xml:space="preserve">National Education Reform </w:t>
            </w:r>
            <w:r w:rsidR="00093645">
              <w:rPr>
                <w:b w:val="0"/>
                <w:sz w:val="18"/>
                <w:szCs w:val="18"/>
                <w:lang w:eastAsia="en-AU"/>
              </w:rPr>
              <w:t>– Non</w:t>
            </w:r>
            <w:r w:rsidR="00093645">
              <w:rPr>
                <w:b w:val="0"/>
                <w:sz w:val="18"/>
                <w:szCs w:val="18"/>
                <w:lang w:eastAsia="en-AU"/>
              </w:rPr>
              <w:noBreakHyphen/>
            </w:r>
            <w:proofErr w:type="spellStart"/>
            <w:r w:rsidRPr="00770995">
              <w:rPr>
                <w:b w:val="0"/>
                <w:sz w:val="18"/>
                <w:szCs w:val="18"/>
                <w:lang w:eastAsia="en-AU"/>
              </w:rPr>
              <w:t>Government</w:t>
            </w:r>
            <w:proofErr w:type="spellEnd"/>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82,425</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170,606</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181,690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193,314</w:t>
            </w:r>
          </w:p>
        </w:tc>
      </w:tr>
      <w:tr w:rsidR="00943973" w:rsidRPr="00943973" w:rsidTr="00770995">
        <w:trPr>
          <w:trHeight w:val="570"/>
        </w:trPr>
        <w:tc>
          <w:tcPr>
            <w:tcW w:w="959" w:type="dxa"/>
            <w:tcBorders>
              <w:top w:val="nil"/>
              <w:left w:val="nil"/>
              <w:bottom w:val="nil"/>
              <w:right w:val="nil"/>
            </w:tcBorders>
            <w:shd w:val="clear" w:color="auto" w:fill="auto"/>
            <w:hideMark/>
          </w:tcPr>
          <w:p w:rsidR="00943973" w:rsidRPr="00093645" w:rsidRDefault="00943973" w:rsidP="00770995">
            <w:pPr>
              <w:jc w:val="right"/>
              <w:rPr>
                <w:b/>
                <w:i/>
                <w:iCs/>
                <w:color w:val="000000"/>
                <w:sz w:val="18"/>
                <w:szCs w:val="18"/>
                <w:lang w:eastAsia="en-AU"/>
              </w:rPr>
            </w:pPr>
            <w:r w:rsidRPr="00093645">
              <w:rPr>
                <w:b/>
                <w:i/>
                <w:iCs/>
                <w:color w:val="000000"/>
                <w:sz w:val="18"/>
                <w:szCs w:val="18"/>
                <w:lang w:eastAsia="en-AU"/>
              </w:rPr>
              <w:t>215,049</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i/>
                <w:sz w:val="18"/>
                <w:szCs w:val="18"/>
                <w:lang w:eastAsia="en-AU"/>
              </w:rPr>
            </w:pPr>
            <w:r w:rsidRPr="00770995">
              <w:rPr>
                <w:i/>
                <w:sz w:val="18"/>
                <w:szCs w:val="18"/>
                <w:lang w:eastAsia="en-AU"/>
              </w:rPr>
              <w:t>Total National Schools SPP's and National Education Reform Agreement Funding</w:t>
            </w:r>
          </w:p>
        </w:tc>
        <w:tc>
          <w:tcPr>
            <w:tcW w:w="1275" w:type="dxa"/>
            <w:tcBorders>
              <w:top w:val="nil"/>
              <w:left w:val="nil"/>
              <w:bottom w:val="nil"/>
              <w:right w:val="nil"/>
            </w:tcBorders>
            <w:shd w:val="clear" w:color="auto" w:fill="auto"/>
            <w:hideMark/>
          </w:tcPr>
          <w:p w:rsidR="00943973" w:rsidRPr="00770995" w:rsidRDefault="00943973" w:rsidP="00341BCF">
            <w:pPr>
              <w:keepNext/>
              <w:keepLines/>
              <w:jc w:val="right"/>
              <w:rPr>
                <w:b/>
                <w:i/>
                <w:iCs/>
                <w:color w:val="000000"/>
                <w:sz w:val="18"/>
                <w:szCs w:val="18"/>
                <w:lang w:eastAsia="en-AU"/>
              </w:rPr>
            </w:pPr>
            <w:r w:rsidRPr="00770995">
              <w:rPr>
                <w:b/>
                <w:i/>
                <w:iCs/>
                <w:color w:val="000000"/>
                <w:sz w:val="18"/>
                <w:szCs w:val="18"/>
                <w:lang w:eastAsia="en-AU"/>
              </w:rPr>
              <w:t>208,081</w:t>
            </w:r>
          </w:p>
        </w:tc>
        <w:tc>
          <w:tcPr>
            <w:tcW w:w="1134" w:type="dxa"/>
            <w:tcBorders>
              <w:top w:val="nil"/>
              <w:left w:val="nil"/>
              <w:bottom w:val="nil"/>
              <w:right w:val="nil"/>
            </w:tcBorders>
            <w:shd w:val="clear" w:color="auto" w:fill="auto"/>
            <w:hideMark/>
          </w:tcPr>
          <w:p w:rsidR="00943973" w:rsidRPr="00770995" w:rsidRDefault="00943973" w:rsidP="00341BCF">
            <w:pPr>
              <w:keepNext/>
              <w:keepLines/>
              <w:jc w:val="right"/>
              <w:rPr>
                <w:b/>
                <w:i/>
                <w:iCs/>
                <w:color w:val="000000"/>
                <w:sz w:val="18"/>
                <w:szCs w:val="18"/>
                <w:lang w:eastAsia="en-AU"/>
              </w:rPr>
            </w:pPr>
            <w:r w:rsidRPr="00770995">
              <w:rPr>
                <w:b/>
                <w:i/>
                <w:iCs/>
                <w:color w:val="000000"/>
                <w:sz w:val="18"/>
                <w:szCs w:val="18"/>
                <w:lang w:eastAsia="en-AU"/>
              </w:rPr>
              <w:t>231,423</w:t>
            </w:r>
          </w:p>
        </w:tc>
        <w:tc>
          <w:tcPr>
            <w:tcW w:w="993" w:type="dxa"/>
            <w:tcBorders>
              <w:top w:val="nil"/>
              <w:left w:val="nil"/>
              <w:bottom w:val="nil"/>
              <w:right w:val="nil"/>
            </w:tcBorders>
            <w:shd w:val="clear" w:color="auto" w:fill="auto"/>
            <w:hideMark/>
          </w:tcPr>
          <w:p w:rsidR="00943973" w:rsidRPr="00770995" w:rsidRDefault="00943973" w:rsidP="00341BCF">
            <w:pPr>
              <w:keepNext/>
              <w:keepLines/>
              <w:jc w:val="right"/>
              <w:rPr>
                <w:b/>
                <w:i/>
                <w:iCs/>
                <w:color w:val="000000"/>
                <w:sz w:val="18"/>
                <w:szCs w:val="18"/>
                <w:lang w:eastAsia="en-AU"/>
              </w:rPr>
            </w:pPr>
            <w:r w:rsidRPr="00770995">
              <w:rPr>
                <w:b/>
                <w:i/>
                <w:iCs/>
                <w:color w:val="000000"/>
                <w:sz w:val="18"/>
                <w:szCs w:val="18"/>
                <w:lang w:eastAsia="en-AU"/>
              </w:rPr>
              <w:t>243,656</w:t>
            </w:r>
          </w:p>
        </w:tc>
        <w:tc>
          <w:tcPr>
            <w:tcW w:w="992" w:type="dxa"/>
            <w:tcBorders>
              <w:top w:val="nil"/>
              <w:left w:val="nil"/>
              <w:bottom w:val="nil"/>
              <w:right w:val="nil"/>
            </w:tcBorders>
            <w:shd w:val="clear" w:color="auto" w:fill="auto"/>
            <w:hideMark/>
          </w:tcPr>
          <w:p w:rsidR="00943973" w:rsidRPr="00770995" w:rsidRDefault="00943973" w:rsidP="00341BCF">
            <w:pPr>
              <w:keepNext/>
              <w:keepLines/>
              <w:jc w:val="right"/>
              <w:rPr>
                <w:b/>
                <w:i/>
                <w:iCs/>
                <w:color w:val="000000"/>
                <w:sz w:val="18"/>
                <w:szCs w:val="18"/>
                <w:lang w:eastAsia="en-AU"/>
              </w:rPr>
            </w:pPr>
            <w:r w:rsidRPr="00770995">
              <w:rPr>
                <w:b/>
                <w:i/>
                <w:iCs/>
                <w:color w:val="000000"/>
                <w:sz w:val="18"/>
                <w:szCs w:val="18"/>
                <w:lang w:eastAsia="en-AU"/>
              </w:rPr>
              <w:t>258,137</w:t>
            </w:r>
          </w:p>
        </w:tc>
        <w:tc>
          <w:tcPr>
            <w:tcW w:w="992" w:type="dxa"/>
            <w:tcBorders>
              <w:top w:val="nil"/>
              <w:left w:val="nil"/>
              <w:bottom w:val="nil"/>
              <w:right w:val="nil"/>
            </w:tcBorders>
            <w:shd w:val="clear" w:color="auto" w:fill="auto"/>
            <w:hideMark/>
          </w:tcPr>
          <w:p w:rsidR="00943973" w:rsidRPr="00770995" w:rsidRDefault="00943973" w:rsidP="00341BCF">
            <w:pPr>
              <w:keepNext/>
              <w:keepLines/>
              <w:jc w:val="right"/>
              <w:rPr>
                <w:b/>
                <w:i/>
                <w:iCs/>
                <w:color w:val="000000"/>
                <w:sz w:val="18"/>
                <w:szCs w:val="18"/>
                <w:lang w:eastAsia="en-AU"/>
              </w:rPr>
            </w:pPr>
            <w:r w:rsidRPr="00770995">
              <w:rPr>
                <w:b/>
                <w:i/>
                <w:iCs/>
                <w:color w:val="000000"/>
                <w:sz w:val="18"/>
                <w:szCs w:val="18"/>
                <w:lang w:eastAsia="en-AU"/>
              </w:rPr>
              <w:t>273,354</w:t>
            </w:r>
          </w:p>
        </w:tc>
      </w:tr>
      <w:tr w:rsidR="00093645" w:rsidRPr="00943973" w:rsidTr="00C54177">
        <w:tc>
          <w:tcPr>
            <w:tcW w:w="959" w:type="dxa"/>
            <w:tcBorders>
              <w:top w:val="nil"/>
              <w:left w:val="nil"/>
              <w:bottom w:val="nil"/>
              <w:right w:val="nil"/>
            </w:tcBorders>
            <w:shd w:val="clear" w:color="auto" w:fill="auto"/>
            <w:noWrap/>
            <w:hideMark/>
          </w:tcPr>
          <w:p w:rsidR="00093645" w:rsidRPr="00093645" w:rsidRDefault="00093645" w:rsidP="00093645">
            <w:pPr>
              <w:jc w:val="right"/>
              <w:rPr>
                <w:color w:val="000000"/>
                <w:sz w:val="18"/>
                <w:szCs w:val="18"/>
                <w:lang w:eastAsia="en-AU"/>
              </w:rPr>
            </w:pPr>
          </w:p>
        </w:tc>
        <w:tc>
          <w:tcPr>
            <w:tcW w:w="2977" w:type="dxa"/>
            <w:tcBorders>
              <w:top w:val="nil"/>
              <w:left w:val="nil"/>
              <w:bottom w:val="nil"/>
              <w:right w:val="nil"/>
            </w:tcBorders>
            <w:shd w:val="clear" w:color="auto" w:fill="auto"/>
            <w:hideMark/>
          </w:tcPr>
          <w:p w:rsidR="00093645" w:rsidRPr="00093645" w:rsidRDefault="009F4007" w:rsidP="009F4007">
            <w:pPr>
              <w:pStyle w:val="TableTextLeftBold-BP3"/>
              <w:tabs>
                <w:tab w:val="left" w:pos="441"/>
                <w:tab w:val="right" w:pos="2761"/>
              </w:tabs>
              <w:rPr>
                <w:b w:val="0"/>
                <w:sz w:val="18"/>
                <w:szCs w:val="18"/>
                <w:lang w:eastAsia="en-AU"/>
              </w:rPr>
            </w:pPr>
            <w:r>
              <w:rPr>
                <w:b w:val="0"/>
                <w:sz w:val="18"/>
                <w:szCs w:val="18"/>
                <w:lang w:eastAsia="en-AU"/>
              </w:rPr>
              <w:tab/>
            </w:r>
            <w:r>
              <w:rPr>
                <w:b w:val="0"/>
                <w:sz w:val="18"/>
                <w:szCs w:val="18"/>
                <w:lang w:eastAsia="en-AU"/>
              </w:rPr>
              <w:tab/>
              <w:t xml:space="preserve">  </w:t>
            </w:r>
          </w:p>
        </w:tc>
        <w:tc>
          <w:tcPr>
            <w:tcW w:w="1275" w:type="dxa"/>
            <w:tcBorders>
              <w:top w:val="nil"/>
              <w:left w:val="nil"/>
              <w:bottom w:val="nil"/>
              <w:right w:val="nil"/>
            </w:tcBorders>
            <w:shd w:val="clear" w:color="auto" w:fill="auto"/>
            <w:noWrap/>
            <w:hideMark/>
          </w:tcPr>
          <w:p w:rsidR="00093645" w:rsidRPr="00093645" w:rsidRDefault="00093645" w:rsidP="00093645">
            <w:pPr>
              <w:keepNext/>
              <w:keepLines/>
              <w:jc w:val="right"/>
              <w:rPr>
                <w:color w:val="000000"/>
                <w:sz w:val="18"/>
                <w:szCs w:val="18"/>
                <w:lang w:eastAsia="en-AU"/>
              </w:rPr>
            </w:pPr>
          </w:p>
        </w:tc>
        <w:tc>
          <w:tcPr>
            <w:tcW w:w="1134" w:type="dxa"/>
            <w:tcBorders>
              <w:top w:val="nil"/>
              <w:left w:val="nil"/>
              <w:bottom w:val="nil"/>
              <w:right w:val="nil"/>
            </w:tcBorders>
            <w:shd w:val="clear" w:color="auto" w:fill="auto"/>
            <w:noWrap/>
            <w:hideMark/>
          </w:tcPr>
          <w:p w:rsidR="00093645" w:rsidRPr="00093645" w:rsidRDefault="00093645" w:rsidP="00093645">
            <w:pPr>
              <w:keepNext/>
              <w:keepLines/>
              <w:jc w:val="right"/>
              <w:rPr>
                <w:color w:val="000000"/>
                <w:sz w:val="18"/>
                <w:szCs w:val="18"/>
                <w:lang w:eastAsia="en-AU"/>
              </w:rPr>
            </w:pPr>
          </w:p>
        </w:tc>
        <w:tc>
          <w:tcPr>
            <w:tcW w:w="993" w:type="dxa"/>
            <w:tcBorders>
              <w:top w:val="nil"/>
              <w:left w:val="nil"/>
              <w:bottom w:val="nil"/>
              <w:right w:val="nil"/>
            </w:tcBorders>
            <w:shd w:val="clear" w:color="auto" w:fill="auto"/>
            <w:noWrap/>
            <w:hideMark/>
          </w:tcPr>
          <w:p w:rsidR="00093645" w:rsidRPr="00093645" w:rsidRDefault="00093645" w:rsidP="00093645">
            <w:pPr>
              <w:keepNext/>
              <w:keepLines/>
              <w:jc w:val="right"/>
              <w:rPr>
                <w:color w:val="000000"/>
                <w:sz w:val="18"/>
                <w:szCs w:val="18"/>
                <w:lang w:eastAsia="en-AU"/>
              </w:rPr>
            </w:pPr>
          </w:p>
        </w:tc>
        <w:tc>
          <w:tcPr>
            <w:tcW w:w="992" w:type="dxa"/>
            <w:tcBorders>
              <w:top w:val="nil"/>
              <w:left w:val="nil"/>
              <w:bottom w:val="nil"/>
              <w:right w:val="nil"/>
            </w:tcBorders>
            <w:shd w:val="clear" w:color="auto" w:fill="auto"/>
            <w:noWrap/>
            <w:hideMark/>
          </w:tcPr>
          <w:p w:rsidR="00093645" w:rsidRPr="00093645" w:rsidRDefault="00093645" w:rsidP="00093645">
            <w:pPr>
              <w:keepNext/>
              <w:keepLines/>
              <w:jc w:val="right"/>
              <w:rPr>
                <w:color w:val="000000"/>
                <w:sz w:val="18"/>
                <w:szCs w:val="18"/>
                <w:lang w:eastAsia="en-AU"/>
              </w:rPr>
            </w:pPr>
          </w:p>
        </w:tc>
        <w:tc>
          <w:tcPr>
            <w:tcW w:w="992" w:type="dxa"/>
            <w:tcBorders>
              <w:top w:val="nil"/>
              <w:left w:val="nil"/>
              <w:bottom w:val="nil"/>
              <w:right w:val="nil"/>
            </w:tcBorders>
            <w:shd w:val="clear" w:color="auto" w:fill="auto"/>
            <w:noWrap/>
            <w:hideMark/>
          </w:tcPr>
          <w:p w:rsidR="00093645" w:rsidRPr="00093645" w:rsidRDefault="00093645" w:rsidP="00093645">
            <w:pPr>
              <w:keepNext/>
              <w:keepLines/>
              <w:jc w:val="right"/>
              <w:rPr>
                <w:color w:val="000000"/>
                <w:sz w:val="18"/>
                <w:szCs w:val="18"/>
                <w:lang w:eastAsia="en-AU"/>
              </w:rPr>
            </w:pPr>
          </w:p>
        </w:tc>
      </w:tr>
      <w:tr w:rsidR="00943973" w:rsidRPr="00943973" w:rsidTr="00C54177">
        <w:tc>
          <w:tcPr>
            <w:tcW w:w="959" w:type="dxa"/>
            <w:tcBorders>
              <w:top w:val="nil"/>
              <w:left w:val="nil"/>
              <w:bottom w:val="nil"/>
              <w:right w:val="nil"/>
            </w:tcBorders>
            <w:shd w:val="clear" w:color="auto" w:fill="auto"/>
            <w:noWrap/>
            <w:hideMark/>
          </w:tcPr>
          <w:p w:rsidR="00943973" w:rsidRPr="00093645" w:rsidRDefault="00943973" w:rsidP="00093645">
            <w:pPr>
              <w:jc w:val="right"/>
              <w:rPr>
                <w:b/>
                <w:color w:val="000000"/>
                <w:sz w:val="18"/>
                <w:szCs w:val="18"/>
                <w:lang w:eastAsia="en-AU"/>
              </w:rPr>
            </w:pP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i/>
                <w:sz w:val="18"/>
                <w:szCs w:val="18"/>
                <w:lang w:eastAsia="en-AU"/>
              </w:rPr>
            </w:pPr>
            <w:r w:rsidRPr="00093645">
              <w:rPr>
                <w:i/>
                <w:sz w:val="18"/>
                <w:szCs w:val="18"/>
                <w:lang w:eastAsia="en-AU"/>
              </w:rPr>
              <w:t>Education and Early Childhood NPP's</w:t>
            </w:r>
          </w:p>
        </w:tc>
        <w:tc>
          <w:tcPr>
            <w:tcW w:w="1275" w:type="dxa"/>
            <w:tcBorders>
              <w:top w:val="nil"/>
              <w:left w:val="nil"/>
              <w:bottom w:val="nil"/>
              <w:right w:val="nil"/>
            </w:tcBorders>
            <w:shd w:val="clear" w:color="auto" w:fill="auto"/>
            <w:noWrap/>
            <w:hideMark/>
          </w:tcPr>
          <w:p w:rsidR="00943973" w:rsidRPr="00093645" w:rsidRDefault="00943973" w:rsidP="00093645">
            <w:pPr>
              <w:keepNext/>
              <w:keepLines/>
              <w:jc w:val="right"/>
              <w:rPr>
                <w:color w:val="000000"/>
                <w:sz w:val="18"/>
                <w:szCs w:val="18"/>
                <w:lang w:eastAsia="en-AU"/>
              </w:rPr>
            </w:pPr>
          </w:p>
        </w:tc>
        <w:tc>
          <w:tcPr>
            <w:tcW w:w="1134" w:type="dxa"/>
            <w:tcBorders>
              <w:top w:val="nil"/>
              <w:left w:val="nil"/>
              <w:bottom w:val="nil"/>
              <w:right w:val="nil"/>
            </w:tcBorders>
            <w:shd w:val="clear" w:color="auto" w:fill="auto"/>
            <w:noWrap/>
            <w:hideMark/>
          </w:tcPr>
          <w:p w:rsidR="00943973" w:rsidRPr="00093645" w:rsidRDefault="00943973" w:rsidP="00093645">
            <w:pPr>
              <w:keepNext/>
              <w:keepLines/>
              <w:jc w:val="right"/>
              <w:rPr>
                <w:color w:val="000000"/>
                <w:sz w:val="18"/>
                <w:szCs w:val="18"/>
                <w:lang w:eastAsia="en-AU"/>
              </w:rPr>
            </w:pPr>
          </w:p>
        </w:tc>
        <w:tc>
          <w:tcPr>
            <w:tcW w:w="993" w:type="dxa"/>
            <w:tcBorders>
              <w:top w:val="nil"/>
              <w:left w:val="nil"/>
              <w:bottom w:val="nil"/>
              <w:right w:val="nil"/>
            </w:tcBorders>
            <w:shd w:val="clear" w:color="auto" w:fill="auto"/>
            <w:noWrap/>
            <w:hideMark/>
          </w:tcPr>
          <w:p w:rsidR="00943973" w:rsidRPr="00093645" w:rsidRDefault="00943973" w:rsidP="00093645">
            <w:pPr>
              <w:keepNext/>
              <w:keepLines/>
              <w:jc w:val="right"/>
              <w:rPr>
                <w:color w:val="000000"/>
                <w:sz w:val="18"/>
                <w:szCs w:val="18"/>
                <w:lang w:eastAsia="en-AU"/>
              </w:rPr>
            </w:pPr>
          </w:p>
        </w:tc>
        <w:tc>
          <w:tcPr>
            <w:tcW w:w="992" w:type="dxa"/>
            <w:tcBorders>
              <w:top w:val="nil"/>
              <w:left w:val="nil"/>
              <w:bottom w:val="nil"/>
              <w:right w:val="nil"/>
            </w:tcBorders>
            <w:shd w:val="clear" w:color="auto" w:fill="auto"/>
            <w:noWrap/>
            <w:hideMark/>
          </w:tcPr>
          <w:p w:rsidR="00943973" w:rsidRPr="00093645" w:rsidRDefault="00943973" w:rsidP="00093645">
            <w:pPr>
              <w:keepNext/>
              <w:keepLines/>
              <w:jc w:val="right"/>
              <w:rPr>
                <w:color w:val="000000"/>
                <w:sz w:val="18"/>
                <w:szCs w:val="18"/>
                <w:lang w:eastAsia="en-AU"/>
              </w:rPr>
            </w:pPr>
          </w:p>
        </w:tc>
        <w:tc>
          <w:tcPr>
            <w:tcW w:w="992" w:type="dxa"/>
            <w:tcBorders>
              <w:top w:val="nil"/>
              <w:left w:val="nil"/>
              <w:bottom w:val="nil"/>
              <w:right w:val="nil"/>
            </w:tcBorders>
            <w:shd w:val="clear" w:color="auto" w:fill="auto"/>
            <w:noWrap/>
            <w:hideMark/>
          </w:tcPr>
          <w:p w:rsidR="00943973" w:rsidRPr="00093645" w:rsidRDefault="00943973" w:rsidP="00093645">
            <w:pPr>
              <w:keepNext/>
              <w:keepLines/>
              <w:jc w:val="right"/>
              <w:rPr>
                <w:color w:val="000000"/>
                <w:sz w:val="18"/>
                <w:szCs w:val="18"/>
                <w:lang w:eastAsia="en-AU"/>
              </w:rPr>
            </w:pP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2,189</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 xml:space="preserve">Digital Education Revolution NPP </w:t>
            </w:r>
            <w:r w:rsidR="00093645">
              <w:rPr>
                <w:b w:val="0"/>
                <w:sz w:val="18"/>
                <w:szCs w:val="18"/>
                <w:lang w:eastAsia="en-AU"/>
              </w:rPr>
              <w:t>–</w:t>
            </w:r>
            <w:r w:rsidRPr="00770995">
              <w:rPr>
                <w:b w:val="0"/>
                <w:sz w:val="18"/>
                <w:szCs w:val="18"/>
                <w:lang w:eastAsia="en-AU"/>
              </w:rPr>
              <w:t xml:space="preserve"> Government Schools </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2,189</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1,615</w:t>
            </w:r>
          </w:p>
        </w:tc>
        <w:tc>
          <w:tcPr>
            <w:tcW w:w="2977" w:type="dxa"/>
            <w:tcBorders>
              <w:top w:val="nil"/>
              <w:left w:val="nil"/>
              <w:bottom w:val="nil"/>
              <w:right w:val="nil"/>
            </w:tcBorders>
            <w:shd w:val="clear" w:color="auto" w:fill="auto"/>
            <w:hideMark/>
          </w:tcPr>
          <w:p w:rsidR="00943973" w:rsidRPr="00770995" w:rsidRDefault="00943973" w:rsidP="00093645">
            <w:pPr>
              <w:pStyle w:val="TableTextLeftBold-BP3"/>
              <w:rPr>
                <w:b w:val="0"/>
                <w:sz w:val="18"/>
                <w:szCs w:val="18"/>
                <w:lang w:eastAsia="en-AU"/>
              </w:rPr>
            </w:pPr>
            <w:r w:rsidRPr="00770995">
              <w:rPr>
                <w:b w:val="0"/>
                <w:sz w:val="18"/>
                <w:szCs w:val="18"/>
                <w:lang w:eastAsia="en-AU"/>
              </w:rPr>
              <w:t xml:space="preserve">Digital Education Revolution NPP </w:t>
            </w:r>
            <w:r w:rsidR="00093645">
              <w:rPr>
                <w:b w:val="0"/>
                <w:sz w:val="18"/>
                <w:szCs w:val="18"/>
                <w:lang w:eastAsia="en-AU"/>
              </w:rPr>
              <w:t>–</w:t>
            </w:r>
            <w:r w:rsidRPr="00770995">
              <w:rPr>
                <w:b w:val="0"/>
                <w:sz w:val="18"/>
                <w:szCs w:val="18"/>
                <w:lang w:eastAsia="en-AU"/>
              </w:rPr>
              <w:t xml:space="preserve"> Non-Government Schools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1,615</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728</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 xml:space="preserve">Smarter Schools </w:t>
            </w:r>
            <w:r w:rsidR="00093645">
              <w:rPr>
                <w:b w:val="0"/>
                <w:sz w:val="18"/>
                <w:szCs w:val="18"/>
                <w:lang w:eastAsia="en-AU"/>
              </w:rPr>
              <w:t xml:space="preserve">– </w:t>
            </w:r>
            <w:r w:rsidRPr="00770995">
              <w:rPr>
                <w:b w:val="0"/>
                <w:sz w:val="18"/>
                <w:szCs w:val="18"/>
                <w:lang w:eastAsia="en-AU"/>
              </w:rPr>
              <w:t>Low Socio-Economic Status School Communities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728</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279</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C54177">
        <w:tc>
          <w:tcPr>
            <w:tcW w:w="959" w:type="dxa"/>
            <w:tcBorders>
              <w:top w:val="nil"/>
              <w:left w:val="nil"/>
              <w:bottom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3,448</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Smarter Schools - Improving Teacher Quality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320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3,128</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01117A">
        <w:tc>
          <w:tcPr>
            <w:tcW w:w="959" w:type="dxa"/>
            <w:tcBorders>
              <w:top w:val="nil"/>
              <w:left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c>
          <w:tcPr>
            <w:tcW w:w="2977" w:type="dxa"/>
            <w:tcBorders>
              <w:top w:val="nil"/>
              <w:left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Smarter Schools - Literacy and Numeracy NPP - Government</w:t>
            </w:r>
          </w:p>
        </w:tc>
        <w:tc>
          <w:tcPr>
            <w:tcW w:w="1275"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1,171</w:t>
            </w:r>
          </w:p>
        </w:tc>
        <w:tc>
          <w:tcPr>
            <w:tcW w:w="1134"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587</w:t>
            </w:r>
          </w:p>
        </w:tc>
        <w:tc>
          <w:tcPr>
            <w:tcW w:w="993"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EC3910">
        <w:tc>
          <w:tcPr>
            <w:tcW w:w="959" w:type="dxa"/>
            <w:tcBorders>
              <w:top w:val="nil"/>
              <w:left w:val="nil"/>
              <w:right w:val="nil"/>
            </w:tcBorders>
            <w:shd w:val="clear" w:color="auto" w:fill="auto"/>
            <w:hideMark/>
          </w:tcPr>
          <w:p w:rsidR="00943973" w:rsidRPr="00943973" w:rsidRDefault="00943973" w:rsidP="00770995">
            <w:pPr>
              <w:jc w:val="right"/>
              <w:rPr>
                <w:color w:val="000000"/>
                <w:sz w:val="18"/>
                <w:szCs w:val="18"/>
                <w:lang w:eastAsia="en-AU"/>
              </w:rPr>
            </w:pPr>
            <w:r w:rsidRPr="00943973">
              <w:rPr>
                <w:color w:val="000000"/>
                <w:sz w:val="18"/>
                <w:szCs w:val="18"/>
                <w:lang w:eastAsia="en-AU"/>
              </w:rPr>
              <w:t>0</w:t>
            </w:r>
          </w:p>
        </w:tc>
        <w:tc>
          <w:tcPr>
            <w:tcW w:w="2977" w:type="dxa"/>
            <w:tcBorders>
              <w:top w:val="nil"/>
              <w:left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Smarter Schools - Literacy and Numeracy NPP - Non-Government</w:t>
            </w:r>
          </w:p>
        </w:tc>
        <w:tc>
          <w:tcPr>
            <w:tcW w:w="1275"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580</w:t>
            </w:r>
          </w:p>
        </w:tc>
        <w:tc>
          <w:tcPr>
            <w:tcW w:w="1134"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291</w:t>
            </w:r>
          </w:p>
        </w:tc>
        <w:tc>
          <w:tcPr>
            <w:tcW w:w="993"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F4007" w:rsidRPr="00943973" w:rsidTr="00EC3910">
        <w:tc>
          <w:tcPr>
            <w:tcW w:w="959" w:type="dxa"/>
            <w:tcBorders>
              <w:left w:val="nil"/>
              <w:bottom w:val="single" w:sz="8" w:space="0" w:color="auto"/>
              <w:right w:val="nil"/>
            </w:tcBorders>
            <w:shd w:val="clear" w:color="auto" w:fill="auto"/>
            <w:hideMark/>
          </w:tcPr>
          <w:p w:rsidR="009F4007" w:rsidRPr="00943973" w:rsidRDefault="009F4007" w:rsidP="009F4007">
            <w:pPr>
              <w:jc w:val="right"/>
              <w:rPr>
                <w:color w:val="000000"/>
                <w:sz w:val="18"/>
                <w:szCs w:val="18"/>
                <w:lang w:eastAsia="en-AU"/>
              </w:rPr>
            </w:pPr>
            <w:r w:rsidRPr="00943973">
              <w:rPr>
                <w:color w:val="000000"/>
                <w:sz w:val="18"/>
                <w:szCs w:val="18"/>
                <w:lang w:eastAsia="en-AU"/>
              </w:rPr>
              <w:t>7,080</w:t>
            </w:r>
          </w:p>
        </w:tc>
        <w:tc>
          <w:tcPr>
            <w:tcW w:w="2977" w:type="dxa"/>
            <w:tcBorders>
              <w:left w:val="nil"/>
              <w:bottom w:val="single" w:sz="8" w:space="0" w:color="auto"/>
              <w:right w:val="nil"/>
            </w:tcBorders>
            <w:shd w:val="clear" w:color="auto" w:fill="auto"/>
            <w:hideMark/>
          </w:tcPr>
          <w:p w:rsidR="009F4007" w:rsidRPr="00770995" w:rsidRDefault="009F4007" w:rsidP="009F4007">
            <w:pPr>
              <w:pStyle w:val="TableTextLeftBold-BP3"/>
              <w:rPr>
                <w:b w:val="0"/>
                <w:sz w:val="18"/>
                <w:szCs w:val="18"/>
                <w:lang w:eastAsia="en-AU"/>
              </w:rPr>
            </w:pPr>
            <w:r w:rsidRPr="00770995">
              <w:rPr>
                <w:b w:val="0"/>
                <w:sz w:val="18"/>
                <w:szCs w:val="18"/>
                <w:lang w:eastAsia="en-AU"/>
              </w:rPr>
              <w:t>Early Childhood Education – Universal Access NPP</w:t>
            </w:r>
          </w:p>
        </w:tc>
        <w:tc>
          <w:tcPr>
            <w:tcW w:w="1275" w:type="dxa"/>
            <w:tcBorders>
              <w:left w:val="nil"/>
              <w:bottom w:val="single" w:sz="8" w:space="0" w:color="auto"/>
              <w:right w:val="nil"/>
            </w:tcBorders>
            <w:shd w:val="clear" w:color="auto" w:fill="auto"/>
            <w:hideMark/>
          </w:tcPr>
          <w:p w:rsidR="009F4007" w:rsidRPr="00943973" w:rsidRDefault="009F4007" w:rsidP="009F4007">
            <w:pPr>
              <w:jc w:val="right"/>
              <w:rPr>
                <w:color w:val="000000"/>
                <w:sz w:val="18"/>
                <w:szCs w:val="18"/>
                <w:lang w:eastAsia="en-AU"/>
              </w:rPr>
            </w:pPr>
            <w:r w:rsidRPr="00943973">
              <w:rPr>
                <w:color w:val="000000"/>
                <w:sz w:val="18"/>
                <w:szCs w:val="18"/>
                <w:lang w:eastAsia="en-AU"/>
              </w:rPr>
              <w:t>7,313</w:t>
            </w:r>
          </w:p>
        </w:tc>
        <w:tc>
          <w:tcPr>
            <w:tcW w:w="1134" w:type="dxa"/>
            <w:tcBorders>
              <w:left w:val="nil"/>
              <w:bottom w:val="single" w:sz="8" w:space="0" w:color="auto"/>
              <w:right w:val="nil"/>
            </w:tcBorders>
            <w:shd w:val="clear" w:color="auto" w:fill="auto"/>
            <w:hideMark/>
          </w:tcPr>
          <w:p w:rsidR="009F4007" w:rsidRPr="00943973" w:rsidRDefault="009F4007" w:rsidP="009F4007">
            <w:pPr>
              <w:jc w:val="right"/>
              <w:rPr>
                <w:color w:val="000000"/>
                <w:sz w:val="18"/>
                <w:szCs w:val="18"/>
                <w:lang w:eastAsia="en-AU"/>
              </w:rPr>
            </w:pPr>
            <w:r w:rsidRPr="00943973">
              <w:rPr>
                <w:color w:val="000000"/>
                <w:sz w:val="18"/>
                <w:szCs w:val="18"/>
                <w:lang w:eastAsia="en-AU"/>
              </w:rPr>
              <w:t>6,444</w:t>
            </w:r>
          </w:p>
        </w:tc>
        <w:tc>
          <w:tcPr>
            <w:tcW w:w="993" w:type="dxa"/>
            <w:tcBorders>
              <w:left w:val="nil"/>
              <w:bottom w:val="single" w:sz="8" w:space="0" w:color="auto"/>
              <w:right w:val="nil"/>
            </w:tcBorders>
            <w:shd w:val="clear" w:color="auto" w:fill="auto"/>
            <w:hideMark/>
          </w:tcPr>
          <w:p w:rsidR="009F4007" w:rsidRPr="00943973" w:rsidRDefault="009F4007" w:rsidP="009F4007">
            <w:pPr>
              <w:jc w:val="right"/>
              <w:rPr>
                <w:color w:val="000000"/>
                <w:sz w:val="18"/>
                <w:szCs w:val="18"/>
                <w:lang w:eastAsia="en-AU"/>
              </w:rPr>
            </w:pPr>
            <w:r w:rsidRPr="00943973">
              <w:rPr>
                <w:color w:val="000000"/>
                <w:sz w:val="18"/>
                <w:szCs w:val="18"/>
                <w:lang w:eastAsia="en-AU"/>
              </w:rPr>
              <w:t>3,728</w:t>
            </w:r>
          </w:p>
        </w:tc>
        <w:tc>
          <w:tcPr>
            <w:tcW w:w="992" w:type="dxa"/>
            <w:tcBorders>
              <w:left w:val="nil"/>
              <w:bottom w:val="single" w:sz="8" w:space="0" w:color="auto"/>
              <w:right w:val="nil"/>
            </w:tcBorders>
            <w:shd w:val="clear" w:color="auto" w:fill="auto"/>
            <w:hideMark/>
          </w:tcPr>
          <w:p w:rsidR="009F4007" w:rsidRPr="00943973" w:rsidRDefault="009F4007" w:rsidP="009F4007">
            <w:pPr>
              <w:jc w:val="right"/>
              <w:rPr>
                <w:color w:val="000000"/>
                <w:sz w:val="18"/>
                <w:szCs w:val="18"/>
                <w:lang w:eastAsia="en-AU"/>
              </w:rPr>
            </w:pPr>
            <w:r w:rsidRPr="00943973">
              <w:rPr>
                <w:color w:val="000000"/>
                <w:sz w:val="18"/>
                <w:szCs w:val="18"/>
                <w:lang w:eastAsia="en-AU"/>
              </w:rPr>
              <w:t>0</w:t>
            </w:r>
          </w:p>
        </w:tc>
        <w:tc>
          <w:tcPr>
            <w:tcW w:w="992" w:type="dxa"/>
            <w:tcBorders>
              <w:left w:val="nil"/>
              <w:bottom w:val="single" w:sz="8" w:space="0" w:color="auto"/>
              <w:right w:val="nil"/>
            </w:tcBorders>
            <w:shd w:val="clear" w:color="auto" w:fill="auto"/>
            <w:hideMark/>
          </w:tcPr>
          <w:p w:rsidR="009F4007" w:rsidRPr="00943973" w:rsidRDefault="009F4007" w:rsidP="009F4007">
            <w:pPr>
              <w:jc w:val="right"/>
              <w:rPr>
                <w:color w:val="000000"/>
                <w:sz w:val="18"/>
                <w:szCs w:val="18"/>
                <w:lang w:eastAsia="en-AU"/>
              </w:rPr>
            </w:pPr>
            <w:r w:rsidRPr="00943973">
              <w:rPr>
                <w:color w:val="000000"/>
                <w:sz w:val="18"/>
                <w:szCs w:val="18"/>
                <w:lang w:eastAsia="en-AU"/>
              </w:rPr>
              <w:t>0</w:t>
            </w:r>
          </w:p>
        </w:tc>
      </w:tr>
      <w:tr w:rsidR="00093645" w:rsidRPr="00943973" w:rsidTr="00C54177">
        <w:trPr>
          <w:trHeight w:val="151"/>
        </w:trPr>
        <w:tc>
          <w:tcPr>
            <w:tcW w:w="959" w:type="dxa"/>
            <w:tcBorders>
              <w:top w:val="single" w:sz="8" w:space="0" w:color="auto"/>
              <w:left w:val="nil"/>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lastRenderedPageBreak/>
              <w:t>2012-13</w:t>
            </w:r>
          </w:p>
        </w:tc>
        <w:tc>
          <w:tcPr>
            <w:tcW w:w="2977" w:type="dxa"/>
            <w:tcBorders>
              <w:top w:val="single" w:sz="8" w:space="0" w:color="auto"/>
              <w:left w:val="nil"/>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 </w:t>
            </w:r>
          </w:p>
        </w:tc>
        <w:tc>
          <w:tcPr>
            <w:tcW w:w="1275" w:type="dxa"/>
            <w:tcBorders>
              <w:top w:val="single" w:sz="8" w:space="0" w:color="auto"/>
              <w:left w:val="nil"/>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2012-13</w:t>
            </w:r>
          </w:p>
        </w:tc>
        <w:tc>
          <w:tcPr>
            <w:tcW w:w="1134" w:type="dxa"/>
            <w:tcBorders>
              <w:top w:val="single" w:sz="8" w:space="0" w:color="auto"/>
              <w:left w:val="nil"/>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2013-14</w:t>
            </w:r>
          </w:p>
        </w:tc>
        <w:tc>
          <w:tcPr>
            <w:tcW w:w="993" w:type="dxa"/>
            <w:tcBorders>
              <w:top w:val="single" w:sz="8" w:space="0" w:color="auto"/>
              <w:left w:val="nil"/>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2014-15</w:t>
            </w:r>
          </w:p>
        </w:tc>
        <w:tc>
          <w:tcPr>
            <w:tcW w:w="992" w:type="dxa"/>
            <w:tcBorders>
              <w:top w:val="single" w:sz="8" w:space="0" w:color="auto"/>
              <w:left w:val="nil"/>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2015-16</w:t>
            </w:r>
          </w:p>
        </w:tc>
        <w:tc>
          <w:tcPr>
            <w:tcW w:w="992" w:type="dxa"/>
            <w:tcBorders>
              <w:top w:val="single" w:sz="8" w:space="0" w:color="auto"/>
              <w:left w:val="nil"/>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2016-17</w:t>
            </w:r>
          </w:p>
        </w:tc>
      </w:tr>
      <w:tr w:rsidR="00093645" w:rsidRPr="00943973" w:rsidTr="00093645">
        <w:trPr>
          <w:trHeight w:val="151"/>
        </w:trPr>
        <w:tc>
          <w:tcPr>
            <w:tcW w:w="959" w:type="dxa"/>
            <w:tcBorders>
              <w:left w:val="nil"/>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Budget</w:t>
            </w:r>
          </w:p>
        </w:tc>
        <w:tc>
          <w:tcPr>
            <w:tcW w:w="2977" w:type="dxa"/>
            <w:tcBorders>
              <w:left w:val="nil"/>
              <w:right w:val="nil"/>
            </w:tcBorders>
            <w:shd w:val="clear" w:color="auto" w:fill="auto"/>
            <w:hideMark/>
          </w:tcPr>
          <w:p w:rsidR="00093645" w:rsidRPr="00093645" w:rsidRDefault="00093645" w:rsidP="00093645">
            <w:pPr>
              <w:pStyle w:val="TableTextLeftBold-BP3"/>
              <w:rPr>
                <w:sz w:val="18"/>
                <w:szCs w:val="18"/>
                <w:lang w:eastAsia="en-AU"/>
              </w:rPr>
            </w:pPr>
            <w:r w:rsidRPr="00093645">
              <w:rPr>
                <w:sz w:val="18"/>
                <w:szCs w:val="18"/>
                <w:lang w:eastAsia="en-AU"/>
              </w:rPr>
              <w:t>FUNDING CATEGORIES</w:t>
            </w:r>
          </w:p>
        </w:tc>
        <w:tc>
          <w:tcPr>
            <w:tcW w:w="1275" w:type="dxa"/>
            <w:tcBorders>
              <w:left w:val="nil"/>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Est.</w:t>
            </w:r>
            <w:r>
              <w:rPr>
                <w:b/>
                <w:bCs/>
                <w:color w:val="000000"/>
                <w:sz w:val="18"/>
                <w:szCs w:val="18"/>
                <w:lang w:eastAsia="en-AU"/>
              </w:rPr>
              <w:t xml:space="preserve"> </w:t>
            </w:r>
            <w:r w:rsidRPr="00943973">
              <w:rPr>
                <w:b/>
                <w:bCs/>
                <w:color w:val="000000"/>
                <w:sz w:val="18"/>
                <w:szCs w:val="18"/>
                <w:lang w:eastAsia="en-AU"/>
              </w:rPr>
              <w:t>Outcome</w:t>
            </w:r>
          </w:p>
        </w:tc>
        <w:tc>
          <w:tcPr>
            <w:tcW w:w="1134" w:type="dxa"/>
            <w:tcBorders>
              <w:left w:val="nil"/>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Budget</w:t>
            </w:r>
          </w:p>
        </w:tc>
        <w:tc>
          <w:tcPr>
            <w:tcW w:w="993" w:type="dxa"/>
            <w:tcBorders>
              <w:left w:val="nil"/>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Estimate</w:t>
            </w:r>
          </w:p>
        </w:tc>
        <w:tc>
          <w:tcPr>
            <w:tcW w:w="992" w:type="dxa"/>
            <w:tcBorders>
              <w:left w:val="nil"/>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Estimate</w:t>
            </w:r>
          </w:p>
        </w:tc>
        <w:tc>
          <w:tcPr>
            <w:tcW w:w="992" w:type="dxa"/>
            <w:tcBorders>
              <w:left w:val="nil"/>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Estimate</w:t>
            </w:r>
          </w:p>
        </w:tc>
      </w:tr>
      <w:tr w:rsidR="00093645" w:rsidRPr="00943973" w:rsidTr="0001117A">
        <w:trPr>
          <w:trHeight w:val="229"/>
        </w:trPr>
        <w:tc>
          <w:tcPr>
            <w:tcW w:w="959" w:type="dxa"/>
            <w:tcBorders>
              <w:top w:val="nil"/>
              <w:left w:val="nil"/>
              <w:bottom w:val="single" w:sz="8" w:space="0" w:color="auto"/>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$’000</w:t>
            </w:r>
          </w:p>
        </w:tc>
        <w:tc>
          <w:tcPr>
            <w:tcW w:w="2977" w:type="dxa"/>
            <w:tcBorders>
              <w:top w:val="nil"/>
              <w:left w:val="nil"/>
              <w:bottom w:val="single" w:sz="8" w:space="0" w:color="auto"/>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 </w:t>
            </w:r>
          </w:p>
        </w:tc>
        <w:tc>
          <w:tcPr>
            <w:tcW w:w="1275" w:type="dxa"/>
            <w:tcBorders>
              <w:top w:val="nil"/>
              <w:left w:val="nil"/>
              <w:bottom w:val="single" w:sz="8" w:space="0" w:color="auto"/>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$’000</w:t>
            </w:r>
          </w:p>
        </w:tc>
        <w:tc>
          <w:tcPr>
            <w:tcW w:w="1134" w:type="dxa"/>
            <w:tcBorders>
              <w:top w:val="nil"/>
              <w:left w:val="nil"/>
              <w:bottom w:val="single" w:sz="8" w:space="0" w:color="auto"/>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$’000</w:t>
            </w:r>
          </w:p>
        </w:tc>
        <w:tc>
          <w:tcPr>
            <w:tcW w:w="993" w:type="dxa"/>
            <w:tcBorders>
              <w:top w:val="nil"/>
              <w:left w:val="nil"/>
              <w:bottom w:val="single" w:sz="8" w:space="0" w:color="auto"/>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$’000</w:t>
            </w:r>
          </w:p>
        </w:tc>
        <w:tc>
          <w:tcPr>
            <w:tcW w:w="992" w:type="dxa"/>
            <w:tcBorders>
              <w:top w:val="nil"/>
              <w:left w:val="nil"/>
              <w:bottom w:val="single" w:sz="8" w:space="0" w:color="auto"/>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$’000</w:t>
            </w:r>
          </w:p>
        </w:tc>
        <w:tc>
          <w:tcPr>
            <w:tcW w:w="992" w:type="dxa"/>
            <w:tcBorders>
              <w:top w:val="nil"/>
              <w:left w:val="nil"/>
              <w:bottom w:val="single" w:sz="8" w:space="0" w:color="auto"/>
              <w:right w:val="nil"/>
            </w:tcBorders>
            <w:shd w:val="clear" w:color="auto" w:fill="auto"/>
            <w:hideMark/>
          </w:tcPr>
          <w:p w:rsidR="00093645" w:rsidRPr="00943973" w:rsidRDefault="00093645" w:rsidP="00093645">
            <w:pPr>
              <w:jc w:val="right"/>
              <w:rPr>
                <w:b/>
                <w:bCs/>
                <w:color w:val="000000"/>
                <w:sz w:val="18"/>
                <w:szCs w:val="18"/>
                <w:lang w:eastAsia="en-AU"/>
              </w:rPr>
            </w:pPr>
            <w:r w:rsidRPr="00943973">
              <w:rPr>
                <w:b/>
                <w:bCs/>
                <w:color w:val="000000"/>
                <w:sz w:val="18"/>
                <w:szCs w:val="18"/>
                <w:lang w:eastAsia="en-AU"/>
              </w:rPr>
              <w:t>$'000</w:t>
            </w:r>
          </w:p>
        </w:tc>
      </w:tr>
      <w:tr w:rsidR="00E539F1" w:rsidRPr="00943973" w:rsidTr="0001117A">
        <w:trPr>
          <w:trHeight w:val="166"/>
        </w:trPr>
        <w:tc>
          <w:tcPr>
            <w:tcW w:w="959" w:type="dxa"/>
            <w:tcBorders>
              <w:top w:val="single" w:sz="8" w:space="0" w:color="auto"/>
              <w:left w:val="nil"/>
              <w:right w:val="nil"/>
            </w:tcBorders>
            <w:shd w:val="clear" w:color="auto" w:fill="auto"/>
            <w:hideMark/>
          </w:tcPr>
          <w:p w:rsidR="00E539F1" w:rsidRPr="00943973" w:rsidRDefault="00E539F1" w:rsidP="00770995">
            <w:pPr>
              <w:jc w:val="right"/>
              <w:rPr>
                <w:color w:val="000000"/>
                <w:sz w:val="18"/>
                <w:szCs w:val="18"/>
                <w:lang w:eastAsia="en-AU"/>
              </w:rPr>
            </w:pPr>
          </w:p>
        </w:tc>
        <w:tc>
          <w:tcPr>
            <w:tcW w:w="2977" w:type="dxa"/>
            <w:tcBorders>
              <w:top w:val="single" w:sz="8" w:space="0" w:color="auto"/>
              <w:left w:val="nil"/>
              <w:right w:val="nil"/>
            </w:tcBorders>
            <w:shd w:val="clear" w:color="auto" w:fill="auto"/>
            <w:hideMark/>
          </w:tcPr>
          <w:p w:rsidR="00E539F1" w:rsidRPr="00770995" w:rsidRDefault="009F4007" w:rsidP="00770995">
            <w:pPr>
              <w:pStyle w:val="TableTextLeftBold-BP3"/>
              <w:rPr>
                <w:b w:val="0"/>
                <w:sz w:val="18"/>
                <w:szCs w:val="18"/>
                <w:lang w:eastAsia="en-AU"/>
              </w:rPr>
            </w:pPr>
            <w:r>
              <w:rPr>
                <w:b w:val="0"/>
                <w:sz w:val="18"/>
                <w:szCs w:val="18"/>
                <w:lang w:eastAsia="en-AU"/>
              </w:rPr>
              <w:t xml:space="preserve">  </w:t>
            </w:r>
          </w:p>
        </w:tc>
        <w:tc>
          <w:tcPr>
            <w:tcW w:w="1275" w:type="dxa"/>
            <w:tcBorders>
              <w:top w:val="single" w:sz="8" w:space="0" w:color="auto"/>
              <w:left w:val="nil"/>
              <w:right w:val="nil"/>
            </w:tcBorders>
            <w:shd w:val="clear" w:color="auto" w:fill="auto"/>
            <w:hideMark/>
          </w:tcPr>
          <w:p w:rsidR="00E539F1" w:rsidRPr="00943973" w:rsidRDefault="00E539F1" w:rsidP="00943973">
            <w:pPr>
              <w:jc w:val="right"/>
              <w:rPr>
                <w:color w:val="000000"/>
                <w:sz w:val="18"/>
                <w:szCs w:val="18"/>
                <w:lang w:eastAsia="en-AU"/>
              </w:rPr>
            </w:pPr>
          </w:p>
        </w:tc>
        <w:tc>
          <w:tcPr>
            <w:tcW w:w="1134" w:type="dxa"/>
            <w:tcBorders>
              <w:top w:val="single" w:sz="8" w:space="0" w:color="auto"/>
              <w:left w:val="nil"/>
              <w:right w:val="nil"/>
            </w:tcBorders>
            <w:shd w:val="clear" w:color="auto" w:fill="auto"/>
            <w:hideMark/>
          </w:tcPr>
          <w:p w:rsidR="00E539F1" w:rsidRPr="00943973" w:rsidRDefault="00E539F1" w:rsidP="00943973">
            <w:pPr>
              <w:jc w:val="right"/>
              <w:rPr>
                <w:color w:val="000000"/>
                <w:sz w:val="18"/>
                <w:szCs w:val="18"/>
                <w:lang w:eastAsia="en-AU"/>
              </w:rPr>
            </w:pPr>
          </w:p>
        </w:tc>
        <w:tc>
          <w:tcPr>
            <w:tcW w:w="993" w:type="dxa"/>
            <w:tcBorders>
              <w:top w:val="single" w:sz="8" w:space="0" w:color="auto"/>
              <w:left w:val="nil"/>
              <w:right w:val="nil"/>
            </w:tcBorders>
            <w:shd w:val="clear" w:color="auto" w:fill="auto"/>
            <w:hideMark/>
          </w:tcPr>
          <w:p w:rsidR="00E539F1" w:rsidRPr="00943973" w:rsidRDefault="00E539F1" w:rsidP="00943973">
            <w:pPr>
              <w:jc w:val="right"/>
              <w:rPr>
                <w:color w:val="000000"/>
                <w:sz w:val="18"/>
                <w:szCs w:val="18"/>
                <w:lang w:eastAsia="en-AU"/>
              </w:rPr>
            </w:pPr>
          </w:p>
        </w:tc>
        <w:tc>
          <w:tcPr>
            <w:tcW w:w="992" w:type="dxa"/>
            <w:tcBorders>
              <w:top w:val="single" w:sz="8" w:space="0" w:color="auto"/>
              <w:left w:val="nil"/>
              <w:right w:val="nil"/>
            </w:tcBorders>
            <w:shd w:val="clear" w:color="auto" w:fill="auto"/>
            <w:hideMark/>
          </w:tcPr>
          <w:p w:rsidR="00E539F1" w:rsidRPr="00943973" w:rsidRDefault="00E539F1" w:rsidP="00943973">
            <w:pPr>
              <w:jc w:val="right"/>
              <w:rPr>
                <w:color w:val="000000"/>
                <w:sz w:val="18"/>
                <w:szCs w:val="18"/>
                <w:lang w:eastAsia="en-AU"/>
              </w:rPr>
            </w:pPr>
          </w:p>
        </w:tc>
        <w:tc>
          <w:tcPr>
            <w:tcW w:w="992" w:type="dxa"/>
            <w:tcBorders>
              <w:top w:val="single" w:sz="8" w:space="0" w:color="auto"/>
              <w:left w:val="nil"/>
              <w:right w:val="nil"/>
            </w:tcBorders>
            <w:shd w:val="clear" w:color="auto" w:fill="auto"/>
            <w:hideMark/>
          </w:tcPr>
          <w:p w:rsidR="00E539F1" w:rsidRPr="00943973" w:rsidRDefault="00E539F1" w:rsidP="00943973">
            <w:pPr>
              <w:jc w:val="right"/>
              <w:rPr>
                <w:color w:val="000000"/>
                <w:sz w:val="18"/>
                <w:szCs w:val="18"/>
                <w:lang w:eastAsia="en-AU"/>
              </w:rPr>
            </w:pPr>
          </w:p>
        </w:tc>
      </w:tr>
      <w:tr w:rsidR="00943973" w:rsidRPr="00943973" w:rsidTr="00E539F1">
        <w:trPr>
          <w:trHeight w:val="381"/>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1,536</w:t>
            </w:r>
          </w:p>
        </w:tc>
        <w:tc>
          <w:tcPr>
            <w:tcW w:w="2977" w:type="dxa"/>
            <w:tcBorders>
              <w:top w:val="nil"/>
              <w:left w:val="nil"/>
              <w:bottom w:val="nil"/>
              <w:right w:val="nil"/>
            </w:tcBorders>
            <w:shd w:val="clear" w:color="auto" w:fill="auto"/>
            <w:hideMark/>
          </w:tcPr>
          <w:p w:rsidR="00943973" w:rsidRPr="00770995" w:rsidRDefault="00943973" w:rsidP="00770995">
            <w:pPr>
              <w:pStyle w:val="TableTextLeftBold-BP3"/>
              <w:rPr>
                <w:b w:val="0"/>
                <w:sz w:val="18"/>
                <w:szCs w:val="18"/>
                <w:lang w:eastAsia="en-AU"/>
              </w:rPr>
            </w:pPr>
            <w:r w:rsidRPr="00770995">
              <w:rPr>
                <w:b w:val="0"/>
                <w:sz w:val="18"/>
                <w:szCs w:val="18"/>
                <w:lang w:eastAsia="en-AU"/>
              </w:rPr>
              <w:t>Trade Training Centres Schools NPP – Government Schools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4,622</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4,027</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1,888</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2,287</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4,442</w:t>
            </w:r>
          </w:p>
        </w:tc>
      </w:tr>
      <w:tr w:rsidR="00943973" w:rsidRPr="00943973" w:rsidTr="00E539F1">
        <w:trPr>
          <w:trHeight w:val="330"/>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1,864</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Trade Training Centres Schools NPP – Non</w:t>
            </w:r>
            <w:r w:rsidRPr="00093645">
              <w:rPr>
                <w:b w:val="0"/>
                <w:sz w:val="18"/>
                <w:szCs w:val="18"/>
                <w:lang w:eastAsia="en-AU"/>
              </w:rPr>
              <w:noBreakHyphen/>
            </w:r>
            <w:proofErr w:type="spellStart"/>
            <w:r w:rsidRPr="00093645">
              <w:rPr>
                <w:b w:val="0"/>
                <w:sz w:val="18"/>
                <w:szCs w:val="18"/>
                <w:lang w:eastAsia="en-AU"/>
              </w:rPr>
              <w:t>Government</w:t>
            </w:r>
            <w:proofErr w:type="spellEnd"/>
            <w:r w:rsidRPr="00093645">
              <w:rPr>
                <w:b w:val="0"/>
                <w:sz w:val="18"/>
                <w:szCs w:val="18"/>
                <w:lang w:eastAsia="en-AU"/>
              </w:rPr>
              <w:t xml:space="preserve"> Schools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1,546</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498</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1,624</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1,928</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3,424</w:t>
            </w:r>
          </w:p>
        </w:tc>
      </w:tr>
      <w:tr w:rsidR="00943973" w:rsidRPr="00943973" w:rsidTr="000E110C">
        <w:trPr>
          <w:trHeight w:val="300"/>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Industry and Indigenous Skills Centres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181</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E539F1">
        <w:trPr>
          <w:trHeight w:val="414"/>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1,530</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National Solar Schools Plan NPP – Government Schools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1,194</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382</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E539F1">
        <w:trPr>
          <w:trHeight w:val="351"/>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108</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National Solar Schools Plan NPP – Non</w:t>
            </w:r>
            <w:r w:rsidRPr="00093645">
              <w:rPr>
                <w:b w:val="0"/>
                <w:sz w:val="18"/>
                <w:szCs w:val="18"/>
                <w:lang w:eastAsia="en-AU"/>
              </w:rPr>
              <w:noBreakHyphen/>
            </w:r>
            <w:proofErr w:type="spellStart"/>
            <w:r w:rsidRPr="00093645">
              <w:rPr>
                <w:b w:val="0"/>
                <w:sz w:val="18"/>
                <w:szCs w:val="18"/>
                <w:lang w:eastAsia="en-AU"/>
              </w:rPr>
              <w:t>Government</w:t>
            </w:r>
            <w:proofErr w:type="spellEnd"/>
            <w:r w:rsidRPr="00093645">
              <w:rPr>
                <w:b w:val="0"/>
                <w:sz w:val="18"/>
                <w:szCs w:val="18"/>
                <w:lang w:eastAsia="en-AU"/>
              </w:rPr>
              <w:t xml:space="preserve"> Schools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108</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0E110C">
        <w:trPr>
          <w:trHeight w:val="300"/>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662</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Youth Attainment and Transitions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662</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1,135</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E539F1">
        <w:trPr>
          <w:trHeight w:val="150"/>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74</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Money Smart Schools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74</w:t>
            </w:r>
          </w:p>
        </w:tc>
        <w:tc>
          <w:tcPr>
            <w:tcW w:w="1134" w:type="dxa"/>
            <w:tcBorders>
              <w:top w:val="nil"/>
              <w:left w:val="nil"/>
              <w:bottom w:val="nil"/>
              <w:right w:val="nil"/>
            </w:tcBorders>
            <w:shd w:val="clear" w:color="auto" w:fill="auto"/>
            <w:noWrap/>
            <w:hideMark/>
          </w:tcPr>
          <w:p w:rsidR="00943973" w:rsidRPr="00943973" w:rsidRDefault="00943973" w:rsidP="00943973">
            <w:pPr>
              <w:jc w:val="right"/>
              <w:rPr>
                <w:color w:val="000000"/>
                <w:sz w:val="18"/>
                <w:szCs w:val="18"/>
                <w:lang w:eastAsia="en-AU"/>
              </w:rPr>
            </w:pPr>
            <w:r w:rsidRPr="00943973">
              <w:rPr>
                <w:color w:val="000000"/>
                <w:sz w:val="18"/>
                <w:szCs w:val="18"/>
                <w:lang w:eastAsia="en-AU"/>
              </w:rPr>
              <w:t>91</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86</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94</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109</w:t>
            </w:r>
          </w:p>
        </w:tc>
      </w:tr>
      <w:tr w:rsidR="00943973" w:rsidRPr="00943973" w:rsidTr="000E110C">
        <w:trPr>
          <w:trHeight w:val="480"/>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1,079</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 xml:space="preserve">Support for Students with Disability NPP </w:t>
            </w:r>
            <w:r w:rsidR="00E539F1" w:rsidRPr="00770995">
              <w:rPr>
                <w:b w:val="0"/>
                <w:sz w:val="18"/>
                <w:szCs w:val="18"/>
                <w:lang w:eastAsia="en-AU"/>
              </w:rPr>
              <w:t>–</w:t>
            </w:r>
            <w:r w:rsidRPr="00093645">
              <w:rPr>
                <w:b w:val="0"/>
                <w:sz w:val="18"/>
                <w:szCs w:val="18"/>
                <w:lang w:eastAsia="en-AU"/>
              </w:rPr>
              <w:t xml:space="preserve"> Government Schools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1,079</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1,072</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802</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0E110C">
        <w:trPr>
          <w:trHeight w:val="480"/>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280</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 xml:space="preserve">Support for Students with Disability NPP </w:t>
            </w:r>
            <w:r w:rsidR="00E539F1" w:rsidRPr="00770995">
              <w:rPr>
                <w:b w:val="0"/>
                <w:sz w:val="18"/>
                <w:szCs w:val="18"/>
                <w:lang w:eastAsia="en-AU"/>
              </w:rPr>
              <w:t>–</w:t>
            </w:r>
            <w:r w:rsidRPr="00093645">
              <w:rPr>
                <w:b w:val="0"/>
                <w:sz w:val="18"/>
                <w:szCs w:val="18"/>
                <w:lang w:eastAsia="en-AU"/>
              </w:rPr>
              <w:t xml:space="preserve"> Non Government Schools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280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334</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194</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E539F1">
        <w:trPr>
          <w:trHeight w:val="297"/>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134</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 xml:space="preserve">Reward for School Improvement NPP </w:t>
            </w:r>
            <w:r w:rsidR="00E539F1" w:rsidRPr="00770995">
              <w:rPr>
                <w:b w:val="0"/>
                <w:sz w:val="18"/>
                <w:szCs w:val="18"/>
                <w:lang w:eastAsia="en-AU"/>
              </w:rPr>
              <w:t>–</w:t>
            </w:r>
            <w:r w:rsidRPr="00093645">
              <w:rPr>
                <w:b w:val="0"/>
                <w:sz w:val="18"/>
                <w:szCs w:val="18"/>
                <w:lang w:eastAsia="en-AU"/>
              </w:rPr>
              <w:t xml:space="preserve"> Government Schools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noWrap/>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E539F1">
        <w:trPr>
          <w:trHeight w:val="389"/>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177</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 xml:space="preserve">Reward for Great Teachers NPP </w:t>
            </w:r>
            <w:r w:rsidR="00093645">
              <w:rPr>
                <w:b w:val="0"/>
                <w:sz w:val="18"/>
                <w:szCs w:val="18"/>
                <w:lang w:eastAsia="en-AU"/>
              </w:rPr>
              <w:t>–</w:t>
            </w:r>
            <w:r w:rsidRPr="00093645">
              <w:rPr>
                <w:b w:val="0"/>
                <w:sz w:val="18"/>
                <w:szCs w:val="18"/>
                <w:lang w:eastAsia="en-AU"/>
              </w:rPr>
              <w:t xml:space="preserve"> Government Schools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143</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E539F1">
        <w:trPr>
          <w:trHeight w:val="324"/>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 xml:space="preserve">Reward for Great Teachers NPP </w:t>
            </w:r>
            <w:r w:rsidR="00093645">
              <w:rPr>
                <w:b w:val="0"/>
                <w:sz w:val="18"/>
                <w:szCs w:val="18"/>
                <w:lang w:eastAsia="en-AU"/>
              </w:rPr>
              <w:t>–</w:t>
            </w:r>
            <w:r w:rsidRPr="00093645">
              <w:rPr>
                <w:b w:val="0"/>
                <w:sz w:val="18"/>
                <w:szCs w:val="18"/>
                <w:lang w:eastAsia="en-AU"/>
              </w:rPr>
              <w:t xml:space="preserve"> Non</w:t>
            </w:r>
            <w:r w:rsidR="00093645" w:rsidRPr="00093645">
              <w:rPr>
                <w:b w:val="0"/>
                <w:sz w:val="18"/>
                <w:szCs w:val="18"/>
                <w:lang w:eastAsia="en-AU"/>
              </w:rPr>
              <w:t>-</w:t>
            </w:r>
            <w:r w:rsidRPr="00093645">
              <w:rPr>
                <w:b w:val="0"/>
                <w:sz w:val="18"/>
                <w:szCs w:val="18"/>
                <w:lang w:eastAsia="en-AU"/>
              </w:rPr>
              <w:t>Government Schools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34</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0E110C">
        <w:trPr>
          <w:trHeight w:val="345"/>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186</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Training Places for Single and Teen Parents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186</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248</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248</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0E110C">
        <w:trPr>
          <w:trHeight w:val="480"/>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3,820</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 xml:space="preserve">VET Training (Building Australia's Future Workforce </w:t>
            </w:r>
            <w:r w:rsidR="00093645">
              <w:rPr>
                <w:b w:val="0"/>
                <w:sz w:val="18"/>
                <w:szCs w:val="18"/>
                <w:lang w:eastAsia="en-AU"/>
              </w:rPr>
              <w:t>–</w:t>
            </w:r>
            <w:r w:rsidRPr="00093645">
              <w:rPr>
                <w:b w:val="0"/>
                <w:sz w:val="18"/>
                <w:szCs w:val="18"/>
                <w:lang w:eastAsia="en-AU"/>
              </w:rPr>
              <w:t xml:space="preserve"> Skills Reform)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3,820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3,820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6,046</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6,050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8,276</w:t>
            </w:r>
          </w:p>
        </w:tc>
      </w:tr>
      <w:tr w:rsidR="00943973" w:rsidRPr="00943973" w:rsidTr="00E539F1">
        <w:trPr>
          <w:trHeight w:val="346"/>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Commonwealth / State and Territory Joint Group Training Program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293</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093645">
        <w:trPr>
          <w:trHeight w:val="396"/>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227</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b w:val="0"/>
                <w:sz w:val="18"/>
                <w:szCs w:val="18"/>
                <w:lang w:eastAsia="en-AU"/>
              </w:rPr>
            </w:pPr>
            <w:r w:rsidRPr="00093645">
              <w:rPr>
                <w:b w:val="0"/>
                <w:sz w:val="18"/>
                <w:szCs w:val="18"/>
                <w:lang w:eastAsia="en-AU"/>
              </w:rPr>
              <w:t>National Quality Agenda for Early Childhood Education and Care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227</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212</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0E110C">
        <w:trPr>
          <w:trHeight w:val="300"/>
        </w:trPr>
        <w:tc>
          <w:tcPr>
            <w:tcW w:w="959" w:type="dxa"/>
            <w:tcBorders>
              <w:top w:val="nil"/>
              <w:left w:val="nil"/>
              <w:bottom w:val="nil"/>
              <w:right w:val="nil"/>
            </w:tcBorders>
            <w:shd w:val="clear" w:color="auto" w:fill="auto"/>
            <w:hideMark/>
          </w:tcPr>
          <w:p w:rsidR="00943973" w:rsidRPr="00093645" w:rsidRDefault="00943973" w:rsidP="00943973">
            <w:pPr>
              <w:jc w:val="right"/>
              <w:rPr>
                <w:b/>
                <w:i/>
                <w:iCs/>
                <w:color w:val="000000"/>
                <w:sz w:val="18"/>
                <w:szCs w:val="18"/>
                <w:lang w:eastAsia="en-AU"/>
              </w:rPr>
            </w:pPr>
            <w:r w:rsidRPr="00093645">
              <w:rPr>
                <w:b/>
                <w:i/>
                <w:iCs/>
                <w:color w:val="000000"/>
                <w:sz w:val="18"/>
                <w:szCs w:val="18"/>
                <w:lang w:eastAsia="en-AU"/>
              </w:rPr>
              <w:t>26,737</w:t>
            </w:r>
          </w:p>
        </w:tc>
        <w:tc>
          <w:tcPr>
            <w:tcW w:w="2977" w:type="dxa"/>
            <w:tcBorders>
              <w:top w:val="nil"/>
              <w:left w:val="nil"/>
              <w:bottom w:val="nil"/>
              <w:right w:val="nil"/>
            </w:tcBorders>
            <w:shd w:val="clear" w:color="auto" w:fill="auto"/>
            <w:hideMark/>
          </w:tcPr>
          <w:p w:rsidR="00943973" w:rsidRPr="00093645" w:rsidRDefault="00943973" w:rsidP="00093645">
            <w:pPr>
              <w:pStyle w:val="TableTextLeftBold-BP3"/>
              <w:rPr>
                <w:i/>
                <w:sz w:val="18"/>
                <w:szCs w:val="18"/>
                <w:lang w:eastAsia="en-AU"/>
              </w:rPr>
            </w:pPr>
            <w:r w:rsidRPr="00093645">
              <w:rPr>
                <w:i/>
                <w:sz w:val="18"/>
                <w:szCs w:val="18"/>
                <w:lang w:eastAsia="en-AU"/>
              </w:rPr>
              <w:t>Total Education &amp; Early Childhood NPPs</w:t>
            </w:r>
          </w:p>
        </w:tc>
        <w:tc>
          <w:tcPr>
            <w:tcW w:w="1275" w:type="dxa"/>
            <w:tcBorders>
              <w:top w:val="nil"/>
              <w:left w:val="nil"/>
              <w:bottom w:val="nil"/>
              <w:right w:val="nil"/>
            </w:tcBorders>
            <w:shd w:val="clear" w:color="auto" w:fill="auto"/>
            <w:hideMark/>
          </w:tcPr>
          <w:p w:rsidR="00943973" w:rsidRPr="00093645" w:rsidRDefault="00943973" w:rsidP="00943973">
            <w:pPr>
              <w:jc w:val="right"/>
              <w:rPr>
                <w:b/>
                <w:i/>
                <w:iCs/>
                <w:color w:val="000000"/>
                <w:sz w:val="18"/>
                <w:szCs w:val="18"/>
                <w:lang w:eastAsia="en-AU"/>
              </w:rPr>
            </w:pPr>
            <w:r w:rsidRPr="00093645">
              <w:rPr>
                <w:b/>
                <w:i/>
                <w:iCs/>
                <w:color w:val="000000"/>
                <w:sz w:val="18"/>
                <w:szCs w:val="18"/>
                <w:lang w:eastAsia="en-AU"/>
              </w:rPr>
              <w:t>28,365</w:t>
            </w:r>
          </w:p>
        </w:tc>
        <w:tc>
          <w:tcPr>
            <w:tcW w:w="1134" w:type="dxa"/>
            <w:tcBorders>
              <w:top w:val="nil"/>
              <w:left w:val="nil"/>
              <w:bottom w:val="nil"/>
              <w:right w:val="nil"/>
            </w:tcBorders>
            <w:shd w:val="clear" w:color="auto" w:fill="auto"/>
            <w:hideMark/>
          </w:tcPr>
          <w:p w:rsidR="00943973" w:rsidRPr="00093645" w:rsidRDefault="00943973" w:rsidP="00943973">
            <w:pPr>
              <w:jc w:val="right"/>
              <w:rPr>
                <w:b/>
                <w:i/>
                <w:iCs/>
                <w:color w:val="000000"/>
                <w:sz w:val="18"/>
                <w:szCs w:val="18"/>
                <w:lang w:eastAsia="en-AU"/>
              </w:rPr>
            </w:pPr>
            <w:r w:rsidRPr="00093645">
              <w:rPr>
                <w:b/>
                <w:i/>
                <w:iCs/>
                <w:color w:val="000000"/>
                <w:sz w:val="18"/>
                <w:szCs w:val="18"/>
                <w:lang w:eastAsia="en-AU"/>
              </w:rPr>
              <w:t>22,548</w:t>
            </w:r>
          </w:p>
        </w:tc>
        <w:tc>
          <w:tcPr>
            <w:tcW w:w="993" w:type="dxa"/>
            <w:tcBorders>
              <w:top w:val="nil"/>
              <w:left w:val="nil"/>
              <w:bottom w:val="nil"/>
              <w:right w:val="nil"/>
            </w:tcBorders>
            <w:shd w:val="clear" w:color="auto" w:fill="auto"/>
            <w:hideMark/>
          </w:tcPr>
          <w:p w:rsidR="00943973" w:rsidRPr="00093645" w:rsidRDefault="00943973" w:rsidP="00943973">
            <w:pPr>
              <w:jc w:val="right"/>
              <w:rPr>
                <w:b/>
                <w:i/>
                <w:iCs/>
                <w:color w:val="000000"/>
                <w:sz w:val="18"/>
                <w:szCs w:val="18"/>
                <w:lang w:eastAsia="en-AU"/>
              </w:rPr>
            </w:pPr>
            <w:r w:rsidRPr="00093645">
              <w:rPr>
                <w:b/>
                <w:i/>
                <w:iCs/>
                <w:color w:val="000000"/>
                <w:sz w:val="18"/>
                <w:szCs w:val="18"/>
                <w:lang w:eastAsia="en-AU"/>
              </w:rPr>
              <w:t>14,616</w:t>
            </w:r>
          </w:p>
        </w:tc>
        <w:tc>
          <w:tcPr>
            <w:tcW w:w="992" w:type="dxa"/>
            <w:tcBorders>
              <w:top w:val="nil"/>
              <w:left w:val="nil"/>
              <w:bottom w:val="nil"/>
              <w:right w:val="nil"/>
            </w:tcBorders>
            <w:shd w:val="clear" w:color="auto" w:fill="auto"/>
            <w:hideMark/>
          </w:tcPr>
          <w:p w:rsidR="00943973" w:rsidRPr="00093645" w:rsidRDefault="00943973" w:rsidP="00943973">
            <w:pPr>
              <w:jc w:val="right"/>
              <w:rPr>
                <w:b/>
                <w:i/>
                <w:iCs/>
                <w:color w:val="000000"/>
                <w:sz w:val="18"/>
                <w:szCs w:val="18"/>
                <w:lang w:eastAsia="en-AU"/>
              </w:rPr>
            </w:pPr>
            <w:r w:rsidRPr="00093645">
              <w:rPr>
                <w:b/>
                <w:i/>
                <w:iCs/>
                <w:color w:val="000000"/>
                <w:sz w:val="18"/>
                <w:szCs w:val="18"/>
                <w:lang w:eastAsia="en-AU"/>
              </w:rPr>
              <w:t>10,359</w:t>
            </w:r>
          </w:p>
        </w:tc>
        <w:tc>
          <w:tcPr>
            <w:tcW w:w="992" w:type="dxa"/>
            <w:tcBorders>
              <w:top w:val="nil"/>
              <w:left w:val="nil"/>
              <w:bottom w:val="nil"/>
              <w:right w:val="nil"/>
            </w:tcBorders>
            <w:shd w:val="clear" w:color="auto" w:fill="auto"/>
            <w:hideMark/>
          </w:tcPr>
          <w:p w:rsidR="00943973" w:rsidRPr="00093645" w:rsidRDefault="00943973" w:rsidP="00943973">
            <w:pPr>
              <w:jc w:val="right"/>
              <w:rPr>
                <w:b/>
                <w:i/>
                <w:iCs/>
                <w:color w:val="000000"/>
                <w:sz w:val="18"/>
                <w:szCs w:val="18"/>
                <w:lang w:eastAsia="en-AU"/>
              </w:rPr>
            </w:pPr>
            <w:r w:rsidRPr="00093645">
              <w:rPr>
                <w:b/>
                <w:i/>
                <w:iCs/>
                <w:color w:val="000000"/>
                <w:sz w:val="18"/>
                <w:szCs w:val="18"/>
                <w:lang w:eastAsia="en-AU"/>
              </w:rPr>
              <w:t>16,251</w:t>
            </w:r>
          </w:p>
        </w:tc>
      </w:tr>
      <w:tr w:rsidR="00943973" w:rsidRPr="00943973" w:rsidTr="009F4007">
        <w:tc>
          <w:tcPr>
            <w:tcW w:w="959" w:type="dxa"/>
            <w:tcBorders>
              <w:top w:val="single" w:sz="4" w:space="0" w:color="auto"/>
              <w:left w:val="nil"/>
              <w:bottom w:val="single" w:sz="4" w:space="0" w:color="auto"/>
              <w:right w:val="nil"/>
            </w:tcBorders>
            <w:shd w:val="clear" w:color="auto" w:fill="auto"/>
            <w:hideMark/>
          </w:tcPr>
          <w:p w:rsidR="00943973" w:rsidRPr="00093645" w:rsidRDefault="00943973" w:rsidP="007D4339">
            <w:pPr>
              <w:jc w:val="right"/>
              <w:rPr>
                <w:b/>
                <w:bCs/>
                <w:color w:val="000000"/>
                <w:sz w:val="18"/>
                <w:szCs w:val="18"/>
                <w:lang w:eastAsia="en-AU"/>
              </w:rPr>
            </w:pPr>
            <w:r w:rsidRPr="00093645">
              <w:rPr>
                <w:b/>
                <w:bCs/>
                <w:color w:val="000000"/>
                <w:sz w:val="18"/>
                <w:szCs w:val="18"/>
                <w:lang w:eastAsia="en-AU"/>
              </w:rPr>
              <w:t>241,786</w:t>
            </w:r>
          </w:p>
        </w:tc>
        <w:tc>
          <w:tcPr>
            <w:tcW w:w="2977" w:type="dxa"/>
            <w:tcBorders>
              <w:top w:val="single" w:sz="4" w:space="0" w:color="auto"/>
              <w:left w:val="nil"/>
              <w:bottom w:val="single" w:sz="4" w:space="0" w:color="auto"/>
              <w:right w:val="nil"/>
            </w:tcBorders>
            <w:shd w:val="clear" w:color="auto" w:fill="auto"/>
            <w:hideMark/>
          </w:tcPr>
          <w:p w:rsidR="00943973" w:rsidRPr="00093645" w:rsidRDefault="00943973" w:rsidP="00093645">
            <w:pPr>
              <w:pStyle w:val="TableTextLeftBold-BP3"/>
              <w:rPr>
                <w:sz w:val="18"/>
                <w:szCs w:val="18"/>
                <w:lang w:eastAsia="en-AU"/>
              </w:rPr>
            </w:pPr>
            <w:r w:rsidRPr="00093645">
              <w:rPr>
                <w:sz w:val="18"/>
                <w:szCs w:val="18"/>
                <w:lang w:eastAsia="en-AU"/>
              </w:rPr>
              <w:t>Total Education &amp; Early Childhood</w:t>
            </w:r>
          </w:p>
        </w:tc>
        <w:tc>
          <w:tcPr>
            <w:tcW w:w="1275" w:type="dxa"/>
            <w:tcBorders>
              <w:top w:val="single" w:sz="4" w:space="0" w:color="auto"/>
              <w:left w:val="nil"/>
              <w:bottom w:val="single" w:sz="4" w:space="0" w:color="auto"/>
              <w:right w:val="nil"/>
            </w:tcBorders>
            <w:shd w:val="clear" w:color="auto" w:fill="auto"/>
            <w:hideMark/>
          </w:tcPr>
          <w:p w:rsidR="00943973" w:rsidRPr="00093645" w:rsidRDefault="00943973" w:rsidP="007D4339">
            <w:pPr>
              <w:jc w:val="right"/>
              <w:rPr>
                <w:b/>
                <w:bCs/>
                <w:color w:val="000000"/>
                <w:sz w:val="18"/>
                <w:szCs w:val="18"/>
                <w:lang w:eastAsia="en-AU"/>
              </w:rPr>
            </w:pPr>
            <w:r w:rsidRPr="00093645">
              <w:rPr>
                <w:b/>
                <w:bCs/>
                <w:color w:val="000000"/>
                <w:sz w:val="18"/>
                <w:szCs w:val="18"/>
                <w:lang w:eastAsia="en-AU"/>
              </w:rPr>
              <w:t>236,446</w:t>
            </w:r>
          </w:p>
        </w:tc>
        <w:tc>
          <w:tcPr>
            <w:tcW w:w="1134" w:type="dxa"/>
            <w:tcBorders>
              <w:top w:val="single" w:sz="4" w:space="0" w:color="auto"/>
              <w:left w:val="nil"/>
              <w:bottom w:val="single" w:sz="4" w:space="0" w:color="auto"/>
              <w:right w:val="nil"/>
            </w:tcBorders>
            <w:shd w:val="clear" w:color="auto" w:fill="auto"/>
            <w:hideMark/>
          </w:tcPr>
          <w:p w:rsidR="00943973" w:rsidRPr="00093645" w:rsidRDefault="00943973" w:rsidP="007D4339">
            <w:pPr>
              <w:jc w:val="right"/>
              <w:rPr>
                <w:b/>
                <w:bCs/>
                <w:color w:val="000000"/>
                <w:sz w:val="18"/>
                <w:szCs w:val="18"/>
                <w:lang w:eastAsia="en-AU"/>
              </w:rPr>
            </w:pPr>
            <w:r w:rsidRPr="00093645">
              <w:rPr>
                <w:b/>
                <w:bCs/>
                <w:color w:val="000000"/>
                <w:sz w:val="18"/>
                <w:szCs w:val="18"/>
                <w:lang w:eastAsia="en-AU"/>
              </w:rPr>
              <w:t>253,971</w:t>
            </w:r>
          </w:p>
        </w:tc>
        <w:tc>
          <w:tcPr>
            <w:tcW w:w="993" w:type="dxa"/>
            <w:tcBorders>
              <w:top w:val="single" w:sz="4" w:space="0" w:color="auto"/>
              <w:left w:val="nil"/>
              <w:bottom w:val="single" w:sz="4" w:space="0" w:color="auto"/>
              <w:right w:val="nil"/>
            </w:tcBorders>
            <w:shd w:val="clear" w:color="auto" w:fill="auto"/>
            <w:hideMark/>
          </w:tcPr>
          <w:p w:rsidR="00943973" w:rsidRPr="00093645" w:rsidRDefault="00943973" w:rsidP="007D4339">
            <w:pPr>
              <w:jc w:val="right"/>
              <w:rPr>
                <w:b/>
                <w:bCs/>
                <w:color w:val="000000"/>
                <w:sz w:val="18"/>
                <w:szCs w:val="18"/>
                <w:lang w:eastAsia="en-AU"/>
              </w:rPr>
            </w:pPr>
            <w:r w:rsidRPr="00093645">
              <w:rPr>
                <w:b/>
                <w:bCs/>
                <w:color w:val="000000"/>
                <w:sz w:val="18"/>
                <w:szCs w:val="18"/>
                <w:lang w:eastAsia="en-AU"/>
              </w:rPr>
              <w:t>258,272</w:t>
            </w:r>
          </w:p>
        </w:tc>
        <w:tc>
          <w:tcPr>
            <w:tcW w:w="992" w:type="dxa"/>
            <w:tcBorders>
              <w:top w:val="single" w:sz="4" w:space="0" w:color="auto"/>
              <w:left w:val="nil"/>
              <w:bottom w:val="single" w:sz="4" w:space="0" w:color="auto"/>
              <w:right w:val="nil"/>
            </w:tcBorders>
            <w:shd w:val="clear" w:color="auto" w:fill="auto"/>
            <w:hideMark/>
          </w:tcPr>
          <w:p w:rsidR="00943973" w:rsidRPr="00093645" w:rsidRDefault="00943973" w:rsidP="007D4339">
            <w:pPr>
              <w:jc w:val="right"/>
              <w:rPr>
                <w:b/>
                <w:bCs/>
                <w:color w:val="000000"/>
                <w:sz w:val="18"/>
                <w:szCs w:val="18"/>
                <w:lang w:eastAsia="en-AU"/>
              </w:rPr>
            </w:pPr>
            <w:r w:rsidRPr="00093645">
              <w:rPr>
                <w:b/>
                <w:bCs/>
                <w:color w:val="000000"/>
                <w:sz w:val="18"/>
                <w:szCs w:val="18"/>
                <w:lang w:eastAsia="en-AU"/>
              </w:rPr>
              <w:t>268,496</w:t>
            </w:r>
          </w:p>
        </w:tc>
        <w:tc>
          <w:tcPr>
            <w:tcW w:w="992" w:type="dxa"/>
            <w:tcBorders>
              <w:top w:val="single" w:sz="4" w:space="0" w:color="auto"/>
              <w:left w:val="nil"/>
              <w:bottom w:val="single" w:sz="4" w:space="0" w:color="auto"/>
              <w:right w:val="nil"/>
            </w:tcBorders>
            <w:shd w:val="clear" w:color="auto" w:fill="auto"/>
            <w:hideMark/>
          </w:tcPr>
          <w:p w:rsidR="00943973" w:rsidRPr="00093645" w:rsidRDefault="00943973" w:rsidP="007D4339">
            <w:pPr>
              <w:jc w:val="right"/>
              <w:rPr>
                <w:b/>
                <w:bCs/>
                <w:color w:val="000000"/>
                <w:sz w:val="18"/>
                <w:szCs w:val="18"/>
                <w:lang w:eastAsia="en-AU"/>
              </w:rPr>
            </w:pPr>
            <w:r w:rsidRPr="00093645">
              <w:rPr>
                <w:b/>
                <w:bCs/>
                <w:color w:val="000000"/>
                <w:sz w:val="18"/>
                <w:szCs w:val="18"/>
                <w:lang w:eastAsia="en-AU"/>
              </w:rPr>
              <w:t>289,605</w:t>
            </w:r>
          </w:p>
        </w:tc>
      </w:tr>
      <w:tr w:rsidR="00943973" w:rsidRPr="00943973" w:rsidTr="009F4007">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2977" w:type="dxa"/>
            <w:tcBorders>
              <w:top w:val="nil"/>
              <w:left w:val="nil"/>
              <w:bottom w:val="nil"/>
              <w:right w:val="nil"/>
            </w:tcBorders>
            <w:shd w:val="clear" w:color="auto" w:fill="auto"/>
            <w:hideMark/>
          </w:tcPr>
          <w:p w:rsidR="00943973" w:rsidRPr="00E539F1" w:rsidRDefault="009F4007" w:rsidP="00943973">
            <w:pPr>
              <w:jc w:val="right"/>
              <w:rPr>
                <w:color w:val="000000"/>
                <w:sz w:val="18"/>
                <w:szCs w:val="18"/>
                <w:lang w:eastAsia="en-AU"/>
              </w:rPr>
            </w:pPr>
            <w:r>
              <w:rPr>
                <w:color w:val="000000"/>
                <w:sz w:val="18"/>
                <w:szCs w:val="18"/>
                <w:lang w:eastAsia="en-AU"/>
              </w:rPr>
              <w:t xml:space="preserve">  </w:t>
            </w:r>
          </w:p>
        </w:tc>
        <w:tc>
          <w:tcPr>
            <w:tcW w:w="1275" w:type="dxa"/>
            <w:tcBorders>
              <w:top w:val="nil"/>
              <w:left w:val="nil"/>
              <w:bottom w:val="nil"/>
              <w:right w:val="nil"/>
            </w:tcBorders>
            <w:shd w:val="clear" w:color="auto" w:fill="auto"/>
            <w:hideMark/>
          </w:tcPr>
          <w:p w:rsidR="00943973" w:rsidRPr="00E539F1"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9F4007">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sz w:val="18"/>
                <w:szCs w:val="18"/>
                <w:lang w:eastAsia="en-AU"/>
              </w:rPr>
            </w:pPr>
            <w:r w:rsidRPr="00E539F1">
              <w:rPr>
                <w:sz w:val="18"/>
                <w:szCs w:val="18"/>
                <w:lang w:eastAsia="en-AU"/>
              </w:rPr>
              <w:t>Vocational Education &amp; Training</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9F4007">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23,026</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National Skills and Workforce Development SPP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23,273</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23,533</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23,913</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24,427</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24,950</w:t>
            </w:r>
          </w:p>
        </w:tc>
      </w:tr>
      <w:tr w:rsidR="00E539F1" w:rsidRPr="00943973" w:rsidTr="009F4007">
        <w:tc>
          <w:tcPr>
            <w:tcW w:w="959" w:type="dxa"/>
            <w:tcBorders>
              <w:top w:val="nil"/>
              <w:left w:val="nil"/>
              <w:bottom w:val="nil"/>
              <w:right w:val="nil"/>
            </w:tcBorders>
            <w:shd w:val="clear" w:color="auto" w:fill="auto"/>
            <w:hideMark/>
          </w:tcPr>
          <w:p w:rsidR="00E539F1" w:rsidRPr="00943973" w:rsidRDefault="00E539F1" w:rsidP="00943973">
            <w:pPr>
              <w:jc w:val="right"/>
              <w:rPr>
                <w:color w:val="000000"/>
                <w:sz w:val="18"/>
                <w:szCs w:val="18"/>
                <w:lang w:eastAsia="en-AU"/>
              </w:rPr>
            </w:pPr>
          </w:p>
        </w:tc>
        <w:tc>
          <w:tcPr>
            <w:tcW w:w="2977" w:type="dxa"/>
            <w:tcBorders>
              <w:top w:val="nil"/>
              <w:left w:val="nil"/>
              <w:bottom w:val="nil"/>
              <w:right w:val="nil"/>
            </w:tcBorders>
            <w:shd w:val="clear" w:color="auto" w:fill="auto"/>
            <w:hideMark/>
          </w:tcPr>
          <w:p w:rsidR="00E539F1" w:rsidRPr="00E539F1" w:rsidRDefault="009F4007" w:rsidP="00E539F1">
            <w:pPr>
              <w:pStyle w:val="TableTextLeftBold-BP3"/>
              <w:rPr>
                <w:b w:val="0"/>
                <w:color w:val="000000"/>
                <w:sz w:val="18"/>
                <w:szCs w:val="18"/>
                <w:lang w:eastAsia="en-AU"/>
              </w:rPr>
            </w:pPr>
            <w:r>
              <w:rPr>
                <w:b w:val="0"/>
                <w:color w:val="000000"/>
                <w:sz w:val="18"/>
                <w:szCs w:val="18"/>
                <w:lang w:eastAsia="en-AU"/>
              </w:rPr>
              <w:t xml:space="preserve">  </w:t>
            </w:r>
          </w:p>
        </w:tc>
        <w:tc>
          <w:tcPr>
            <w:tcW w:w="1275" w:type="dxa"/>
            <w:tcBorders>
              <w:top w:val="nil"/>
              <w:left w:val="nil"/>
              <w:bottom w:val="nil"/>
              <w:right w:val="nil"/>
            </w:tcBorders>
            <w:shd w:val="clear" w:color="auto" w:fill="auto"/>
            <w:hideMark/>
          </w:tcPr>
          <w:p w:rsidR="00E539F1" w:rsidRPr="00943973" w:rsidRDefault="00E539F1"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E539F1" w:rsidRPr="00943973" w:rsidRDefault="00E539F1"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E539F1" w:rsidRPr="00943973" w:rsidRDefault="00E539F1"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E539F1" w:rsidRPr="00943973" w:rsidRDefault="00E539F1"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E539F1" w:rsidRPr="00943973" w:rsidRDefault="00E539F1" w:rsidP="00943973">
            <w:pPr>
              <w:jc w:val="right"/>
              <w:rPr>
                <w:color w:val="000000"/>
                <w:sz w:val="18"/>
                <w:szCs w:val="18"/>
                <w:lang w:eastAsia="en-AU"/>
              </w:rPr>
            </w:pPr>
          </w:p>
        </w:tc>
      </w:tr>
      <w:tr w:rsidR="00943973" w:rsidRPr="00943973" w:rsidTr="009F4007">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i/>
                <w:sz w:val="18"/>
                <w:szCs w:val="18"/>
                <w:lang w:eastAsia="en-AU"/>
              </w:rPr>
            </w:pPr>
            <w:r w:rsidRPr="00E539F1">
              <w:rPr>
                <w:i/>
                <w:sz w:val="18"/>
                <w:szCs w:val="18"/>
                <w:lang w:eastAsia="en-AU"/>
              </w:rPr>
              <w:t>Vocational Education &amp; Training NPP's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9F4007">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847</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TAFE Fee Waivers for Childcare Qualifications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560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490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155</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E539F1">
        <w:trPr>
          <w:trHeight w:val="124"/>
        </w:trPr>
        <w:tc>
          <w:tcPr>
            <w:tcW w:w="959" w:type="dxa"/>
            <w:tcBorders>
              <w:top w:val="single" w:sz="4" w:space="0" w:color="auto"/>
              <w:left w:val="nil"/>
              <w:bottom w:val="single" w:sz="4" w:space="0" w:color="auto"/>
              <w:right w:val="nil"/>
            </w:tcBorders>
            <w:shd w:val="clear" w:color="auto" w:fill="auto"/>
            <w:hideMark/>
          </w:tcPr>
          <w:p w:rsidR="00943973" w:rsidRPr="00E539F1" w:rsidRDefault="00943973" w:rsidP="00943973">
            <w:pPr>
              <w:jc w:val="right"/>
              <w:rPr>
                <w:b/>
                <w:bCs/>
                <w:color w:val="000000"/>
                <w:sz w:val="18"/>
                <w:szCs w:val="18"/>
                <w:lang w:eastAsia="en-AU"/>
              </w:rPr>
            </w:pPr>
            <w:r w:rsidRPr="00E539F1">
              <w:rPr>
                <w:b/>
                <w:bCs/>
                <w:color w:val="000000"/>
                <w:sz w:val="18"/>
                <w:szCs w:val="18"/>
                <w:lang w:eastAsia="en-AU"/>
              </w:rPr>
              <w:t>23,873</w:t>
            </w:r>
          </w:p>
        </w:tc>
        <w:tc>
          <w:tcPr>
            <w:tcW w:w="2977" w:type="dxa"/>
            <w:tcBorders>
              <w:top w:val="single" w:sz="4" w:space="0" w:color="auto"/>
              <w:left w:val="nil"/>
              <w:bottom w:val="single" w:sz="4" w:space="0" w:color="auto"/>
              <w:right w:val="nil"/>
            </w:tcBorders>
            <w:shd w:val="clear" w:color="auto" w:fill="auto"/>
            <w:hideMark/>
          </w:tcPr>
          <w:p w:rsidR="00943973" w:rsidRPr="00E539F1" w:rsidRDefault="00943973" w:rsidP="00E539F1">
            <w:pPr>
              <w:pStyle w:val="TableTextLeftBold-BP3"/>
              <w:rPr>
                <w:sz w:val="18"/>
                <w:szCs w:val="18"/>
                <w:lang w:eastAsia="en-AU"/>
              </w:rPr>
            </w:pPr>
            <w:r w:rsidRPr="00E539F1">
              <w:rPr>
                <w:sz w:val="18"/>
                <w:szCs w:val="18"/>
                <w:lang w:eastAsia="en-AU"/>
              </w:rPr>
              <w:t>Total Vocational Education &amp; Training</w:t>
            </w:r>
          </w:p>
        </w:tc>
        <w:tc>
          <w:tcPr>
            <w:tcW w:w="1275" w:type="dxa"/>
            <w:tcBorders>
              <w:top w:val="single" w:sz="4" w:space="0" w:color="auto"/>
              <w:left w:val="nil"/>
              <w:bottom w:val="single" w:sz="4" w:space="0" w:color="auto"/>
              <w:right w:val="nil"/>
            </w:tcBorders>
            <w:shd w:val="clear" w:color="auto" w:fill="auto"/>
            <w:hideMark/>
          </w:tcPr>
          <w:p w:rsidR="00943973" w:rsidRPr="00E539F1" w:rsidRDefault="00943973" w:rsidP="00943973">
            <w:pPr>
              <w:jc w:val="right"/>
              <w:rPr>
                <w:b/>
                <w:bCs/>
                <w:color w:val="000000"/>
                <w:sz w:val="18"/>
                <w:szCs w:val="18"/>
                <w:lang w:eastAsia="en-AU"/>
              </w:rPr>
            </w:pPr>
            <w:r w:rsidRPr="00E539F1">
              <w:rPr>
                <w:b/>
                <w:bCs/>
                <w:color w:val="000000"/>
                <w:sz w:val="18"/>
                <w:szCs w:val="18"/>
                <w:lang w:eastAsia="en-AU"/>
              </w:rPr>
              <w:t>23,833</w:t>
            </w:r>
          </w:p>
        </w:tc>
        <w:tc>
          <w:tcPr>
            <w:tcW w:w="1134" w:type="dxa"/>
            <w:tcBorders>
              <w:top w:val="single" w:sz="4" w:space="0" w:color="auto"/>
              <w:left w:val="nil"/>
              <w:bottom w:val="single" w:sz="4" w:space="0" w:color="auto"/>
              <w:right w:val="nil"/>
            </w:tcBorders>
            <w:shd w:val="clear" w:color="auto" w:fill="auto"/>
            <w:hideMark/>
          </w:tcPr>
          <w:p w:rsidR="00943973" w:rsidRPr="00E539F1" w:rsidRDefault="00943973" w:rsidP="00943973">
            <w:pPr>
              <w:jc w:val="right"/>
              <w:rPr>
                <w:b/>
                <w:bCs/>
                <w:color w:val="000000"/>
                <w:sz w:val="18"/>
                <w:szCs w:val="18"/>
                <w:lang w:eastAsia="en-AU"/>
              </w:rPr>
            </w:pPr>
            <w:r w:rsidRPr="00E539F1">
              <w:rPr>
                <w:b/>
                <w:bCs/>
                <w:color w:val="000000"/>
                <w:sz w:val="18"/>
                <w:szCs w:val="18"/>
                <w:lang w:eastAsia="en-AU"/>
              </w:rPr>
              <w:t>24,023</w:t>
            </w:r>
          </w:p>
        </w:tc>
        <w:tc>
          <w:tcPr>
            <w:tcW w:w="993" w:type="dxa"/>
            <w:tcBorders>
              <w:top w:val="single" w:sz="4" w:space="0" w:color="auto"/>
              <w:left w:val="nil"/>
              <w:bottom w:val="single" w:sz="4" w:space="0" w:color="auto"/>
              <w:right w:val="nil"/>
            </w:tcBorders>
            <w:shd w:val="clear" w:color="auto" w:fill="auto"/>
            <w:hideMark/>
          </w:tcPr>
          <w:p w:rsidR="00943973" w:rsidRPr="00E539F1" w:rsidRDefault="00943973" w:rsidP="00943973">
            <w:pPr>
              <w:jc w:val="right"/>
              <w:rPr>
                <w:b/>
                <w:bCs/>
                <w:color w:val="000000"/>
                <w:sz w:val="18"/>
                <w:szCs w:val="18"/>
                <w:lang w:eastAsia="en-AU"/>
              </w:rPr>
            </w:pPr>
            <w:r w:rsidRPr="00E539F1">
              <w:rPr>
                <w:b/>
                <w:bCs/>
                <w:color w:val="000000"/>
                <w:sz w:val="18"/>
                <w:szCs w:val="18"/>
                <w:lang w:eastAsia="en-AU"/>
              </w:rPr>
              <w:t>24,068</w:t>
            </w:r>
          </w:p>
        </w:tc>
        <w:tc>
          <w:tcPr>
            <w:tcW w:w="992" w:type="dxa"/>
            <w:tcBorders>
              <w:top w:val="single" w:sz="4" w:space="0" w:color="auto"/>
              <w:left w:val="nil"/>
              <w:bottom w:val="single" w:sz="4" w:space="0" w:color="auto"/>
              <w:right w:val="nil"/>
            </w:tcBorders>
            <w:shd w:val="clear" w:color="auto" w:fill="auto"/>
            <w:hideMark/>
          </w:tcPr>
          <w:p w:rsidR="00943973" w:rsidRPr="00E539F1" w:rsidRDefault="00943973" w:rsidP="00943973">
            <w:pPr>
              <w:jc w:val="right"/>
              <w:rPr>
                <w:b/>
                <w:bCs/>
                <w:color w:val="000000"/>
                <w:sz w:val="18"/>
                <w:szCs w:val="18"/>
                <w:lang w:eastAsia="en-AU"/>
              </w:rPr>
            </w:pPr>
            <w:r w:rsidRPr="00E539F1">
              <w:rPr>
                <w:b/>
                <w:bCs/>
                <w:color w:val="000000"/>
                <w:sz w:val="18"/>
                <w:szCs w:val="18"/>
                <w:lang w:eastAsia="en-AU"/>
              </w:rPr>
              <w:t>24,427</w:t>
            </w:r>
          </w:p>
        </w:tc>
        <w:tc>
          <w:tcPr>
            <w:tcW w:w="992" w:type="dxa"/>
            <w:tcBorders>
              <w:top w:val="single" w:sz="4" w:space="0" w:color="auto"/>
              <w:left w:val="nil"/>
              <w:bottom w:val="single" w:sz="4" w:space="0" w:color="auto"/>
              <w:right w:val="nil"/>
            </w:tcBorders>
            <w:shd w:val="clear" w:color="auto" w:fill="auto"/>
            <w:hideMark/>
          </w:tcPr>
          <w:p w:rsidR="00943973" w:rsidRPr="00E539F1" w:rsidRDefault="00943973" w:rsidP="00943973">
            <w:pPr>
              <w:jc w:val="right"/>
              <w:rPr>
                <w:b/>
                <w:bCs/>
                <w:color w:val="000000"/>
                <w:sz w:val="18"/>
                <w:szCs w:val="18"/>
                <w:lang w:eastAsia="en-AU"/>
              </w:rPr>
            </w:pPr>
            <w:r w:rsidRPr="00E539F1">
              <w:rPr>
                <w:b/>
                <w:bCs/>
                <w:color w:val="000000"/>
                <w:sz w:val="18"/>
                <w:szCs w:val="18"/>
                <w:lang w:eastAsia="en-AU"/>
              </w:rPr>
              <w:t>24,950</w:t>
            </w:r>
          </w:p>
        </w:tc>
      </w:tr>
      <w:tr w:rsidR="00943973" w:rsidRPr="00943973" w:rsidTr="009F4007">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2977" w:type="dxa"/>
            <w:tcBorders>
              <w:top w:val="nil"/>
              <w:left w:val="nil"/>
              <w:bottom w:val="nil"/>
              <w:right w:val="nil"/>
            </w:tcBorders>
            <w:shd w:val="clear" w:color="auto" w:fill="auto"/>
            <w:hideMark/>
          </w:tcPr>
          <w:p w:rsidR="00943973" w:rsidRPr="00E539F1" w:rsidRDefault="009F4007" w:rsidP="00E539F1">
            <w:pPr>
              <w:pStyle w:val="TableTextLeftBold-BP3"/>
              <w:rPr>
                <w:b w:val="0"/>
                <w:sz w:val="18"/>
                <w:szCs w:val="18"/>
                <w:lang w:eastAsia="en-AU"/>
              </w:rPr>
            </w:pPr>
            <w:r>
              <w:rPr>
                <w:b w:val="0"/>
                <w:sz w:val="18"/>
                <w:szCs w:val="18"/>
                <w:lang w:eastAsia="en-AU"/>
              </w:rPr>
              <w:t xml:space="preserve">  </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9F4007">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sz w:val="18"/>
                <w:szCs w:val="18"/>
                <w:lang w:eastAsia="en-AU"/>
              </w:rPr>
            </w:pPr>
            <w:r w:rsidRPr="00E539F1">
              <w:rPr>
                <w:sz w:val="18"/>
                <w:szCs w:val="18"/>
                <w:lang w:eastAsia="en-AU"/>
              </w:rPr>
              <w:t>Infrastructure</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E539F1" w:rsidRPr="00943973" w:rsidTr="009F4007">
        <w:tc>
          <w:tcPr>
            <w:tcW w:w="959" w:type="dxa"/>
            <w:tcBorders>
              <w:top w:val="nil"/>
              <w:left w:val="nil"/>
              <w:bottom w:val="nil"/>
              <w:right w:val="nil"/>
            </w:tcBorders>
            <w:shd w:val="clear" w:color="auto" w:fill="auto"/>
            <w:hideMark/>
          </w:tcPr>
          <w:p w:rsidR="00E539F1" w:rsidRPr="00943973" w:rsidRDefault="00E539F1" w:rsidP="00943973">
            <w:pPr>
              <w:jc w:val="right"/>
              <w:rPr>
                <w:color w:val="000000"/>
                <w:sz w:val="18"/>
                <w:szCs w:val="18"/>
                <w:lang w:eastAsia="en-AU"/>
              </w:rPr>
            </w:pPr>
          </w:p>
        </w:tc>
        <w:tc>
          <w:tcPr>
            <w:tcW w:w="2977" w:type="dxa"/>
            <w:tcBorders>
              <w:top w:val="nil"/>
              <w:left w:val="nil"/>
              <w:bottom w:val="nil"/>
              <w:right w:val="nil"/>
            </w:tcBorders>
            <w:shd w:val="clear" w:color="auto" w:fill="auto"/>
            <w:hideMark/>
          </w:tcPr>
          <w:p w:rsidR="00E539F1" w:rsidRPr="00E539F1" w:rsidRDefault="009F4007" w:rsidP="00E539F1">
            <w:pPr>
              <w:pStyle w:val="TableTextLeftBold-BP3"/>
              <w:rPr>
                <w:b w:val="0"/>
                <w:sz w:val="18"/>
                <w:szCs w:val="18"/>
                <w:lang w:eastAsia="en-AU"/>
              </w:rPr>
            </w:pPr>
            <w:r>
              <w:rPr>
                <w:b w:val="0"/>
                <w:sz w:val="18"/>
                <w:szCs w:val="18"/>
                <w:lang w:eastAsia="en-AU"/>
              </w:rPr>
              <w:t xml:space="preserve">  </w:t>
            </w:r>
          </w:p>
        </w:tc>
        <w:tc>
          <w:tcPr>
            <w:tcW w:w="1275" w:type="dxa"/>
            <w:tcBorders>
              <w:top w:val="nil"/>
              <w:left w:val="nil"/>
              <w:bottom w:val="nil"/>
              <w:right w:val="nil"/>
            </w:tcBorders>
            <w:shd w:val="clear" w:color="auto" w:fill="auto"/>
            <w:hideMark/>
          </w:tcPr>
          <w:p w:rsidR="00E539F1" w:rsidRPr="00943973" w:rsidRDefault="00E539F1"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E539F1" w:rsidRPr="00943973" w:rsidRDefault="00E539F1"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E539F1" w:rsidRPr="00943973" w:rsidRDefault="00E539F1"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E539F1" w:rsidRPr="00943973" w:rsidRDefault="00E539F1"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E539F1" w:rsidRPr="00943973" w:rsidRDefault="00E539F1" w:rsidP="00943973">
            <w:pPr>
              <w:jc w:val="right"/>
              <w:rPr>
                <w:color w:val="000000"/>
                <w:sz w:val="18"/>
                <w:szCs w:val="18"/>
                <w:lang w:eastAsia="en-AU"/>
              </w:rPr>
            </w:pPr>
          </w:p>
        </w:tc>
      </w:tr>
      <w:tr w:rsidR="00943973" w:rsidRPr="00943973" w:rsidTr="00E539F1">
        <w:trPr>
          <w:trHeight w:val="206"/>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i/>
                <w:sz w:val="18"/>
                <w:szCs w:val="18"/>
                <w:lang w:eastAsia="en-AU"/>
              </w:rPr>
            </w:pPr>
            <w:r w:rsidRPr="00E539F1">
              <w:rPr>
                <w:i/>
                <w:sz w:val="18"/>
                <w:szCs w:val="18"/>
                <w:lang w:eastAsia="en-AU"/>
              </w:rPr>
              <w:t>Infrastructure NPP's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9F4007">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484</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Nation Building Program NPP (Roads)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484</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442</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443</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443</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443</w:t>
            </w:r>
          </w:p>
        </w:tc>
      </w:tr>
      <w:tr w:rsidR="00943973" w:rsidRPr="00943973" w:rsidTr="009F4007">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Off Network Projects NPP (Roads)</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300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9F4007">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463</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Interstate Road Transport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389</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404</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420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437</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455</w:t>
            </w:r>
          </w:p>
        </w:tc>
      </w:tr>
      <w:tr w:rsidR="00943973" w:rsidRPr="00943973" w:rsidTr="009F4007">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3,427</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Roads to Recovery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1,932</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5,600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5,600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5,600</w:t>
            </w:r>
          </w:p>
        </w:tc>
      </w:tr>
      <w:tr w:rsidR="00943973" w:rsidRPr="00943973" w:rsidTr="009F4007">
        <w:tc>
          <w:tcPr>
            <w:tcW w:w="959"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162</w:t>
            </w:r>
          </w:p>
        </w:tc>
        <w:tc>
          <w:tcPr>
            <w:tcW w:w="2977" w:type="dxa"/>
            <w:tcBorders>
              <w:top w:val="nil"/>
              <w:left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Heavy Vehicle Safety NPP</w:t>
            </w:r>
          </w:p>
        </w:tc>
        <w:tc>
          <w:tcPr>
            <w:tcW w:w="1275"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55</w:t>
            </w:r>
          </w:p>
        </w:tc>
        <w:tc>
          <w:tcPr>
            <w:tcW w:w="1134"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4,887</w:t>
            </w:r>
          </w:p>
        </w:tc>
        <w:tc>
          <w:tcPr>
            <w:tcW w:w="993"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799</w:t>
            </w:r>
          </w:p>
        </w:tc>
        <w:tc>
          <w:tcPr>
            <w:tcW w:w="992"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668</w:t>
            </w:r>
          </w:p>
        </w:tc>
        <w:tc>
          <w:tcPr>
            <w:tcW w:w="992" w:type="dxa"/>
            <w:tcBorders>
              <w:top w:val="nil"/>
              <w:left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668</w:t>
            </w:r>
          </w:p>
        </w:tc>
      </w:tr>
      <w:tr w:rsidR="00943973" w:rsidRPr="00943973" w:rsidTr="009F4007">
        <w:tc>
          <w:tcPr>
            <w:tcW w:w="959" w:type="dxa"/>
            <w:tcBorders>
              <w:top w:val="nil"/>
              <w:left w:val="nil"/>
              <w:bottom w:val="single" w:sz="4" w:space="0" w:color="auto"/>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966</w:t>
            </w:r>
          </w:p>
        </w:tc>
        <w:tc>
          <w:tcPr>
            <w:tcW w:w="2977" w:type="dxa"/>
            <w:tcBorders>
              <w:top w:val="nil"/>
              <w:left w:val="nil"/>
              <w:bottom w:val="single" w:sz="4" w:space="0" w:color="auto"/>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Black Spots Projects NPP</w:t>
            </w:r>
          </w:p>
        </w:tc>
        <w:tc>
          <w:tcPr>
            <w:tcW w:w="1275" w:type="dxa"/>
            <w:tcBorders>
              <w:top w:val="nil"/>
              <w:left w:val="nil"/>
              <w:bottom w:val="single" w:sz="4" w:space="0" w:color="auto"/>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888</w:t>
            </w:r>
          </w:p>
        </w:tc>
        <w:tc>
          <w:tcPr>
            <w:tcW w:w="1134" w:type="dxa"/>
            <w:tcBorders>
              <w:top w:val="nil"/>
              <w:left w:val="nil"/>
              <w:bottom w:val="single" w:sz="4" w:space="0" w:color="auto"/>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876</w:t>
            </w:r>
          </w:p>
        </w:tc>
        <w:tc>
          <w:tcPr>
            <w:tcW w:w="993" w:type="dxa"/>
            <w:tcBorders>
              <w:top w:val="nil"/>
              <w:left w:val="nil"/>
              <w:bottom w:val="single" w:sz="4" w:space="0" w:color="auto"/>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975</w:t>
            </w:r>
          </w:p>
        </w:tc>
        <w:tc>
          <w:tcPr>
            <w:tcW w:w="992" w:type="dxa"/>
            <w:tcBorders>
              <w:top w:val="nil"/>
              <w:left w:val="nil"/>
              <w:bottom w:val="single" w:sz="4" w:space="0" w:color="auto"/>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975</w:t>
            </w:r>
          </w:p>
        </w:tc>
        <w:tc>
          <w:tcPr>
            <w:tcW w:w="992" w:type="dxa"/>
            <w:tcBorders>
              <w:top w:val="nil"/>
              <w:left w:val="nil"/>
              <w:bottom w:val="single" w:sz="4" w:space="0" w:color="auto"/>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975</w:t>
            </w:r>
          </w:p>
        </w:tc>
      </w:tr>
    </w:tbl>
    <w:p w:rsidR="0001117A" w:rsidRDefault="0001117A">
      <w:r>
        <w:br w:type="page"/>
      </w:r>
    </w:p>
    <w:tbl>
      <w:tblPr>
        <w:tblW w:w="9322" w:type="dxa"/>
        <w:tblLayout w:type="fixed"/>
        <w:tblLook w:val="04A0"/>
      </w:tblPr>
      <w:tblGrid>
        <w:gridCol w:w="959"/>
        <w:gridCol w:w="2977"/>
        <w:gridCol w:w="1275"/>
        <w:gridCol w:w="1134"/>
        <w:gridCol w:w="993"/>
        <w:gridCol w:w="992"/>
        <w:gridCol w:w="992"/>
      </w:tblGrid>
      <w:tr w:rsidR="00E539F1" w:rsidRPr="00943973" w:rsidTr="0001117A">
        <w:trPr>
          <w:trHeight w:val="141"/>
        </w:trPr>
        <w:tc>
          <w:tcPr>
            <w:tcW w:w="959" w:type="dxa"/>
            <w:tcBorders>
              <w:top w:val="single" w:sz="8" w:space="0" w:color="auto"/>
              <w:left w:val="nil"/>
              <w:bottom w:val="nil"/>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lastRenderedPageBreak/>
              <w:t>2012-13</w:t>
            </w:r>
          </w:p>
        </w:tc>
        <w:tc>
          <w:tcPr>
            <w:tcW w:w="2977" w:type="dxa"/>
            <w:tcBorders>
              <w:top w:val="single" w:sz="8" w:space="0" w:color="auto"/>
              <w:left w:val="nil"/>
              <w:bottom w:val="nil"/>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 </w:t>
            </w:r>
          </w:p>
        </w:tc>
        <w:tc>
          <w:tcPr>
            <w:tcW w:w="1275" w:type="dxa"/>
            <w:tcBorders>
              <w:top w:val="single" w:sz="8" w:space="0" w:color="auto"/>
              <w:left w:val="nil"/>
              <w:bottom w:val="nil"/>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2012-13</w:t>
            </w:r>
          </w:p>
        </w:tc>
        <w:tc>
          <w:tcPr>
            <w:tcW w:w="1134" w:type="dxa"/>
            <w:tcBorders>
              <w:top w:val="single" w:sz="8" w:space="0" w:color="auto"/>
              <w:left w:val="nil"/>
              <w:bottom w:val="nil"/>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2013-14</w:t>
            </w:r>
          </w:p>
        </w:tc>
        <w:tc>
          <w:tcPr>
            <w:tcW w:w="993" w:type="dxa"/>
            <w:tcBorders>
              <w:top w:val="single" w:sz="8" w:space="0" w:color="auto"/>
              <w:left w:val="nil"/>
              <w:bottom w:val="nil"/>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2014-15</w:t>
            </w:r>
          </w:p>
        </w:tc>
        <w:tc>
          <w:tcPr>
            <w:tcW w:w="992" w:type="dxa"/>
            <w:tcBorders>
              <w:top w:val="single" w:sz="8" w:space="0" w:color="auto"/>
              <w:left w:val="nil"/>
              <w:bottom w:val="nil"/>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2015-16</w:t>
            </w:r>
          </w:p>
        </w:tc>
        <w:tc>
          <w:tcPr>
            <w:tcW w:w="992" w:type="dxa"/>
            <w:tcBorders>
              <w:top w:val="single" w:sz="8" w:space="0" w:color="auto"/>
              <w:left w:val="nil"/>
              <w:bottom w:val="nil"/>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2016-17</w:t>
            </w:r>
          </w:p>
        </w:tc>
      </w:tr>
      <w:tr w:rsidR="00E539F1" w:rsidRPr="00943973" w:rsidTr="00E539F1">
        <w:trPr>
          <w:trHeight w:val="188"/>
        </w:trPr>
        <w:tc>
          <w:tcPr>
            <w:tcW w:w="959" w:type="dxa"/>
            <w:tcBorders>
              <w:left w:val="nil"/>
              <w:bottom w:val="nil"/>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Budget</w:t>
            </w:r>
          </w:p>
        </w:tc>
        <w:tc>
          <w:tcPr>
            <w:tcW w:w="2977" w:type="dxa"/>
            <w:tcBorders>
              <w:left w:val="nil"/>
              <w:bottom w:val="nil"/>
              <w:right w:val="nil"/>
            </w:tcBorders>
            <w:shd w:val="clear" w:color="auto" w:fill="auto"/>
            <w:hideMark/>
          </w:tcPr>
          <w:p w:rsidR="00E539F1" w:rsidRPr="00093645" w:rsidRDefault="00E539F1" w:rsidP="00E539F1">
            <w:pPr>
              <w:pStyle w:val="TableTextLeftBold-BP3"/>
              <w:rPr>
                <w:sz w:val="18"/>
                <w:szCs w:val="18"/>
                <w:lang w:eastAsia="en-AU"/>
              </w:rPr>
            </w:pPr>
            <w:r w:rsidRPr="00093645">
              <w:rPr>
                <w:sz w:val="18"/>
                <w:szCs w:val="18"/>
                <w:lang w:eastAsia="en-AU"/>
              </w:rPr>
              <w:t>FUNDING CATEGORIES</w:t>
            </w:r>
          </w:p>
        </w:tc>
        <w:tc>
          <w:tcPr>
            <w:tcW w:w="1275" w:type="dxa"/>
            <w:tcBorders>
              <w:left w:val="nil"/>
              <w:bottom w:val="nil"/>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Est.</w:t>
            </w:r>
            <w:r>
              <w:rPr>
                <w:b/>
                <w:bCs/>
                <w:color w:val="000000"/>
                <w:sz w:val="18"/>
                <w:szCs w:val="18"/>
                <w:lang w:eastAsia="en-AU"/>
              </w:rPr>
              <w:t xml:space="preserve"> </w:t>
            </w:r>
            <w:r w:rsidRPr="00943973">
              <w:rPr>
                <w:b/>
                <w:bCs/>
                <w:color w:val="000000"/>
                <w:sz w:val="18"/>
                <w:szCs w:val="18"/>
                <w:lang w:eastAsia="en-AU"/>
              </w:rPr>
              <w:t>Outcome</w:t>
            </w:r>
          </w:p>
        </w:tc>
        <w:tc>
          <w:tcPr>
            <w:tcW w:w="1134" w:type="dxa"/>
            <w:tcBorders>
              <w:left w:val="nil"/>
              <w:bottom w:val="nil"/>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Budget</w:t>
            </w:r>
          </w:p>
        </w:tc>
        <w:tc>
          <w:tcPr>
            <w:tcW w:w="993" w:type="dxa"/>
            <w:tcBorders>
              <w:left w:val="nil"/>
              <w:bottom w:val="nil"/>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Estimate</w:t>
            </w:r>
          </w:p>
        </w:tc>
        <w:tc>
          <w:tcPr>
            <w:tcW w:w="992" w:type="dxa"/>
            <w:tcBorders>
              <w:left w:val="nil"/>
              <w:bottom w:val="nil"/>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Estimate</w:t>
            </w:r>
          </w:p>
        </w:tc>
        <w:tc>
          <w:tcPr>
            <w:tcW w:w="992" w:type="dxa"/>
            <w:tcBorders>
              <w:left w:val="nil"/>
              <w:bottom w:val="nil"/>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Estimate</w:t>
            </w:r>
          </w:p>
        </w:tc>
      </w:tr>
      <w:tr w:rsidR="00E539F1" w:rsidRPr="00943973" w:rsidTr="0001117A">
        <w:trPr>
          <w:trHeight w:val="105"/>
        </w:trPr>
        <w:tc>
          <w:tcPr>
            <w:tcW w:w="959" w:type="dxa"/>
            <w:tcBorders>
              <w:left w:val="nil"/>
              <w:bottom w:val="single" w:sz="8" w:space="0" w:color="auto"/>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$’000</w:t>
            </w:r>
          </w:p>
        </w:tc>
        <w:tc>
          <w:tcPr>
            <w:tcW w:w="2977" w:type="dxa"/>
            <w:tcBorders>
              <w:left w:val="nil"/>
              <w:bottom w:val="single" w:sz="8" w:space="0" w:color="auto"/>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 </w:t>
            </w:r>
          </w:p>
        </w:tc>
        <w:tc>
          <w:tcPr>
            <w:tcW w:w="1275" w:type="dxa"/>
            <w:tcBorders>
              <w:left w:val="nil"/>
              <w:bottom w:val="single" w:sz="8" w:space="0" w:color="auto"/>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$’000</w:t>
            </w:r>
          </w:p>
        </w:tc>
        <w:tc>
          <w:tcPr>
            <w:tcW w:w="1134" w:type="dxa"/>
            <w:tcBorders>
              <w:left w:val="nil"/>
              <w:bottom w:val="single" w:sz="8" w:space="0" w:color="auto"/>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$’000</w:t>
            </w:r>
          </w:p>
        </w:tc>
        <w:tc>
          <w:tcPr>
            <w:tcW w:w="993" w:type="dxa"/>
            <w:tcBorders>
              <w:left w:val="nil"/>
              <w:bottom w:val="single" w:sz="8" w:space="0" w:color="auto"/>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$’000</w:t>
            </w:r>
          </w:p>
        </w:tc>
        <w:tc>
          <w:tcPr>
            <w:tcW w:w="992" w:type="dxa"/>
            <w:tcBorders>
              <w:left w:val="nil"/>
              <w:bottom w:val="single" w:sz="8" w:space="0" w:color="auto"/>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$’000</w:t>
            </w:r>
          </w:p>
        </w:tc>
        <w:tc>
          <w:tcPr>
            <w:tcW w:w="992" w:type="dxa"/>
            <w:tcBorders>
              <w:left w:val="nil"/>
              <w:bottom w:val="single" w:sz="8" w:space="0" w:color="auto"/>
              <w:right w:val="nil"/>
            </w:tcBorders>
            <w:shd w:val="clear" w:color="auto" w:fill="auto"/>
            <w:hideMark/>
          </w:tcPr>
          <w:p w:rsidR="00E539F1" w:rsidRPr="00943973" w:rsidRDefault="00E539F1" w:rsidP="00E539F1">
            <w:pPr>
              <w:jc w:val="right"/>
              <w:rPr>
                <w:b/>
                <w:bCs/>
                <w:color w:val="000000"/>
                <w:sz w:val="18"/>
                <w:szCs w:val="18"/>
                <w:lang w:eastAsia="en-AU"/>
              </w:rPr>
            </w:pPr>
            <w:r w:rsidRPr="00943973">
              <w:rPr>
                <w:b/>
                <w:bCs/>
                <w:color w:val="000000"/>
                <w:sz w:val="18"/>
                <w:szCs w:val="18"/>
                <w:lang w:eastAsia="en-AU"/>
              </w:rPr>
              <w:t>$'000</w:t>
            </w:r>
          </w:p>
        </w:tc>
      </w:tr>
      <w:tr w:rsidR="00E539F1" w:rsidRPr="00943973" w:rsidTr="0001117A">
        <w:trPr>
          <w:trHeight w:val="166"/>
        </w:trPr>
        <w:tc>
          <w:tcPr>
            <w:tcW w:w="959" w:type="dxa"/>
            <w:tcBorders>
              <w:top w:val="single" w:sz="8" w:space="0" w:color="auto"/>
              <w:left w:val="nil"/>
              <w:right w:val="nil"/>
            </w:tcBorders>
            <w:shd w:val="clear" w:color="auto" w:fill="auto"/>
            <w:hideMark/>
          </w:tcPr>
          <w:p w:rsidR="00E539F1" w:rsidRPr="00943973" w:rsidRDefault="00E539F1" w:rsidP="00943973">
            <w:pPr>
              <w:jc w:val="right"/>
              <w:rPr>
                <w:color w:val="000000"/>
                <w:sz w:val="18"/>
                <w:szCs w:val="18"/>
                <w:lang w:eastAsia="en-AU"/>
              </w:rPr>
            </w:pPr>
          </w:p>
        </w:tc>
        <w:tc>
          <w:tcPr>
            <w:tcW w:w="2977" w:type="dxa"/>
            <w:tcBorders>
              <w:top w:val="single" w:sz="8" w:space="0" w:color="auto"/>
              <w:left w:val="nil"/>
              <w:right w:val="nil"/>
            </w:tcBorders>
            <w:shd w:val="clear" w:color="auto" w:fill="auto"/>
            <w:hideMark/>
          </w:tcPr>
          <w:p w:rsidR="00E539F1" w:rsidRPr="00E539F1" w:rsidRDefault="00E539F1" w:rsidP="00E539F1">
            <w:pPr>
              <w:pStyle w:val="TableTextLeftBold-BP3"/>
              <w:rPr>
                <w:b w:val="0"/>
                <w:sz w:val="18"/>
                <w:szCs w:val="18"/>
                <w:lang w:eastAsia="en-AU"/>
              </w:rPr>
            </w:pPr>
          </w:p>
        </w:tc>
        <w:tc>
          <w:tcPr>
            <w:tcW w:w="1275" w:type="dxa"/>
            <w:tcBorders>
              <w:top w:val="single" w:sz="8" w:space="0" w:color="auto"/>
              <w:left w:val="nil"/>
              <w:right w:val="nil"/>
            </w:tcBorders>
            <w:shd w:val="clear" w:color="auto" w:fill="auto"/>
            <w:hideMark/>
          </w:tcPr>
          <w:p w:rsidR="00E539F1" w:rsidRPr="00943973" w:rsidRDefault="00E539F1" w:rsidP="00943973">
            <w:pPr>
              <w:jc w:val="right"/>
              <w:rPr>
                <w:color w:val="000000"/>
                <w:sz w:val="18"/>
                <w:szCs w:val="18"/>
                <w:lang w:eastAsia="en-AU"/>
              </w:rPr>
            </w:pPr>
          </w:p>
        </w:tc>
        <w:tc>
          <w:tcPr>
            <w:tcW w:w="1134" w:type="dxa"/>
            <w:tcBorders>
              <w:top w:val="single" w:sz="8" w:space="0" w:color="auto"/>
              <w:left w:val="nil"/>
              <w:right w:val="nil"/>
            </w:tcBorders>
            <w:shd w:val="clear" w:color="auto" w:fill="auto"/>
            <w:hideMark/>
          </w:tcPr>
          <w:p w:rsidR="00E539F1" w:rsidRPr="00943973" w:rsidRDefault="00E539F1" w:rsidP="00943973">
            <w:pPr>
              <w:jc w:val="right"/>
              <w:rPr>
                <w:color w:val="000000"/>
                <w:sz w:val="18"/>
                <w:szCs w:val="18"/>
                <w:lang w:eastAsia="en-AU"/>
              </w:rPr>
            </w:pPr>
          </w:p>
        </w:tc>
        <w:tc>
          <w:tcPr>
            <w:tcW w:w="993" w:type="dxa"/>
            <w:tcBorders>
              <w:top w:val="single" w:sz="8" w:space="0" w:color="auto"/>
              <w:left w:val="nil"/>
              <w:right w:val="nil"/>
            </w:tcBorders>
            <w:shd w:val="clear" w:color="auto" w:fill="auto"/>
            <w:hideMark/>
          </w:tcPr>
          <w:p w:rsidR="00E539F1" w:rsidRPr="00943973" w:rsidRDefault="00E539F1" w:rsidP="00943973">
            <w:pPr>
              <w:jc w:val="right"/>
              <w:rPr>
                <w:color w:val="000000"/>
                <w:sz w:val="18"/>
                <w:szCs w:val="18"/>
                <w:lang w:eastAsia="en-AU"/>
              </w:rPr>
            </w:pPr>
          </w:p>
        </w:tc>
        <w:tc>
          <w:tcPr>
            <w:tcW w:w="992" w:type="dxa"/>
            <w:tcBorders>
              <w:top w:val="single" w:sz="8" w:space="0" w:color="auto"/>
              <w:left w:val="nil"/>
              <w:right w:val="nil"/>
            </w:tcBorders>
            <w:shd w:val="clear" w:color="auto" w:fill="auto"/>
            <w:hideMark/>
          </w:tcPr>
          <w:p w:rsidR="00E539F1" w:rsidRPr="00943973" w:rsidRDefault="00E539F1" w:rsidP="00943973">
            <w:pPr>
              <w:jc w:val="right"/>
              <w:rPr>
                <w:color w:val="000000"/>
                <w:sz w:val="18"/>
                <w:szCs w:val="18"/>
                <w:lang w:eastAsia="en-AU"/>
              </w:rPr>
            </w:pPr>
          </w:p>
        </w:tc>
        <w:tc>
          <w:tcPr>
            <w:tcW w:w="992" w:type="dxa"/>
            <w:tcBorders>
              <w:top w:val="single" w:sz="8" w:space="0" w:color="auto"/>
              <w:left w:val="nil"/>
              <w:right w:val="nil"/>
            </w:tcBorders>
            <w:shd w:val="clear" w:color="auto" w:fill="auto"/>
            <w:hideMark/>
          </w:tcPr>
          <w:p w:rsidR="00E539F1" w:rsidRPr="00943973" w:rsidRDefault="00E539F1" w:rsidP="00943973">
            <w:pPr>
              <w:jc w:val="right"/>
              <w:rPr>
                <w:color w:val="000000"/>
                <w:sz w:val="18"/>
                <w:szCs w:val="18"/>
                <w:lang w:eastAsia="en-AU"/>
              </w:rPr>
            </w:pPr>
          </w:p>
        </w:tc>
      </w:tr>
      <w:tr w:rsidR="00943973" w:rsidRPr="00943973" w:rsidTr="00E539F1">
        <w:trPr>
          <w:trHeight w:val="510"/>
        </w:trPr>
        <w:tc>
          <w:tcPr>
            <w:tcW w:w="959"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2977" w:type="dxa"/>
            <w:tcBorders>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Centenary of Canberra Gift NPP - Constitution Avenue Redevelopment component</w:t>
            </w:r>
          </w:p>
        </w:tc>
        <w:tc>
          <w:tcPr>
            <w:tcW w:w="1275"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1134"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10,000</w:t>
            </w:r>
          </w:p>
        </w:tc>
        <w:tc>
          <w:tcPr>
            <w:tcW w:w="992"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E539F1">
        <w:trPr>
          <w:trHeight w:val="425"/>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Building Australia Fund Roads NPP - Majura Parkway construction</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50,000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64,500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20,000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E539F1">
        <w:trPr>
          <w:trHeight w:val="132"/>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Parliament House Walk</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100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E539F1">
        <w:trPr>
          <w:trHeight w:val="193"/>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Regional Infrastructure Fund</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81</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696</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82</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112</w:t>
            </w:r>
          </w:p>
        </w:tc>
      </w:tr>
      <w:tr w:rsidR="00943973" w:rsidRPr="00943973" w:rsidTr="00E539F1">
        <w:trPr>
          <w:trHeight w:val="110"/>
        </w:trPr>
        <w:tc>
          <w:tcPr>
            <w:tcW w:w="959" w:type="dxa"/>
            <w:tcBorders>
              <w:top w:val="nil"/>
              <w:left w:val="nil"/>
              <w:bottom w:val="nil"/>
              <w:right w:val="nil"/>
            </w:tcBorders>
            <w:shd w:val="clear" w:color="auto" w:fill="auto"/>
            <w:hideMark/>
          </w:tcPr>
          <w:p w:rsidR="00943973" w:rsidRPr="00E539F1" w:rsidRDefault="00943973" w:rsidP="00943973">
            <w:pPr>
              <w:jc w:val="right"/>
              <w:rPr>
                <w:b/>
                <w:i/>
                <w:iCs/>
                <w:color w:val="000000"/>
                <w:sz w:val="18"/>
                <w:szCs w:val="18"/>
                <w:lang w:eastAsia="en-AU"/>
              </w:rPr>
            </w:pPr>
            <w:r w:rsidRPr="00E539F1">
              <w:rPr>
                <w:b/>
                <w:i/>
                <w:iCs/>
                <w:color w:val="000000"/>
                <w:sz w:val="18"/>
                <w:szCs w:val="18"/>
                <w:lang w:eastAsia="en-AU"/>
              </w:rPr>
              <w:t>5,502</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i/>
                <w:sz w:val="18"/>
                <w:szCs w:val="18"/>
                <w:lang w:eastAsia="en-AU"/>
              </w:rPr>
            </w:pPr>
            <w:r w:rsidRPr="00E539F1">
              <w:rPr>
                <w:i/>
                <w:sz w:val="18"/>
                <w:szCs w:val="18"/>
                <w:lang w:eastAsia="en-AU"/>
              </w:rPr>
              <w:t>Total Infrastructure NPPs</w:t>
            </w:r>
          </w:p>
        </w:tc>
        <w:tc>
          <w:tcPr>
            <w:tcW w:w="1275" w:type="dxa"/>
            <w:tcBorders>
              <w:top w:val="nil"/>
              <w:left w:val="nil"/>
              <w:bottom w:val="nil"/>
              <w:right w:val="nil"/>
            </w:tcBorders>
            <w:shd w:val="clear" w:color="auto" w:fill="auto"/>
            <w:hideMark/>
          </w:tcPr>
          <w:p w:rsidR="00943973" w:rsidRPr="00E539F1" w:rsidRDefault="00943973" w:rsidP="00943973">
            <w:pPr>
              <w:jc w:val="right"/>
              <w:rPr>
                <w:b/>
                <w:i/>
                <w:iCs/>
                <w:color w:val="000000"/>
                <w:sz w:val="18"/>
                <w:szCs w:val="18"/>
                <w:lang w:eastAsia="en-AU"/>
              </w:rPr>
            </w:pPr>
            <w:r w:rsidRPr="00E539F1">
              <w:rPr>
                <w:b/>
                <w:i/>
                <w:iCs/>
                <w:color w:val="000000"/>
                <w:sz w:val="18"/>
                <w:szCs w:val="18"/>
                <w:lang w:eastAsia="en-AU"/>
              </w:rPr>
              <w:t>3,929</w:t>
            </w:r>
          </w:p>
        </w:tc>
        <w:tc>
          <w:tcPr>
            <w:tcW w:w="1134" w:type="dxa"/>
            <w:tcBorders>
              <w:top w:val="nil"/>
              <w:left w:val="nil"/>
              <w:bottom w:val="nil"/>
              <w:right w:val="nil"/>
            </w:tcBorders>
            <w:shd w:val="clear" w:color="auto" w:fill="auto"/>
            <w:hideMark/>
          </w:tcPr>
          <w:p w:rsidR="00943973" w:rsidRPr="00E539F1" w:rsidRDefault="00943973" w:rsidP="00943973">
            <w:pPr>
              <w:jc w:val="right"/>
              <w:rPr>
                <w:b/>
                <w:i/>
                <w:iCs/>
                <w:color w:val="000000"/>
                <w:sz w:val="18"/>
                <w:szCs w:val="18"/>
                <w:lang w:eastAsia="en-AU"/>
              </w:rPr>
            </w:pPr>
            <w:r w:rsidRPr="00E539F1">
              <w:rPr>
                <w:b/>
                <w:i/>
                <w:iCs/>
                <w:color w:val="000000"/>
                <w:sz w:val="18"/>
                <w:szCs w:val="18"/>
                <w:lang w:eastAsia="en-AU"/>
              </w:rPr>
              <w:t>56,609</w:t>
            </w:r>
          </w:p>
        </w:tc>
        <w:tc>
          <w:tcPr>
            <w:tcW w:w="993" w:type="dxa"/>
            <w:tcBorders>
              <w:top w:val="nil"/>
              <w:left w:val="nil"/>
              <w:bottom w:val="nil"/>
              <w:right w:val="nil"/>
            </w:tcBorders>
            <w:shd w:val="clear" w:color="auto" w:fill="auto"/>
            <w:hideMark/>
          </w:tcPr>
          <w:p w:rsidR="00943973" w:rsidRPr="00E539F1" w:rsidRDefault="00943973" w:rsidP="00943973">
            <w:pPr>
              <w:jc w:val="right"/>
              <w:rPr>
                <w:b/>
                <w:i/>
                <w:iCs/>
                <w:color w:val="000000"/>
                <w:sz w:val="18"/>
                <w:szCs w:val="18"/>
                <w:lang w:eastAsia="en-AU"/>
              </w:rPr>
            </w:pPr>
            <w:r w:rsidRPr="00E539F1">
              <w:rPr>
                <w:b/>
                <w:i/>
                <w:iCs/>
                <w:color w:val="000000"/>
                <w:sz w:val="18"/>
                <w:szCs w:val="18"/>
                <w:lang w:eastAsia="en-AU"/>
              </w:rPr>
              <w:t>83,733</w:t>
            </w:r>
          </w:p>
        </w:tc>
        <w:tc>
          <w:tcPr>
            <w:tcW w:w="992" w:type="dxa"/>
            <w:tcBorders>
              <w:top w:val="nil"/>
              <w:left w:val="nil"/>
              <w:bottom w:val="nil"/>
              <w:right w:val="nil"/>
            </w:tcBorders>
            <w:shd w:val="clear" w:color="auto" w:fill="auto"/>
            <w:hideMark/>
          </w:tcPr>
          <w:p w:rsidR="00943973" w:rsidRPr="00E539F1" w:rsidRDefault="00943973" w:rsidP="00943973">
            <w:pPr>
              <w:jc w:val="right"/>
              <w:rPr>
                <w:b/>
                <w:i/>
                <w:iCs/>
                <w:color w:val="000000"/>
                <w:sz w:val="18"/>
                <w:szCs w:val="18"/>
                <w:lang w:eastAsia="en-AU"/>
              </w:rPr>
            </w:pPr>
            <w:r w:rsidRPr="00E539F1">
              <w:rPr>
                <w:b/>
                <w:i/>
                <w:iCs/>
                <w:color w:val="000000"/>
                <w:sz w:val="18"/>
                <w:szCs w:val="18"/>
                <w:lang w:eastAsia="en-AU"/>
              </w:rPr>
              <w:t>28,205</w:t>
            </w:r>
          </w:p>
        </w:tc>
        <w:tc>
          <w:tcPr>
            <w:tcW w:w="992" w:type="dxa"/>
            <w:tcBorders>
              <w:top w:val="nil"/>
              <w:left w:val="nil"/>
              <w:bottom w:val="nil"/>
              <w:right w:val="nil"/>
            </w:tcBorders>
            <w:shd w:val="clear" w:color="auto" w:fill="auto"/>
            <w:hideMark/>
          </w:tcPr>
          <w:p w:rsidR="00943973" w:rsidRPr="00E539F1" w:rsidRDefault="00943973" w:rsidP="00943973">
            <w:pPr>
              <w:jc w:val="right"/>
              <w:rPr>
                <w:b/>
                <w:i/>
                <w:iCs/>
                <w:color w:val="000000"/>
                <w:sz w:val="18"/>
                <w:szCs w:val="18"/>
                <w:lang w:eastAsia="en-AU"/>
              </w:rPr>
            </w:pPr>
            <w:r w:rsidRPr="00E539F1">
              <w:rPr>
                <w:b/>
                <w:i/>
                <w:iCs/>
                <w:color w:val="000000"/>
                <w:sz w:val="18"/>
                <w:szCs w:val="18"/>
                <w:lang w:eastAsia="en-AU"/>
              </w:rPr>
              <w:t>8,253</w:t>
            </w:r>
          </w:p>
        </w:tc>
      </w:tr>
      <w:tr w:rsidR="00943973" w:rsidRPr="00943973" w:rsidTr="00E539F1">
        <w:trPr>
          <w:trHeight w:val="161"/>
        </w:trPr>
        <w:tc>
          <w:tcPr>
            <w:tcW w:w="959" w:type="dxa"/>
            <w:tcBorders>
              <w:top w:val="single" w:sz="4" w:space="0" w:color="auto"/>
              <w:left w:val="nil"/>
              <w:bottom w:val="single" w:sz="4" w:space="0" w:color="auto"/>
              <w:right w:val="nil"/>
            </w:tcBorders>
            <w:shd w:val="clear" w:color="auto" w:fill="auto"/>
            <w:hideMark/>
          </w:tcPr>
          <w:p w:rsidR="00943973" w:rsidRPr="00E539F1" w:rsidRDefault="00943973" w:rsidP="00943973">
            <w:pPr>
              <w:jc w:val="right"/>
              <w:rPr>
                <w:b/>
                <w:bCs/>
                <w:color w:val="000000"/>
                <w:sz w:val="18"/>
                <w:szCs w:val="18"/>
                <w:lang w:eastAsia="en-AU"/>
              </w:rPr>
            </w:pPr>
            <w:r w:rsidRPr="00E539F1">
              <w:rPr>
                <w:b/>
                <w:bCs/>
                <w:color w:val="000000"/>
                <w:sz w:val="18"/>
                <w:szCs w:val="18"/>
                <w:lang w:eastAsia="en-AU"/>
              </w:rPr>
              <w:t>5,502</w:t>
            </w:r>
          </w:p>
        </w:tc>
        <w:tc>
          <w:tcPr>
            <w:tcW w:w="2977" w:type="dxa"/>
            <w:tcBorders>
              <w:top w:val="single" w:sz="4" w:space="0" w:color="auto"/>
              <w:left w:val="nil"/>
              <w:bottom w:val="single" w:sz="4" w:space="0" w:color="auto"/>
              <w:right w:val="nil"/>
            </w:tcBorders>
            <w:shd w:val="clear" w:color="auto" w:fill="auto"/>
            <w:hideMark/>
          </w:tcPr>
          <w:p w:rsidR="00943973" w:rsidRPr="00E539F1" w:rsidRDefault="00943973" w:rsidP="00E539F1">
            <w:pPr>
              <w:pStyle w:val="TableTextLeftBold-BP3"/>
              <w:rPr>
                <w:sz w:val="18"/>
                <w:szCs w:val="18"/>
                <w:lang w:eastAsia="en-AU"/>
              </w:rPr>
            </w:pPr>
            <w:r w:rsidRPr="00E539F1">
              <w:rPr>
                <w:sz w:val="18"/>
                <w:szCs w:val="18"/>
                <w:lang w:eastAsia="en-AU"/>
              </w:rPr>
              <w:t>Total Infrastructure</w:t>
            </w:r>
          </w:p>
        </w:tc>
        <w:tc>
          <w:tcPr>
            <w:tcW w:w="1275" w:type="dxa"/>
            <w:tcBorders>
              <w:top w:val="single" w:sz="4" w:space="0" w:color="auto"/>
              <w:left w:val="nil"/>
              <w:bottom w:val="single" w:sz="4" w:space="0" w:color="auto"/>
              <w:right w:val="nil"/>
            </w:tcBorders>
            <w:shd w:val="clear" w:color="auto" w:fill="auto"/>
            <w:hideMark/>
          </w:tcPr>
          <w:p w:rsidR="00943973" w:rsidRPr="00E539F1" w:rsidRDefault="00943973" w:rsidP="00943973">
            <w:pPr>
              <w:jc w:val="right"/>
              <w:rPr>
                <w:b/>
                <w:bCs/>
                <w:color w:val="000000"/>
                <w:sz w:val="18"/>
                <w:szCs w:val="18"/>
                <w:lang w:eastAsia="en-AU"/>
              </w:rPr>
            </w:pPr>
            <w:r w:rsidRPr="00E539F1">
              <w:rPr>
                <w:b/>
                <w:bCs/>
                <w:color w:val="000000"/>
                <w:sz w:val="18"/>
                <w:szCs w:val="18"/>
                <w:lang w:eastAsia="en-AU"/>
              </w:rPr>
              <w:t>3,929</w:t>
            </w:r>
          </w:p>
        </w:tc>
        <w:tc>
          <w:tcPr>
            <w:tcW w:w="1134" w:type="dxa"/>
            <w:tcBorders>
              <w:top w:val="single" w:sz="4" w:space="0" w:color="auto"/>
              <w:left w:val="nil"/>
              <w:bottom w:val="single" w:sz="4" w:space="0" w:color="auto"/>
              <w:right w:val="nil"/>
            </w:tcBorders>
            <w:shd w:val="clear" w:color="auto" w:fill="auto"/>
            <w:hideMark/>
          </w:tcPr>
          <w:p w:rsidR="00943973" w:rsidRPr="00E539F1" w:rsidRDefault="00943973" w:rsidP="00943973">
            <w:pPr>
              <w:jc w:val="right"/>
              <w:rPr>
                <w:b/>
                <w:bCs/>
                <w:color w:val="000000"/>
                <w:sz w:val="18"/>
                <w:szCs w:val="18"/>
                <w:lang w:eastAsia="en-AU"/>
              </w:rPr>
            </w:pPr>
            <w:r w:rsidRPr="00E539F1">
              <w:rPr>
                <w:b/>
                <w:bCs/>
                <w:color w:val="000000"/>
                <w:sz w:val="18"/>
                <w:szCs w:val="18"/>
                <w:lang w:eastAsia="en-AU"/>
              </w:rPr>
              <w:t>56,609</w:t>
            </w:r>
          </w:p>
        </w:tc>
        <w:tc>
          <w:tcPr>
            <w:tcW w:w="993" w:type="dxa"/>
            <w:tcBorders>
              <w:top w:val="single" w:sz="4" w:space="0" w:color="auto"/>
              <w:left w:val="nil"/>
              <w:bottom w:val="single" w:sz="4" w:space="0" w:color="auto"/>
              <w:right w:val="nil"/>
            </w:tcBorders>
            <w:shd w:val="clear" w:color="auto" w:fill="auto"/>
            <w:hideMark/>
          </w:tcPr>
          <w:p w:rsidR="00943973" w:rsidRPr="00E539F1" w:rsidRDefault="00943973" w:rsidP="00943973">
            <w:pPr>
              <w:jc w:val="right"/>
              <w:rPr>
                <w:b/>
                <w:bCs/>
                <w:color w:val="000000"/>
                <w:sz w:val="18"/>
                <w:szCs w:val="18"/>
                <w:lang w:eastAsia="en-AU"/>
              </w:rPr>
            </w:pPr>
            <w:r w:rsidRPr="00E539F1">
              <w:rPr>
                <w:b/>
                <w:bCs/>
                <w:color w:val="000000"/>
                <w:sz w:val="18"/>
                <w:szCs w:val="18"/>
                <w:lang w:eastAsia="en-AU"/>
              </w:rPr>
              <w:t>83,733</w:t>
            </w:r>
          </w:p>
        </w:tc>
        <w:tc>
          <w:tcPr>
            <w:tcW w:w="992" w:type="dxa"/>
            <w:tcBorders>
              <w:top w:val="single" w:sz="4" w:space="0" w:color="auto"/>
              <w:left w:val="nil"/>
              <w:bottom w:val="single" w:sz="4" w:space="0" w:color="auto"/>
              <w:right w:val="nil"/>
            </w:tcBorders>
            <w:shd w:val="clear" w:color="auto" w:fill="auto"/>
            <w:hideMark/>
          </w:tcPr>
          <w:p w:rsidR="00943973" w:rsidRPr="00E539F1" w:rsidRDefault="00943973" w:rsidP="00943973">
            <w:pPr>
              <w:jc w:val="right"/>
              <w:rPr>
                <w:b/>
                <w:bCs/>
                <w:color w:val="000000"/>
                <w:sz w:val="18"/>
                <w:szCs w:val="18"/>
                <w:lang w:eastAsia="en-AU"/>
              </w:rPr>
            </w:pPr>
            <w:r w:rsidRPr="00E539F1">
              <w:rPr>
                <w:b/>
                <w:bCs/>
                <w:color w:val="000000"/>
                <w:sz w:val="18"/>
                <w:szCs w:val="18"/>
                <w:lang w:eastAsia="en-AU"/>
              </w:rPr>
              <w:t>28,205</w:t>
            </w:r>
          </w:p>
        </w:tc>
        <w:tc>
          <w:tcPr>
            <w:tcW w:w="992" w:type="dxa"/>
            <w:tcBorders>
              <w:top w:val="single" w:sz="4" w:space="0" w:color="auto"/>
              <w:left w:val="nil"/>
              <w:bottom w:val="single" w:sz="4" w:space="0" w:color="auto"/>
              <w:right w:val="nil"/>
            </w:tcBorders>
            <w:shd w:val="clear" w:color="auto" w:fill="auto"/>
            <w:hideMark/>
          </w:tcPr>
          <w:p w:rsidR="00943973" w:rsidRPr="00E539F1" w:rsidRDefault="00943973" w:rsidP="00943973">
            <w:pPr>
              <w:jc w:val="right"/>
              <w:rPr>
                <w:b/>
                <w:bCs/>
                <w:color w:val="000000"/>
                <w:sz w:val="18"/>
                <w:szCs w:val="18"/>
                <w:lang w:eastAsia="en-AU"/>
              </w:rPr>
            </w:pPr>
            <w:r w:rsidRPr="00E539F1">
              <w:rPr>
                <w:b/>
                <w:bCs/>
                <w:color w:val="000000"/>
                <w:sz w:val="18"/>
                <w:szCs w:val="18"/>
                <w:lang w:eastAsia="en-AU"/>
              </w:rPr>
              <w:t>8,253</w:t>
            </w:r>
          </w:p>
        </w:tc>
      </w:tr>
      <w:tr w:rsidR="00943973" w:rsidRPr="00943973" w:rsidTr="00E539F1">
        <w:trPr>
          <w:trHeight w:val="220"/>
        </w:trPr>
        <w:tc>
          <w:tcPr>
            <w:tcW w:w="959" w:type="dxa"/>
            <w:tcBorders>
              <w:top w:val="nil"/>
              <w:left w:val="nil"/>
              <w:bottom w:val="nil"/>
              <w:right w:val="nil"/>
            </w:tcBorders>
            <w:shd w:val="clear" w:color="auto" w:fill="auto"/>
            <w:noWrap/>
            <w:vAlign w:val="bottom"/>
            <w:hideMark/>
          </w:tcPr>
          <w:p w:rsidR="00943973" w:rsidRPr="0060532E" w:rsidRDefault="00943973" w:rsidP="00943973">
            <w:pPr>
              <w:rPr>
                <w:color w:val="000000"/>
                <w:sz w:val="18"/>
                <w:szCs w:val="18"/>
                <w:lang w:eastAsia="en-AU"/>
              </w:rPr>
            </w:pPr>
          </w:p>
        </w:tc>
        <w:tc>
          <w:tcPr>
            <w:tcW w:w="2977" w:type="dxa"/>
            <w:tcBorders>
              <w:top w:val="nil"/>
              <w:left w:val="nil"/>
              <w:bottom w:val="nil"/>
              <w:right w:val="nil"/>
            </w:tcBorders>
            <w:shd w:val="clear" w:color="auto" w:fill="auto"/>
            <w:noWrap/>
            <w:vAlign w:val="bottom"/>
            <w:hideMark/>
          </w:tcPr>
          <w:p w:rsidR="00943973" w:rsidRPr="0060532E" w:rsidRDefault="00943973" w:rsidP="00E539F1">
            <w:pPr>
              <w:pStyle w:val="TableTextLeftBold-BP3"/>
              <w:rPr>
                <w:b w:val="0"/>
                <w:sz w:val="18"/>
                <w:szCs w:val="18"/>
                <w:lang w:eastAsia="en-AU"/>
              </w:rPr>
            </w:pPr>
          </w:p>
        </w:tc>
        <w:tc>
          <w:tcPr>
            <w:tcW w:w="1275" w:type="dxa"/>
            <w:tcBorders>
              <w:top w:val="nil"/>
              <w:left w:val="nil"/>
              <w:bottom w:val="nil"/>
              <w:right w:val="nil"/>
            </w:tcBorders>
            <w:shd w:val="clear" w:color="auto" w:fill="auto"/>
            <w:noWrap/>
            <w:vAlign w:val="bottom"/>
            <w:hideMark/>
          </w:tcPr>
          <w:p w:rsidR="00943973" w:rsidRPr="0060532E" w:rsidRDefault="00943973" w:rsidP="00943973">
            <w:pPr>
              <w:rPr>
                <w:color w:val="000000"/>
                <w:sz w:val="18"/>
                <w:szCs w:val="18"/>
                <w:lang w:eastAsia="en-AU"/>
              </w:rPr>
            </w:pPr>
          </w:p>
        </w:tc>
        <w:tc>
          <w:tcPr>
            <w:tcW w:w="1134" w:type="dxa"/>
            <w:tcBorders>
              <w:top w:val="nil"/>
              <w:left w:val="nil"/>
              <w:bottom w:val="nil"/>
              <w:right w:val="nil"/>
            </w:tcBorders>
            <w:shd w:val="clear" w:color="auto" w:fill="auto"/>
            <w:noWrap/>
            <w:vAlign w:val="bottom"/>
            <w:hideMark/>
          </w:tcPr>
          <w:p w:rsidR="00943973" w:rsidRPr="0060532E" w:rsidRDefault="00943973" w:rsidP="00943973">
            <w:pPr>
              <w:rPr>
                <w:color w:val="000000"/>
                <w:sz w:val="18"/>
                <w:szCs w:val="18"/>
                <w:lang w:eastAsia="en-AU"/>
              </w:rPr>
            </w:pPr>
          </w:p>
        </w:tc>
        <w:tc>
          <w:tcPr>
            <w:tcW w:w="993" w:type="dxa"/>
            <w:tcBorders>
              <w:top w:val="nil"/>
              <w:left w:val="nil"/>
              <w:bottom w:val="nil"/>
              <w:right w:val="nil"/>
            </w:tcBorders>
            <w:shd w:val="clear" w:color="auto" w:fill="auto"/>
            <w:noWrap/>
            <w:vAlign w:val="bottom"/>
            <w:hideMark/>
          </w:tcPr>
          <w:p w:rsidR="00943973" w:rsidRPr="0060532E" w:rsidRDefault="00943973" w:rsidP="00943973">
            <w:pPr>
              <w:rPr>
                <w:color w:val="000000"/>
                <w:sz w:val="18"/>
                <w:szCs w:val="18"/>
                <w:lang w:eastAsia="en-AU"/>
              </w:rPr>
            </w:pPr>
          </w:p>
        </w:tc>
        <w:tc>
          <w:tcPr>
            <w:tcW w:w="992" w:type="dxa"/>
            <w:tcBorders>
              <w:top w:val="nil"/>
              <w:left w:val="nil"/>
              <w:bottom w:val="nil"/>
              <w:right w:val="nil"/>
            </w:tcBorders>
            <w:shd w:val="clear" w:color="auto" w:fill="auto"/>
            <w:noWrap/>
            <w:vAlign w:val="bottom"/>
            <w:hideMark/>
          </w:tcPr>
          <w:p w:rsidR="00943973" w:rsidRPr="0060532E" w:rsidRDefault="00943973" w:rsidP="00943973">
            <w:pPr>
              <w:rPr>
                <w:color w:val="000000"/>
                <w:sz w:val="18"/>
                <w:szCs w:val="18"/>
                <w:lang w:eastAsia="en-AU"/>
              </w:rPr>
            </w:pPr>
          </w:p>
        </w:tc>
        <w:tc>
          <w:tcPr>
            <w:tcW w:w="992" w:type="dxa"/>
            <w:tcBorders>
              <w:top w:val="nil"/>
              <w:left w:val="nil"/>
              <w:bottom w:val="nil"/>
              <w:right w:val="nil"/>
            </w:tcBorders>
            <w:shd w:val="clear" w:color="auto" w:fill="auto"/>
            <w:noWrap/>
            <w:vAlign w:val="bottom"/>
            <w:hideMark/>
          </w:tcPr>
          <w:p w:rsidR="00943973" w:rsidRPr="0060532E" w:rsidRDefault="00943973" w:rsidP="00943973">
            <w:pPr>
              <w:rPr>
                <w:color w:val="000000"/>
                <w:sz w:val="18"/>
                <w:szCs w:val="18"/>
                <w:lang w:eastAsia="en-AU"/>
              </w:rPr>
            </w:pPr>
          </w:p>
        </w:tc>
      </w:tr>
      <w:tr w:rsidR="00943973" w:rsidRPr="00943973" w:rsidTr="00E539F1">
        <w:trPr>
          <w:trHeight w:val="148"/>
        </w:trPr>
        <w:tc>
          <w:tcPr>
            <w:tcW w:w="959"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sz w:val="18"/>
                <w:szCs w:val="18"/>
                <w:lang w:eastAsia="en-AU"/>
              </w:rPr>
            </w:pPr>
            <w:r w:rsidRPr="00E539F1">
              <w:rPr>
                <w:sz w:val="18"/>
                <w:szCs w:val="18"/>
                <w:lang w:eastAsia="en-AU"/>
              </w:rPr>
              <w:t>Environmental Services</w:t>
            </w:r>
          </w:p>
        </w:tc>
        <w:tc>
          <w:tcPr>
            <w:tcW w:w="1275"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p>
        </w:tc>
      </w:tr>
      <w:tr w:rsidR="00E539F1" w:rsidRPr="00943973" w:rsidTr="00E539F1">
        <w:trPr>
          <w:trHeight w:val="209"/>
        </w:trPr>
        <w:tc>
          <w:tcPr>
            <w:tcW w:w="959" w:type="dxa"/>
            <w:tcBorders>
              <w:top w:val="nil"/>
              <w:left w:val="nil"/>
              <w:bottom w:val="nil"/>
              <w:right w:val="nil"/>
            </w:tcBorders>
            <w:shd w:val="clear" w:color="auto" w:fill="auto"/>
            <w:hideMark/>
          </w:tcPr>
          <w:p w:rsidR="00E539F1" w:rsidRPr="00943973" w:rsidRDefault="00E539F1" w:rsidP="00943973">
            <w:pPr>
              <w:jc w:val="right"/>
              <w:rPr>
                <w:b/>
                <w:bCs/>
                <w:color w:val="000000"/>
                <w:sz w:val="18"/>
                <w:szCs w:val="18"/>
                <w:lang w:eastAsia="en-AU"/>
              </w:rPr>
            </w:pPr>
          </w:p>
        </w:tc>
        <w:tc>
          <w:tcPr>
            <w:tcW w:w="2977" w:type="dxa"/>
            <w:tcBorders>
              <w:top w:val="nil"/>
              <w:left w:val="nil"/>
              <w:bottom w:val="nil"/>
              <w:right w:val="nil"/>
            </w:tcBorders>
            <w:shd w:val="clear" w:color="auto" w:fill="auto"/>
            <w:hideMark/>
          </w:tcPr>
          <w:p w:rsidR="00E539F1" w:rsidRPr="00E539F1" w:rsidRDefault="00E539F1" w:rsidP="00E539F1">
            <w:pPr>
              <w:pStyle w:val="TableTextLeftBold-BP3"/>
              <w:rPr>
                <w:i/>
                <w:sz w:val="18"/>
                <w:szCs w:val="18"/>
                <w:lang w:eastAsia="en-AU"/>
              </w:rPr>
            </w:pPr>
          </w:p>
        </w:tc>
        <w:tc>
          <w:tcPr>
            <w:tcW w:w="1275" w:type="dxa"/>
            <w:tcBorders>
              <w:top w:val="nil"/>
              <w:left w:val="nil"/>
              <w:bottom w:val="nil"/>
              <w:right w:val="nil"/>
            </w:tcBorders>
            <w:shd w:val="clear" w:color="auto" w:fill="auto"/>
            <w:hideMark/>
          </w:tcPr>
          <w:p w:rsidR="00E539F1" w:rsidRPr="00943973" w:rsidRDefault="00E539F1" w:rsidP="00943973">
            <w:pPr>
              <w:jc w:val="right"/>
              <w:rPr>
                <w:b/>
                <w:bCs/>
                <w:color w:val="000000"/>
                <w:sz w:val="18"/>
                <w:szCs w:val="18"/>
                <w:lang w:eastAsia="en-AU"/>
              </w:rPr>
            </w:pPr>
          </w:p>
        </w:tc>
        <w:tc>
          <w:tcPr>
            <w:tcW w:w="1134" w:type="dxa"/>
            <w:tcBorders>
              <w:top w:val="nil"/>
              <w:left w:val="nil"/>
              <w:bottom w:val="nil"/>
              <w:right w:val="nil"/>
            </w:tcBorders>
            <w:shd w:val="clear" w:color="auto" w:fill="auto"/>
            <w:hideMark/>
          </w:tcPr>
          <w:p w:rsidR="00E539F1" w:rsidRPr="00943973" w:rsidRDefault="00E539F1" w:rsidP="00943973">
            <w:pPr>
              <w:jc w:val="right"/>
              <w:rPr>
                <w:b/>
                <w:bCs/>
                <w:color w:val="000000"/>
                <w:sz w:val="18"/>
                <w:szCs w:val="18"/>
                <w:lang w:eastAsia="en-AU"/>
              </w:rPr>
            </w:pPr>
          </w:p>
        </w:tc>
        <w:tc>
          <w:tcPr>
            <w:tcW w:w="993" w:type="dxa"/>
            <w:tcBorders>
              <w:top w:val="nil"/>
              <w:left w:val="nil"/>
              <w:bottom w:val="nil"/>
              <w:right w:val="nil"/>
            </w:tcBorders>
            <w:shd w:val="clear" w:color="auto" w:fill="auto"/>
            <w:hideMark/>
          </w:tcPr>
          <w:p w:rsidR="00E539F1" w:rsidRPr="00943973" w:rsidRDefault="00E539F1" w:rsidP="00943973">
            <w:pPr>
              <w:jc w:val="right"/>
              <w:rPr>
                <w:b/>
                <w:bCs/>
                <w:color w:val="000000"/>
                <w:sz w:val="18"/>
                <w:szCs w:val="18"/>
                <w:lang w:eastAsia="en-AU"/>
              </w:rPr>
            </w:pPr>
          </w:p>
        </w:tc>
        <w:tc>
          <w:tcPr>
            <w:tcW w:w="992" w:type="dxa"/>
            <w:tcBorders>
              <w:top w:val="nil"/>
              <w:left w:val="nil"/>
              <w:bottom w:val="nil"/>
              <w:right w:val="nil"/>
            </w:tcBorders>
            <w:shd w:val="clear" w:color="auto" w:fill="auto"/>
            <w:hideMark/>
          </w:tcPr>
          <w:p w:rsidR="00E539F1" w:rsidRPr="00943973" w:rsidRDefault="00E539F1" w:rsidP="00943973">
            <w:pPr>
              <w:jc w:val="right"/>
              <w:rPr>
                <w:b/>
                <w:bCs/>
                <w:color w:val="000000"/>
                <w:sz w:val="18"/>
                <w:szCs w:val="18"/>
                <w:lang w:eastAsia="en-AU"/>
              </w:rPr>
            </w:pPr>
          </w:p>
        </w:tc>
        <w:tc>
          <w:tcPr>
            <w:tcW w:w="992" w:type="dxa"/>
            <w:tcBorders>
              <w:top w:val="nil"/>
              <w:left w:val="nil"/>
              <w:bottom w:val="nil"/>
              <w:right w:val="nil"/>
            </w:tcBorders>
            <w:shd w:val="clear" w:color="auto" w:fill="auto"/>
            <w:hideMark/>
          </w:tcPr>
          <w:p w:rsidR="00E539F1" w:rsidRPr="00943973" w:rsidRDefault="00E539F1" w:rsidP="00943973">
            <w:pPr>
              <w:jc w:val="right"/>
              <w:rPr>
                <w:b/>
                <w:bCs/>
                <w:color w:val="000000"/>
                <w:sz w:val="18"/>
                <w:szCs w:val="18"/>
                <w:lang w:eastAsia="en-AU"/>
              </w:rPr>
            </w:pPr>
          </w:p>
        </w:tc>
      </w:tr>
      <w:tr w:rsidR="00943973" w:rsidRPr="00943973" w:rsidTr="00E539F1">
        <w:trPr>
          <w:trHeight w:val="209"/>
        </w:trPr>
        <w:tc>
          <w:tcPr>
            <w:tcW w:w="959"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i/>
                <w:sz w:val="18"/>
                <w:szCs w:val="18"/>
                <w:lang w:eastAsia="en-AU"/>
              </w:rPr>
            </w:pPr>
            <w:r w:rsidRPr="00E539F1">
              <w:rPr>
                <w:i/>
                <w:sz w:val="18"/>
                <w:szCs w:val="18"/>
                <w:lang w:eastAsia="en-AU"/>
              </w:rPr>
              <w:t>Environmental Services NPP's</w:t>
            </w:r>
          </w:p>
        </w:tc>
        <w:tc>
          <w:tcPr>
            <w:tcW w:w="1275"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b/>
                <w:bCs/>
                <w:color w:val="000000"/>
                <w:sz w:val="18"/>
                <w:szCs w:val="18"/>
                <w:lang w:eastAsia="en-AU"/>
              </w:rPr>
            </w:pPr>
          </w:p>
        </w:tc>
      </w:tr>
      <w:tr w:rsidR="00943973" w:rsidRPr="00943973" w:rsidTr="00E539F1">
        <w:trPr>
          <w:trHeight w:val="126"/>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1,359</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Caring for Our Country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1,359</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E539F1">
        <w:trPr>
          <w:trHeight w:val="187"/>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Exotic Disease Preparedness NPP</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10</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20</w:t>
            </w:r>
          </w:p>
        </w:tc>
      </w:tr>
      <w:tr w:rsidR="00943973" w:rsidRPr="00943973" w:rsidTr="00E539F1">
        <w:trPr>
          <w:trHeight w:val="119"/>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251</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 xml:space="preserve">Water for the future NPP - States </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883</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259</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201</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70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0E110C">
        <w:trPr>
          <w:trHeight w:val="300"/>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Water Reform in the Murray Darling Basin</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98</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221</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327</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327</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327</w:t>
            </w:r>
          </w:p>
        </w:tc>
      </w:tr>
      <w:tr w:rsidR="00943973" w:rsidRPr="00943973" w:rsidTr="000E110C">
        <w:trPr>
          <w:trHeight w:val="300"/>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National Insurance Affordability Initiative</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133</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416</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r>
      <w:tr w:rsidR="00943973" w:rsidRPr="00943973" w:rsidTr="00E539F1">
        <w:trPr>
          <w:trHeight w:val="149"/>
        </w:trPr>
        <w:tc>
          <w:tcPr>
            <w:tcW w:w="959" w:type="dxa"/>
            <w:tcBorders>
              <w:top w:val="nil"/>
              <w:left w:val="nil"/>
              <w:bottom w:val="nil"/>
              <w:right w:val="nil"/>
            </w:tcBorders>
            <w:shd w:val="clear" w:color="auto" w:fill="auto"/>
            <w:hideMark/>
          </w:tcPr>
          <w:p w:rsidR="00943973" w:rsidRPr="00E539F1" w:rsidRDefault="00943973" w:rsidP="00943973">
            <w:pPr>
              <w:jc w:val="right"/>
              <w:rPr>
                <w:b/>
                <w:i/>
                <w:iCs/>
                <w:color w:val="000000"/>
                <w:sz w:val="18"/>
                <w:szCs w:val="18"/>
                <w:lang w:eastAsia="en-AU"/>
              </w:rPr>
            </w:pPr>
            <w:r w:rsidRPr="00E539F1">
              <w:rPr>
                <w:b/>
                <w:i/>
                <w:iCs/>
                <w:color w:val="000000"/>
                <w:sz w:val="18"/>
                <w:szCs w:val="18"/>
                <w:lang w:eastAsia="en-AU"/>
              </w:rPr>
              <w:t>1,610</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i/>
                <w:sz w:val="18"/>
                <w:szCs w:val="18"/>
                <w:lang w:eastAsia="en-AU"/>
              </w:rPr>
            </w:pPr>
            <w:r w:rsidRPr="00E539F1">
              <w:rPr>
                <w:i/>
                <w:sz w:val="18"/>
                <w:szCs w:val="18"/>
                <w:lang w:eastAsia="en-AU"/>
              </w:rPr>
              <w:t>Total Environmental Services NPPs</w:t>
            </w:r>
          </w:p>
        </w:tc>
        <w:tc>
          <w:tcPr>
            <w:tcW w:w="1275" w:type="dxa"/>
            <w:tcBorders>
              <w:top w:val="nil"/>
              <w:left w:val="nil"/>
              <w:bottom w:val="nil"/>
              <w:right w:val="nil"/>
            </w:tcBorders>
            <w:shd w:val="clear" w:color="auto" w:fill="auto"/>
            <w:hideMark/>
          </w:tcPr>
          <w:p w:rsidR="00943973" w:rsidRPr="00E539F1" w:rsidRDefault="00943973" w:rsidP="00943973">
            <w:pPr>
              <w:jc w:val="right"/>
              <w:rPr>
                <w:b/>
                <w:i/>
                <w:iCs/>
                <w:color w:val="000000"/>
                <w:sz w:val="18"/>
                <w:szCs w:val="18"/>
                <w:lang w:eastAsia="en-AU"/>
              </w:rPr>
            </w:pPr>
            <w:r w:rsidRPr="00E539F1">
              <w:rPr>
                <w:b/>
                <w:i/>
                <w:iCs/>
                <w:color w:val="000000"/>
                <w:sz w:val="18"/>
                <w:szCs w:val="18"/>
                <w:lang w:eastAsia="en-AU"/>
              </w:rPr>
              <w:t>2,350</w:t>
            </w:r>
          </w:p>
        </w:tc>
        <w:tc>
          <w:tcPr>
            <w:tcW w:w="1134" w:type="dxa"/>
            <w:tcBorders>
              <w:top w:val="nil"/>
              <w:left w:val="nil"/>
              <w:bottom w:val="nil"/>
              <w:right w:val="nil"/>
            </w:tcBorders>
            <w:shd w:val="clear" w:color="auto" w:fill="auto"/>
            <w:hideMark/>
          </w:tcPr>
          <w:p w:rsidR="00943973" w:rsidRPr="00E539F1" w:rsidRDefault="00943973" w:rsidP="00943973">
            <w:pPr>
              <w:jc w:val="right"/>
              <w:rPr>
                <w:b/>
                <w:i/>
                <w:iCs/>
                <w:color w:val="000000"/>
                <w:sz w:val="18"/>
                <w:szCs w:val="18"/>
                <w:lang w:eastAsia="en-AU"/>
              </w:rPr>
            </w:pPr>
            <w:r w:rsidRPr="00E539F1">
              <w:rPr>
                <w:b/>
                <w:i/>
                <w:iCs/>
                <w:color w:val="000000"/>
                <w:sz w:val="18"/>
                <w:szCs w:val="18"/>
                <w:lang w:eastAsia="en-AU"/>
              </w:rPr>
              <w:t>623</w:t>
            </w:r>
          </w:p>
        </w:tc>
        <w:tc>
          <w:tcPr>
            <w:tcW w:w="993" w:type="dxa"/>
            <w:tcBorders>
              <w:top w:val="nil"/>
              <w:left w:val="nil"/>
              <w:bottom w:val="nil"/>
              <w:right w:val="nil"/>
            </w:tcBorders>
            <w:shd w:val="clear" w:color="auto" w:fill="auto"/>
            <w:hideMark/>
          </w:tcPr>
          <w:p w:rsidR="00943973" w:rsidRPr="00E539F1" w:rsidRDefault="00943973" w:rsidP="00943973">
            <w:pPr>
              <w:jc w:val="right"/>
              <w:rPr>
                <w:b/>
                <w:i/>
                <w:iCs/>
                <w:color w:val="000000"/>
                <w:sz w:val="18"/>
                <w:szCs w:val="18"/>
                <w:lang w:eastAsia="en-AU"/>
              </w:rPr>
            </w:pPr>
            <w:r w:rsidRPr="00E539F1">
              <w:rPr>
                <w:b/>
                <w:i/>
                <w:iCs/>
                <w:color w:val="000000"/>
                <w:sz w:val="18"/>
                <w:szCs w:val="18"/>
                <w:lang w:eastAsia="en-AU"/>
              </w:rPr>
              <w:t>964</w:t>
            </w:r>
          </w:p>
        </w:tc>
        <w:tc>
          <w:tcPr>
            <w:tcW w:w="992" w:type="dxa"/>
            <w:tcBorders>
              <w:top w:val="nil"/>
              <w:left w:val="nil"/>
              <w:bottom w:val="nil"/>
              <w:right w:val="nil"/>
            </w:tcBorders>
            <w:shd w:val="clear" w:color="auto" w:fill="auto"/>
            <w:hideMark/>
          </w:tcPr>
          <w:p w:rsidR="00943973" w:rsidRPr="00E539F1" w:rsidRDefault="00943973" w:rsidP="00943973">
            <w:pPr>
              <w:jc w:val="right"/>
              <w:rPr>
                <w:b/>
                <w:i/>
                <w:iCs/>
                <w:color w:val="000000"/>
                <w:sz w:val="18"/>
                <w:szCs w:val="18"/>
                <w:lang w:eastAsia="en-AU"/>
              </w:rPr>
            </w:pPr>
            <w:r w:rsidRPr="00E539F1">
              <w:rPr>
                <w:b/>
                <w:i/>
                <w:iCs/>
                <w:color w:val="000000"/>
                <w:sz w:val="18"/>
                <w:szCs w:val="18"/>
                <w:lang w:eastAsia="en-AU"/>
              </w:rPr>
              <w:t>417</w:t>
            </w:r>
          </w:p>
        </w:tc>
        <w:tc>
          <w:tcPr>
            <w:tcW w:w="992" w:type="dxa"/>
            <w:tcBorders>
              <w:top w:val="nil"/>
              <w:left w:val="nil"/>
              <w:bottom w:val="nil"/>
              <w:right w:val="nil"/>
            </w:tcBorders>
            <w:shd w:val="clear" w:color="auto" w:fill="auto"/>
            <w:hideMark/>
          </w:tcPr>
          <w:p w:rsidR="00943973" w:rsidRPr="00E539F1" w:rsidRDefault="00943973" w:rsidP="00943973">
            <w:pPr>
              <w:jc w:val="right"/>
              <w:rPr>
                <w:b/>
                <w:i/>
                <w:iCs/>
                <w:color w:val="000000"/>
                <w:sz w:val="18"/>
                <w:szCs w:val="18"/>
                <w:lang w:eastAsia="en-AU"/>
              </w:rPr>
            </w:pPr>
            <w:r w:rsidRPr="00E539F1">
              <w:rPr>
                <w:b/>
                <w:i/>
                <w:iCs/>
                <w:color w:val="000000"/>
                <w:sz w:val="18"/>
                <w:szCs w:val="18"/>
                <w:lang w:eastAsia="en-AU"/>
              </w:rPr>
              <w:t>347</w:t>
            </w:r>
          </w:p>
        </w:tc>
      </w:tr>
      <w:tr w:rsidR="00943973" w:rsidRPr="00943973" w:rsidTr="00E539F1">
        <w:trPr>
          <w:trHeight w:val="198"/>
        </w:trPr>
        <w:tc>
          <w:tcPr>
            <w:tcW w:w="959" w:type="dxa"/>
            <w:tcBorders>
              <w:top w:val="single" w:sz="4" w:space="0" w:color="auto"/>
              <w:left w:val="nil"/>
              <w:bottom w:val="single" w:sz="4" w:space="0" w:color="auto"/>
              <w:right w:val="nil"/>
            </w:tcBorders>
            <w:shd w:val="clear" w:color="auto" w:fill="auto"/>
            <w:hideMark/>
          </w:tcPr>
          <w:p w:rsidR="00943973" w:rsidRPr="00E539F1" w:rsidRDefault="00943973" w:rsidP="007D4339">
            <w:pPr>
              <w:jc w:val="right"/>
              <w:rPr>
                <w:b/>
                <w:bCs/>
                <w:color w:val="000000"/>
                <w:sz w:val="18"/>
                <w:szCs w:val="18"/>
                <w:lang w:eastAsia="en-AU"/>
              </w:rPr>
            </w:pPr>
            <w:r w:rsidRPr="00E539F1">
              <w:rPr>
                <w:b/>
                <w:bCs/>
                <w:color w:val="000000"/>
                <w:sz w:val="18"/>
                <w:szCs w:val="18"/>
                <w:lang w:eastAsia="en-AU"/>
              </w:rPr>
              <w:t>1,610</w:t>
            </w:r>
          </w:p>
        </w:tc>
        <w:tc>
          <w:tcPr>
            <w:tcW w:w="2977" w:type="dxa"/>
            <w:tcBorders>
              <w:top w:val="single" w:sz="4" w:space="0" w:color="auto"/>
              <w:left w:val="nil"/>
              <w:bottom w:val="single" w:sz="4" w:space="0" w:color="auto"/>
              <w:right w:val="nil"/>
            </w:tcBorders>
            <w:shd w:val="clear" w:color="auto" w:fill="auto"/>
            <w:hideMark/>
          </w:tcPr>
          <w:p w:rsidR="00943973" w:rsidRPr="00E539F1" w:rsidRDefault="00943973" w:rsidP="00E539F1">
            <w:pPr>
              <w:pStyle w:val="TableTextLeftBold-BP3"/>
              <w:rPr>
                <w:sz w:val="18"/>
                <w:szCs w:val="18"/>
                <w:lang w:eastAsia="en-AU"/>
              </w:rPr>
            </w:pPr>
            <w:r w:rsidRPr="00E539F1">
              <w:rPr>
                <w:sz w:val="18"/>
                <w:szCs w:val="18"/>
                <w:lang w:eastAsia="en-AU"/>
              </w:rPr>
              <w:t>Total Environmental Services</w:t>
            </w:r>
          </w:p>
        </w:tc>
        <w:tc>
          <w:tcPr>
            <w:tcW w:w="1275" w:type="dxa"/>
            <w:tcBorders>
              <w:top w:val="single" w:sz="4" w:space="0" w:color="auto"/>
              <w:left w:val="nil"/>
              <w:bottom w:val="single" w:sz="4" w:space="0" w:color="auto"/>
              <w:right w:val="nil"/>
            </w:tcBorders>
            <w:shd w:val="clear" w:color="auto" w:fill="auto"/>
            <w:hideMark/>
          </w:tcPr>
          <w:p w:rsidR="00943973" w:rsidRPr="00E539F1" w:rsidRDefault="00943973" w:rsidP="007D4339">
            <w:pPr>
              <w:jc w:val="right"/>
              <w:rPr>
                <w:b/>
                <w:bCs/>
                <w:color w:val="000000"/>
                <w:sz w:val="18"/>
                <w:szCs w:val="18"/>
                <w:lang w:eastAsia="en-AU"/>
              </w:rPr>
            </w:pPr>
            <w:r w:rsidRPr="00E539F1">
              <w:rPr>
                <w:b/>
                <w:bCs/>
                <w:color w:val="000000"/>
                <w:sz w:val="18"/>
                <w:szCs w:val="18"/>
                <w:lang w:eastAsia="en-AU"/>
              </w:rPr>
              <w:t>2,350</w:t>
            </w:r>
          </w:p>
        </w:tc>
        <w:tc>
          <w:tcPr>
            <w:tcW w:w="1134" w:type="dxa"/>
            <w:tcBorders>
              <w:top w:val="single" w:sz="4" w:space="0" w:color="auto"/>
              <w:left w:val="nil"/>
              <w:bottom w:val="single" w:sz="4" w:space="0" w:color="auto"/>
              <w:right w:val="nil"/>
            </w:tcBorders>
            <w:shd w:val="clear" w:color="auto" w:fill="auto"/>
            <w:hideMark/>
          </w:tcPr>
          <w:p w:rsidR="00943973" w:rsidRPr="00E539F1" w:rsidRDefault="00943973" w:rsidP="007D4339">
            <w:pPr>
              <w:jc w:val="right"/>
              <w:rPr>
                <w:b/>
                <w:bCs/>
                <w:color w:val="000000"/>
                <w:sz w:val="18"/>
                <w:szCs w:val="18"/>
                <w:lang w:eastAsia="en-AU"/>
              </w:rPr>
            </w:pPr>
            <w:r w:rsidRPr="00E539F1">
              <w:rPr>
                <w:b/>
                <w:bCs/>
                <w:color w:val="000000"/>
                <w:sz w:val="18"/>
                <w:szCs w:val="18"/>
                <w:lang w:eastAsia="en-AU"/>
              </w:rPr>
              <w:t>623</w:t>
            </w:r>
          </w:p>
        </w:tc>
        <w:tc>
          <w:tcPr>
            <w:tcW w:w="993" w:type="dxa"/>
            <w:tcBorders>
              <w:top w:val="single" w:sz="4" w:space="0" w:color="auto"/>
              <w:left w:val="nil"/>
              <w:bottom w:val="single" w:sz="4" w:space="0" w:color="auto"/>
              <w:right w:val="nil"/>
            </w:tcBorders>
            <w:shd w:val="clear" w:color="auto" w:fill="auto"/>
            <w:hideMark/>
          </w:tcPr>
          <w:p w:rsidR="00943973" w:rsidRPr="00E539F1" w:rsidRDefault="00943973" w:rsidP="007D4339">
            <w:pPr>
              <w:jc w:val="right"/>
              <w:rPr>
                <w:b/>
                <w:bCs/>
                <w:color w:val="000000"/>
                <w:sz w:val="18"/>
                <w:szCs w:val="18"/>
                <w:lang w:eastAsia="en-AU"/>
              </w:rPr>
            </w:pPr>
            <w:r w:rsidRPr="00E539F1">
              <w:rPr>
                <w:b/>
                <w:bCs/>
                <w:color w:val="000000"/>
                <w:sz w:val="18"/>
                <w:szCs w:val="18"/>
                <w:lang w:eastAsia="en-AU"/>
              </w:rPr>
              <w:t>964</w:t>
            </w:r>
          </w:p>
        </w:tc>
        <w:tc>
          <w:tcPr>
            <w:tcW w:w="992" w:type="dxa"/>
            <w:tcBorders>
              <w:top w:val="single" w:sz="4" w:space="0" w:color="auto"/>
              <w:left w:val="nil"/>
              <w:bottom w:val="single" w:sz="4" w:space="0" w:color="auto"/>
              <w:right w:val="nil"/>
            </w:tcBorders>
            <w:shd w:val="clear" w:color="auto" w:fill="auto"/>
            <w:hideMark/>
          </w:tcPr>
          <w:p w:rsidR="00943973" w:rsidRPr="00E539F1" w:rsidRDefault="00943973" w:rsidP="007D4339">
            <w:pPr>
              <w:jc w:val="right"/>
              <w:rPr>
                <w:b/>
                <w:bCs/>
                <w:color w:val="000000"/>
                <w:sz w:val="18"/>
                <w:szCs w:val="18"/>
                <w:lang w:eastAsia="en-AU"/>
              </w:rPr>
            </w:pPr>
            <w:r w:rsidRPr="00E539F1">
              <w:rPr>
                <w:b/>
                <w:bCs/>
                <w:color w:val="000000"/>
                <w:sz w:val="18"/>
                <w:szCs w:val="18"/>
                <w:lang w:eastAsia="en-AU"/>
              </w:rPr>
              <w:t>417</w:t>
            </w:r>
          </w:p>
        </w:tc>
        <w:tc>
          <w:tcPr>
            <w:tcW w:w="992" w:type="dxa"/>
            <w:tcBorders>
              <w:top w:val="single" w:sz="4" w:space="0" w:color="auto"/>
              <w:left w:val="nil"/>
              <w:bottom w:val="single" w:sz="4" w:space="0" w:color="auto"/>
              <w:right w:val="nil"/>
            </w:tcBorders>
            <w:shd w:val="clear" w:color="auto" w:fill="auto"/>
            <w:hideMark/>
          </w:tcPr>
          <w:p w:rsidR="00943973" w:rsidRPr="00E539F1" w:rsidRDefault="00943973" w:rsidP="007D4339">
            <w:pPr>
              <w:jc w:val="right"/>
              <w:rPr>
                <w:b/>
                <w:bCs/>
                <w:color w:val="000000"/>
                <w:sz w:val="18"/>
                <w:szCs w:val="18"/>
                <w:lang w:eastAsia="en-AU"/>
              </w:rPr>
            </w:pPr>
            <w:r w:rsidRPr="00E539F1">
              <w:rPr>
                <w:b/>
                <w:bCs/>
                <w:color w:val="000000"/>
                <w:sz w:val="18"/>
                <w:szCs w:val="18"/>
                <w:lang w:eastAsia="en-AU"/>
              </w:rPr>
              <w:t>347</w:t>
            </w:r>
          </w:p>
        </w:tc>
      </w:tr>
      <w:tr w:rsidR="00943973" w:rsidRPr="00943973" w:rsidTr="00E539F1">
        <w:trPr>
          <w:trHeight w:val="177"/>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2977" w:type="dxa"/>
            <w:tcBorders>
              <w:top w:val="nil"/>
              <w:left w:val="nil"/>
              <w:bottom w:val="nil"/>
              <w:right w:val="nil"/>
            </w:tcBorders>
            <w:shd w:val="clear" w:color="auto" w:fill="auto"/>
            <w:noWrap/>
            <w:vAlign w:val="bottom"/>
            <w:hideMark/>
          </w:tcPr>
          <w:p w:rsidR="00943973" w:rsidRPr="00E539F1" w:rsidRDefault="00943973" w:rsidP="00E539F1">
            <w:pPr>
              <w:pStyle w:val="TableTextLeftBold-BP3"/>
              <w:rPr>
                <w:b w:val="0"/>
                <w:sz w:val="18"/>
                <w:szCs w:val="18"/>
                <w:lang w:eastAsia="en-AU"/>
              </w:rPr>
            </w:pP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r>
      <w:tr w:rsidR="00943973" w:rsidRPr="00943973" w:rsidTr="00E539F1">
        <w:trPr>
          <w:trHeight w:val="146"/>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2977" w:type="dxa"/>
            <w:tcBorders>
              <w:top w:val="nil"/>
              <w:left w:val="nil"/>
              <w:bottom w:val="nil"/>
              <w:right w:val="nil"/>
            </w:tcBorders>
            <w:shd w:val="clear" w:color="auto" w:fill="auto"/>
            <w:noWrap/>
            <w:hideMark/>
          </w:tcPr>
          <w:p w:rsidR="00943973" w:rsidRPr="00E539F1" w:rsidRDefault="00943973" w:rsidP="00E539F1">
            <w:pPr>
              <w:pStyle w:val="TableTextLeftBold-BP3"/>
              <w:rPr>
                <w:sz w:val="18"/>
                <w:szCs w:val="18"/>
                <w:lang w:eastAsia="en-AU"/>
              </w:rPr>
            </w:pPr>
            <w:r w:rsidRPr="00E539F1">
              <w:rPr>
                <w:sz w:val="18"/>
                <w:szCs w:val="18"/>
                <w:lang w:eastAsia="en-AU"/>
              </w:rPr>
              <w:t>Other Services</w:t>
            </w:r>
          </w:p>
        </w:tc>
        <w:tc>
          <w:tcPr>
            <w:tcW w:w="1275"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p>
        </w:tc>
      </w:tr>
      <w:tr w:rsidR="00E539F1" w:rsidRPr="00943973" w:rsidTr="00E539F1">
        <w:trPr>
          <w:trHeight w:val="137"/>
        </w:trPr>
        <w:tc>
          <w:tcPr>
            <w:tcW w:w="959" w:type="dxa"/>
            <w:tcBorders>
              <w:top w:val="nil"/>
              <w:left w:val="nil"/>
              <w:bottom w:val="nil"/>
              <w:right w:val="nil"/>
            </w:tcBorders>
            <w:shd w:val="clear" w:color="auto" w:fill="auto"/>
            <w:hideMark/>
          </w:tcPr>
          <w:p w:rsidR="00E539F1" w:rsidRPr="00943973" w:rsidRDefault="00E539F1" w:rsidP="00943973">
            <w:pPr>
              <w:jc w:val="right"/>
              <w:rPr>
                <w:color w:val="000000"/>
                <w:sz w:val="18"/>
                <w:szCs w:val="18"/>
                <w:lang w:eastAsia="en-AU"/>
              </w:rPr>
            </w:pPr>
          </w:p>
        </w:tc>
        <w:tc>
          <w:tcPr>
            <w:tcW w:w="2977" w:type="dxa"/>
            <w:tcBorders>
              <w:top w:val="nil"/>
              <w:left w:val="nil"/>
              <w:bottom w:val="nil"/>
              <w:right w:val="nil"/>
            </w:tcBorders>
            <w:shd w:val="clear" w:color="auto" w:fill="auto"/>
            <w:noWrap/>
            <w:hideMark/>
          </w:tcPr>
          <w:p w:rsidR="00E539F1" w:rsidRPr="00E539F1" w:rsidRDefault="00E539F1" w:rsidP="00E539F1">
            <w:pPr>
              <w:pStyle w:val="TableTextLeftBold-BP3"/>
              <w:rPr>
                <w:i/>
                <w:sz w:val="18"/>
                <w:szCs w:val="18"/>
                <w:lang w:eastAsia="en-AU"/>
              </w:rPr>
            </w:pPr>
          </w:p>
        </w:tc>
        <w:tc>
          <w:tcPr>
            <w:tcW w:w="1275" w:type="dxa"/>
            <w:tcBorders>
              <w:top w:val="nil"/>
              <w:left w:val="nil"/>
              <w:bottom w:val="nil"/>
              <w:right w:val="nil"/>
            </w:tcBorders>
            <w:shd w:val="clear" w:color="auto" w:fill="auto"/>
            <w:hideMark/>
          </w:tcPr>
          <w:p w:rsidR="00E539F1" w:rsidRPr="00943973" w:rsidRDefault="00E539F1" w:rsidP="007D4339">
            <w:pPr>
              <w:jc w:val="right"/>
              <w:rPr>
                <w:color w:val="000000"/>
                <w:sz w:val="18"/>
                <w:szCs w:val="18"/>
                <w:lang w:eastAsia="en-AU"/>
              </w:rPr>
            </w:pPr>
          </w:p>
        </w:tc>
        <w:tc>
          <w:tcPr>
            <w:tcW w:w="1134" w:type="dxa"/>
            <w:tcBorders>
              <w:top w:val="nil"/>
              <w:left w:val="nil"/>
              <w:bottom w:val="nil"/>
              <w:right w:val="nil"/>
            </w:tcBorders>
            <w:shd w:val="clear" w:color="auto" w:fill="auto"/>
            <w:hideMark/>
          </w:tcPr>
          <w:p w:rsidR="00E539F1" w:rsidRPr="00943973" w:rsidRDefault="00E539F1" w:rsidP="007D4339">
            <w:pPr>
              <w:jc w:val="right"/>
              <w:rPr>
                <w:color w:val="000000"/>
                <w:sz w:val="18"/>
                <w:szCs w:val="18"/>
                <w:lang w:eastAsia="en-AU"/>
              </w:rPr>
            </w:pPr>
          </w:p>
        </w:tc>
        <w:tc>
          <w:tcPr>
            <w:tcW w:w="993" w:type="dxa"/>
            <w:tcBorders>
              <w:top w:val="nil"/>
              <w:left w:val="nil"/>
              <w:bottom w:val="nil"/>
              <w:right w:val="nil"/>
            </w:tcBorders>
            <w:shd w:val="clear" w:color="auto" w:fill="auto"/>
            <w:hideMark/>
          </w:tcPr>
          <w:p w:rsidR="00E539F1" w:rsidRPr="00943973" w:rsidRDefault="00E539F1" w:rsidP="007D4339">
            <w:pPr>
              <w:jc w:val="right"/>
              <w:rPr>
                <w:color w:val="000000"/>
                <w:sz w:val="18"/>
                <w:szCs w:val="18"/>
                <w:lang w:eastAsia="en-AU"/>
              </w:rPr>
            </w:pPr>
          </w:p>
        </w:tc>
        <w:tc>
          <w:tcPr>
            <w:tcW w:w="992" w:type="dxa"/>
            <w:tcBorders>
              <w:top w:val="nil"/>
              <w:left w:val="nil"/>
              <w:bottom w:val="nil"/>
              <w:right w:val="nil"/>
            </w:tcBorders>
            <w:shd w:val="clear" w:color="auto" w:fill="auto"/>
            <w:hideMark/>
          </w:tcPr>
          <w:p w:rsidR="00E539F1" w:rsidRPr="00943973" w:rsidRDefault="00E539F1" w:rsidP="007D4339">
            <w:pPr>
              <w:jc w:val="right"/>
              <w:rPr>
                <w:color w:val="000000"/>
                <w:sz w:val="18"/>
                <w:szCs w:val="18"/>
                <w:lang w:eastAsia="en-AU"/>
              </w:rPr>
            </w:pPr>
          </w:p>
        </w:tc>
        <w:tc>
          <w:tcPr>
            <w:tcW w:w="992" w:type="dxa"/>
            <w:tcBorders>
              <w:top w:val="nil"/>
              <w:left w:val="nil"/>
              <w:bottom w:val="nil"/>
              <w:right w:val="nil"/>
            </w:tcBorders>
            <w:shd w:val="clear" w:color="auto" w:fill="auto"/>
            <w:hideMark/>
          </w:tcPr>
          <w:p w:rsidR="00E539F1" w:rsidRPr="00943973" w:rsidRDefault="00E539F1" w:rsidP="007D4339">
            <w:pPr>
              <w:jc w:val="right"/>
              <w:rPr>
                <w:color w:val="000000"/>
                <w:sz w:val="18"/>
                <w:szCs w:val="18"/>
                <w:lang w:eastAsia="en-AU"/>
              </w:rPr>
            </w:pPr>
          </w:p>
        </w:tc>
      </w:tr>
      <w:tr w:rsidR="00943973" w:rsidRPr="00943973" w:rsidTr="00E539F1">
        <w:trPr>
          <w:trHeight w:val="137"/>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p>
        </w:tc>
        <w:tc>
          <w:tcPr>
            <w:tcW w:w="2977" w:type="dxa"/>
            <w:tcBorders>
              <w:top w:val="nil"/>
              <w:left w:val="nil"/>
              <w:bottom w:val="nil"/>
              <w:right w:val="nil"/>
            </w:tcBorders>
            <w:shd w:val="clear" w:color="auto" w:fill="auto"/>
            <w:noWrap/>
            <w:hideMark/>
          </w:tcPr>
          <w:p w:rsidR="00943973" w:rsidRPr="00E539F1" w:rsidRDefault="00943973" w:rsidP="00E539F1">
            <w:pPr>
              <w:pStyle w:val="TableTextLeftBold-BP3"/>
              <w:rPr>
                <w:i/>
                <w:sz w:val="18"/>
                <w:szCs w:val="18"/>
                <w:lang w:eastAsia="en-AU"/>
              </w:rPr>
            </w:pPr>
            <w:r w:rsidRPr="00E539F1">
              <w:rPr>
                <w:i/>
                <w:sz w:val="18"/>
                <w:szCs w:val="18"/>
                <w:lang w:eastAsia="en-AU"/>
              </w:rPr>
              <w:t>Other Services NPP's</w:t>
            </w:r>
          </w:p>
        </w:tc>
        <w:tc>
          <w:tcPr>
            <w:tcW w:w="1275"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p>
        </w:tc>
        <w:tc>
          <w:tcPr>
            <w:tcW w:w="1134"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p>
        </w:tc>
        <w:tc>
          <w:tcPr>
            <w:tcW w:w="993"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p>
        </w:tc>
      </w:tr>
      <w:tr w:rsidR="00943973" w:rsidRPr="00943973" w:rsidTr="00E539F1">
        <w:trPr>
          <w:trHeight w:val="246"/>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4,420</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Legal Aid NPP</w:t>
            </w:r>
          </w:p>
        </w:tc>
        <w:tc>
          <w:tcPr>
            <w:tcW w:w="1275"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4,420</w:t>
            </w:r>
          </w:p>
        </w:tc>
        <w:tc>
          <w:tcPr>
            <w:tcW w:w="1134"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4,468</w:t>
            </w:r>
          </w:p>
        </w:tc>
        <w:tc>
          <w:tcPr>
            <w:tcW w:w="993"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4,558</w:t>
            </w: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4,641</w:t>
            </w: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4,724</w:t>
            </w:r>
          </w:p>
        </w:tc>
      </w:tr>
      <w:tr w:rsidR="00943973" w:rsidRPr="00943973" w:rsidTr="00E539F1">
        <w:trPr>
          <w:trHeight w:val="137"/>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4,026</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A Seamless National Economy NPP</w:t>
            </w:r>
          </w:p>
        </w:tc>
        <w:tc>
          <w:tcPr>
            <w:tcW w:w="1275"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1,610</w:t>
            </w:r>
          </w:p>
        </w:tc>
        <w:tc>
          <w:tcPr>
            <w:tcW w:w="1134"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2,416</w:t>
            </w:r>
          </w:p>
        </w:tc>
        <w:tc>
          <w:tcPr>
            <w:tcW w:w="993"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0</w:t>
            </w:r>
          </w:p>
        </w:tc>
      </w:tr>
      <w:tr w:rsidR="00943973" w:rsidRPr="00943973" w:rsidTr="00E539F1">
        <w:trPr>
          <w:trHeight w:val="69"/>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33</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Local Government Reform Fund NPP</w:t>
            </w:r>
          </w:p>
        </w:tc>
        <w:tc>
          <w:tcPr>
            <w:tcW w:w="1275"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p>
        </w:tc>
        <w:tc>
          <w:tcPr>
            <w:tcW w:w="1134" w:type="dxa"/>
            <w:tcBorders>
              <w:top w:val="nil"/>
              <w:left w:val="nil"/>
              <w:bottom w:val="nil"/>
              <w:right w:val="nil"/>
            </w:tcBorders>
            <w:shd w:val="clear" w:color="auto" w:fill="auto"/>
            <w:noWrap/>
            <w:hideMark/>
          </w:tcPr>
          <w:p w:rsidR="00943973" w:rsidRPr="00943973" w:rsidRDefault="00943973" w:rsidP="007D4339">
            <w:pPr>
              <w:jc w:val="right"/>
              <w:rPr>
                <w:color w:val="000000"/>
                <w:sz w:val="22"/>
                <w:szCs w:val="22"/>
                <w:lang w:eastAsia="en-AU"/>
              </w:rPr>
            </w:pPr>
          </w:p>
        </w:tc>
        <w:tc>
          <w:tcPr>
            <w:tcW w:w="993"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p>
        </w:tc>
      </w:tr>
      <w:tr w:rsidR="00943973" w:rsidRPr="00943973" w:rsidTr="00E539F1">
        <w:trPr>
          <w:trHeight w:val="357"/>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2,040</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Centenary of Canberra - Joint Nati</w:t>
            </w:r>
            <w:r w:rsidR="007D4339" w:rsidRPr="00E539F1">
              <w:rPr>
                <w:b w:val="0"/>
                <w:sz w:val="18"/>
                <w:szCs w:val="18"/>
                <w:lang w:eastAsia="en-AU"/>
              </w:rPr>
              <w:t xml:space="preserve">onal Program </w:t>
            </w:r>
            <w:r w:rsidRPr="00E539F1">
              <w:rPr>
                <w:b w:val="0"/>
                <w:sz w:val="18"/>
                <w:szCs w:val="18"/>
                <w:lang w:eastAsia="en-AU"/>
              </w:rPr>
              <w:t>NPP</w:t>
            </w:r>
          </w:p>
        </w:tc>
        <w:tc>
          <w:tcPr>
            <w:tcW w:w="1275"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2,040</w:t>
            </w:r>
          </w:p>
        </w:tc>
        <w:tc>
          <w:tcPr>
            <w:tcW w:w="1134"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991</w:t>
            </w:r>
          </w:p>
        </w:tc>
        <w:tc>
          <w:tcPr>
            <w:tcW w:w="993"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0</w:t>
            </w:r>
          </w:p>
        </w:tc>
      </w:tr>
      <w:tr w:rsidR="00943973" w:rsidRPr="00943973" w:rsidTr="000E110C">
        <w:trPr>
          <w:trHeight w:val="300"/>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250</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Sustainable Australia - Liveable Cities NPP</w:t>
            </w:r>
          </w:p>
        </w:tc>
        <w:tc>
          <w:tcPr>
            <w:tcW w:w="1275"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357</w:t>
            </w:r>
          </w:p>
        </w:tc>
        <w:tc>
          <w:tcPr>
            <w:tcW w:w="1134"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157</w:t>
            </w:r>
          </w:p>
        </w:tc>
        <w:tc>
          <w:tcPr>
            <w:tcW w:w="993"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0</w:t>
            </w:r>
          </w:p>
        </w:tc>
      </w:tr>
      <w:tr w:rsidR="00943973" w:rsidRPr="00943973" w:rsidTr="000E110C">
        <w:trPr>
          <w:trHeight w:val="330"/>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1,305</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Natural Disaster Resilience Program NPP</w:t>
            </w:r>
          </w:p>
        </w:tc>
        <w:tc>
          <w:tcPr>
            <w:tcW w:w="1275"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1,305</w:t>
            </w:r>
          </w:p>
        </w:tc>
        <w:tc>
          <w:tcPr>
            <w:tcW w:w="1134"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1,305</w:t>
            </w:r>
          </w:p>
        </w:tc>
        <w:tc>
          <w:tcPr>
            <w:tcW w:w="993"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1,305</w:t>
            </w: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1,305</w:t>
            </w: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1,305</w:t>
            </w:r>
          </w:p>
        </w:tc>
      </w:tr>
      <w:tr w:rsidR="00943973" w:rsidRPr="00943973" w:rsidTr="000E110C">
        <w:trPr>
          <w:trHeight w:val="480"/>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ACT Fire Fighting Assistance for RFS, SES and Emergency Management</w:t>
            </w:r>
          </w:p>
        </w:tc>
        <w:tc>
          <w:tcPr>
            <w:tcW w:w="1275"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4,000</w:t>
            </w:r>
          </w:p>
        </w:tc>
        <w:tc>
          <w:tcPr>
            <w:tcW w:w="1134"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4,000</w:t>
            </w:r>
          </w:p>
        </w:tc>
        <w:tc>
          <w:tcPr>
            <w:tcW w:w="993"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0</w:t>
            </w:r>
          </w:p>
        </w:tc>
      </w:tr>
      <w:tr w:rsidR="00943973" w:rsidRPr="00943973" w:rsidTr="000E110C">
        <w:trPr>
          <w:trHeight w:val="480"/>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0</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Provision of Fire Fighting Services to Commonwealth Buildings</w:t>
            </w:r>
          </w:p>
        </w:tc>
        <w:tc>
          <w:tcPr>
            <w:tcW w:w="1275"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4,612</w:t>
            </w:r>
          </w:p>
        </w:tc>
        <w:tc>
          <w:tcPr>
            <w:tcW w:w="1134"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4,774</w:t>
            </w:r>
          </w:p>
        </w:tc>
        <w:tc>
          <w:tcPr>
            <w:tcW w:w="993"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0</w:t>
            </w:r>
          </w:p>
        </w:tc>
        <w:tc>
          <w:tcPr>
            <w:tcW w:w="992" w:type="dxa"/>
            <w:tcBorders>
              <w:top w:val="nil"/>
              <w:left w:val="nil"/>
              <w:bottom w:val="nil"/>
              <w:right w:val="nil"/>
            </w:tcBorders>
            <w:shd w:val="clear" w:color="auto" w:fill="auto"/>
            <w:hideMark/>
          </w:tcPr>
          <w:p w:rsidR="00943973" w:rsidRPr="00943973" w:rsidRDefault="00943973" w:rsidP="007D4339">
            <w:pPr>
              <w:jc w:val="right"/>
              <w:rPr>
                <w:color w:val="000000"/>
                <w:sz w:val="18"/>
                <w:szCs w:val="18"/>
                <w:lang w:eastAsia="en-AU"/>
              </w:rPr>
            </w:pPr>
            <w:r w:rsidRPr="00943973">
              <w:rPr>
                <w:color w:val="000000"/>
                <w:sz w:val="18"/>
                <w:szCs w:val="18"/>
                <w:lang w:eastAsia="en-AU"/>
              </w:rPr>
              <w:t>0</w:t>
            </w:r>
          </w:p>
        </w:tc>
      </w:tr>
      <w:tr w:rsidR="00943973" w:rsidRPr="00943973" w:rsidTr="00E539F1">
        <w:trPr>
          <w:trHeight w:val="205"/>
        </w:trPr>
        <w:tc>
          <w:tcPr>
            <w:tcW w:w="959" w:type="dxa"/>
            <w:tcBorders>
              <w:top w:val="nil"/>
              <w:left w:val="nil"/>
              <w:bottom w:val="nil"/>
              <w:right w:val="nil"/>
            </w:tcBorders>
            <w:shd w:val="clear" w:color="auto" w:fill="auto"/>
            <w:hideMark/>
          </w:tcPr>
          <w:p w:rsidR="00943973" w:rsidRPr="00E539F1" w:rsidRDefault="00943973" w:rsidP="00943973">
            <w:pPr>
              <w:jc w:val="right"/>
              <w:rPr>
                <w:b/>
                <w:i/>
                <w:iCs/>
                <w:color w:val="000000"/>
                <w:sz w:val="18"/>
                <w:szCs w:val="18"/>
                <w:lang w:eastAsia="en-AU"/>
              </w:rPr>
            </w:pPr>
            <w:r w:rsidRPr="00E539F1">
              <w:rPr>
                <w:b/>
                <w:i/>
                <w:iCs/>
                <w:color w:val="000000"/>
                <w:sz w:val="18"/>
                <w:szCs w:val="18"/>
                <w:lang w:eastAsia="en-AU"/>
              </w:rPr>
              <w:t>12,074</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i/>
                <w:sz w:val="18"/>
                <w:szCs w:val="18"/>
                <w:lang w:eastAsia="en-AU"/>
              </w:rPr>
            </w:pPr>
            <w:r w:rsidRPr="00E539F1">
              <w:rPr>
                <w:i/>
                <w:sz w:val="18"/>
                <w:szCs w:val="18"/>
                <w:lang w:eastAsia="en-AU"/>
              </w:rPr>
              <w:t>Total Other Services NPPs</w:t>
            </w:r>
          </w:p>
        </w:tc>
        <w:tc>
          <w:tcPr>
            <w:tcW w:w="1275" w:type="dxa"/>
            <w:tcBorders>
              <w:top w:val="nil"/>
              <w:left w:val="nil"/>
              <w:bottom w:val="nil"/>
              <w:right w:val="nil"/>
            </w:tcBorders>
            <w:shd w:val="clear" w:color="auto" w:fill="auto"/>
            <w:hideMark/>
          </w:tcPr>
          <w:p w:rsidR="00943973" w:rsidRPr="00E539F1" w:rsidRDefault="00943973" w:rsidP="007D4339">
            <w:pPr>
              <w:jc w:val="right"/>
              <w:rPr>
                <w:b/>
                <w:i/>
                <w:iCs/>
                <w:color w:val="000000"/>
                <w:sz w:val="18"/>
                <w:szCs w:val="18"/>
                <w:lang w:eastAsia="en-AU"/>
              </w:rPr>
            </w:pPr>
            <w:r w:rsidRPr="00E539F1">
              <w:rPr>
                <w:b/>
                <w:i/>
                <w:iCs/>
                <w:color w:val="000000"/>
                <w:sz w:val="18"/>
                <w:szCs w:val="18"/>
                <w:lang w:eastAsia="en-AU"/>
              </w:rPr>
              <w:t>18,344</w:t>
            </w:r>
          </w:p>
        </w:tc>
        <w:tc>
          <w:tcPr>
            <w:tcW w:w="1134" w:type="dxa"/>
            <w:tcBorders>
              <w:top w:val="nil"/>
              <w:left w:val="nil"/>
              <w:bottom w:val="nil"/>
              <w:right w:val="nil"/>
            </w:tcBorders>
            <w:shd w:val="clear" w:color="auto" w:fill="auto"/>
            <w:hideMark/>
          </w:tcPr>
          <w:p w:rsidR="00943973" w:rsidRPr="00E539F1" w:rsidRDefault="00943973" w:rsidP="007D4339">
            <w:pPr>
              <w:jc w:val="right"/>
              <w:rPr>
                <w:b/>
                <w:i/>
                <w:iCs/>
                <w:color w:val="000000"/>
                <w:sz w:val="18"/>
                <w:szCs w:val="18"/>
                <w:lang w:eastAsia="en-AU"/>
              </w:rPr>
            </w:pPr>
            <w:r w:rsidRPr="00E539F1">
              <w:rPr>
                <w:b/>
                <w:i/>
                <w:iCs/>
                <w:color w:val="000000"/>
                <w:sz w:val="18"/>
                <w:szCs w:val="18"/>
                <w:lang w:eastAsia="en-AU"/>
              </w:rPr>
              <w:t>18,111</w:t>
            </w:r>
          </w:p>
        </w:tc>
        <w:tc>
          <w:tcPr>
            <w:tcW w:w="993" w:type="dxa"/>
            <w:tcBorders>
              <w:top w:val="nil"/>
              <w:left w:val="nil"/>
              <w:bottom w:val="nil"/>
              <w:right w:val="nil"/>
            </w:tcBorders>
            <w:shd w:val="clear" w:color="auto" w:fill="auto"/>
            <w:hideMark/>
          </w:tcPr>
          <w:p w:rsidR="00943973" w:rsidRPr="00E539F1" w:rsidRDefault="00943973" w:rsidP="007D4339">
            <w:pPr>
              <w:jc w:val="right"/>
              <w:rPr>
                <w:b/>
                <w:i/>
                <w:iCs/>
                <w:color w:val="000000"/>
                <w:sz w:val="18"/>
                <w:szCs w:val="18"/>
                <w:lang w:eastAsia="en-AU"/>
              </w:rPr>
            </w:pPr>
            <w:r w:rsidRPr="00E539F1">
              <w:rPr>
                <w:b/>
                <w:i/>
                <w:iCs/>
                <w:color w:val="000000"/>
                <w:sz w:val="18"/>
                <w:szCs w:val="18"/>
                <w:lang w:eastAsia="en-AU"/>
              </w:rPr>
              <w:t>5,863</w:t>
            </w:r>
          </w:p>
        </w:tc>
        <w:tc>
          <w:tcPr>
            <w:tcW w:w="992" w:type="dxa"/>
            <w:tcBorders>
              <w:top w:val="nil"/>
              <w:left w:val="nil"/>
              <w:bottom w:val="nil"/>
              <w:right w:val="nil"/>
            </w:tcBorders>
            <w:shd w:val="clear" w:color="auto" w:fill="auto"/>
            <w:hideMark/>
          </w:tcPr>
          <w:p w:rsidR="00943973" w:rsidRPr="00E539F1" w:rsidRDefault="00943973" w:rsidP="007D4339">
            <w:pPr>
              <w:jc w:val="right"/>
              <w:rPr>
                <w:b/>
                <w:i/>
                <w:iCs/>
                <w:color w:val="000000"/>
                <w:sz w:val="18"/>
                <w:szCs w:val="18"/>
                <w:lang w:eastAsia="en-AU"/>
              </w:rPr>
            </w:pPr>
            <w:r w:rsidRPr="00E539F1">
              <w:rPr>
                <w:b/>
                <w:i/>
                <w:iCs/>
                <w:color w:val="000000"/>
                <w:sz w:val="18"/>
                <w:szCs w:val="18"/>
                <w:lang w:eastAsia="en-AU"/>
              </w:rPr>
              <w:t>5,946</w:t>
            </w:r>
          </w:p>
        </w:tc>
        <w:tc>
          <w:tcPr>
            <w:tcW w:w="992" w:type="dxa"/>
            <w:tcBorders>
              <w:top w:val="nil"/>
              <w:left w:val="nil"/>
              <w:bottom w:val="nil"/>
              <w:right w:val="nil"/>
            </w:tcBorders>
            <w:shd w:val="clear" w:color="auto" w:fill="auto"/>
            <w:hideMark/>
          </w:tcPr>
          <w:p w:rsidR="00943973" w:rsidRPr="00E539F1" w:rsidRDefault="00943973" w:rsidP="007D4339">
            <w:pPr>
              <w:jc w:val="right"/>
              <w:rPr>
                <w:b/>
                <w:i/>
                <w:iCs/>
                <w:color w:val="000000"/>
                <w:sz w:val="18"/>
                <w:szCs w:val="18"/>
                <w:lang w:eastAsia="en-AU"/>
              </w:rPr>
            </w:pPr>
            <w:r w:rsidRPr="00E539F1">
              <w:rPr>
                <w:b/>
                <w:i/>
                <w:iCs/>
                <w:color w:val="000000"/>
                <w:sz w:val="18"/>
                <w:szCs w:val="18"/>
                <w:lang w:eastAsia="en-AU"/>
              </w:rPr>
              <w:t>6,029</w:t>
            </w:r>
          </w:p>
        </w:tc>
      </w:tr>
      <w:tr w:rsidR="00943973" w:rsidRPr="00943973" w:rsidTr="000E110C">
        <w:trPr>
          <w:trHeight w:val="330"/>
        </w:trPr>
        <w:tc>
          <w:tcPr>
            <w:tcW w:w="959"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23,597</w:t>
            </w:r>
          </w:p>
        </w:tc>
        <w:tc>
          <w:tcPr>
            <w:tcW w:w="2977" w:type="dxa"/>
            <w:tcBorders>
              <w:top w:val="nil"/>
              <w:left w:val="nil"/>
              <w:bottom w:val="nil"/>
              <w:right w:val="nil"/>
            </w:tcBorders>
            <w:shd w:val="clear" w:color="auto" w:fill="auto"/>
            <w:hideMark/>
          </w:tcPr>
          <w:p w:rsidR="00943973" w:rsidRPr="00E539F1" w:rsidRDefault="00943973" w:rsidP="00E539F1">
            <w:pPr>
              <w:pStyle w:val="TableTextLeftBold-BP3"/>
              <w:rPr>
                <w:b w:val="0"/>
                <w:sz w:val="18"/>
                <w:szCs w:val="18"/>
                <w:lang w:eastAsia="en-AU"/>
              </w:rPr>
            </w:pPr>
            <w:r w:rsidRPr="00E539F1">
              <w:rPr>
                <w:b w:val="0"/>
                <w:sz w:val="18"/>
                <w:szCs w:val="18"/>
                <w:lang w:eastAsia="en-AU"/>
              </w:rPr>
              <w:t>Financial Assistance Grants - Local Government</w:t>
            </w:r>
          </w:p>
        </w:tc>
        <w:tc>
          <w:tcPr>
            <w:tcW w:w="1275"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46,940</w:t>
            </w:r>
          </w:p>
        </w:tc>
        <w:tc>
          <w:tcPr>
            <w:tcW w:w="1134"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24,225</w:t>
            </w:r>
          </w:p>
        </w:tc>
        <w:tc>
          <w:tcPr>
            <w:tcW w:w="993"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50,540</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52,829</w:t>
            </w:r>
          </w:p>
        </w:tc>
        <w:tc>
          <w:tcPr>
            <w:tcW w:w="992" w:type="dxa"/>
            <w:tcBorders>
              <w:top w:val="nil"/>
              <w:left w:val="nil"/>
              <w:bottom w:val="nil"/>
              <w:right w:val="nil"/>
            </w:tcBorders>
            <w:shd w:val="clear" w:color="auto" w:fill="auto"/>
            <w:hideMark/>
          </w:tcPr>
          <w:p w:rsidR="00943973" w:rsidRPr="00943973" w:rsidRDefault="00943973" w:rsidP="00943973">
            <w:pPr>
              <w:jc w:val="right"/>
              <w:rPr>
                <w:color w:val="000000"/>
                <w:sz w:val="18"/>
                <w:szCs w:val="18"/>
                <w:lang w:eastAsia="en-AU"/>
              </w:rPr>
            </w:pPr>
            <w:r w:rsidRPr="00943973">
              <w:rPr>
                <w:color w:val="000000"/>
                <w:sz w:val="18"/>
                <w:szCs w:val="18"/>
                <w:lang w:eastAsia="en-AU"/>
              </w:rPr>
              <w:t>55,170</w:t>
            </w:r>
          </w:p>
        </w:tc>
      </w:tr>
      <w:tr w:rsidR="00943973" w:rsidRPr="00943973" w:rsidTr="0060532E">
        <w:trPr>
          <w:trHeight w:val="105"/>
        </w:trPr>
        <w:tc>
          <w:tcPr>
            <w:tcW w:w="959" w:type="dxa"/>
            <w:tcBorders>
              <w:top w:val="single" w:sz="4" w:space="0" w:color="auto"/>
              <w:left w:val="nil"/>
              <w:bottom w:val="single" w:sz="8" w:space="0" w:color="auto"/>
              <w:right w:val="nil"/>
            </w:tcBorders>
            <w:shd w:val="clear" w:color="auto" w:fill="auto"/>
            <w:hideMark/>
          </w:tcPr>
          <w:p w:rsidR="00943973" w:rsidRPr="00E539F1" w:rsidRDefault="00943973" w:rsidP="007D4339">
            <w:pPr>
              <w:jc w:val="right"/>
              <w:rPr>
                <w:b/>
                <w:bCs/>
                <w:color w:val="000000"/>
                <w:sz w:val="18"/>
                <w:szCs w:val="18"/>
                <w:lang w:eastAsia="en-AU"/>
              </w:rPr>
            </w:pPr>
            <w:r w:rsidRPr="00E539F1">
              <w:rPr>
                <w:b/>
                <w:bCs/>
                <w:color w:val="000000"/>
                <w:sz w:val="18"/>
                <w:szCs w:val="18"/>
                <w:lang w:eastAsia="en-AU"/>
              </w:rPr>
              <w:t>35,671</w:t>
            </w:r>
          </w:p>
        </w:tc>
        <w:tc>
          <w:tcPr>
            <w:tcW w:w="2977" w:type="dxa"/>
            <w:tcBorders>
              <w:top w:val="single" w:sz="4" w:space="0" w:color="auto"/>
              <w:left w:val="nil"/>
              <w:bottom w:val="single" w:sz="8" w:space="0" w:color="auto"/>
              <w:right w:val="nil"/>
            </w:tcBorders>
            <w:shd w:val="clear" w:color="auto" w:fill="auto"/>
            <w:hideMark/>
          </w:tcPr>
          <w:p w:rsidR="00943973" w:rsidRPr="00E539F1" w:rsidRDefault="00943973" w:rsidP="00E539F1">
            <w:pPr>
              <w:pStyle w:val="TableTextLeftBold-BP3"/>
              <w:rPr>
                <w:sz w:val="18"/>
                <w:szCs w:val="18"/>
                <w:lang w:eastAsia="en-AU"/>
              </w:rPr>
            </w:pPr>
            <w:r w:rsidRPr="00E539F1">
              <w:rPr>
                <w:sz w:val="18"/>
                <w:szCs w:val="18"/>
                <w:lang w:eastAsia="en-AU"/>
              </w:rPr>
              <w:t>Total Other Services</w:t>
            </w:r>
          </w:p>
        </w:tc>
        <w:tc>
          <w:tcPr>
            <w:tcW w:w="1275" w:type="dxa"/>
            <w:tcBorders>
              <w:top w:val="single" w:sz="4" w:space="0" w:color="auto"/>
              <w:left w:val="nil"/>
              <w:bottom w:val="single" w:sz="8" w:space="0" w:color="auto"/>
              <w:right w:val="nil"/>
            </w:tcBorders>
            <w:shd w:val="clear" w:color="auto" w:fill="auto"/>
            <w:hideMark/>
          </w:tcPr>
          <w:p w:rsidR="00943973" w:rsidRPr="00E539F1" w:rsidRDefault="00943973" w:rsidP="007D4339">
            <w:pPr>
              <w:jc w:val="right"/>
              <w:rPr>
                <w:b/>
                <w:bCs/>
                <w:color w:val="000000"/>
                <w:sz w:val="18"/>
                <w:szCs w:val="18"/>
                <w:lang w:eastAsia="en-AU"/>
              </w:rPr>
            </w:pPr>
            <w:r w:rsidRPr="00E539F1">
              <w:rPr>
                <w:b/>
                <w:bCs/>
                <w:color w:val="000000"/>
                <w:sz w:val="18"/>
                <w:szCs w:val="18"/>
                <w:lang w:eastAsia="en-AU"/>
              </w:rPr>
              <w:t>65,284</w:t>
            </w:r>
          </w:p>
        </w:tc>
        <w:tc>
          <w:tcPr>
            <w:tcW w:w="1134" w:type="dxa"/>
            <w:tcBorders>
              <w:top w:val="single" w:sz="4" w:space="0" w:color="auto"/>
              <w:left w:val="nil"/>
              <w:bottom w:val="single" w:sz="8" w:space="0" w:color="auto"/>
              <w:right w:val="nil"/>
            </w:tcBorders>
            <w:shd w:val="clear" w:color="auto" w:fill="auto"/>
            <w:hideMark/>
          </w:tcPr>
          <w:p w:rsidR="00943973" w:rsidRPr="00E539F1" w:rsidRDefault="00943973" w:rsidP="007D4339">
            <w:pPr>
              <w:jc w:val="right"/>
              <w:rPr>
                <w:b/>
                <w:bCs/>
                <w:color w:val="000000"/>
                <w:sz w:val="18"/>
                <w:szCs w:val="18"/>
                <w:lang w:eastAsia="en-AU"/>
              </w:rPr>
            </w:pPr>
            <w:r w:rsidRPr="00E539F1">
              <w:rPr>
                <w:b/>
                <w:bCs/>
                <w:color w:val="000000"/>
                <w:sz w:val="18"/>
                <w:szCs w:val="18"/>
                <w:lang w:eastAsia="en-AU"/>
              </w:rPr>
              <w:t>42,336</w:t>
            </w:r>
          </w:p>
        </w:tc>
        <w:tc>
          <w:tcPr>
            <w:tcW w:w="993" w:type="dxa"/>
            <w:tcBorders>
              <w:top w:val="single" w:sz="4" w:space="0" w:color="auto"/>
              <w:left w:val="nil"/>
              <w:bottom w:val="single" w:sz="8" w:space="0" w:color="auto"/>
              <w:right w:val="nil"/>
            </w:tcBorders>
            <w:shd w:val="clear" w:color="auto" w:fill="auto"/>
            <w:hideMark/>
          </w:tcPr>
          <w:p w:rsidR="00943973" w:rsidRPr="00E539F1" w:rsidRDefault="00943973" w:rsidP="007D4339">
            <w:pPr>
              <w:jc w:val="right"/>
              <w:rPr>
                <w:b/>
                <w:bCs/>
                <w:color w:val="000000"/>
                <w:sz w:val="18"/>
                <w:szCs w:val="18"/>
                <w:lang w:eastAsia="en-AU"/>
              </w:rPr>
            </w:pPr>
            <w:r w:rsidRPr="00E539F1">
              <w:rPr>
                <w:b/>
                <w:bCs/>
                <w:color w:val="000000"/>
                <w:sz w:val="18"/>
                <w:szCs w:val="18"/>
                <w:lang w:eastAsia="en-AU"/>
              </w:rPr>
              <w:t>56,403</w:t>
            </w:r>
          </w:p>
        </w:tc>
        <w:tc>
          <w:tcPr>
            <w:tcW w:w="992" w:type="dxa"/>
            <w:tcBorders>
              <w:top w:val="single" w:sz="4" w:space="0" w:color="auto"/>
              <w:left w:val="nil"/>
              <w:bottom w:val="single" w:sz="8" w:space="0" w:color="auto"/>
              <w:right w:val="nil"/>
            </w:tcBorders>
            <w:shd w:val="clear" w:color="auto" w:fill="auto"/>
            <w:hideMark/>
          </w:tcPr>
          <w:p w:rsidR="00943973" w:rsidRPr="00E539F1" w:rsidRDefault="00943973" w:rsidP="007D4339">
            <w:pPr>
              <w:jc w:val="right"/>
              <w:rPr>
                <w:b/>
                <w:bCs/>
                <w:color w:val="000000"/>
                <w:sz w:val="18"/>
                <w:szCs w:val="18"/>
                <w:lang w:eastAsia="en-AU"/>
              </w:rPr>
            </w:pPr>
            <w:r w:rsidRPr="00E539F1">
              <w:rPr>
                <w:b/>
                <w:bCs/>
                <w:color w:val="000000"/>
                <w:sz w:val="18"/>
                <w:szCs w:val="18"/>
                <w:lang w:eastAsia="en-AU"/>
              </w:rPr>
              <w:t>58,775</w:t>
            </w:r>
          </w:p>
        </w:tc>
        <w:tc>
          <w:tcPr>
            <w:tcW w:w="992" w:type="dxa"/>
            <w:tcBorders>
              <w:top w:val="single" w:sz="4" w:space="0" w:color="auto"/>
              <w:left w:val="nil"/>
              <w:bottom w:val="single" w:sz="8" w:space="0" w:color="auto"/>
              <w:right w:val="nil"/>
            </w:tcBorders>
            <w:shd w:val="clear" w:color="auto" w:fill="auto"/>
            <w:hideMark/>
          </w:tcPr>
          <w:p w:rsidR="00943973" w:rsidRPr="00E539F1" w:rsidRDefault="00943973" w:rsidP="007D4339">
            <w:pPr>
              <w:jc w:val="right"/>
              <w:rPr>
                <w:b/>
                <w:bCs/>
                <w:color w:val="000000"/>
                <w:sz w:val="18"/>
                <w:szCs w:val="18"/>
                <w:lang w:eastAsia="en-AU"/>
              </w:rPr>
            </w:pPr>
            <w:r w:rsidRPr="00E539F1">
              <w:rPr>
                <w:b/>
                <w:bCs/>
                <w:color w:val="000000"/>
                <w:sz w:val="18"/>
                <w:szCs w:val="18"/>
                <w:lang w:eastAsia="en-AU"/>
              </w:rPr>
              <w:t>61,199</w:t>
            </w:r>
          </w:p>
        </w:tc>
      </w:tr>
      <w:tr w:rsidR="00943973" w:rsidRPr="00943973" w:rsidTr="0060532E">
        <w:trPr>
          <w:trHeight w:val="375"/>
        </w:trPr>
        <w:tc>
          <w:tcPr>
            <w:tcW w:w="959" w:type="dxa"/>
            <w:tcBorders>
              <w:top w:val="single" w:sz="8" w:space="0" w:color="auto"/>
              <w:bottom w:val="single" w:sz="8" w:space="0" w:color="auto"/>
              <w:right w:val="nil"/>
            </w:tcBorders>
            <w:shd w:val="clear" w:color="auto" w:fill="auto"/>
            <w:hideMark/>
          </w:tcPr>
          <w:p w:rsidR="00943973" w:rsidRPr="00943973" w:rsidRDefault="00943973" w:rsidP="007D4339">
            <w:pPr>
              <w:jc w:val="right"/>
              <w:rPr>
                <w:b/>
                <w:bCs/>
                <w:color w:val="000000"/>
                <w:sz w:val="18"/>
                <w:szCs w:val="18"/>
                <w:lang w:eastAsia="en-AU"/>
              </w:rPr>
            </w:pPr>
            <w:r w:rsidRPr="00943973">
              <w:rPr>
                <w:b/>
                <w:bCs/>
                <w:color w:val="000000"/>
                <w:sz w:val="18"/>
                <w:szCs w:val="18"/>
                <w:lang w:eastAsia="en-AU"/>
              </w:rPr>
              <w:t>1,568,718</w:t>
            </w:r>
          </w:p>
        </w:tc>
        <w:tc>
          <w:tcPr>
            <w:tcW w:w="2977" w:type="dxa"/>
            <w:tcBorders>
              <w:top w:val="single" w:sz="8" w:space="0" w:color="auto"/>
              <w:left w:val="nil"/>
              <w:bottom w:val="single" w:sz="8" w:space="0" w:color="auto"/>
              <w:right w:val="nil"/>
            </w:tcBorders>
            <w:shd w:val="clear" w:color="auto" w:fill="auto"/>
            <w:hideMark/>
          </w:tcPr>
          <w:p w:rsidR="00943973" w:rsidRPr="0060532E" w:rsidRDefault="00943973" w:rsidP="0060532E">
            <w:pPr>
              <w:pStyle w:val="TableTextLeftBold-BP3"/>
              <w:rPr>
                <w:sz w:val="18"/>
                <w:szCs w:val="18"/>
                <w:lang w:eastAsia="en-AU"/>
              </w:rPr>
            </w:pPr>
            <w:r w:rsidRPr="0060532E">
              <w:rPr>
                <w:sz w:val="18"/>
                <w:szCs w:val="18"/>
                <w:lang w:eastAsia="en-AU"/>
              </w:rPr>
              <w:t>Total Commonwealth Government Funding</w:t>
            </w:r>
          </w:p>
        </w:tc>
        <w:tc>
          <w:tcPr>
            <w:tcW w:w="1275" w:type="dxa"/>
            <w:tcBorders>
              <w:top w:val="single" w:sz="8" w:space="0" w:color="auto"/>
              <w:left w:val="nil"/>
              <w:bottom w:val="single" w:sz="8" w:space="0" w:color="auto"/>
              <w:right w:val="nil"/>
            </w:tcBorders>
            <w:shd w:val="clear" w:color="auto" w:fill="auto"/>
            <w:hideMark/>
          </w:tcPr>
          <w:p w:rsidR="00943973" w:rsidRPr="00943973" w:rsidRDefault="00943973" w:rsidP="007D4339">
            <w:pPr>
              <w:jc w:val="right"/>
              <w:rPr>
                <w:b/>
                <w:bCs/>
                <w:color w:val="000000"/>
                <w:sz w:val="18"/>
                <w:szCs w:val="18"/>
                <w:lang w:eastAsia="en-AU"/>
              </w:rPr>
            </w:pPr>
            <w:r w:rsidRPr="00943973">
              <w:rPr>
                <w:b/>
                <w:bCs/>
                <w:color w:val="000000"/>
                <w:sz w:val="18"/>
                <w:szCs w:val="18"/>
                <w:lang w:eastAsia="en-AU"/>
              </w:rPr>
              <w:t>1,667,294</w:t>
            </w:r>
          </w:p>
        </w:tc>
        <w:tc>
          <w:tcPr>
            <w:tcW w:w="1134" w:type="dxa"/>
            <w:tcBorders>
              <w:top w:val="single" w:sz="8" w:space="0" w:color="auto"/>
              <w:left w:val="nil"/>
              <w:bottom w:val="single" w:sz="8" w:space="0" w:color="auto"/>
              <w:right w:val="nil"/>
            </w:tcBorders>
            <w:shd w:val="clear" w:color="auto" w:fill="auto"/>
            <w:hideMark/>
          </w:tcPr>
          <w:p w:rsidR="00943973" w:rsidRPr="00943973" w:rsidRDefault="00943973" w:rsidP="007D4339">
            <w:pPr>
              <w:jc w:val="right"/>
              <w:rPr>
                <w:b/>
                <w:bCs/>
                <w:color w:val="000000"/>
                <w:sz w:val="18"/>
                <w:szCs w:val="18"/>
                <w:lang w:eastAsia="en-AU"/>
              </w:rPr>
            </w:pPr>
            <w:r w:rsidRPr="00943973">
              <w:rPr>
                <w:b/>
                <w:bCs/>
                <w:color w:val="000000"/>
                <w:sz w:val="18"/>
                <w:szCs w:val="18"/>
                <w:lang w:eastAsia="en-AU"/>
              </w:rPr>
              <w:t>1,793,539</w:t>
            </w:r>
          </w:p>
        </w:tc>
        <w:tc>
          <w:tcPr>
            <w:tcW w:w="993" w:type="dxa"/>
            <w:tcBorders>
              <w:top w:val="single" w:sz="8" w:space="0" w:color="auto"/>
              <w:left w:val="nil"/>
              <w:bottom w:val="single" w:sz="8" w:space="0" w:color="auto"/>
              <w:right w:val="nil"/>
            </w:tcBorders>
            <w:shd w:val="clear" w:color="auto" w:fill="auto"/>
            <w:hideMark/>
          </w:tcPr>
          <w:p w:rsidR="00943973" w:rsidRPr="00943973" w:rsidRDefault="00943973" w:rsidP="007D4339">
            <w:pPr>
              <w:jc w:val="right"/>
              <w:rPr>
                <w:b/>
                <w:bCs/>
                <w:color w:val="000000"/>
                <w:sz w:val="18"/>
                <w:szCs w:val="18"/>
                <w:lang w:eastAsia="en-AU"/>
              </w:rPr>
            </w:pPr>
            <w:r w:rsidRPr="00943973">
              <w:rPr>
                <w:b/>
                <w:bCs/>
                <w:color w:val="000000"/>
                <w:sz w:val="18"/>
                <w:szCs w:val="18"/>
                <w:lang w:eastAsia="en-AU"/>
              </w:rPr>
              <w:t>1,931,427</w:t>
            </w:r>
          </w:p>
        </w:tc>
        <w:tc>
          <w:tcPr>
            <w:tcW w:w="992" w:type="dxa"/>
            <w:tcBorders>
              <w:top w:val="single" w:sz="8" w:space="0" w:color="auto"/>
              <w:left w:val="nil"/>
              <w:bottom w:val="single" w:sz="8" w:space="0" w:color="auto"/>
              <w:right w:val="nil"/>
            </w:tcBorders>
            <w:shd w:val="clear" w:color="auto" w:fill="auto"/>
            <w:hideMark/>
          </w:tcPr>
          <w:p w:rsidR="00943973" w:rsidRPr="00943973" w:rsidRDefault="00943973" w:rsidP="007D4339">
            <w:pPr>
              <w:jc w:val="right"/>
              <w:rPr>
                <w:b/>
                <w:bCs/>
                <w:color w:val="000000"/>
                <w:sz w:val="18"/>
                <w:szCs w:val="18"/>
                <w:lang w:eastAsia="en-AU"/>
              </w:rPr>
            </w:pPr>
            <w:r w:rsidRPr="00943973">
              <w:rPr>
                <w:b/>
                <w:bCs/>
                <w:color w:val="000000"/>
                <w:sz w:val="18"/>
                <w:szCs w:val="18"/>
                <w:lang w:eastAsia="en-AU"/>
              </w:rPr>
              <w:t>1,990,390</w:t>
            </w:r>
          </w:p>
        </w:tc>
        <w:tc>
          <w:tcPr>
            <w:tcW w:w="992" w:type="dxa"/>
            <w:tcBorders>
              <w:top w:val="single" w:sz="8" w:space="0" w:color="auto"/>
              <w:left w:val="nil"/>
              <w:bottom w:val="single" w:sz="8" w:space="0" w:color="auto"/>
            </w:tcBorders>
            <w:shd w:val="clear" w:color="auto" w:fill="auto"/>
            <w:hideMark/>
          </w:tcPr>
          <w:p w:rsidR="00943973" w:rsidRPr="00943973" w:rsidRDefault="00943973" w:rsidP="007D4339">
            <w:pPr>
              <w:jc w:val="right"/>
              <w:rPr>
                <w:b/>
                <w:bCs/>
                <w:color w:val="000000"/>
                <w:sz w:val="18"/>
                <w:szCs w:val="18"/>
                <w:lang w:eastAsia="en-AU"/>
              </w:rPr>
            </w:pPr>
            <w:r w:rsidRPr="00943973">
              <w:rPr>
                <w:b/>
                <w:bCs/>
                <w:color w:val="000000"/>
                <w:sz w:val="18"/>
                <w:szCs w:val="18"/>
                <w:lang w:eastAsia="en-AU"/>
              </w:rPr>
              <w:t>2,110,687</w:t>
            </w:r>
          </w:p>
        </w:tc>
      </w:tr>
    </w:tbl>
    <w:p w:rsidR="00A34284" w:rsidRDefault="00A34284" w:rsidP="008C5DA7">
      <w:pPr>
        <w:pStyle w:val="NoteHeading"/>
      </w:pPr>
      <w:r w:rsidRPr="0001117A">
        <w:t>Notes:</w:t>
      </w:r>
    </w:p>
    <w:p w:rsidR="00EC1212" w:rsidRDefault="00EC1212" w:rsidP="00EC1212">
      <w:pPr>
        <w:pStyle w:val="NoteText"/>
        <w:numPr>
          <w:ilvl w:val="0"/>
          <w:numId w:val="32"/>
        </w:numPr>
      </w:pPr>
      <w:r>
        <w:t>Funding Categories reflect ACT Government Directorate responsibilities.</w:t>
      </w:r>
    </w:p>
    <w:p w:rsidR="00EC1212" w:rsidRDefault="00EC1212" w:rsidP="00EC1212">
      <w:pPr>
        <w:pStyle w:val="NoteText"/>
        <w:numPr>
          <w:ilvl w:val="0"/>
          <w:numId w:val="32"/>
        </w:numPr>
      </w:pPr>
      <w:r>
        <w:t>Includes Commonwealth payments under the Health Reform arrangements for cross-border services provided to residents of other States and Territories – Commonwealth estimates of $46.3m in 2012-13 and $46.5m in 2013-14; ACT estimates of $47.9m in 2014-15, $49.4m in 2015-16 and $50.8m in 2016-17</w:t>
      </w:r>
    </w:p>
    <w:p w:rsidR="00EC1212" w:rsidRDefault="00EC1212" w:rsidP="00EC1212">
      <w:pPr>
        <w:pStyle w:val="NoteText"/>
        <w:numPr>
          <w:ilvl w:val="0"/>
          <w:numId w:val="32"/>
        </w:numPr>
      </w:pPr>
      <w:r>
        <w:t xml:space="preserve">Health Services NPPs includes the following NPPs: </w:t>
      </w:r>
      <w:proofErr w:type="spellStart"/>
      <w:r>
        <w:t>Breastscreen</w:t>
      </w:r>
      <w:proofErr w:type="spellEnd"/>
      <w:r>
        <w:t xml:space="preserve"> Australia Program Expansion, National Bowel Cancer Screening Program – Participant Follow-up, National </w:t>
      </w:r>
      <w:proofErr w:type="spellStart"/>
      <w:r>
        <w:t>Perinatal</w:t>
      </w:r>
      <w:proofErr w:type="spellEnd"/>
      <w:r>
        <w:t xml:space="preserve"> Depression Initiative, </w:t>
      </w:r>
      <w:proofErr w:type="spellStart"/>
      <w:r>
        <w:t>OzFoodNet</w:t>
      </w:r>
      <w:proofErr w:type="spellEnd"/>
      <w:r>
        <w:t xml:space="preserve">, Canberra Hospital – Dedicated Paediatric Emergency Care, Adult Public Dental Services, </w:t>
      </w:r>
      <w:proofErr w:type="gramStart"/>
      <w:r>
        <w:t>Vaccine</w:t>
      </w:r>
      <w:proofErr w:type="gramEnd"/>
      <w:r>
        <w:t xml:space="preserve"> Preventable Diseases Surveillance.</w:t>
      </w:r>
    </w:p>
    <w:p w:rsidR="00EC1212" w:rsidRDefault="00EC1212" w:rsidP="00EC1212">
      <w:pPr>
        <w:pStyle w:val="NoteText"/>
        <w:numPr>
          <w:ilvl w:val="0"/>
          <w:numId w:val="32"/>
        </w:numPr>
      </w:pPr>
      <w:r>
        <w:t>National Health Reforms NPPs comprises the following NPPs: Improving Public Hospital Services, Financial Assistance for Long Stay Older Patients.</w:t>
      </w:r>
    </w:p>
    <w:p w:rsidR="00B70CDF" w:rsidRDefault="00B70CDF">
      <w:pPr>
        <w:rPr>
          <w:iCs/>
          <w:sz w:val="16"/>
        </w:rPr>
      </w:pPr>
      <w:r>
        <w:br w:type="page"/>
      </w:r>
    </w:p>
    <w:p w:rsidR="00B70CDF" w:rsidRDefault="00B70CDF" w:rsidP="00B70CDF">
      <w:pPr>
        <w:pStyle w:val="NoteText"/>
      </w:pPr>
    </w:p>
    <w:p w:rsidR="00EC1212" w:rsidRPr="0001117A" w:rsidRDefault="00EC1212" w:rsidP="0001117A">
      <w:pPr>
        <w:pStyle w:val="NoteText"/>
      </w:pPr>
    </w:p>
    <w:sectPr w:rsidR="00EC1212" w:rsidRPr="0001117A" w:rsidSect="00B70CDF">
      <w:footerReference w:type="default" r:id="rId19"/>
      <w:pgSz w:w="11906" w:h="16838"/>
      <w:pgMar w:top="1151" w:right="1440" w:bottom="1729" w:left="1440" w:header="709" w:footer="709" w:gutter="0"/>
      <w:pgNumType w:start="10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9C3" w:rsidRDefault="00FC29C3" w:rsidP="001F4788">
      <w:r>
        <w:separator/>
      </w:r>
    </w:p>
  </w:endnote>
  <w:endnote w:type="continuationSeparator" w:id="0">
    <w:p w:rsidR="00FC29C3" w:rsidRDefault="00FC29C3" w:rsidP="001F47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C3" w:rsidRDefault="00FC29C3" w:rsidP="009E7462">
    <w:pPr>
      <w:pStyle w:val="FooterBP"/>
    </w:pPr>
    <w:r>
      <w:t>2013</w:t>
    </w:r>
    <w:r>
      <w:noBreakHyphen/>
      <w:t>14 Budget Paper No. 3</w:t>
    </w:r>
    <w:r>
      <w:tab/>
    </w:r>
    <w:r w:rsidR="000A6E74">
      <w:rPr>
        <w:rStyle w:val="PageNumber"/>
        <w:rFonts w:cs="Calibri"/>
      </w:rPr>
      <w:fldChar w:fldCharType="begin"/>
    </w:r>
    <w:r w:rsidR="00B70CDF">
      <w:rPr>
        <w:rStyle w:val="PageNumber"/>
        <w:rFonts w:cs="Calibri"/>
      </w:rPr>
      <w:instrText xml:space="preserve"> PAGE   \* MERGEFORMAT </w:instrText>
    </w:r>
    <w:r w:rsidR="000A6E74">
      <w:rPr>
        <w:rStyle w:val="PageNumber"/>
        <w:rFonts w:cs="Calibri"/>
      </w:rPr>
      <w:fldChar w:fldCharType="separate"/>
    </w:r>
    <w:r w:rsidR="001503CC">
      <w:rPr>
        <w:rStyle w:val="PageNumber"/>
        <w:rFonts w:cs="Calibri"/>
        <w:noProof/>
      </w:rPr>
      <w:t>128</w:t>
    </w:r>
    <w:r w:rsidR="000A6E74">
      <w:rPr>
        <w:rStyle w:val="PageNumber"/>
        <w:rFonts w:cs="Calibri"/>
      </w:rPr>
      <w:fldChar w:fldCharType="end"/>
    </w:r>
    <w:r>
      <w:tab/>
      <w:t>Federal Financial Relations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9C3" w:rsidRDefault="00FC29C3" w:rsidP="001F4788">
      <w:r>
        <w:separator/>
      </w:r>
    </w:p>
  </w:footnote>
  <w:footnote w:type="continuationSeparator" w:id="0">
    <w:p w:rsidR="00FC29C3" w:rsidRDefault="00FC29C3" w:rsidP="001F4788">
      <w:r>
        <w:continuationSeparator/>
      </w:r>
    </w:p>
  </w:footnote>
  <w:footnote w:id="1">
    <w:p w:rsidR="00FC29C3" w:rsidRDefault="00FC29C3" w:rsidP="00E53276">
      <w:pPr>
        <w:pStyle w:val="FootnoteText"/>
      </w:pPr>
      <w:r>
        <w:rPr>
          <w:rStyle w:val="FootnoteReference"/>
        </w:rPr>
        <w:footnoteRef/>
      </w:r>
      <w:r>
        <w:t xml:space="preserve">  The word ‘States’ refers to the States and Territories unless otherwise indicated.</w:t>
      </w:r>
    </w:p>
  </w:footnote>
  <w:footnote w:id="2">
    <w:p w:rsidR="00FC29C3" w:rsidRDefault="00FC29C3" w:rsidP="004B24EB">
      <w:pPr>
        <w:pStyle w:val="NoteText"/>
      </w:pPr>
      <w:r>
        <w:rPr>
          <w:rStyle w:val="FootnoteReference"/>
        </w:rPr>
        <w:footnoteRef/>
      </w:r>
      <w:r>
        <w:t xml:space="preserve"> </w:t>
      </w:r>
      <w:r w:rsidRPr="0067142A">
        <w:rPr>
          <w:iCs w:val="0"/>
          <w:sz w:val="20"/>
        </w:rPr>
        <w:t>The low cost of the ACT’s relatively young, urbanised, higher socio-economic status population more than offsets these additional costs.</w:t>
      </w:r>
    </w:p>
  </w:footnote>
  <w:footnote w:id="3">
    <w:p w:rsidR="00FC29C3" w:rsidRDefault="00FC29C3">
      <w:pPr>
        <w:pStyle w:val="FootnoteText"/>
      </w:pPr>
      <w:r>
        <w:rPr>
          <w:rStyle w:val="FootnoteReference"/>
        </w:rPr>
        <w:footnoteRef/>
      </w:r>
      <w:r>
        <w:t xml:space="preserve"> </w:t>
      </w:r>
      <w:proofErr w:type="gramStart"/>
      <w:r>
        <w:t>Based on Commonwealth 2012-13 Mid-Year Economic and Fiscal Outlook using a GST pool of $51 billion for 2013-14.</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4BF401E"/>
    <w:multiLevelType w:val="hybridMultilevel"/>
    <w:tmpl w:val="F048C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3">
    <w:nsid w:val="10205C72"/>
    <w:multiLevelType w:val="hybridMultilevel"/>
    <w:tmpl w:val="2ED86EC0"/>
    <w:lvl w:ilvl="0" w:tplc="0C09000F">
      <w:start w:val="1"/>
      <w:numFmt w:val="decimal"/>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17E4323"/>
    <w:multiLevelType w:val="hybridMultilevel"/>
    <w:tmpl w:val="52448B8C"/>
    <w:lvl w:ilvl="0" w:tplc="DBDABAD6">
      <w:start w:val="1"/>
      <w:numFmt w:val="decimal"/>
      <w:pStyle w:val="Table1X"/>
      <w:lvlText w:val="Table 6.%1:"/>
      <w:lvlJc w:val="left"/>
      <w:pPr>
        <w:ind w:left="928" w:hanging="360"/>
      </w:pPr>
      <w:rPr>
        <w:rFonts w:ascii="Lucida Sans" w:hAnsi="Lucida Sans" w:hint="default"/>
        <w:b w:val="0"/>
        <w:i w:val="0"/>
        <w:caps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6">
    <w:nsid w:val="21230655"/>
    <w:multiLevelType w:val="hybridMultilevel"/>
    <w:tmpl w:val="623E51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1FA3F64"/>
    <w:multiLevelType w:val="hybridMultilevel"/>
    <w:tmpl w:val="85383A4A"/>
    <w:lvl w:ilvl="0" w:tplc="C626284E">
      <w:start w:val="1"/>
      <w:numFmt w:val="bullet"/>
      <w:lvlText w:val="-"/>
      <w:lvlJc w:val="left"/>
      <w:pPr>
        <w:ind w:left="726" w:hanging="360"/>
      </w:pPr>
      <w:rPr>
        <w:rFonts w:ascii="Calibri" w:eastAsia="Times New Roman" w:hAnsi="Calibri" w:cs="Times New Roman" w:hint="default"/>
      </w:rPr>
    </w:lvl>
    <w:lvl w:ilvl="1" w:tplc="0C090003">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8">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C0168F0E"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nsid w:val="25265A47"/>
    <w:multiLevelType w:val="hybridMultilevel"/>
    <w:tmpl w:val="A22AA5D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308A5C74"/>
    <w:multiLevelType w:val="hybridMultilevel"/>
    <w:tmpl w:val="0A025026"/>
    <w:lvl w:ilvl="0" w:tplc="04090001">
      <w:start w:val="1"/>
      <w:numFmt w:val="bullet"/>
      <w:pStyle w:val="dot"/>
      <w:lvlText w:val=""/>
      <w:lvlJc w:val="left"/>
      <w:pPr>
        <w:tabs>
          <w:tab w:val="num" w:pos="1797"/>
        </w:tabs>
        <w:ind w:left="1797" w:hanging="360"/>
      </w:pPr>
      <w:rPr>
        <w:rFonts w:ascii="Symbol" w:hAnsi="Symbol" w:hint="default"/>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21">
    <w:nsid w:val="308C2710"/>
    <w:multiLevelType w:val="multilevel"/>
    <w:tmpl w:val="7026C81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nsid w:val="4356015B"/>
    <w:multiLevelType w:val="hybridMultilevel"/>
    <w:tmpl w:val="B09281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7C17E99"/>
    <w:multiLevelType w:val="hybridMultilevel"/>
    <w:tmpl w:val="0A885CA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4">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7">
    <w:nsid w:val="735141C2"/>
    <w:multiLevelType w:val="hybridMultilevel"/>
    <w:tmpl w:val="4BD6E9D6"/>
    <w:lvl w:ilvl="0" w:tplc="0C09000F">
      <w:start w:val="1"/>
      <w:numFmt w:val="decimal"/>
      <w:pStyle w:val="AINotes"/>
      <w:lvlText w:val="%1."/>
      <w:lvlJc w:val="left"/>
      <w:pPr>
        <w:tabs>
          <w:tab w:val="num" w:pos="783"/>
        </w:tabs>
        <w:ind w:left="783"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F1B0FA6"/>
    <w:multiLevelType w:val="hybridMultilevel"/>
    <w:tmpl w:val="85E05738"/>
    <w:lvl w:ilvl="0" w:tplc="64488392">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27"/>
    <w:lvlOverride w:ilvl="0">
      <w:startOverride w:val="1"/>
    </w:lvlOverride>
  </w:num>
  <w:num w:numId="3">
    <w:abstractNumId w:val="20"/>
  </w:num>
  <w:num w:numId="4">
    <w:abstractNumId w:val="19"/>
  </w:num>
  <w:num w:numId="5">
    <w:abstractNumId w:val="21"/>
  </w:num>
  <w:num w:numId="6">
    <w:abstractNumId w:val="14"/>
  </w:num>
  <w:num w:numId="7">
    <w:abstractNumId w:val="17"/>
  </w:num>
  <w:num w:numId="8">
    <w:abstractNumId w:val="13"/>
  </w:num>
  <w:num w:numId="9">
    <w:abstractNumId w:val="11"/>
  </w:num>
  <w:num w:numId="10">
    <w:abstractNumId w:val="23"/>
  </w:num>
  <w:num w:numId="11">
    <w:abstractNumId w:val="29"/>
  </w:num>
  <w:num w:numId="12">
    <w:abstractNumId w:val="25"/>
  </w:num>
  <w:num w:numId="13">
    <w:abstractNumId w:val="27"/>
  </w:num>
  <w:num w:numId="14">
    <w:abstractNumId w:val="28"/>
  </w:num>
  <w:num w:numId="15">
    <w:abstractNumId w:val="18"/>
  </w:num>
  <w:num w:numId="16">
    <w:abstractNumId w:val="10"/>
  </w:num>
  <w:num w:numId="17">
    <w:abstractNumId w:val="15"/>
  </w:num>
  <w:num w:numId="18">
    <w:abstractNumId w:val="12"/>
  </w:num>
  <w:num w:numId="19">
    <w:abstractNumId w:val="2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4"/>
  </w:num>
  <w:num w:numId="31">
    <w:abstractNumId w:val="30"/>
  </w:num>
  <w:num w:numId="32">
    <w:abstractNumId w:val="2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cryptProviderType="rsaFull" w:cryptAlgorithmClass="hash" w:cryptAlgorithmType="typeAny" w:cryptAlgorithmSid="4" w:cryptSpinCount="100000" w:hash="XvBtNRMTARx6BCdMHdNZcMIO6Vg=" w:salt="HM+mxQsVfIYr7LAzBMyFSA=="/>
  <w:zoom w:percent="120"/>
  <w:proofState w:spelling="clean" w:grammar="clean"/>
  <w:stylePaneFormatFilter w:val="1024"/>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84C9A"/>
    <w:rsid w:val="0000544C"/>
    <w:rsid w:val="00005739"/>
    <w:rsid w:val="00010532"/>
    <w:rsid w:val="0001117A"/>
    <w:rsid w:val="00012C5C"/>
    <w:rsid w:val="0002324C"/>
    <w:rsid w:val="000258F5"/>
    <w:rsid w:val="00035D36"/>
    <w:rsid w:val="0003631A"/>
    <w:rsid w:val="00041D5D"/>
    <w:rsid w:val="00044229"/>
    <w:rsid w:val="000446A0"/>
    <w:rsid w:val="00047C54"/>
    <w:rsid w:val="00052436"/>
    <w:rsid w:val="00054FD0"/>
    <w:rsid w:val="000556EB"/>
    <w:rsid w:val="00056D59"/>
    <w:rsid w:val="00057E3A"/>
    <w:rsid w:val="00060E05"/>
    <w:rsid w:val="000620A7"/>
    <w:rsid w:val="0006474C"/>
    <w:rsid w:val="000654D8"/>
    <w:rsid w:val="0007198E"/>
    <w:rsid w:val="0007565E"/>
    <w:rsid w:val="00077B61"/>
    <w:rsid w:val="00083A32"/>
    <w:rsid w:val="00083EC1"/>
    <w:rsid w:val="000909E6"/>
    <w:rsid w:val="00091AC8"/>
    <w:rsid w:val="00093645"/>
    <w:rsid w:val="00095B49"/>
    <w:rsid w:val="0009774A"/>
    <w:rsid w:val="00097CCB"/>
    <w:rsid w:val="000A6E74"/>
    <w:rsid w:val="000A73B2"/>
    <w:rsid w:val="000A74C4"/>
    <w:rsid w:val="000B153A"/>
    <w:rsid w:val="000E110C"/>
    <w:rsid w:val="000E3A42"/>
    <w:rsid w:val="000E43E6"/>
    <w:rsid w:val="000F4107"/>
    <w:rsid w:val="00101021"/>
    <w:rsid w:val="0010295F"/>
    <w:rsid w:val="00106C8F"/>
    <w:rsid w:val="00107E45"/>
    <w:rsid w:val="001217CD"/>
    <w:rsid w:val="00123D9A"/>
    <w:rsid w:val="00124519"/>
    <w:rsid w:val="00140D7C"/>
    <w:rsid w:val="00142941"/>
    <w:rsid w:val="001449F9"/>
    <w:rsid w:val="001503CC"/>
    <w:rsid w:val="00151187"/>
    <w:rsid w:val="00151533"/>
    <w:rsid w:val="0016037F"/>
    <w:rsid w:val="0016047D"/>
    <w:rsid w:val="0016233F"/>
    <w:rsid w:val="00162F1B"/>
    <w:rsid w:val="00165A6E"/>
    <w:rsid w:val="00172353"/>
    <w:rsid w:val="00172914"/>
    <w:rsid w:val="001758FE"/>
    <w:rsid w:val="001763EC"/>
    <w:rsid w:val="00180536"/>
    <w:rsid w:val="001809FB"/>
    <w:rsid w:val="00182233"/>
    <w:rsid w:val="00183D61"/>
    <w:rsid w:val="00187146"/>
    <w:rsid w:val="00191C74"/>
    <w:rsid w:val="00197618"/>
    <w:rsid w:val="00197D38"/>
    <w:rsid w:val="001A1D92"/>
    <w:rsid w:val="001A4473"/>
    <w:rsid w:val="001A51B3"/>
    <w:rsid w:val="001B1073"/>
    <w:rsid w:val="001B142E"/>
    <w:rsid w:val="001B775D"/>
    <w:rsid w:val="001C05ED"/>
    <w:rsid w:val="001C1026"/>
    <w:rsid w:val="001C55EE"/>
    <w:rsid w:val="001C5EEC"/>
    <w:rsid w:val="001C64CC"/>
    <w:rsid w:val="001D2845"/>
    <w:rsid w:val="001D2CAA"/>
    <w:rsid w:val="001D3CBD"/>
    <w:rsid w:val="001E0B9C"/>
    <w:rsid w:val="001E2C97"/>
    <w:rsid w:val="001E3344"/>
    <w:rsid w:val="001E792A"/>
    <w:rsid w:val="001F251E"/>
    <w:rsid w:val="001F2E73"/>
    <w:rsid w:val="001F44AB"/>
    <w:rsid w:val="001F4788"/>
    <w:rsid w:val="0020331C"/>
    <w:rsid w:val="0020651D"/>
    <w:rsid w:val="00207DC4"/>
    <w:rsid w:val="00210539"/>
    <w:rsid w:val="00216E2A"/>
    <w:rsid w:val="00232257"/>
    <w:rsid w:val="002346B4"/>
    <w:rsid w:val="00234ABA"/>
    <w:rsid w:val="00234D0A"/>
    <w:rsid w:val="00235371"/>
    <w:rsid w:val="002364CA"/>
    <w:rsid w:val="00237A58"/>
    <w:rsid w:val="0024452D"/>
    <w:rsid w:val="00246F77"/>
    <w:rsid w:val="002529DD"/>
    <w:rsid w:val="00252ADC"/>
    <w:rsid w:val="00257AF9"/>
    <w:rsid w:val="0026795B"/>
    <w:rsid w:val="002711A3"/>
    <w:rsid w:val="002754CB"/>
    <w:rsid w:val="00283D8A"/>
    <w:rsid w:val="00287AA5"/>
    <w:rsid w:val="002A0E9D"/>
    <w:rsid w:val="002A3D73"/>
    <w:rsid w:val="002A57C3"/>
    <w:rsid w:val="002A77F8"/>
    <w:rsid w:val="002B2C18"/>
    <w:rsid w:val="002B3D6D"/>
    <w:rsid w:val="002C28D4"/>
    <w:rsid w:val="002C5CD8"/>
    <w:rsid w:val="002D4C0F"/>
    <w:rsid w:val="002D4C23"/>
    <w:rsid w:val="002D6CF1"/>
    <w:rsid w:val="002E1C03"/>
    <w:rsid w:val="002E4590"/>
    <w:rsid w:val="002E524F"/>
    <w:rsid w:val="002F3D98"/>
    <w:rsid w:val="002F4B9A"/>
    <w:rsid w:val="002F66CB"/>
    <w:rsid w:val="00305343"/>
    <w:rsid w:val="0030560B"/>
    <w:rsid w:val="0030621D"/>
    <w:rsid w:val="003151D0"/>
    <w:rsid w:val="00320F61"/>
    <w:rsid w:val="003222C6"/>
    <w:rsid w:val="00326815"/>
    <w:rsid w:val="003272A8"/>
    <w:rsid w:val="00332AF1"/>
    <w:rsid w:val="0033379D"/>
    <w:rsid w:val="00341BCF"/>
    <w:rsid w:val="00342F1F"/>
    <w:rsid w:val="00343F4D"/>
    <w:rsid w:val="0034426D"/>
    <w:rsid w:val="003446DF"/>
    <w:rsid w:val="00347BC7"/>
    <w:rsid w:val="00351934"/>
    <w:rsid w:val="00353F7A"/>
    <w:rsid w:val="00360743"/>
    <w:rsid w:val="00361720"/>
    <w:rsid w:val="0036201E"/>
    <w:rsid w:val="003633A0"/>
    <w:rsid w:val="00370341"/>
    <w:rsid w:val="00371600"/>
    <w:rsid w:val="00371803"/>
    <w:rsid w:val="003743B7"/>
    <w:rsid w:val="003745DA"/>
    <w:rsid w:val="003774B1"/>
    <w:rsid w:val="00385F5F"/>
    <w:rsid w:val="003A0B4D"/>
    <w:rsid w:val="003A51DB"/>
    <w:rsid w:val="003A5E63"/>
    <w:rsid w:val="003A662E"/>
    <w:rsid w:val="003B166D"/>
    <w:rsid w:val="003C1EBB"/>
    <w:rsid w:val="003C251D"/>
    <w:rsid w:val="003C2D38"/>
    <w:rsid w:val="003C6229"/>
    <w:rsid w:val="003D50B1"/>
    <w:rsid w:val="003E12BD"/>
    <w:rsid w:val="003E1C8F"/>
    <w:rsid w:val="003E474C"/>
    <w:rsid w:val="003E72B3"/>
    <w:rsid w:val="003F067A"/>
    <w:rsid w:val="004045B9"/>
    <w:rsid w:val="004069B6"/>
    <w:rsid w:val="004159CD"/>
    <w:rsid w:val="00417361"/>
    <w:rsid w:val="00417F1C"/>
    <w:rsid w:val="00423549"/>
    <w:rsid w:val="00442036"/>
    <w:rsid w:val="0044545C"/>
    <w:rsid w:val="004516A7"/>
    <w:rsid w:val="00452030"/>
    <w:rsid w:val="00452590"/>
    <w:rsid w:val="00453BF8"/>
    <w:rsid w:val="0045758B"/>
    <w:rsid w:val="00471531"/>
    <w:rsid w:val="00475FA8"/>
    <w:rsid w:val="00480FB9"/>
    <w:rsid w:val="00483BA9"/>
    <w:rsid w:val="00486916"/>
    <w:rsid w:val="004921BD"/>
    <w:rsid w:val="00492E38"/>
    <w:rsid w:val="004A1792"/>
    <w:rsid w:val="004A2072"/>
    <w:rsid w:val="004B10A7"/>
    <w:rsid w:val="004B24EB"/>
    <w:rsid w:val="004B2D2A"/>
    <w:rsid w:val="004B410A"/>
    <w:rsid w:val="004B768C"/>
    <w:rsid w:val="004C0A52"/>
    <w:rsid w:val="004C0DF7"/>
    <w:rsid w:val="004C116A"/>
    <w:rsid w:val="004C131B"/>
    <w:rsid w:val="004C202D"/>
    <w:rsid w:val="004C31AF"/>
    <w:rsid w:val="004C3588"/>
    <w:rsid w:val="004C5D51"/>
    <w:rsid w:val="004C6C66"/>
    <w:rsid w:val="004D1035"/>
    <w:rsid w:val="004D7938"/>
    <w:rsid w:val="004E0CEE"/>
    <w:rsid w:val="004E7D80"/>
    <w:rsid w:val="004F06D7"/>
    <w:rsid w:val="004F2A23"/>
    <w:rsid w:val="004F4D33"/>
    <w:rsid w:val="004F77A4"/>
    <w:rsid w:val="00500C06"/>
    <w:rsid w:val="00503898"/>
    <w:rsid w:val="00505D19"/>
    <w:rsid w:val="00505D4D"/>
    <w:rsid w:val="0051023E"/>
    <w:rsid w:val="0053536B"/>
    <w:rsid w:val="00535841"/>
    <w:rsid w:val="00540549"/>
    <w:rsid w:val="00544482"/>
    <w:rsid w:val="0054659E"/>
    <w:rsid w:val="005467F9"/>
    <w:rsid w:val="00551092"/>
    <w:rsid w:val="005510EF"/>
    <w:rsid w:val="0055248D"/>
    <w:rsid w:val="00564105"/>
    <w:rsid w:val="0056551B"/>
    <w:rsid w:val="00565BE5"/>
    <w:rsid w:val="00571D0F"/>
    <w:rsid w:val="00575B0D"/>
    <w:rsid w:val="00576F21"/>
    <w:rsid w:val="00577F94"/>
    <w:rsid w:val="0058797E"/>
    <w:rsid w:val="00594DE4"/>
    <w:rsid w:val="005A16B6"/>
    <w:rsid w:val="005A2206"/>
    <w:rsid w:val="005A26E9"/>
    <w:rsid w:val="005B17C5"/>
    <w:rsid w:val="005B4D8E"/>
    <w:rsid w:val="005B5D25"/>
    <w:rsid w:val="005C1A04"/>
    <w:rsid w:val="005C5AB4"/>
    <w:rsid w:val="005E1E46"/>
    <w:rsid w:val="005E3A3F"/>
    <w:rsid w:val="005E3B16"/>
    <w:rsid w:val="005E41A6"/>
    <w:rsid w:val="005E6DD2"/>
    <w:rsid w:val="005F0335"/>
    <w:rsid w:val="005F12A9"/>
    <w:rsid w:val="005F611D"/>
    <w:rsid w:val="006025A2"/>
    <w:rsid w:val="0060532E"/>
    <w:rsid w:val="00606B6D"/>
    <w:rsid w:val="0061125F"/>
    <w:rsid w:val="00611401"/>
    <w:rsid w:val="006131DE"/>
    <w:rsid w:val="00615B95"/>
    <w:rsid w:val="00617B86"/>
    <w:rsid w:val="0062537F"/>
    <w:rsid w:val="00626750"/>
    <w:rsid w:val="00627B48"/>
    <w:rsid w:val="006328AB"/>
    <w:rsid w:val="00632FC5"/>
    <w:rsid w:val="00636C0C"/>
    <w:rsid w:val="00641A8A"/>
    <w:rsid w:val="00641DC3"/>
    <w:rsid w:val="00642650"/>
    <w:rsid w:val="006447D9"/>
    <w:rsid w:val="006460D2"/>
    <w:rsid w:val="00660819"/>
    <w:rsid w:val="0066153B"/>
    <w:rsid w:val="00670D23"/>
    <w:rsid w:val="0067142A"/>
    <w:rsid w:val="0067597F"/>
    <w:rsid w:val="0067758B"/>
    <w:rsid w:val="00677D43"/>
    <w:rsid w:val="00680374"/>
    <w:rsid w:val="00681D97"/>
    <w:rsid w:val="00684AE6"/>
    <w:rsid w:val="006935DF"/>
    <w:rsid w:val="006935E4"/>
    <w:rsid w:val="00693CF1"/>
    <w:rsid w:val="00697F7F"/>
    <w:rsid w:val="006A2914"/>
    <w:rsid w:val="006A2EF1"/>
    <w:rsid w:val="006A5742"/>
    <w:rsid w:val="006A6BAD"/>
    <w:rsid w:val="006A701D"/>
    <w:rsid w:val="006A756A"/>
    <w:rsid w:val="006C31B5"/>
    <w:rsid w:val="006C3499"/>
    <w:rsid w:val="006C3793"/>
    <w:rsid w:val="006C590F"/>
    <w:rsid w:val="006C6D20"/>
    <w:rsid w:val="006C7547"/>
    <w:rsid w:val="006D08A7"/>
    <w:rsid w:val="006D1034"/>
    <w:rsid w:val="006D2E8E"/>
    <w:rsid w:val="006D6A1B"/>
    <w:rsid w:val="006E00F7"/>
    <w:rsid w:val="006E498F"/>
    <w:rsid w:val="006E6F2D"/>
    <w:rsid w:val="006F2190"/>
    <w:rsid w:val="006F334C"/>
    <w:rsid w:val="006F3757"/>
    <w:rsid w:val="006F585E"/>
    <w:rsid w:val="006F6CDB"/>
    <w:rsid w:val="007029BD"/>
    <w:rsid w:val="00703B3B"/>
    <w:rsid w:val="00703E12"/>
    <w:rsid w:val="007161E6"/>
    <w:rsid w:val="00722AA0"/>
    <w:rsid w:val="007242E5"/>
    <w:rsid w:val="00724776"/>
    <w:rsid w:val="007250EC"/>
    <w:rsid w:val="00731624"/>
    <w:rsid w:val="00733E5F"/>
    <w:rsid w:val="00736E9A"/>
    <w:rsid w:val="00742DD5"/>
    <w:rsid w:val="0074436E"/>
    <w:rsid w:val="00751420"/>
    <w:rsid w:val="0075374F"/>
    <w:rsid w:val="007663F6"/>
    <w:rsid w:val="00770995"/>
    <w:rsid w:val="00770D66"/>
    <w:rsid w:val="007803D7"/>
    <w:rsid w:val="007822D2"/>
    <w:rsid w:val="0078236E"/>
    <w:rsid w:val="00782B63"/>
    <w:rsid w:val="00784913"/>
    <w:rsid w:val="0078674B"/>
    <w:rsid w:val="00792C77"/>
    <w:rsid w:val="00793B5E"/>
    <w:rsid w:val="00795A3A"/>
    <w:rsid w:val="00797F34"/>
    <w:rsid w:val="007A275A"/>
    <w:rsid w:val="007A3D7C"/>
    <w:rsid w:val="007A5503"/>
    <w:rsid w:val="007A5892"/>
    <w:rsid w:val="007A6D01"/>
    <w:rsid w:val="007B67E6"/>
    <w:rsid w:val="007C01B4"/>
    <w:rsid w:val="007C2679"/>
    <w:rsid w:val="007C2C29"/>
    <w:rsid w:val="007C4CE1"/>
    <w:rsid w:val="007C65C0"/>
    <w:rsid w:val="007C734A"/>
    <w:rsid w:val="007D0B2E"/>
    <w:rsid w:val="007D2A8E"/>
    <w:rsid w:val="007D4339"/>
    <w:rsid w:val="007E0184"/>
    <w:rsid w:val="007E0B2B"/>
    <w:rsid w:val="007E2056"/>
    <w:rsid w:val="007E3A8B"/>
    <w:rsid w:val="007E4D23"/>
    <w:rsid w:val="007E6584"/>
    <w:rsid w:val="007E68FB"/>
    <w:rsid w:val="007F138B"/>
    <w:rsid w:val="007F1CBB"/>
    <w:rsid w:val="007F77B7"/>
    <w:rsid w:val="00800D03"/>
    <w:rsid w:val="00806D68"/>
    <w:rsid w:val="00810C98"/>
    <w:rsid w:val="0081447E"/>
    <w:rsid w:val="00815BFE"/>
    <w:rsid w:val="00826FEA"/>
    <w:rsid w:val="008337DC"/>
    <w:rsid w:val="00833C4E"/>
    <w:rsid w:val="008407B3"/>
    <w:rsid w:val="0084198B"/>
    <w:rsid w:val="00841D51"/>
    <w:rsid w:val="00843449"/>
    <w:rsid w:val="00843C0B"/>
    <w:rsid w:val="00844AAF"/>
    <w:rsid w:val="008452C1"/>
    <w:rsid w:val="00850DF4"/>
    <w:rsid w:val="00853638"/>
    <w:rsid w:val="0085543D"/>
    <w:rsid w:val="0085685A"/>
    <w:rsid w:val="00860612"/>
    <w:rsid w:val="00863C05"/>
    <w:rsid w:val="00864518"/>
    <w:rsid w:val="00870DD0"/>
    <w:rsid w:val="00871A1C"/>
    <w:rsid w:val="00871B7E"/>
    <w:rsid w:val="00881F34"/>
    <w:rsid w:val="008822CF"/>
    <w:rsid w:val="00890DEA"/>
    <w:rsid w:val="008A6E45"/>
    <w:rsid w:val="008B351B"/>
    <w:rsid w:val="008C3E23"/>
    <w:rsid w:val="008C4F7D"/>
    <w:rsid w:val="008C5DA7"/>
    <w:rsid w:val="008C5DB2"/>
    <w:rsid w:val="008C64D0"/>
    <w:rsid w:val="008C7FE5"/>
    <w:rsid w:val="008D00F9"/>
    <w:rsid w:val="008D0EE2"/>
    <w:rsid w:val="008D131B"/>
    <w:rsid w:val="008D269E"/>
    <w:rsid w:val="008D2D40"/>
    <w:rsid w:val="008D361F"/>
    <w:rsid w:val="008D3666"/>
    <w:rsid w:val="008E2B47"/>
    <w:rsid w:val="008E4867"/>
    <w:rsid w:val="008F14D2"/>
    <w:rsid w:val="008F1EAE"/>
    <w:rsid w:val="008F2188"/>
    <w:rsid w:val="008F3935"/>
    <w:rsid w:val="008F4156"/>
    <w:rsid w:val="00901EDB"/>
    <w:rsid w:val="00915D84"/>
    <w:rsid w:val="00925F90"/>
    <w:rsid w:val="00931B43"/>
    <w:rsid w:val="009372B8"/>
    <w:rsid w:val="00942A1E"/>
    <w:rsid w:val="00943973"/>
    <w:rsid w:val="00951CD0"/>
    <w:rsid w:val="00952BE5"/>
    <w:rsid w:val="00952C3A"/>
    <w:rsid w:val="00953876"/>
    <w:rsid w:val="00953DA1"/>
    <w:rsid w:val="00953F43"/>
    <w:rsid w:val="00955E60"/>
    <w:rsid w:val="00956CF3"/>
    <w:rsid w:val="00957464"/>
    <w:rsid w:val="00961352"/>
    <w:rsid w:val="00962818"/>
    <w:rsid w:val="00963B18"/>
    <w:rsid w:val="00963FD6"/>
    <w:rsid w:val="009737E3"/>
    <w:rsid w:val="00986BC6"/>
    <w:rsid w:val="0098712B"/>
    <w:rsid w:val="00987D57"/>
    <w:rsid w:val="00990128"/>
    <w:rsid w:val="009A109C"/>
    <w:rsid w:val="009A2866"/>
    <w:rsid w:val="009D15DD"/>
    <w:rsid w:val="009D455D"/>
    <w:rsid w:val="009D4B36"/>
    <w:rsid w:val="009D6797"/>
    <w:rsid w:val="009D6F8B"/>
    <w:rsid w:val="009E6E32"/>
    <w:rsid w:val="009E7462"/>
    <w:rsid w:val="009F4007"/>
    <w:rsid w:val="009F4448"/>
    <w:rsid w:val="00A011D5"/>
    <w:rsid w:val="00A0370A"/>
    <w:rsid w:val="00A120B9"/>
    <w:rsid w:val="00A219F5"/>
    <w:rsid w:val="00A27880"/>
    <w:rsid w:val="00A27CB5"/>
    <w:rsid w:val="00A30FE7"/>
    <w:rsid w:val="00A34284"/>
    <w:rsid w:val="00A34925"/>
    <w:rsid w:val="00A4037A"/>
    <w:rsid w:val="00A4070D"/>
    <w:rsid w:val="00A443AC"/>
    <w:rsid w:val="00A45EFE"/>
    <w:rsid w:val="00A4680B"/>
    <w:rsid w:val="00A51DC6"/>
    <w:rsid w:val="00A5257F"/>
    <w:rsid w:val="00A54404"/>
    <w:rsid w:val="00A61F33"/>
    <w:rsid w:val="00A66884"/>
    <w:rsid w:val="00A7683C"/>
    <w:rsid w:val="00A76D43"/>
    <w:rsid w:val="00A8065E"/>
    <w:rsid w:val="00A87E77"/>
    <w:rsid w:val="00A91100"/>
    <w:rsid w:val="00A912DB"/>
    <w:rsid w:val="00A92B0A"/>
    <w:rsid w:val="00A93FFC"/>
    <w:rsid w:val="00A96117"/>
    <w:rsid w:val="00A96634"/>
    <w:rsid w:val="00AA14DE"/>
    <w:rsid w:val="00AC2881"/>
    <w:rsid w:val="00AC7278"/>
    <w:rsid w:val="00AD3240"/>
    <w:rsid w:val="00AD446A"/>
    <w:rsid w:val="00AE4A6B"/>
    <w:rsid w:val="00AE7AE2"/>
    <w:rsid w:val="00AF1CEA"/>
    <w:rsid w:val="00AF5D66"/>
    <w:rsid w:val="00B0165D"/>
    <w:rsid w:val="00B03C0F"/>
    <w:rsid w:val="00B06F95"/>
    <w:rsid w:val="00B07C21"/>
    <w:rsid w:val="00B07E73"/>
    <w:rsid w:val="00B10F6B"/>
    <w:rsid w:val="00B12192"/>
    <w:rsid w:val="00B165CB"/>
    <w:rsid w:val="00B203A7"/>
    <w:rsid w:val="00B21878"/>
    <w:rsid w:val="00B21E28"/>
    <w:rsid w:val="00B21F9A"/>
    <w:rsid w:val="00B2204C"/>
    <w:rsid w:val="00B25300"/>
    <w:rsid w:val="00B276E6"/>
    <w:rsid w:val="00B3091F"/>
    <w:rsid w:val="00B321EB"/>
    <w:rsid w:val="00B322FA"/>
    <w:rsid w:val="00B42EEA"/>
    <w:rsid w:val="00B4368D"/>
    <w:rsid w:val="00B43930"/>
    <w:rsid w:val="00B44CF5"/>
    <w:rsid w:val="00B46CD4"/>
    <w:rsid w:val="00B4709D"/>
    <w:rsid w:val="00B521B8"/>
    <w:rsid w:val="00B54A64"/>
    <w:rsid w:val="00B5621C"/>
    <w:rsid w:val="00B64D2B"/>
    <w:rsid w:val="00B675B4"/>
    <w:rsid w:val="00B70CDF"/>
    <w:rsid w:val="00B73EE6"/>
    <w:rsid w:val="00B7677A"/>
    <w:rsid w:val="00B80157"/>
    <w:rsid w:val="00B83BB3"/>
    <w:rsid w:val="00B84D6E"/>
    <w:rsid w:val="00B8548F"/>
    <w:rsid w:val="00B87E4C"/>
    <w:rsid w:val="00B91950"/>
    <w:rsid w:val="00B92FEC"/>
    <w:rsid w:val="00B94381"/>
    <w:rsid w:val="00BA4702"/>
    <w:rsid w:val="00BA4792"/>
    <w:rsid w:val="00BB2BD8"/>
    <w:rsid w:val="00BB4DAD"/>
    <w:rsid w:val="00BB5543"/>
    <w:rsid w:val="00BB7027"/>
    <w:rsid w:val="00BB7C41"/>
    <w:rsid w:val="00BC0DC8"/>
    <w:rsid w:val="00BC26B0"/>
    <w:rsid w:val="00BC3B59"/>
    <w:rsid w:val="00BD064B"/>
    <w:rsid w:val="00BD3B07"/>
    <w:rsid w:val="00BD5349"/>
    <w:rsid w:val="00BD59C2"/>
    <w:rsid w:val="00BD7B22"/>
    <w:rsid w:val="00BE48E0"/>
    <w:rsid w:val="00BF04C2"/>
    <w:rsid w:val="00BF26E0"/>
    <w:rsid w:val="00BF2C22"/>
    <w:rsid w:val="00BF5FCF"/>
    <w:rsid w:val="00BF6001"/>
    <w:rsid w:val="00BF6799"/>
    <w:rsid w:val="00C034FA"/>
    <w:rsid w:val="00C1295B"/>
    <w:rsid w:val="00C136BD"/>
    <w:rsid w:val="00C23321"/>
    <w:rsid w:val="00C25549"/>
    <w:rsid w:val="00C25AE9"/>
    <w:rsid w:val="00C3047B"/>
    <w:rsid w:val="00C31617"/>
    <w:rsid w:val="00C32DFF"/>
    <w:rsid w:val="00C43A78"/>
    <w:rsid w:val="00C54177"/>
    <w:rsid w:val="00C563C7"/>
    <w:rsid w:val="00C5679A"/>
    <w:rsid w:val="00C574F1"/>
    <w:rsid w:val="00C57E99"/>
    <w:rsid w:val="00C640DD"/>
    <w:rsid w:val="00C6539E"/>
    <w:rsid w:val="00C67889"/>
    <w:rsid w:val="00C7333A"/>
    <w:rsid w:val="00C76353"/>
    <w:rsid w:val="00C77489"/>
    <w:rsid w:val="00C92566"/>
    <w:rsid w:val="00C93540"/>
    <w:rsid w:val="00C9655D"/>
    <w:rsid w:val="00C96A35"/>
    <w:rsid w:val="00C97549"/>
    <w:rsid w:val="00C97AAD"/>
    <w:rsid w:val="00CA6457"/>
    <w:rsid w:val="00CA7879"/>
    <w:rsid w:val="00CB20AB"/>
    <w:rsid w:val="00CB636D"/>
    <w:rsid w:val="00CC31A0"/>
    <w:rsid w:val="00CC393F"/>
    <w:rsid w:val="00CC5955"/>
    <w:rsid w:val="00CC6526"/>
    <w:rsid w:val="00CD1D5E"/>
    <w:rsid w:val="00CD2AFF"/>
    <w:rsid w:val="00CD2F7A"/>
    <w:rsid w:val="00CE3302"/>
    <w:rsid w:val="00CE498D"/>
    <w:rsid w:val="00CE71AE"/>
    <w:rsid w:val="00CF0E1C"/>
    <w:rsid w:val="00CF3EFF"/>
    <w:rsid w:val="00CF40AF"/>
    <w:rsid w:val="00CF41B1"/>
    <w:rsid w:val="00D020B1"/>
    <w:rsid w:val="00D17B08"/>
    <w:rsid w:val="00D17DCE"/>
    <w:rsid w:val="00D20000"/>
    <w:rsid w:val="00D25860"/>
    <w:rsid w:val="00D27F52"/>
    <w:rsid w:val="00D32841"/>
    <w:rsid w:val="00D340B2"/>
    <w:rsid w:val="00D3666F"/>
    <w:rsid w:val="00D41C89"/>
    <w:rsid w:val="00D44674"/>
    <w:rsid w:val="00D456E8"/>
    <w:rsid w:val="00D4702C"/>
    <w:rsid w:val="00D47407"/>
    <w:rsid w:val="00D47DF5"/>
    <w:rsid w:val="00D53C59"/>
    <w:rsid w:val="00D54EDE"/>
    <w:rsid w:val="00D572DD"/>
    <w:rsid w:val="00D67290"/>
    <w:rsid w:val="00D67C87"/>
    <w:rsid w:val="00D701FC"/>
    <w:rsid w:val="00D74D6A"/>
    <w:rsid w:val="00D755DB"/>
    <w:rsid w:val="00D76C6D"/>
    <w:rsid w:val="00D84C2C"/>
    <w:rsid w:val="00D84C9A"/>
    <w:rsid w:val="00D860C2"/>
    <w:rsid w:val="00D967E3"/>
    <w:rsid w:val="00DA3CA5"/>
    <w:rsid w:val="00DB3468"/>
    <w:rsid w:val="00DB4A17"/>
    <w:rsid w:val="00DB6DCA"/>
    <w:rsid w:val="00DB747C"/>
    <w:rsid w:val="00DB7AA4"/>
    <w:rsid w:val="00DC3E9A"/>
    <w:rsid w:val="00DD1742"/>
    <w:rsid w:val="00DD1B29"/>
    <w:rsid w:val="00DE0BD5"/>
    <w:rsid w:val="00DE4221"/>
    <w:rsid w:val="00DE5A83"/>
    <w:rsid w:val="00DF2770"/>
    <w:rsid w:val="00DF66DD"/>
    <w:rsid w:val="00DF79D6"/>
    <w:rsid w:val="00E00F3C"/>
    <w:rsid w:val="00E0387E"/>
    <w:rsid w:val="00E0394C"/>
    <w:rsid w:val="00E069AE"/>
    <w:rsid w:val="00E16B30"/>
    <w:rsid w:val="00E21CDB"/>
    <w:rsid w:val="00E26F24"/>
    <w:rsid w:val="00E3094F"/>
    <w:rsid w:val="00E31D75"/>
    <w:rsid w:val="00E400B0"/>
    <w:rsid w:val="00E407CB"/>
    <w:rsid w:val="00E45A2B"/>
    <w:rsid w:val="00E53276"/>
    <w:rsid w:val="00E539F1"/>
    <w:rsid w:val="00E548CB"/>
    <w:rsid w:val="00E56639"/>
    <w:rsid w:val="00E5759C"/>
    <w:rsid w:val="00E60FCF"/>
    <w:rsid w:val="00E62AAF"/>
    <w:rsid w:val="00E63062"/>
    <w:rsid w:val="00E640B2"/>
    <w:rsid w:val="00E64358"/>
    <w:rsid w:val="00E644A2"/>
    <w:rsid w:val="00E6482D"/>
    <w:rsid w:val="00E76EC6"/>
    <w:rsid w:val="00E9058B"/>
    <w:rsid w:val="00E91149"/>
    <w:rsid w:val="00E91DBC"/>
    <w:rsid w:val="00E96A8C"/>
    <w:rsid w:val="00EA43B2"/>
    <w:rsid w:val="00EB4462"/>
    <w:rsid w:val="00EB5C1E"/>
    <w:rsid w:val="00EB6B77"/>
    <w:rsid w:val="00EB737C"/>
    <w:rsid w:val="00EC1212"/>
    <w:rsid w:val="00EC3910"/>
    <w:rsid w:val="00EC3B18"/>
    <w:rsid w:val="00EC3B46"/>
    <w:rsid w:val="00EC62B9"/>
    <w:rsid w:val="00ED24D8"/>
    <w:rsid w:val="00ED3E29"/>
    <w:rsid w:val="00ED478C"/>
    <w:rsid w:val="00ED79B1"/>
    <w:rsid w:val="00EE2DE0"/>
    <w:rsid w:val="00EE68EE"/>
    <w:rsid w:val="00EE6EBA"/>
    <w:rsid w:val="00EF4EBB"/>
    <w:rsid w:val="00F063DC"/>
    <w:rsid w:val="00F14A4B"/>
    <w:rsid w:val="00F2048B"/>
    <w:rsid w:val="00F22799"/>
    <w:rsid w:val="00F26670"/>
    <w:rsid w:val="00F34328"/>
    <w:rsid w:val="00F35B11"/>
    <w:rsid w:val="00F35CDC"/>
    <w:rsid w:val="00F3605E"/>
    <w:rsid w:val="00F37B81"/>
    <w:rsid w:val="00F42054"/>
    <w:rsid w:val="00F4439F"/>
    <w:rsid w:val="00F45953"/>
    <w:rsid w:val="00F50A5D"/>
    <w:rsid w:val="00F54D6E"/>
    <w:rsid w:val="00F66FAB"/>
    <w:rsid w:val="00F6738B"/>
    <w:rsid w:val="00F702CC"/>
    <w:rsid w:val="00F71B48"/>
    <w:rsid w:val="00F77020"/>
    <w:rsid w:val="00F814B9"/>
    <w:rsid w:val="00F8601C"/>
    <w:rsid w:val="00F86D94"/>
    <w:rsid w:val="00FA244F"/>
    <w:rsid w:val="00FA68C3"/>
    <w:rsid w:val="00FB0A24"/>
    <w:rsid w:val="00FB362E"/>
    <w:rsid w:val="00FB657E"/>
    <w:rsid w:val="00FB6F35"/>
    <w:rsid w:val="00FC136C"/>
    <w:rsid w:val="00FC29C3"/>
    <w:rsid w:val="00FC5A39"/>
    <w:rsid w:val="00FC65A0"/>
    <w:rsid w:val="00FC7A85"/>
    <w:rsid w:val="00FD2BB9"/>
    <w:rsid w:val="00FD3048"/>
    <w:rsid w:val="00FD67C8"/>
    <w:rsid w:val="00FE215F"/>
    <w:rsid w:val="00FE326C"/>
    <w:rsid w:val="00FE7C9E"/>
    <w:rsid w:val="00FE7FE8"/>
    <w:rsid w:val="00FF236D"/>
    <w:rsid w:val="00FF4748"/>
    <w:rsid w:val="00FF620A"/>
    <w:rsid w:val="00FF6D6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macro"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DEA"/>
    <w:rPr>
      <w:rFonts w:eastAsia="Times New Roman"/>
      <w:sz w:val="24"/>
      <w:lang w:eastAsia="en-US"/>
    </w:rPr>
  </w:style>
  <w:style w:type="paragraph" w:styleId="Heading1">
    <w:name w:val="heading 1"/>
    <w:basedOn w:val="Normal"/>
    <w:next w:val="BodyText"/>
    <w:link w:val="Heading1Char"/>
    <w:qFormat/>
    <w:rsid w:val="00890DEA"/>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890DEA"/>
    <w:pPr>
      <w:keepNext/>
      <w:spacing w:before="60" w:after="60"/>
      <w:jc w:val="center"/>
      <w:outlineLvl w:val="1"/>
    </w:pPr>
    <w:rPr>
      <w:b/>
      <w:snapToGrid w:val="0"/>
      <w:sz w:val="20"/>
    </w:rPr>
  </w:style>
  <w:style w:type="paragraph" w:styleId="Heading3">
    <w:name w:val="heading 3"/>
    <w:basedOn w:val="Normal"/>
    <w:next w:val="BodyText"/>
    <w:link w:val="Heading3Char"/>
    <w:qFormat/>
    <w:rsid w:val="00890DEA"/>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D3666F"/>
    <w:pPr>
      <w:keepNext/>
      <w:keepLines/>
      <w:spacing w:before="240" w:after="120"/>
      <w:outlineLvl w:val="3"/>
    </w:pPr>
    <w:rPr>
      <w:i/>
    </w:rPr>
  </w:style>
  <w:style w:type="paragraph" w:styleId="Heading5">
    <w:name w:val="heading 5"/>
    <w:basedOn w:val="Normal"/>
    <w:next w:val="Normal"/>
    <w:link w:val="Heading5Char"/>
    <w:autoRedefine/>
    <w:qFormat/>
    <w:rsid w:val="00890DEA"/>
    <w:pPr>
      <w:keepNext/>
      <w:numPr>
        <w:ilvl w:val="4"/>
        <w:numId w:val="19"/>
      </w:numPr>
      <w:outlineLvl w:val="4"/>
    </w:pPr>
    <w:rPr>
      <w:b/>
      <w:i/>
      <w:sz w:val="20"/>
    </w:rPr>
  </w:style>
  <w:style w:type="paragraph" w:styleId="Heading6">
    <w:name w:val="heading 6"/>
    <w:basedOn w:val="Normal"/>
    <w:next w:val="Normal"/>
    <w:link w:val="Heading6Char"/>
    <w:qFormat/>
    <w:rsid w:val="00890DEA"/>
    <w:pPr>
      <w:keepNext/>
      <w:jc w:val="right"/>
      <w:outlineLvl w:val="5"/>
    </w:pPr>
    <w:rPr>
      <w:b/>
      <w:sz w:val="20"/>
    </w:rPr>
  </w:style>
  <w:style w:type="paragraph" w:styleId="Heading7">
    <w:name w:val="heading 7"/>
    <w:basedOn w:val="Normal"/>
    <w:next w:val="Normal"/>
    <w:link w:val="Heading7Char"/>
    <w:qFormat/>
    <w:rsid w:val="00890DEA"/>
    <w:pPr>
      <w:keepNext/>
      <w:ind w:left="159" w:hanging="159"/>
      <w:outlineLvl w:val="6"/>
    </w:pPr>
    <w:rPr>
      <w:b/>
      <w:sz w:val="20"/>
    </w:rPr>
  </w:style>
  <w:style w:type="paragraph" w:styleId="Heading8">
    <w:name w:val="heading 8"/>
    <w:basedOn w:val="Normal"/>
    <w:next w:val="Normal"/>
    <w:link w:val="Heading8Char"/>
    <w:qFormat/>
    <w:rsid w:val="00890DEA"/>
    <w:pPr>
      <w:keepNext/>
      <w:numPr>
        <w:ilvl w:val="7"/>
        <w:numId w:val="19"/>
      </w:numPr>
      <w:outlineLvl w:val="7"/>
    </w:pPr>
    <w:rPr>
      <w:rFonts w:ascii="Arial" w:hAnsi="Arial"/>
      <w:b/>
      <w:snapToGrid w:val="0"/>
      <w:color w:val="000000"/>
      <w:sz w:val="20"/>
    </w:rPr>
  </w:style>
  <w:style w:type="paragraph" w:styleId="Heading9">
    <w:name w:val="heading 9"/>
    <w:basedOn w:val="Normal"/>
    <w:next w:val="Normal"/>
    <w:link w:val="Heading9Char"/>
    <w:qFormat/>
    <w:rsid w:val="00890DEA"/>
    <w:pPr>
      <w:keepNext/>
      <w:numPr>
        <w:ilvl w:val="8"/>
        <w:numId w:val="19"/>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90DEA"/>
    <w:rPr>
      <w:rFonts w:ascii="Tahoma" w:hAnsi="Tahoma" w:cs="Tahoma"/>
      <w:sz w:val="16"/>
      <w:szCs w:val="16"/>
    </w:rPr>
  </w:style>
  <w:style w:type="character" w:customStyle="1" w:styleId="BalloonTextChar">
    <w:name w:val="Balloon Text Char"/>
    <w:basedOn w:val="DefaultParagraphFont"/>
    <w:link w:val="BalloonText"/>
    <w:semiHidden/>
    <w:rsid w:val="00D84C9A"/>
    <w:rPr>
      <w:rFonts w:ascii="Tahoma" w:eastAsia="Times New Roman" w:hAnsi="Tahoma" w:cs="Tahoma"/>
      <w:sz w:val="16"/>
      <w:szCs w:val="16"/>
      <w:lang w:eastAsia="en-US"/>
    </w:rPr>
  </w:style>
  <w:style w:type="character" w:styleId="Hyperlink">
    <w:name w:val="Hyperlink"/>
    <w:basedOn w:val="DefaultParagraphFont"/>
    <w:uiPriority w:val="99"/>
    <w:rsid w:val="00890DEA"/>
    <w:rPr>
      <w:color w:val="0000FF"/>
      <w:u w:val="single"/>
    </w:rPr>
  </w:style>
  <w:style w:type="paragraph" w:styleId="BodyText">
    <w:name w:val="Body Text"/>
    <w:basedOn w:val="Normal"/>
    <w:link w:val="BodyTextChar"/>
    <w:rsid w:val="00890DEA"/>
    <w:pPr>
      <w:keepNext/>
      <w:keepLines/>
      <w:spacing w:before="120" w:after="120"/>
      <w:jc w:val="both"/>
    </w:pPr>
  </w:style>
  <w:style w:type="character" w:customStyle="1" w:styleId="BodyTextChar">
    <w:name w:val="Body Text Char"/>
    <w:basedOn w:val="DefaultParagraphFont"/>
    <w:link w:val="BodyText"/>
    <w:rsid w:val="00F702CC"/>
    <w:rPr>
      <w:rFonts w:eastAsia="Times New Roman"/>
      <w:sz w:val="24"/>
      <w:lang w:eastAsia="en-US"/>
    </w:rPr>
  </w:style>
  <w:style w:type="paragraph" w:styleId="Header">
    <w:name w:val="header"/>
    <w:basedOn w:val="Normal"/>
    <w:link w:val="HeaderChar"/>
    <w:semiHidden/>
    <w:rsid w:val="00890DEA"/>
    <w:pPr>
      <w:tabs>
        <w:tab w:val="center" w:pos="4153"/>
        <w:tab w:val="right" w:pos="8306"/>
      </w:tabs>
    </w:pPr>
  </w:style>
  <w:style w:type="character" w:customStyle="1" w:styleId="HeaderChar">
    <w:name w:val="Header Char"/>
    <w:basedOn w:val="DefaultParagraphFont"/>
    <w:link w:val="Header"/>
    <w:semiHidden/>
    <w:rsid w:val="001F4788"/>
    <w:rPr>
      <w:rFonts w:eastAsia="Times New Roman"/>
      <w:sz w:val="24"/>
      <w:lang w:eastAsia="en-US"/>
    </w:rPr>
  </w:style>
  <w:style w:type="paragraph" w:styleId="Footer">
    <w:name w:val="footer"/>
    <w:basedOn w:val="Normal"/>
    <w:link w:val="FooterChar"/>
    <w:rsid w:val="00890DEA"/>
    <w:pPr>
      <w:tabs>
        <w:tab w:val="center" w:pos="4153"/>
        <w:tab w:val="right" w:pos="8306"/>
      </w:tabs>
    </w:pPr>
  </w:style>
  <w:style w:type="character" w:customStyle="1" w:styleId="FooterChar">
    <w:name w:val="Footer Char"/>
    <w:basedOn w:val="DefaultParagraphFont"/>
    <w:link w:val="Footer"/>
    <w:rsid w:val="001F4788"/>
    <w:rPr>
      <w:rFonts w:eastAsia="Times New Roman"/>
      <w:sz w:val="24"/>
      <w:lang w:eastAsia="en-US"/>
    </w:rPr>
  </w:style>
  <w:style w:type="paragraph" w:styleId="FootnoteText">
    <w:name w:val="footnote text"/>
    <w:basedOn w:val="Normal"/>
    <w:link w:val="FootnoteTextChar"/>
    <w:rsid w:val="00890DEA"/>
    <w:rPr>
      <w:sz w:val="20"/>
    </w:rPr>
  </w:style>
  <w:style w:type="character" w:customStyle="1" w:styleId="FootnoteTextChar">
    <w:name w:val="Footnote Text Char"/>
    <w:basedOn w:val="DefaultParagraphFont"/>
    <w:link w:val="FootnoteText"/>
    <w:rsid w:val="00D67290"/>
    <w:rPr>
      <w:rFonts w:eastAsia="Times New Roman"/>
      <w:lang w:eastAsia="en-US"/>
    </w:rPr>
  </w:style>
  <w:style w:type="character" w:styleId="FootnoteReference">
    <w:name w:val="footnote reference"/>
    <w:basedOn w:val="DefaultParagraphFont"/>
    <w:rsid w:val="00890DEA"/>
    <w:rPr>
      <w:rFonts w:ascii="Calibri" w:hAnsi="Calibri"/>
      <w:vertAlign w:val="superscript"/>
    </w:rPr>
  </w:style>
  <w:style w:type="paragraph" w:customStyle="1" w:styleId="TSYBullets">
    <w:name w:val="TSY_Bullets"/>
    <w:basedOn w:val="Normal"/>
    <w:rsid w:val="00D67290"/>
    <w:pPr>
      <w:tabs>
        <w:tab w:val="num" w:pos="425"/>
      </w:tabs>
      <w:spacing w:before="120" w:after="120"/>
      <w:ind w:left="425" w:hanging="425"/>
    </w:pPr>
    <w:rPr>
      <w:rFonts w:ascii="Times New Roman" w:hAnsi="Times New Roman"/>
      <w:szCs w:val="24"/>
      <w:lang w:eastAsia="en-AU"/>
    </w:rPr>
  </w:style>
  <w:style w:type="paragraph" w:customStyle="1" w:styleId="CGCTableHeading">
    <w:name w:val="CGC Table Heading"/>
    <w:basedOn w:val="Normal"/>
    <w:next w:val="Normal"/>
    <w:link w:val="CGCTableHeadingChar"/>
    <w:qFormat/>
    <w:rsid w:val="00D67290"/>
    <w:pPr>
      <w:keepNext/>
      <w:keepLines/>
      <w:tabs>
        <w:tab w:val="left" w:pos="1420"/>
      </w:tabs>
      <w:spacing w:before="240" w:after="120"/>
      <w:ind w:left="1418" w:hanging="1418"/>
    </w:pPr>
    <w:rPr>
      <w:b/>
    </w:rPr>
  </w:style>
  <w:style w:type="character" w:customStyle="1" w:styleId="CGCTableHeadingChar">
    <w:name w:val="CGC Table Heading Char"/>
    <w:basedOn w:val="DefaultParagraphFont"/>
    <w:link w:val="CGCTableHeading"/>
    <w:rsid w:val="00D67290"/>
    <w:rPr>
      <w:b/>
      <w:sz w:val="24"/>
      <w:lang w:eastAsia="en-US"/>
    </w:rPr>
  </w:style>
  <w:style w:type="paragraph" w:customStyle="1" w:styleId="TableName">
    <w:name w:val="Table Name"/>
    <w:basedOn w:val="Normal"/>
    <w:rsid w:val="00890DEA"/>
    <w:pPr>
      <w:keepNext/>
      <w:keepLines/>
      <w:spacing w:after="120"/>
      <w:jc w:val="center"/>
    </w:pPr>
    <w:rPr>
      <w:rFonts w:ascii="Arial" w:hAnsi="Arial"/>
      <w:b/>
      <w:sz w:val="20"/>
    </w:rPr>
  </w:style>
  <w:style w:type="paragraph" w:customStyle="1" w:styleId="AINotes">
    <w:name w:val="AI Notes"/>
    <w:basedOn w:val="Normal"/>
    <w:rsid w:val="00890DEA"/>
    <w:pPr>
      <w:numPr>
        <w:numId w:val="13"/>
      </w:numPr>
      <w:jc w:val="both"/>
    </w:pPr>
    <w:rPr>
      <w:sz w:val="16"/>
    </w:rPr>
  </w:style>
  <w:style w:type="paragraph" w:styleId="NoteHeading">
    <w:name w:val="Note Heading"/>
    <w:basedOn w:val="Normal"/>
    <w:next w:val="Normal"/>
    <w:link w:val="NoteHeadingChar"/>
    <w:rsid w:val="00890DEA"/>
    <w:pPr>
      <w:spacing w:before="120"/>
    </w:pPr>
    <w:rPr>
      <w:b/>
      <w:sz w:val="16"/>
    </w:rPr>
  </w:style>
  <w:style w:type="character" w:customStyle="1" w:styleId="NoteHeadingChar">
    <w:name w:val="Note Heading Char"/>
    <w:basedOn w:val="DefaultParagraphFont"/>
    <w:link w:val="NoteHeading"/>
    <w:rsid w:val="00D67290"/>
    <w:rPr>
      <w:rFonts w:eastAsia="Times New Roman"/>
      <w:b/>
      <w:sz w:val="16"/>
      <w:lang w:eastAsia="en-US"/>
    </w:rPr>
  </w:style>
  <w:style w:type="paragraph" w:customStyle="1" w:styleId="TableNumber">
    <w:name w:val="Table Number"/>
    <w:basedOn w:val="TableName"/>
    <w:next w:val="TableName"/>
    <w:rsid w:val="00890DEA"/>
    <w:pPr>
      <w:spacing w:before="60" w:after="0"/>
    </w:pPr>
  </w:style>
  <w:style w:type="paragraph" w:customStyle="1" w:styleId="TableTextLeftBold-BP3">
    <w:name w:val="Table Text Left Bold - BP3"/>
    <w:basedOn w:val="TableTextLeftBold-BP4"/>
    <w:rsid w:val="00890DEA"/>
    <w:rPr>
      <w:sz w:val="20"/>
    </w:rPr>
  </w:style>
  <w:style w:type="paragraph" w:customStyle="1" w:styleId="dot">
    <w:name w:val="dot"/>
    <w:basedOn w:val="Normal"/>
    <w:rsid w:val="00D67290"/>
    <w:pPr>
      <w:numPr>
        <w:numId w:val="3"/>
      </w:numPr>
    </w:pPr>
  </w:style>
  <w:style w:type="character" w:customStyle="1" w:styleId="Heading1Char">
    <w:name w:val="Heading 1 Char"/>
    <w:basedOn w:val="DefaultParagraphFont"/>
    <w:link w:val="Heading1"/>
    <w:rsid w:val="00492E38"/>
    <w:rPr>
      <w:rFonts w:ascii="Arial" w:eastAsia="Times New Roman" w:hAnsi="Arial"/>
      <w:b/>
      <w:caps/>
      <w:kern w:val="28"/>
      <w:sz w:val="28"/>
      <w:lang w:eastAsia="en-US"/>
    </w:rPr>
  </w:style>
  <w:style w:type="character" w:customStyle="1" w:styleId="Heading3Char">
    <w:name w:val="Heading 3 Char"/>
    <w:basedOn w:val="DefaultParagraphFont"/>
    <w:link w:val="Heading3"/>
    <w:rsid w:val="00492E38"/>
    <w:rPr>
      <w:rFonts w:ascii="Arial" w:eastAsia="Times New Roman" w:hAnsi="Arial" w:cs="Arial"/>
      <w:b/>
      <w:bCs/>
      <w:sz w:val="24"/>
      <w:szCs w:val="26"/>
      <w:lang w:eastAsia="en-US"/>
    </w:rPr>
  </w:style>
  <w:style w:type="character" w:customStyle="1" w:styleId="Heading4Char">
    <w:name w:val="Heading 4 Char"/>
    <w:basedOn w:val="DefaultParagraphFont"/>
    <w:link w:val="Heading4"/>
    <w:rsid w:val="00D3666F"/>
    <w:rPr>
      <w:rFonts w:eastAsia="Times New Roman"/>
      <w:i/>
      <w:sz w:val="24"/>
      <w:lang w:eastAsia="en-US"/>
    </w:rPr>
  </w:style>
  <w:style w:type="paragraph" w:styleId="ListParagraph">
    <w:name w:val="List Paragraph"/>
    <w:basedOn w:val="Normal"/>
    <w:qFormat/>
    <w:rsid w:val="00890DEA"/>
    <w:pPr>
      <w:ind w:left="720"/>
    </w:pPr>
    <w:rPr>
      <w:szCs w:val="24"/>
    </w:rPr>
  </w:style>
  <w:style w:type="paragraph" w:styleId="NormalWeb">
    <w:name w:val="Normal (Web)"/>
    <w:basedOn w:val="Normal"/>
    <w:rsid w:val="00890DEA"/>
    <w:rPr>
      <w:szCs w:val="24"/>
    </w:rPr>
  </w:style>
  <w:style w:type="table" w:styleId="TableGrid">
    <w:name w:val="Table Grid"/>
    <w:basedOn w:val="TableNormal"/>
    <w:rsid w:val="00890D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890DEA"/>
    <w:pPr>
      <w:numPr>
        <w:numId w:val="20"/>
      </w:numPr>
    </w:pPr>
  </w:style>
  <w:style w:type="paragraph" w:customStyle="1" w:styleId="PressReleaseHeading">
    <w:name w:val="Press Release Heading"/>
    <w:basedOn w:val="Normal"/>
    <w:uiPriority w:val="99"/>
    <w:rsid w:val="00492E38"/>
    <w:pPr>
      <w:spacing w:after="480"/>
    </w:pPr>
    <w:rPr>
      <w:rFonts w:ascii="Times" w:hAnsi="Times"/>
      <w:b/>
      <w:caps/>
      <w:sz w:val="28"/>
      <w:lang w:eastAsia="en-AU"/>
    </w:rPr>
  </w:style>
  <w:style w:type="paragraph" w:customStyle="1" w:styleId="MediaContact">
    <w:name w:val="Media Contact"/>
    <w:basedOn w:val="Normal"/>
    <w:uiPriority w:val="99"/>
    <w:rsid w:val="00492E38"/>
    <w:pPr>
      <w:spacing w:after="240"/>
      <w:ind w:left="1134" w:hanging="1134"/>
    </w:pPr>
    <w:rPr>
      <w:rFonts w:ascii="Times New Roman" w:hAnsi="Times New Roman"/>
      <w:lang w:eastAsia="en-AU"/>
    </w:rPr>
  </w:style>
  <w:style w:type="paragraph" w:customStyle="1" w:styleId="Tabletextindenta">
    <w:name w:val="Table text indent a"/>
    <w:aliases w:val="b,c...,c... BP3"/>
    <w:basedOn w:val="Normal"/>
    <w:link w:val="BulletChar"/>
    <w:autoRedefine/>
    <w:rsid w:val="00890DEA"/>
    <w:pPr>
      <w:numPr>
        <w:numId w:val="31"/>
      </w:numPr>
      <w:spacing w:before="60"/>
    </w:pPr>
    <w:rPr>
      <w:kern w:val="16"/>
      <w:sz w:val="20"/>
      <w:szCs w:val="24"/>
    </w:rPr>
  </w:style>
  <w:style w:type="paragraph" w:customStyle="1" w:styleId="Dash">
    <w:name w:val="Dash"/>
    <w:basedOn w:val="Normal"/>
    <w:rsid w:val="00492E38"/>
    <w:pPr>
      <w:numPr>
        <w:ilvl w:val="1"/>
        <w:numId w:val="5"/>
      </w:numPr>
      <w:spacing w:after="240" w:line="280" w:lineRule="exact"/>
    </w:pPr>
    <w:rPr>
      <w:lang w:eastAsia="en-AU"/>
    </w:rPr>
  </w:style>
  <w:style w:type="paragraph" w:customStyle="1" w:styleId="DoubleDot">
    <w:name w:val="Double Dot"/>
    <w:basedOn w:val="Normal"/>
    <w:rsid w:val="00492E38"/>
    <w:pPr>
      <w:numPr>
        <w:ilvl w:val="2"/>
        <w:numId w:val="5"/>
      </w:numPr>
      <w:spacing w:after="240" w:line="280" w:lineRule="exact"/>
    </w:pPr>
    <w:rPr>
      <w:lang w:eastAsia="en-AU"/>
    </w:rPr>
  </w:style>
  <w:style w:type="numbering" w:customStyle="1" w:styleId="BulletedList">
    <w:name w:val="Bulleted List"/>
    <w:uiPriority w:val="99"/>
    <w:rsid w:val="00492E38"/>
    <w:pPr>
      <w:numPr>
        <w:numId w:val="5"/>
      </w:numPr>
    </w:pPr>
  </w:style>
  <w:style w:type="character" w:customStyle="1" w:styleId="BulletChar">
    <w:name w:val="Bullet Char"/>
    <w:link w:val="Tabletextindenta"/>
    <w:locked/>
    <w:rsid w:val="00492E38"/>
    <w:rPr>
      <w:rFonts w:eastAsia="Times New Roman"/>
      <w:kern w:val="16"/>
      <w:szCs w:val="24"/>
      <w:lang w:eastAsia="en-US"/>
    </w:rPr>
  </w:style>
  <w:style w:type="paragraph" w:customStyle="1" w:styleId="Default">
    <w:name w:val="Default"/>
    <w:rsid w:val="00492E38"/>
    <w:pPr>
      <w:autoSpaceDE w:val="0"/>
      <w:autoSpaceDN w:val="0"/>
      <w:adjustRightInd w:val="0"/>
    </w:pPr>
    <w:rPr>
      <w:rFonts w:cs="Calibri"/>
      <w:color w:val="000000"/>
      <w:sz w:val="24"/>
      <w:szCs w:val="24"/>
    </w:rPr>
  </w:style>
  <w:style w:type="paragraph" w:customStyle="1" w:styleId="CGCTableFootnote">
    <w:name w:val="CGC Table Footnote"/>
    <w:basedOn w:val="Normal"/>
    <w:next w:val="NoSpacing"/>
    <w:link w:val="CGCTableFootnoteChar"/>
    <w:qFormat/>
    <w:rsid w:val="00492E38"/>
    <w:pPr>
      <w:tabs>
        <w:tab w:val="left" w:pos="851"/>
      </w:tabs>
      <w:ind w:left="851" w:hanging="851"/>
    </w:pPr>
    <w:rPr>
      <w:sz w:val="20"/>
      <w:szCs w:val="24"/>
    </w:rPr>
  </w:style>
  <w:style w:type="character" w:customStyle="1" w:styleId="CGCTableFootnoteChar">
    <w:name w:val="CGC Table Footnote Char"/>
    <w:basedOn w:val="DefaultParagraphFont"/>
    <w:link w:val="CGCTableFootnote"/>
    <w:rsid w:val="00492E38"/>
    <w:rPr>
      <w:szCs w:val="24"/>
      <w:lang w:eastAsia="en-US"/>
    </w:rPr>
  </w:style>
  <w:style w:type="paragraph" w:styleId="NoSpacing">
    <w:name w:val="No Spacing"/>
    <w:uiPriority w:val="1"/>
    <w:qFormat/>
    <w:rsid w:val="00492E38"/>
    <w:rPr>
      <w:sz w:val="22"/>
      <w:szCs w:val="22"/>
      <w:lang w:eastAsia="en-US"/>
    </w:rPr>
  </w:style>
  <w:style w:type="paragraph" w:customStyle="1" w:styleId="Heading3TopofPage">
    <w:name w:val="Heading 3 Top of Page"/>
    <w:basedOn w:val="Heading3"/>
    <w:next w:val="BodyText"/>
    <w:rsid w:val="00890DEA"/>
    <w:pPr>
      <w:spacing w:before="0"/>
    </w:pPr>
    <w:rPr>
      <w:rFonts w:cs="Times New Roman"/>
      <w:lang w:eastAsia="en-AU"/>
    </w:rPr>
  </w:style>
  <w:style w:type="paragraph" w:customStyle="1" w:styleId="million">
    <w:name w:val="$million"/>
    <w:basedOn w:val="Normal"/>
    <w:link w:val="millionChar"/>
    <w:qFormat/>
    <w:rsid w:val="00492E38"/>
    <w:pPr>
      <w:jc w:val="center"/>
    </w:pPr>
    <w:rPr>
      <w:i/>
      <w:sz w:val="18"/>
      <w:szCs w:val="18"/>
    </w:rPr>
  </w:style>
  <w:style w:type="paragraph" w:customStyle="1" w:styleId="Chartheading">
    <w:name w:val="Chart heading"/>
    <w:basedOn w:val="Normal"/>
    <w:next w:val="Normal"/>
    <w:qFormat/>
    <w:rsid w:val="00492E38"/>
    <w:pPr>
      <w:keepNext/>
      <w:spacing w:before="240" w:after="120"/>
      <w:ind w:left="1152" w:hanging="1152"/>
    </w:pPr>
    <w:rPr>
      <w:b/>
    </w:rPr>
  </w:style>
  <w:style w:type="paragraph" w:customStyle="1" w:styleId="Source">
    <w:name w:val="Source"/>
    <w:basedOn w:val="Normal"/>
    <w:next w:val="Normal"/>
    <w:link w:val="SourceChar"/>
    <w:qFormat/>
    <w:locked/>
    <w:rsid w:val="00492E38"/>
    <w:pPr>
      <w:spacing w:after="120"/>
    </w:pPr>
    <w:rPr>
      <w:i/>
      <w:sz w:val="15"/>
    </w:rPr>
  </w:style>
  <w:style w:type="paragraph" w:customStyle="1" w:styleId="Chartpara">
    <w:name w:val="Chart para"/>
    <w:basedOn w:val="Normal"/>
    <w:semiHidden/>
    <w:rsid w:val="00492E38"/>
    <w:rPr>
      <w:rFonts w:ascii="Garamond" w:hAnsi="Garamond"/>
    </w:rPr>
  </w:style>
  <w:style w:type="character" w:customStyle="1" w:styleId="millionChar">
    <w:name w:val="$million Char"/>
    <w:link w:val="million"/>
    <w:rsid w:val="00492E38"/>
    <w:rPr>
      <w:rFonts w:eastAsia="Times New Roman"/>
      <w:i/>
      <w:sz w:val="18"/>
      <w:szCs w:val="18"/>
    </w:rPr>
  </w:style>
  <w:style w:type="character" w:customStyle="1" w:styleId="SourceChar">
    <w:name w:val="Source Char"/>
    <w:link w:val="Source"/>
    <w:locked/>
    <w:rsid w:val="00492E38"/>
    <w:rPr>
      <w:rFonts w:eastAsia="Times New Roman"/>
      <w:i/>
      <w:sz w:val="15"/>
    </w:rPr>
  </w:style>
  <w:style w:type="paragraph" w:customStyle="1" w:styleId="Object">
    <w:name w:val="Object"/>
    <w:basedOn w:val="Normal"/>
    <w:next w:val="Normal"/>
    <w:link w:val="ObjectChar"/>
    <w:rsid w:val="00492E38"/>
    <w:pPr>
      <w:jc w:val="center"/>
    </w:pPr>
    <w:rPr>
      <w:rFonts w:ascii="Times New Roman" w:hAnsi="Times New Roman"/>
      <w:sz w:val="20"/>
      <w:lang w:val="en-US"/>
    </w:rPr>
  </w:style>
  <w:style w:type="paragraph" w:customStyle="1" w:styleId="Table1X">
    <w:name w:val="Table 1.X"/>
    <w:basedOn w:val="Normal"/>
    <w:rsid w:val="00492E38"/>
    <w:pPr>
      <w:widowControl w:val="0"/>
      <w:numPr>
        <w:numId w:val="6"/>
      </w:numPr>
      <w:tabs>
        <w:tab w:val="left" w:pos="1232"/>
      </w:tabs>
      <w:spacing w:before="360" w:after="120"/>
      <w:ind w:left="1418" w:hanging="1418"/>
    </w:pPr>
    <w:rPr>
      <w:rFonts w:ascii="Lucida Sans" w:hAnsi="Lucida Sans"/>
      <w:bCs/>
      <w:kern w:val="28"/>
      <w:lang w:val="en-US"/>
    </w:rPr>
  </w:style>
  <w:style w:type="character" w:customStyle="1" w:styleId="ObjectChar">
    <w:name w:val="Object Char"/>
    <w:link w:val="Object"/>
    <w:rsid w:val="00492E38"/>
    <w:rPr>
      <w:rFonts w:ascii="Times New Roman" w:eastAsia="Times New Roman" w:hAnsi="Times New Roman"/>
      <w:lang w:val="en-US"/>
    </w:rPr>
  </w:style>
  <w:style w:type="character" w:styleId="CommentReference">
    <w:name w:val="annotation reference"/>
    <w:basedOn w:val="DefaultParagraphFont"/>
    <w:rsid w:val="00890DEA"/>
    <w:rPr>
      <w:rFonts w:ascii="Calibri" w:hAnsi="Calibri"/>
      <w:sz w:val="16"/>
      <w:szCs w:val="16"/>
    </w:rPr>
  </w:style>
  <w:style w:type="paragraph" w:styleId="CommentText">
    <w:name w:val="annotation text"/>
    <w:basedOn w:val="Normal"/>
    <w:link w:val="CommentTextChar"/>
    <w:rsid w:val="00890DEA"/>
    <w:rPr>
      <w:sz w:val="20"/>
    </w:rPr>
  </w:style>
  <w:style w:type="character" w:customStyle="1" w:styleId="CommentTextChar">
    <w:name w:val="Comment Text Char"/>
    <w:basedOn w:val="DefaultParagraphFont"/>
    <w:link w:val="CommentText"/>
    <w:rsid w:val="00492E38"/>
    <w:rPr>
      <w:rFonts w:eastAsia="Times New Roman"/>
      <w:lang w:eastAsia="en-US"/>
    </w:rPr>
  </w:style>
  <w:style w:type="paragraph" w:styleId="CommentSubject">
    <w:name w:val="annotation subject"/>
    <w:basedOn w:val="CommentText"/>
    <w:next w:val="CommentText"/>
    <w:link w:val="CommentSubjectChar"/>
    <w:rsid w:val="00890DEA"/>
    <w:rPr>
      <w:b/>
      <w:bCs/>
    </w:rPr>
  </w:style>
  <w:style w:type="character" w:customStyle="1" w:styleId="CommentSubjectChar">
    <w:name w:val="Comment Subject Char"/>
    <w:basedOn w:val="CommentTextChar"/>
    <w:link w:val="CommentSubject"/>
    <w:rsid w:val="00492E38"/>
    <w:rPr>
      <w:b/>
      <w:bCs/>
    </w:rPr>
  </w:style>
  <w:style w:type="paragraph" w:styleId="BodyTextIndent">
    <w:name w:val="Body Text Indent"/>
    <w:basedOn w:val="Normal"/>
    <w:next w:val="BodyText"/>
    <w:link w:val="BodyTextIndentChar"/>
    <w:rsid w:val="00890DEA"/>
    <w:pPr>
      <w:keepNext/>
      <w:keepLines/>
      <w:numPr>
        <w:numId w:val="15"/>
      </w:numPr>
      <w:spacing w:after="120"/>
      <w:jc w:val="both"/>
    </w:pPr>
    <w:rPr>
      <w:szCs w:val="24"/>
    </w:rPr>
  </w:style>
  <w:style w:type="character" w:customStyle="1" w:styleId="BodyTextIndentChar">
    <w:name w:val="Body Text Indent Char"/>
    <w:basedOn w:val="DefaultParagraphFont"/>
    <w:link w:val="BodyTextIndent"/>
    <w:rsid w:val="00B4368D"/>
    <w:rPr>
      <w:rFonts w:eastAsia="Times New Roman"/>
      <w:sz w:val="24"/>
      <w:szCs w:val="24"/>
      <w:lang w:eastAsia="en-US"/>
    </w:rPr>
  </w:style>
  <w:style w:type="paragraph" w:styleId="BodyTextIndent2">
    <w:name w:val="Body Text Indent 2"/>
    <w:basedOn w:val="Normal"/>
    <w:link w:val="BodyTextIndent2Char"/>
    <w:rsid w:val="00890DEA"/>
    <w:pPr>
      <w:keepNext/>
      <w:keepLines/>
      <w:numPr>
        <w:numId w:val="16"/>
      </w:numPr>
      <w:spacing w:after="120"/>
      <w:jc w:val="both"/>
    </w:pPr>
  </w:style>
  <w:style w:type="character" w:customStyle="1" w:styleId="BodyTextIndent2Char">
    <w:name w:val="Body Text Indent 2 Char"/>
    <w:basedOn w:val="DefaultParagraphFont"/>
    <w:link w:val="BodyTextIndent2"/>
    <w:rsid w:val="001B1073"/>
    <w:rPr>
      <w:rFonts w:eastAsia="Times New Roman"/>
      <w:sz w:val="24"/>
      <w:lang w:eastAsia="en-US"/>
    </w:rPr>
  </w:style>
  <w:style w:type="paragraph" w:customStyle="1" w:styleId="NoteText">
    <w:name w:val="Note Text"/>
    <w:basedOn w:val="Normal"/>
    <w:rsid w:val="00890DEA"/>
    <w:pPr>
      <w:jc w:val="both"/>
    </w:pPr>
    <w:rPr>
      <w:iCs/>
      <w:sz w:val="16"/>
    </w:rPr>
  </w:style>
  <w:style w:type="character" w:styleId="FollowedHyperlink">
    <w:name w:val="FollowedHyperlink"/>
    <w:basedOn w:val="DefaultParagraphFont"/>
    <w:uiPriority w:val="99"/>
    <w:semiHidden/>
    <w:rsid w:val="00890DEA"/>
    <w:rPr>
      <w:color w:val="800080"/>
      <w:u w:val="single"/>
    </w:rPr>
  </w:style>
  <w:style w:type="paragraph" w:customStyle="1" w:styleId="FooterBP">
    <w:name w:val="Footer BP"/>
    <w:basedOn w:val="Normal"/>
    <w:next w:val="Normal"/>
    <w:rsid w:val="00890DEA"/>
    <w:pPr>
      <w:pBdr>
        <w:top w:val="single" w:sz="4" w:space="1" w:color="auto"/>
      </w:pBdr>
      <w:tabs>
        <w:tab w:val="center" w:pos="4536"/>
        <w:tab w:val="right" w:pos="9356"/>
      </w:tabs>
      <w:ind w:left="-284" w:right="-329"/>
    </w:pPr>
    <w:rPr>
      <w:i/>
      <w:sz w:val="20"/>
    </w:rPr>
  </w:style>
  <w:style w:type="character" w:styleId="PageNumber">
    <w:name w:val="page number"/>
    <w:basedOn w:val="DefaultParagraphFont"/>
    <w:semiHidden/>
    <w:rsid w:val="00890DEA"/>
  </w:style>
  <w:style w:type="numbering" w:styleId="111111">
    <w:name w:val="Outline List 2"/>
    <w:basedOn w:val="NoList"/>
    <w:semiHidden/>
    <w:rsid w:val="00890DEA"/>
    <w:pPr>
      <w:numPr>
        <w:numId w:val="11"/>
      </w:numPr>
    </w:pPr>
  </w:style>
  <w:style w:type="numbering" w:styleId="1ai">
    <w:name w:val="Outline List 1"/>
    <w:basedOn w:val="NoList"/>
    <w:semiHidden/>
    <w:rsid w:val="00890DEA"/>
    <w:pPr>
      <w:numPr>
        <w:numId w:val="12"/>
      </w:numPr>
    </w:pPr>
  </w:style>
  <w:style w:type="paragraph" w:customStyle="1" w:styleId="n">
    <w:name w:val="n"/>
    <w:basedOn w:val="Normal"/>
    <w:semiHidden/>
    <w:rsid w:val="00890DEA"/>
    <w:pPr>
      <w:jc w:val="both"/>
    </w:pPr>
    <w:rPr>
      <w:sz w:val="16"/>
      <w:szCs w:val="24"/>
    </w:rPr>
  </w:style>
  <w:style w:type="paragraph" w:customStyle="1" w:styleId="1n">
    <w:name w:val="1. n"/>
    <w:basedOn w:val="n"/>
    <w:rsid w:val="00890DEA"/>
    <w:rPr>
      <w:iCs/>
      <w:szCs w:val="20"/>
    </w:rPr>
  </w:style>
  <w:style w:type="paragraph" w:customStyle="1" w:styleId="an">
    <w:name w:val="a. n"/>
    <w:basedOn w:val="n"/>
    <w:rsid w:val="00890DEA"/>
    <w:rPr>
      <w:iCs/>
      <w:szCs w:val="20"/>
    </w:rPr>
  </w:style>
  <w:style w:type="paragraph" w:customStyle="1" w:styleId="AIblurb">
    <w:name w:val="AI blurb"/>
    <w:basedOn w:val="Normal"/>
    <w:rsid w:val="00890DEA"/>
    <w:pPr>
      <w:spacing w:before="120" w:after="240"/>
      <w:ind w:left="380"/>
      <w:jc w:val="both"/>
    </w:pPr>
    <w:rPr>
      <w:sz w:val="20"/>
    </w:rPr>
  </w:style>
  <w:style w:type="paragraph" w:customStyle="1" w:styleId="AIIndent">
    <w:name w:val="AI Indent"/>
    <w:basedOn w:val="Normal"/>
    <w:rsid w:val="00890DEA"/>
    <w:pPr>
      <w:tabs>
        <w:tab w:val="num" w:pos="360"/>
      </w:tabs>
      <w:ind w:left="357" w:hanging="357"/>
    </w:pPr>
    <w:rPr>
      <w:sz w:val="20"/>
    </w:rPr>
  </w:style>
  <w:style w:type="paragraph" w:customStyle="1" w:styleId="AITableText">
    <w:name w:val="AI Table Text"/>
    <w:basedOn w:val="Normal"/>
    <w:rsid w:val="00890DEA"/>
    <w:pPr>
      <w:jc w:val="right"/>
    </w:pPr>
    <w:rPr>
      <w:sz w:val="20"/>
      <w:szCs w:val="24"/>
    </w:rPr>
  </w:style>
  <w:style w:type="character" w:customStyle="1" w:styleId="Heading2Char">
    <w:name w:val="Heading 2 Char"/>
    <w:basedOn w:val="DefaultParagraphFont"/>
    <w:link w:val="Heading2"/>
    <w:rsid w:val="00890DEA"/>
    <w:rPr>
      <w:rFonts w:eastAsia="Times New Roman"/>
      <w:b/>
      <w:snapToGrid w:val="0"/>
      <w:lang w:eastAsia="en-US"/>
    </w:rPr>
  </w:style>
  <w:style w:type="character" w:customStyle="1" w:styleId="Heading5Char">
    <w:name w:val="Heading 5 Char"/>
    <w:basedOn w:val="DefaultParagraphFont"/>
    <w:link w:val="Heading5"/>
    <w:rsid w:val="00890DEA"/>
    <w:rPr>
      <w:rFonts w:eastAsia="Times New Roman"/>
      <w:b/>
      <w:i/>
      <w:lang w:eastAsia="en-US"/>
    </w:rPr>
  </w:style>
  <w:style w:type="character" w:customStyle="1" w:styleId="Heading6Char">
    <w:name w:val="Heading 6 Char"/>
    <w:basedOn w:val="DefaultParagraphFont"/>
    <w:link w:val="Heading6"/>
    <w:rsid w:val="00890DEA"/>
    <w:rPr>
      <w:rFonts w:eastAsia="Times New Roman"/>
      <w:b/>
      <w:lang w:eastAsia="en-US"/>
    </w:rPr>
  </w:style>
  <w:style w:type="character" w:customStyle="1" w:styleId="Heading7Char">
    <w:name w:val="Heading 7 Char"/>
    <w:basedOn w:val="DefaultParagraphFont"/>
    <w:link w:val="Heading7"/>
    <w:rsid w:val="00890DEA"/>
    <w:rPr>
      <w:rFonts w:eastAsia="Times New Roman"/>
      <w:b/>
      <w:lang w:eastAsia="en-US"/>
    </w:rPr>
  </w:style>
  <w:style w:type="character" w:customStyle="1" w:styleId="Heading8Char">
    <w:name w:val="Heading 8 Char"/>
    <w:basedOn w:val="DefaultParagraphFont"/>
    <w:link w:val="Heading8"/>
    <w:rsid w:val="00890DEA"/>
    <w:rPr>
      <w:rFonts w:ascii="Arial" w:eastAsia="Times New Roman" w:hAnsi="Arial"/>
      <w:b/>
      <w:snapToGrid w:val="0"/>
      <w:color w:val="000000"/>
      <w:lang w:eastAsia="en-US"/>
    </w:rPr>
  </w:style>
  <w:style w:type="character" w:customStyle="1" w:styleId="Heading9Char">
    <w:name w:val="Heading 9 Char"/>
    <w:basedOn w:val="DefaultParagraphFont"/>
    <w:link w:val="Heading9"/>
    <w:rsid w:val="00890DEA"/>
    <w:rPr>
      <w:rFonts w:ascii="Arial" w:eastAsia="Times New Roman" w:hAnsi="Arial" w:cs="Arial"/>
      <w:b/>
      <w:snapToGrid w:val="0"/>
      <w:color w:val="000000"/>
      <w:sz w:val="18"/>
      <w:lang w:eastAsia="en-US"/>
    </w:rPr>
  </w:style>
  <w:style w:type="numbering" w:styleId="ArticleSection">
    <w:name w:val="Outline List 3"/>
    <w:basedOn w:val="NoList"/>
    <w:semiHidden/>
    <w:rsid w:val="00890DEA"/>
    <w:pPr>
      <w:numPr>
        <w:numId w:val="14"/>
      </w:numPr>
    </w:pPr>
  </w:style>
  <w:style w:type="paragraph" w:styleId="BlockText">
    <w:name w:val="Block Text"/>
    <w:basedOn w:val="Normal"/>
    <w:semiHidden/>
    <w:rsid w:val="00890DEA"/>
    <w:pPr>
      <w:spacing w:after="120"/>
      <w:ind w:left="1440" w:right="1440"/>
    </w:pPr>
  </w:style>
  <w:style w:type="paragraph" w:styleId="BodyText2">
    <w:name w:val="Body Text 2"/>
    <w:basedOn w:val="Normal"/>
    <w:link w:val="BodyText2Char"/>
    <w:semiHidden/>
    <w:rsid w:val="00890DEA"/>
    <w:pPr>
      <w:spacing w:after="120" w:line="480" w:lineRule="auto"/>
    </w:pPr>
  </w:style>
  <w:style w:type="character" w:customStyle="1" w:styleId="BodyText2Char">
    <w:name w:val="Body Text 2 Char"/>
    <w:basedOn w:val="DefaultParagraphFont"/>
    <w:link w:val="BodyText2"/>
    <w:semiHidden/>
    <w:rsid w:val="00890DEA"/>
    <w:rPr>
      <w:rFonts w:eastAsia="Times New Roman"/>
      <w:sz w:val="24"/>
      <w:lang w:eastAsia="en-US"/>
    </w:rPr>
  </w:style>
  <w:style w:type="paragraph" w:styleId="BodyText3">
    <w:name w:val="Body Text 3"/>
    <w:basedOn w:val="Normal"/>
    <w:link w:val="BodyText3Char"/>
    <w:semiHidden/>
    <w:rsid w:val="00890DEA"/>
    <w:pPr>
      <w:spacing w:after="120"/>
    </w:pPr>
    <w:rPr>
      <w:sz w:val="16"/>
      <w:szCs w:val="16"/>
    </w:rPr>
  </w:style>
  <w:style w:type="character" w:customStyle="1" w:styleId="BodyText3Char">
    <w:name w:val="Body Text 3 Char"/>
    <w:basedOn w:val="DefaultParagraphFont"/>
    <w:link w:val="BodyText3"/>
    <w:semiHidden/>
    <w:rsid w:val="00890DEA"/>
    <w:rPr>
      <w:rFonts w:eastAsia="Times New Roman"/>
      <w:sz w:val="16"/>
      <w:szCs w:val="16"/>
      <w:lang w:eastAsia="en-US"/>
    </w:rPr>
  </w:style>
  <w:style w:type="paragraph" w:styleId="BodyTextFirstIndent">
    <w:name w:val="Body Text First Indent"/>
    <w:basedOn w:val="BodyText"/>
    <w:link w:val="BodyTextFirstIndentChar"/>
    <w:semiHidden/>
    <w:rsid w:val="00890DEA"/>
    <w:pPr>
      <w:spacing w:before="0"/>
      <w:ind w:firstLine="210"/>
      <w:jc w:val="left"/>
    </w:pPr>
  </w:style>
  <w:style w:type="character" w:customStyle="1" w:styleId="BodyTextFirstIndentChar">
    <w:name w:val="Body Text First Indent Char"/>
    <w:basedOn w:val="BodyTextChar"/>
    <w:link w:val="BodyTextFirstIndent"/>
    <w:semiHidden/>
    <w:rsid w:val="00890DEA"/>
  </w:style>
  <w:style w:type="paragraph" w:styleId="BodyTextFirstIndent2">
    <w:name w:val="Body Text First Indent 2"/>
    <w:basedOn w:val="BodyTextIndent"/>
    <w:link w:val="BodyTextFirstIndent2Char"/>
    <w:semiHidden/>
    <w:rsid w:val="00890DEA"/>
    <w:pPr>
      <w:numPr>
        <w:numId w:val="0"/>
      </w:numPr>
      <w:ind w:left="283" w:firstLine="210"/>
      <w:jc w:val="left"/>
    </w:pPr>
  </w:style>
  <w:style w:type="character" w:customStyle="1" w:styleId="BodyTextFirstIndent2Char">
    <w:name w:val="Body Text First Indent 2 Char"/>
    <w:basedOn w:val="BodyTextIndentChar"/>
    <w:link w:val="BodyTextFirstIndent2"/>
    <w:semiHidden/>
    <w:rsid w:val="00890DEA"/>
  </w:style>
  <w:style w:type="paragraph" w:styleId="BodyTextIndent3">
    <w:name w:val="Body Text Indent 3"/>
    <w:basedOn w:val="Normal"/>
    <w:link w:val="BodyTextIndent3Char"/>
    <w:rsid w:val="00890DEA"/>
    <w:pPr>
      <w:keepNext/>
      <w:keepLines/>
      <w:numPr>
        <w:numId w:val="17"/>
      </w:numPr>
      <w:tabs>
        <w:tab w:val="left" w:pos="1134"/>
      </w:tabs>
      <w:spacing w:after="120"/>
      <w:jc w:val="both"/>
    </w:pPr>
    <w:rPr>
      <w:szCs w:val="24"/>
    </w:rPr>
  </w:style>
  <w:style w:type="character" w:customStyle="1" w:styleId="BodyTextIndent3Char">
    <w:name w:val="Body Text Indent 3 Char"/>
    <w:basedOn w:val="DefaultParagraphFont"/>
    <w:link w:val="BodyTextIndent3"/>
    <w:rsid w:val="00890DEA"/>
    <w:rPr>
      <w:rFonts w:eastAsia="Times New Roman"/>
      <w:sz w:val="24"/>
      <w:szCs w:val="24"/>
      <w:lang w:eastAsia="en-US"/>
    </w:rPr>
  </w:style>
  <w:style w:type="paragraph" w:customStyle="1" w:styleId="BodyTextIndent4">
    <w:name w:val="Body Text Indent 4"/>
    <w:basedOn w:val="BodyText"/>
    <w:next w:val="BodyText"/>
    <w:rsid w:val="00890DEA"/>
    <w:pPr>
      <w:numPr>
        <w:numId w:val="18"/>
      </w:numPr>
      <w:spacing w:before="0"/>
    </w:pPr>
  </w:style>
  <w:style w:type="character" w:customStyle="1" w:styleId="CharChar">
    <w:name w:val="Char Char"/>
    <w:basedOn w:val="DefaultParagraphFont"/>
    <w:rsid w:val="00890DEA"/>
    <w:rPr>
      <w:rFonts w:ascii="Calibri" w:hAnsi="Calibri"/>
      <w:sz w:val="24"/>
      <w:lang w:val="en-AU" w:eastAsia="en-US" w:bidi="ar-SA"/>
    </w:rPr>
  </w:style>
  <w:style w:type="character" w:customStyle="1" w:styleId="CharChar1">
    <w:name w:val="Char Char1"/>
    <w:basedOn w:val="DefaultParagraphFont"/>
    <w:rsid w:val="00890DEA"/>
    <w:rPr>
      <w:rFonts w:ascii="Arial" w:hAnsi="Arial" w:cs="Arial"/>
      <w:b/>
      <w:bCs/>
      <w:sz w:val="24"/>
      <w:szCs w:val="26"/>
      <w:lang w:val="en-AU" w:eastAsia="en-US" w:bidi="ar-SA"/>
    </w:rPr>
  </w:style>
  <w:style w:type="paragraph" w:styleId="Closing">
    <w:name w:val="Closing"/>
    <w:basedOn w:val="Normal"/>
    <w:link w:val="ClosingChar"/>
    <w:semiHidden/>
    <w:rsid w:val="00890DEA"/>
    <w:pPr>
      <w:ind w:left="4252"/>
    </w:pPr>
  </w:style>
  <w:style w:type="character" w:customStyle="1" w:styleId="ClosingChar">
    <w:name w:val="Closing Char"/>
    <w:basedOn w:val="DefaultParagraphFont"/>
    <w:link w:val="Closing"/>
    <w:semiHidden/>
    <w:rsid w:val="00890DEA"/>
    <w:rPr>
      <w:rFonts w:eastAsia="Times New Roman"/>
      <w:sz w:val="24"/>
      <w:lang w:eastAsia="en-US"/>
    </w:rPr>
  </w:style>
  <w:style w:type="table" w:styleId="ColorfulGrid-Accent2">
    <w:name w:val="Colorful Grid Accent 2"/>
    <w:basedOn w:val="TableNormal"/>
    <w:uiPriority w:val="73"/>
    <w:rsid w:val="00890DEA"/>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90DEA"/>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90DEA"/>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90DEA"/>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90DEA"/>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Date">
    <w:name w:val="Date"/>
    <w:basedOn w:val="Normal"/>
    <w:next w:val="Normal"/>
    <w:link w:val="DateChar"/>
    <w:semiHidden/>
    <w:rsid w:val="00890DEA"/>
  </w:style>
  <w:style w:type="character" w:customStyle="1" w:styleId="DateChar">
    <w:name w:val="Date Char"/>
    <w:basedOn w:val="DefaultParagraphFont"/>
    <w:link w:val="Date"/>
    <w:semiHidden/>
    <w:rsid w:val="00890DEA"/>
    <w:rPr>
      <w:rFonts w:eastAsia="Times New Roman"/>
      <w:sz w:val="24"/>
      <w:lang w:eastAsia="en-US"/>
    </w:rPr>
  </w:style>
  <w:style w:type="paragraph" w:styleId="E-mailSignature">
    <w:name w:val="E-mail Signature"/>
    <w:basedOn w:val="Normal"/>
    <w:link w:val="E-mailSignatureChar"/>
    <w:semiHidden/>
    <w:rsid w:val="00890DEA"/>
  </w:style>
  <w:style w:type="character" w:customStyle="1" w:styleId="E-mailSignatureChar">
    <w:name w:val="E-mail Signature Char"/>
    <w:basedOn w:val="DefaultParagraphFont"/>
    <w:link w:val="E-mailSignature"/>
    <w:semiHidden/>
    <w:rsid w:val="00890DEA"/>
    <w:rPr>
      <w:rFonts w:eastAsia="Times New Roman"/>
      <w:sz w:val="24"/>
      <w:lang w:eastAsia="en-US"/>
    </w:rPr>
  </w:style>
  <w:style w:type="character" w:styleId="Emphasis">
    <w:name w:val="Emphasis"/>
    <w:basedOn w:val="DefaultParagraphFont"/>
    <w:qFormat/>
    <w:rsid w:val="00890DEA"/>
    <w:rPr>
      <w:rFonts w:ascii="Calibri" w:hAnsi="Calibri"/>
      <w:i/>
      <w:iCs/>
    </w:rPr>
  </w:style>
  <w:style w:type="character" w:styleId="EndnoteReference">
    <w:name w:val="endnote reference"/>
    <w:basedOn w:val="DefaultParagraphFont"/>
    <w:rsid w:val="00890DEA"/>
    <w:rPr>
      <w:rFonts w:ascii="Calibri" w:hAnsi="Calibri"/>
      <w:vertAlign w:val="superscript"/>
    </w:rPr>
  </w:style>
  <w:style w:type="paragraph" w:styleId="EndnoteText">
    <w:name w:val="endnote text"/>
    <w:basedOn w:val="Normal"/>
    <w:link w:val="EndnoteTextChar"/>
    <w:rsid w:val="00890DEA"/>
    <w:rPr>
      <w:sz w:val="20"/>
    </w:rPr>
  </w:style>
  <w:style w:type="character" w:customStyle="1" w:styleId="EndnoteTextChar">
    <w:name w:val="Endnote Text Char"/>
    <w:basedOn w:val="DefaultParagraphFont"/>
    <w:link w:val="EndnoteText"/>
    <w:rsid w:val="00890DEA"/>
    <w:rPr>
      <w:rFonts w:eastAsia="Times New Roman"/>
      <w:lang w:eastAsia="en-US"/>
    </w:rPr>
  </w:style>
  <w:style w:type="paragraph" w:styleId="EnvelopeAddress">
    <w:name w:val="envelope address"/>
    <w:basedOn w:val="Normal"/>
    <w:semiHidden/>
    <w:rsid w:val="00890DE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890DEA"/>
    <w:rPr>
      <w:rFonts w:ascii="Arial" w:hAnsi="Arial" w:cs="Arial"/>
      <w:sz w:val="20"/>
    </w:rPr>
  </w:style>
  <w:style w:type="paragraph" w:customStyle="1" w:styleId="Heading3Centred">
    <w:name w:val="Heading 3 Centred"/>
    <w:basedOn w:val="Heading3"/>
    <w:next w:val="BodyText"/>
    <w:rsid w:val="00890DEA"/>
    <w:pPr>
      <w:spacing w:before="0"/>
      <w:jc w:val="center"/>
    </w:pPr>
    <w:rPr>
      <w:rFonts w:cs="Times New Roman"/>
      <w:lang w:eastAsia="en-AU"/>
    </w:rPr>
  </w:style>
  <w:style w:type="character" w:styleId="HTMLAcronym">
    <w:name w:val="HTML Acronym"/>
    <w:basedOn w:val="DefaultParagraphFont"/>
    <w:semiHidden/>
    <w:rsid w:val="00890DEA"/>
  </w:style>
  <w:style w:type="paragraph" w:styleId="HTMLAddress">
    <w:name w:val="HTML Address"/>
    <w:basedOn w:val="Normal"/>
    <w:link w:val="HTMLAddressChar"/>
    <w:semiHidden/>
    <w:rsid w:val="00890DEA"/>
    <w:rPr>
      <w:i/>
      <w:iCs/>
    </w:rPr>
  </w:style>
  <w:style w:type="character" w:customStyle="1" w:styleId="HTMLAddressChar">
    <w:name w:val="HTML Address Char"/>
    <w:basedOn w:val="DefaultParagraphFont"/>
    <w:link w:val="HTMLAddress"/>
    <w:semiHidden/>
    <w:rsid w:val="00890DEA"/>
    <w:rPr>
      <w:rFonts w:eastAsia="Times New Roman"/>
      <w:i/>
      <w:iCs/>
      <w:sz w:val="24"/>
      <w:lang w:eastAsia="en-US"/>
    </w:rPr>
  </w:style>
  <w:style w:type="character" w:styleId="HTMLCite">
    <w:name w:val="HTML Cite"/>
    <w:basedOn w:val="DefaultParagraphFont"/>
    <w:semiHidden/>
    <w:rsid w:val="00890DEA"/>
    <w:rPr>
      <w:i/>
      <w:iCs/>
    </w:rPr>
  </w:style>
  <w:style w:type="character" w:styleId="HTMLCode">
    <w:name w:val="HTML Code"/>
    <w:basedOn w:val="DefaultParagraphFont"/>
    <w:semiHidden/>
    <w:rsid w:val="00890DEA"/>
    <w:rPr>
      <w:rFonts w:ascii="Courier New" w:hAnsi="Courier New" w:cs="Courier New"/>
      <w:sz w:val="20"/>
      <w:szCs w:val="20"/>
    </w:rPr>
  </w:style>
  <w:style w:type="character" w:styleId="HTMLDefinition">
    <w:name w:val="HTML Definition"/>
    <w:basedOn w:val="DefaultParagraphFont"/>
    <w:semiHidden/>
    <w:rsid w:val="00890DEA"/>
    <w:rPr>
      <w:i/>
      <w:iCs/>
    </w:rPr>
  </w:style>
  <w:style w:type="character" w:styleId="HTMLKeyboard">
    <w:name w:val="HTML Keyboard"/>
    <w:basedOn w:val="DefaultParagraphFont"/>
    <w:semiHidden/>
    <w:rsid w:val="00890DEA"/>
    <w:rPr>
      <w:rFonts w:ascii="Courier New" w:hAnsi="Courier New" w:cs="Courier New"/>
      <w:sz w:val="20"/>
      <w:szCs w:val="20"/>
    </w:rPr>
  </w:style>
  <w:style w:type="paragraph" w:styleId="HTMLPreformatted">
    <w:name w:val="HTML Preformatted"/>
    <w:basedOn w:val="Normal"/>
    <w:link w:val="HTMLPreformattedChar"/>
    <w:semiHidden/>
    <w:rsid w:val="00890DEA"/>
    <w:rPr>
      <w:rFonts w:ascii="Courier New" w:hAnsi="Courier New" w:cs="Courier New"/>
      <w:sz w:val="20"/>
    </w:rPr>
  </w:style>
  <w:style w:type="character" w:customStyle="1" w:styleId="HTMLPreformattedChar">
    <w:name w:val="HTML Preformatted Char"/>
    <w:basedOn w:val="DefaultParagraphFont"/>
    <w:link w:val="HTMLPreformatted"/>
    <w:semiHidden/>
    <w:rsid w:val="00890DEA"/>
    <w:rPr>
      <w:rFonts w:ascii="Courier New" w:eastAsia="Times New Roman" w:hAnsi="Courier New" w:cs="Courier New"/>
      <w:lang w:eastAsia="en-US"/>
    </w:rPr>
  </w:style>
  <w:style w:type="character" w:styleId="HTMLSample">
    <w:name w:val="HTML Sample"/>
    <w:basedOn w:val="DefaultParagraphFont"/>
    <w:semiHidden/>
    <w:rsid w:val="00890DEA"/>
    <w:rPr>
      <w:rFonts w:ascii="Courier New" w:hAnsi="Courier New" w:cs="Courier New"/>
    </w:rPr>
  </w:style>
  <w:style w:type="character" w:styleId="HTMLTypewriter">
    <w:name w:val="HTML Typewriter"/>
    <w:basedOn w:val="DefaultParagraphFont"/>
    <w:semiHidden/>
    <w:rsid w:val="00890DEA"/>
    <w:rPr>
      <w:rFonts w:ascii="Courier New" w:hAnsi="Courier New" w:cs="Courier New"/>
      <w:sz w:val="20"/>
      <w:szCs w:val="20"/>
    </w:rPr>
  </w:style>
  <w:style w:type="character" w:styleId="HTMLVariable">
    <w:name w:val="HTML Variable"/>
    <w:basedOn w:val="DefaultParagraphFont"/>
    <w:semiHidden/>
    <w:rsid w:val="00890DEA"/>
    <w:rPr>
      <w:i/>
      <w:iCs/>
    </w:rPr>
  </w:style>
  <w:style w:type="paragraph" w:styleId="Index1">
    <w:name w:val="index 1"/>
    <w:basedOn w:val="Normal"/>
    <w:next w:val="Normal"/>
    <w:autoRedefine/>
    <w:rsid w:val="00890DEA"/>
    <w:pPr>
      <w:ind w:left="240" w:hanging="240"/>
    </w:pPr>
  </w:style>
  <w:style w:type="paragraph" w:styleId="Index2">
    <w:name w:val="index 2"/>
    <w:basedOn w:val="Normal"/>
    <w:next w:val="Normal"/>
    <w:autoRedefine/>
    <w:rsid w:val="00890DEA"/>
    <w:pPr>
      <w:ind w:left="480" w:hanging="240"/>
    </w:pPr>
  </w:style>
  <w:style w:type="paragraph" w:styleId="Index3">
    <w:name w:val="index 3"/>
    <w:basedOn w:val="Normal"/>
    <w:next w:val="Normal"/>
    <w:autoRedefine/>
    <w:rsid w:val="00890DEA"/>
    <w:pPr>
      <w:ind w:left="720" w:hanging="240"/>
    </w:pPr>
  </w:style>
  <w:style w:type="paragraph" w:styleId="Index4">
    <w:name w:val="index 4"/>
    <w:basedOn w:val="Normal"/>
    <w:next w:val="Normal"/>
    <w:autoRedefine/>
    <w:rsid w:val="00890DEA"/>
    <w:pPr>
      <w:ind w:left="960" w:hanging="240"/>
    </w:pPr>
  </w:style>
  <w:style w:type="paragraph" w:styleId="Index5">
    <w:name w:val="index 5"/>
    <w:basedOn w:val="Normal"/>
    <w:next w:val="Normal"/>
    <w:autoRedefine/>
    <w:rsid w:val="00890DEA"/>
    <w:pPr>
      <w:ind w:left="1200" w:hanging="240"/>
    </w:pPr>
  </w:style>
  <w:style w:type="paragraph" w:styleId="Index6">
    <w:name w:val="index 6"/>
    <w:basedOn w:val="Normal"/>
    <w:next w:val="Normal"/>
    <w:autoRedefine/>
    <w:rsid w:val="00890DEA"/>
    <w:pPr>
      <w:ind w:left="1440" w:hanging="240"/>
    </w:pPr>
  </w:style>
  <w:style w:type="paragraph" w:styleId="Index7">
    <w:name w:val="index 7"/>
    <w:basedOn w:val="Normal"/>
    <w:next w:val="Normal"/>
    <w:autoRedefine/>
    <w:rsid w:val="00890DEA"/>
    <w:pPr>
      <w:ind w:left="1680" w:hanging="240"/>
    </w:pPr>
  </w:style>
  <w:style w:type="paragraph" w:styleId="Index8">
    <w:name w:val="index 8"/>
    <w:basedOn w:val="Normal"/>
    <w:next w:val="Normal"/>
    <w:autoRedefine/>
    <w:rsid w:val="00890DEA"/>
    <w:pPr>
      <w:ind w:left="1920" w:hanging="240"/>
    </w:pPr>
  </w:style>
  <w:style w:type="paragraph" w:styleId="Index9">
    <w:name w:val="index 9"/>
    <w:basedOn w:val="Normal"/>
    <w:next w:val="Normal"/>
    <w:autoRedefine/>
    <w:rsid w:val="00890DEA"/>
    <w:pPr>
      <w:ind w:left="2160" w:hanging="240"/>
    </w:pPr>
  </w:style>
  <w:style w:type="paragraph" w:styleId="IndexHeading">
    <w:name w:val="index heading"/>
    <w:basedOn w:val="Normal"/>
    <w:next w:val="Index1"/>
    <w:rsid w:val="00890DEA"/>
    <w:rPr>
      <w:b/>
      <w:bCs/>
    </w:rPr>
  </w:style>
  <w:style w:type="character" w:styleId="LineNumber">
    <w:name w:val="line number"/>
    <w:basedOn w:val="DefaultParagraphFont"/>
    <w:semiHidden/>
    <w:rsid w:val="00890DEA"/>
  </w:style>
  <w:style w:type="paragraph" w:styleId="List">
    <w:name w:val="List"/>
    <w:basedOn w:val="Normal"/>
    <w:semiHidden/>
    <w:rsid w:val="00890DEA"/>
    <w:pPr>
      <w:ind w:left="283" w:hanging="283"/>
    </w:pPr>
  </w:style>
  <w:style w:type="paragraph" w:styleId="List2">
    <w:name w:val="List 2"/>
    <w:basedOn w:val="Normal"/>
    <w:semiHidden/>
    <w:rsid w:val="00890DEA"/>
    <w:pPr>
      <w:ind w:left="566" w:hanging="283"/>
    </w:pPr>
  </w:style>
  <w:style w:type="paragraph" w:styleId="List3">
    <w:name w:val="List 3"/>
    <w:basedOn w:val="Normal"/>
    <w:semiHidden/>
    <w:rsid w:val="00890DEA"/>
    <w:pPr>
      <w:ind w:left="849" w:hanging="283"/>
    </w:pPr>
  </w:style>
  <w:style w:type="paragraph" w:styleId="List4">
    <w:name w:val="List 4"/>
    <w:basedOn w:val="Normal"/>
    <w:semiHidden/>
    <w:rsid w:val="00890DEA"/>
    <w:pPr>
      <w:ind w:left="1132" w:hanging="283"/>
    </w:pPr>
  </w:style>
  <w:style w:type="paragraph" w:styleId="List5">
    <w:name w:val="List 5"/>
    <w:basedOn w:val="Normal"/>
    <w:semiHidden/>
    <w:rsid w:val="00890DEA"/>
    <w:pPr>
      <w:ind w:left="1415" w:hanging="283"/>
    </w:pPr>
  </w:style>
  <w:style w:type="paragraph" w:styleId="ListBullet2">
    <w:name w:val="List Bullet 2"/>
    <w:basedOn w:val="Normal"/>
    <w:semiHidden/>
    <w:rsid w:val="00890DEA"/>
    <w:pPr>
      <w:numPr>
        <w:numId w:val="21"/>
      </w:numPr>
    </w:pPr>
  </w:style>
  <w:style w:type="paragraph" w:styleId="ListBullet3">
    <w:name w:val="List Bullet 3"/>
    <w:basedOn w:val="Normal"/>
    <w:semiHidden/>
    <w:rsid w:val="00890DEA"/>
    <w:pPr>
      <w:numPr>
        <w:numId w:val="22"/>
      </w:numPr>
    </w:pPr>
  </w:style>
  <w:style w:type="paragraph" w:styleId="ListBullet4">
    <w:name w:val="List Bullet 4"/>
    <w:basedOn w:val="Normal"/>
    <w:semiHidden/>
    <w:rsid w:val="00890DEA"/>
    <w:pPr>
      <w:numPr>
        <w:numId w:val="23"/>
      </w:numPr>
    </w:pPr>
  </w:style>
  <w:style w:type="paragraph" w:styleId="ListBullet5">
    <w:name w:val="List Bullet 5"/>
    <w:basedOn w:val="Normal"/>
    <w:semiHidden/>
    <w:rsid w:val="00890DEA"/>
    <w:pPr>
      <w:numPr>
        <w:numId w:val="24"/>
      </w:numPr>
    </w:pPr>
  </w:style>
  <w:style w:type="paragraph" w:styleId="ListContinue">
    <w:name w:val="List Continue"/>
    <w:basedOn w:val="Normal"/>
    <w:semiHidden/>
    <w:rsid w:val="00890DEA"/>
    <w:pPr>
      <w:spacing w:after="120"/>
      <w:ind w:left="283"/>
    </w:pPr>
  </w:style>
  <w:style w:type="paragraph" w:styleId="ListContinue2">
    <w:name w:val="List Continue 2"/>
    <w:basedOn w:val="Normal"/>
    <w:semiHidden/>
    <w:rsid w:val="00890DEA"/>
    <w:pPr>
      <w:spacing w:after="120"/>
      <w:ind w:left="566"/>
    </w:pPr>
  </w:style>
  <w:style w:type="paragraph" w:styleId="ListContinue3">
    <w:name w:val="List Continue 3"/>
    <w:basedOn w:val="Normal"/>
    <w:semiHidden/>
    <w:rsid w:val="00890DEA"/>
    <w:pPr>
      <w:spacing w:after="120"/>
      <w:ind w:left="849"/>
    </w:pPr>
  </w:style>
  <w:style w:type="paragraph" w:styleId="ListContinue4">
    <w:name w:val="List Continue 4"/>
    <w:basedOn w:val="Normal"/>
    <w:semiHidden/>
    <w:rsid w:val="00890DEA"/>
    <w:pPr>
      <w:spacing w:after="120"/>
      <w:ind w:left="1132"/>
    </w:pPr>
  </w:style>
  <w:style w:type="paragraph" w:styleId="ListContinue5">
    <w:name w:val="List Continue 5"/>
    <w:basedOn w:val="Normal"/>
    <w:semiHidden/>
    <w:rsid w:val="00890DEA"/>
    <w:pPr>
      <w:spacing w:after="120"/>
      <w:ind w:left="1415"/>
    </w:pPr>
  </w:style>
  <w:style w:type="paragraph" w:styleId="ListNumber">
    <w:name w:val="List Number"/>
    <w:basedOn w:val="Normal"/>
    <w:semiHidden/>
    <w:rsid w:val="00890DEA"/>
    <w:pPr>
      <w:numPr>
        <w:numId w:val="25"/>
      </w:numPr>
    </w:pPr>
  </w:style>
  <w:style w:type="paragraph" w:styleId="ListNumber2">
    <w:name w:val="List Number 2"/>
    <w:basedOn w:val="Normal"/>
    <w:semiHidden/>
    <w:rsid w:val="00890DEA"/>
    <w:pPr>
      <w:numPr>
        <w:numId w:val="26"/>
      </w:numPr>
    </w:pPr>
  </w:style>
  <w:style w:type="paragraph" w:styleId="ListNumber3">
    <w:name w:val="List Number 3"/>
    <w:basedOn w:val="Normal"/>
    <w:semiHidden/>
    <w:rsid w:val="00890DEA"/>
    <w:pPr>
      <w:numPr>
        <w:numId w:val="27"/>
      </w:numPr>
    </w:pPr>
  </w:style>
  <w:style w:type="paragraph" w:styleId="ListNumber4">
    <w:name w:val="List Number 4"/>
    <w:basedOn w:val="Normal"/>
    <w:semiHidden/>
    <w:rsid w:val="00890DEA"/>
    <w:pPr>
      <w:numPr>
        <w:numId w:val="28"/>
      </w:numPr>
    </w:pPr>
  </w:style>
  <w:style w:type="paragraph" w:styleId="ListNumber5">
    <w:name w:val="List Number 5"/>
    <w:basedOn w:val="Normal"/>
    <w:semiHidden/>
    <w:rsid w:val="00890DEA"/>
    <w:pPr>
      <w:numPr>
        <w:numId w:val="29"/>
      </w:numPr>
    </w:pPr>
  </w:style>
  <w:style w:type="paragraph" w:customStyle="1" w:styleId="MajorHeading">
    <w:name w:val="Major Heading"/>
    <w:basedOn w:val="Normal"/>
    <w:rsid w:val="00890DEA"/>
    <w:pPr>
      <w:spacing w:after="120"/>
    </w:pPr>
    <w:rPr>
      <w:rFonts w:ascii="Arial" w:hAnsi="Arial"/>
      <w:b/>
      <w:sz w:val="28"/>
    </w:rPr>
  </w:style>
  <w:style w:type="paragraph" w:styleId="MessageHeader">
    <w:name w:val="Message Header"/>
    <w:basedOn w:val="Normal"/>
    <w:link w:val="MessageHeaderChar"/>
    <w:semiHidden/>
    <w:rsid w:val="00890DE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semiHidden/>
    <w:rsid w:val="00890DEA"/>
    <w:rPr>
      <w:rFonts w:ascii="Arial" w:eastAsia="Times New Roman" w:hAnsi="Arial" w:cs="Arial"/>
      <w:sz w:val="24"/>
      <w:szCs w:val="24"/>
      <w:shd w:val="pct20" w:color="auto" w:fill="auto"/>
      <w:lang w:eastAsia="en-US"/>
    </w:rPr>
  </w:style>
  <w:style w:type="paragraph" w:styleId="NormalIndent">
    <w:name w:val="Normal Indent"/>
    <w:basedOn w:val="Normal"/>
    <w:semiHidden/>
    <w:rsid w:val="00890DEA"/>
    <w:pPr>
      <w:ind w:left="720"/>
    </w:pPr>
  </w:style>
  <w:style w:type="paragraph" w:customStyle="1" w:styleId="Noteheading0">
    <w:name w:val="Note heading"/>
    <w:basedOn w:val="Normal"/>
    <w:autoRedefine/>
    <w:semiHidden/>
    <w:rsid w:val="00890DEA"/>
    <w:pPr>
      <w:spacing w:before="120"/>
      <w:ind w:left="28"/>
    </w:pPr>
    <w:rPr>
      <w:b/>
      <w:bCs/>
      <w:sz w:val="20"/>
    </w:rPr>
  </w:style>
  <w:style w:type="paragraph" w:customStyle="1" w:styleId="Notes">
    <w:name w:val="Notes"/>
    <w:basedOn w:val="Normal"/>
    <w:semiHidden/>
    <w:rsid w:val="00890DEA"/>
    <w:pPr>
      <w:spacing w:before="120"/>
      <w:ind w:left="28"/>
    </w:pPr>
    <w:rPr>
      <w:b/>
      <w:sz w:val="20"/>
      <w:szCs w:val="24"/>
    </w:rPr>
  </w:style>
  <w:style w:type="paragraph" w:styleId="PlainText">
    <w:name w:val="Plain Text"/>
    <w:basedOn w:val="Normal"/>
    <w:link w:val="PlainTextChar"/>
    <w:semiHidden/>
    <w:rsid w:val="00890DEA"/>
    <w:rPr>
      <w:sz w:val="20"/>
      <w:lang w:val="en-US"/>
    </w:rPr>
  </w:style>
  <w:style w:type="character" w:customStyle="1" w:styleId="PlainTextChar">
    <w:name w:val="Plain Text Char"/>
    <w:basedOn w:val="DefaultParagraphFont"/>
    <w:link w:val="PlainText"/>
    <w:semiHidden/>
    <w:rsid w:val="00890DEA"/>
    <w:rPr>
      <w:rFonts w:eastAsia="Times New Roman"/>
      <w:lang w:val="en-US" w:eastAsia="en-US"/>
    </w:rPr>
  </w:style>
  <w:style w:type="paragraph" w:styleId="Salutation">
    <w:name w:val="Salutation"/>
    <w:basedOn w:val="Normal"/>
    <w:next w:val="Normal"/>
    <w:link w:val="SalutationChar"/>
    <w:semiHidden/>
    <w:rsid w:val="00890DEA"/>
  </w:style>
  <w:style w:type="character" w:customStyle="1" w:styleId="SalutationChar">
    <w:name w:val="Salutation Char"/>
    <w:basedOn w:val="DefaultParagraphFont"/>
    <w:link w:val="Salutation"/>
    <w:semiHidden/>
    <w:rsid w:val="00890DEA"/>
    <w:rPr>
      <w:rFonts w:eastAsia="Times New Roman"/>
      <w:sz w:val="24"/>
      <w:lang w:eastAsia="en-US"/>
    </w:rPr>
  </w:style>
  <w:style w:type="paragraph" w:customStyle="1" w:styleId="SIHeading1">
    <w:name w:val="SI Heading 1"/>
    <w:basedOn w:val="Normal"/>
    <w:next w:val="BodyText"/>
    <w:rsid w:val="00890DEA"/>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890DEA"/>
    <w:pPr>
      <w:keepNext/>
      <w:keepLines/>
      <w:spacing w:after="240"/>
      <w:jc w:val="center"/>
      <w:outlineLvl w:val="0"/>
    </w:pPr>
    <w:rPr>
      <w:rFonts w:ascii="Arial" w:hAnsi="Arial"/>
      <w:kern w:val="28"/>
      <w:sz w:val="20"/>
    </w:rPr>
  </w:style>
  <w:style w:type="paragraph" w:styleId="Signature">
    <w:name w:val="Signature"/>
    <w:basedOn w:val="Normal"/>
    <w:link w:val="SignatureChar"/>
    <w:semiHidden/>
    <w:rsid w:val="00890DEA"/>
    <w:pPr>
      <w:ind w:left="4252"/>
    </w:pPr>
  </w:style>
  <w:style w:type="character" w:customStyle="1" w:styleId="SignatureChar">
    <w:name w:val="Signature Char"/>
    <w:basedOn w:val="DefaultParagraphFont"/>
    <w:link w:val="Signature"/>
    <w:semiHidden/>
    <w:rsid w:val="00890DEA"/>
    <w:rPr>
      <w:rFonts w:eastAsia="Times New Roman"/>
      <w:sz w:val="24"/>
      <w:lang w:eastAsia="en-US"/>
    </w:rPr>
  </w:style>
  <w:style w:type="paragraph" w:customStyle="1" w:styleId="SinglePara">
    <w:name w:val="Single Para"/>
    <w:basedOn w:val="Normal"/>
    <w:semiHidden/>
    <w:rsid w:val="00890DEA"/>
  </w:style>
  <w:style w:type="character" w:styleId="Strong">
    <w:name w:val="Strong"/>
    <w:basedOn w:val="DefaultParagraphFont"/>
    <w:qFormat/>
    <w:rsid w:val="00890DEA"/>
    <w:rPr>
      <w:b/>
      <w:bCs/>
    </w:rPr>
  </w:style>
  <w:style w:type="paragraph" w:customStyle="1" w:styleId="Sub-Heading">
    <w:name w:val="Sub-Heading"/>
    <w:basedOn w:val="Normal"/>
    <w:next w:val="BodyText"/>
    <w:rsid w:val="00890DEA"/>
    <w:pPr>
      <w:keepNext/>
      <w:spacing w:before="240" w:after="120"/>
      <w:outlineLvl w:val="0"/>
    </w:pPr>
    <w:rPr>
      <w:rFonts w:ascii="Arial" w:hAnsi="Arial"/>
      <w:i/>
    </w:rPr>
  </w:style>
  <w:style w:type="paragraph" w:customStyle="1" w:styleId="Sub-Heading2">
    <w:name w:val="Sub-Heading 2"/>
    <w:basedOn w:val="BodyText"/>
    <w:semiHidden/>
    <w:rsid w:val="00890DEA"/>
    <w:rPr>
      <w:i/>
    </w:rPr>
  </w:style>
  <w:style w:type="paragraph" w:styleId="Subtitle">
    <w:name w:val="Subtitle"/>
    <w:basedOn w:val="Normal"/>
    <w:link w:val="SubtitleChar"/>
    <w:qFormat/>
    <w:rsid w:val="00890DEA"/>
    <w:pPr>
      <w:spacing w:after="60"/>
      <w:jc w:val="center"/>
      <w:outlineLvl w:val="1"/>
    </w:pPr>
    <w:rPr>
      <w:rFonts w:ascii="Arial" w:hAnsi="Arial" w:cs="Arial"/>
      <w:szCs w:val="24"/>
    </w:rPr>
  </w:style>
  <w:style w:type="character" w:customStyle="1" w:styleId="SubtitleChar">
    <w:name w:val="Subtitle Char"/>
    <w:basedOn w:val="DefaultParagraphFont"/>
    <w:link w:val="Subtitle"/>
    <w:rsid w:val="00890DEA"/>
    <w:rPr>
      <w:rFonts w:ascii="Arial" w:eastAsia="Times New Roman" w:hAnsi="Arial" w:cs="Arial"/>
      <w:sz w:val="24"/>
      <w:szCs w:val="24"/>
      <w:lang w:eastAsia="en-US"/>
    </w:rPr>
  </w:style>
  <w:style w:type="table" w:styleId="Table3Deffects1">
    <w:name w:val="Table 3D effects 1"/>
    <w:basedOn w:val="TableNormal"/>
    <w:semiHidden/>
    <w:rsid w:val="00890DEA"/>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90DEA"/>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90DEA"/>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90DEA"/>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90DEA"/>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90DEA"/>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90DEA"/>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90DEA"/>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90DEA"/>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90DEA"/>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90DEA"/>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90DEA"/>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90DEA"/>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90DEA"/>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90DEA"/>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90DEA"/>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90DEA"/>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90DEA"/>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90DEA"/>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90DEA"/>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90DEA"/>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90DEA"/>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90DEA"/>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90DEA"/>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90DEA"/>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890DEA"/>
    <w:pPr>
      <w:keepNext/>
      <w:jc w:val="center"/>
    </w:pPr>
    <w:rPr>
      <w:b/>
      <w:sz w:val="20"/>
    </w:rPr>
  </w:style>
  <w:style w:type="paragraph" w:customStyle="1" w:styleId="TableHeadingCentre-BP4">
    <w:name w:val="Table Heading Centre - BP4"/>
    <w:basedOn w:val="Normal"/>
    <w:rsid w:val="00890DEA"/>
    <w:pPr>
      <w:keepNext/>
      <w:jc w:val="center"/>
    </w:pPr>
    <w:rPr>
      <w:b/>
      <w:sz w:val="18"/>
    </w:rPr>
  </w:style>
  <w:style w:type="paragraph" w:customStyle="1" w:styleId="TableHeadingCentre-BP3">
    <w:name w:val="Table Heading Centre - BP3"/>
    <w:basedOn w:val="TableHeadingCentre-BP4"/>
    <w:rsid w:val="00890DEA"/>
    <w:rPr>
      <w:sz w:val="20"/>
    </w:rPr>
  </w:style>
  <w:style w:type="paragraph" w:customStyle="1" w:styleId="TableHeadingCentre-BP410pt">
    <w:name w:val="Table Heading Centre - BP4 10pt"/>
    <w:basedOn w:val="TableHeadingCentre-BP4"/>
    <w:rsid w:val="00890DEA"/>
    <w:rPr>
      <w:sz w:val="20"/>
    </w:rPr>
  </w:style>
  <w:style w:type="paragraph" w:customStyle="1" w:styleId="TableHeadingLeft">
    <w:name w:val="Table Heading Left"/>
    <w:basedOn w:val="Normal"/>
    <w:rsid w:val="00890DEA"/>
    <w:pPr>
      <w:keepNext/>
    </w:pPr>
    <w:rPr>
      <w:b/>
      <w:sz w:val="20"/>
      <w:lang w:eastAsia="en-AU"/>
    </w:rPr>
  </w:style>
  <w:style w:type="paragraph" w:customStyle="1" w:styleId="TableHeadingLeft-BP4">
    <w:name w:val="Table Heading Left - BP4"/>
    <w:basedOn w:val="Normal"/>
    <w:rsid w:val="00890DEA"/>
    <w:pPr>
      <w:keepNext/>
    </w:pPr>
    <w:rPr>
      <w:b/>
      <w:sz w:val="18"/>
      <w:lang w:eastAsia="en-AU"/>
    </w:rPr>
  </w:style>
  <w:style w:type="paragraph" w:customStyle="1" w:styleId="TableHeadingLeft-BP3">
    <w:name w:val="Table Heading Left - BP3"/>
    <w:basedOn w:val="TableHeadingLeft-BP4"/>
    <w:rsid w:val="00890DEA"/>
    <w:rPr>
      <w:sz w:val="20"/>
    </w:rPr>
  </w:style>
  <w:style w:type="paragraph" w:customStyle="1" w:styleId="TableHeadingLeft-BP410pt">
    <w:name w:val="Table Heading Left - BP4 10pt"/>
    <w:basedOn w:val="TableHeadingLeft-BP4"/>
    <w:rsid w:val="00890DEA"/>
    <w:rPr>
      <w:sz w:val="20"/>
    </w:rPr>
  </w:style>
  <w:style w:type="paragraph" w:customStyle="1" w:styleId="TableHeadingRight">
    <w:name w:val="Table Heading Right"/>
    <w:basedOn w:val="Normal"/>
    <w:rsid w:val="00890DEA"/>
    <w:pPr>
      <w:keepNext/>
      <w:jc w:val="right"/>
    </w:pPr>
    <w:rPr>
      <w:b/>
      <w:sz w:val="20"/>
      <w:szCs w:val="24"/>
    </w:rPr>
  </w:style>
  <w:style w:type="paragraph" w:customStyle="1" w:styleId="TableHeadingRight-BP4">
    <w:name w:val="Table Heading Right - BP4"/>
    <w:basedOn w:val="Normal"/>
    <w:rsid w:val="00890DEA"/>
    <w:pPr>
      <w:keepNext/>
      <w:jc w:val="right"/>
    </w:pPr>
    <w:rPr>
      <w:b/>
      <w:sz w:val="18"/>
      <w:szCs w:val="24"/>
    </w:rPr>
  </w:style>
  <w:style w:type="paragraph" w:customStyle="1" w:styleId="TableHeadingRight-BP3">
    <w:name w:val="Table Heading Right - BP3"/>
    <w:basedOn w:val="TableHeadingRight-BP4"/>
    <w:rsid w:val="00890DEA"/>
    <w:rPr>
      <w:sz w:val="20"/>
    </w:rPr>
  </w:style>
  <w:style w:type="paragraph" w:customStyle="1" w:styleId="TableHeadingRight-BP410pt">
    <w:name w:val="Table Heading Right - BP4 10pt"/>
    <w:basedOn w:val="TableHeadingRight-BP4"/>
    <w:rsid w:val="00890DEA"/>
    <w:rPr>
      <w:sz w:val="20"/>
    </w:rPr>
  </w:style>
  <w:style w:type="table" w:styleId="TableList1">
    <w:name w:val="Table List 1"/>
    <w:basedOn w:val="TableNormal"/>
    <w:semiHidden/>
    <w:rsid w:val="00890DEA"/>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90DEA"/>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90DEA"/>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90DEA"/>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90DEA"/>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90DEA"/>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90DEA"/>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90DEA"/>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umbersRight">
    <w:name w:val="Table Numbers Right"/>
    <w:basedOn w:val="TableHeadingRight"/>
    <w:rsid w:val="00890DEA"/>
    <w:rPr>
      <w:b w:val="0"/>
    </w:rPr>
  </w:style>
  <w:style w:type="paragraph" w:customStyle="1" w:styleId="TableNumbersRight-BP4">
    <w:name w:val="Table Numbers Right - BP4"/>
    <w:basedOn w:val="Normal"/>
    <w:rsid w:val="00890DEA"/>
    <w:pPr>
      <w:jc w:val="right"/>
    </w:pPr>
    <w:rPr>
      <w:sz w:val="18"/>
    </w:rPr>
  </w:style>
  <w:style w:type="paragraph" w:customStyle="1" w:styleId="TableNumbersRight-BP3">
    <w:name w:val="Table Numbers Right - BP3"/>
    <w:basedOn w:val="TableNumbersRight-BP4"/>
    <w:rsid w:val="00890DEA"/>
    <w:rPr>
      <w:sz w:val="20"/>
    </w:rPr>
  </w:style>
  <w:style w:type="paragraph" w:styleId="TableofAuthorities">
    <w:name w:val="table of authorities"/>
    <w:basedOn w:val="Normal"/>
    <w:next w:val="Normal"/>
    <w:rsid w:val="00890DEA"/>
    <w:pPr>
      <w:ind w:left="240" w:hanging="240"/>
    </w:pPr>
  </w:style>
  <w:style w:type="paragraph" w:styleId="TableofFigures">
    <w:name w:val="table of figures"/>
    <w:basedOn w:val="Normal"/>
    <w:next w:val="Normal"/>
    <w:rsid w:val="00890DEA"/>
  </w:style>
  <w:style w:type="table" w:styleId="TableProfessional">
    <w:name w:val="Table Professional"/>
    <w:basedOn w:val="TableNormal"/>
    <w:semiHidden/>
    <w:rsid w:val="00890DEA"/>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90DEA"/>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90DEA"/>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90DEA"/>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90DEA"/>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90DEA"/>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ndent">
    <w:name w:val="Table Text Indent"/>
    <w:rsid w:val="00890DEA"/>
    <w:pPr>
      <w:numPr>
        <w:numId w:val="30"/>
      </w:numPr>
      <w:spacing w:before="60"/>
    </w:pPr>
    <w:rPr>
      <w:rFonts w:eastAsia="Times New Roman"/>
      <w:szCs w:val="24"/>
      <w:lang w:eastAsia="en-US"/>
    </w:rPr>
  </w:style>
  <w:style w:type="paragraph" w:customStyle="1" w:styleId="TableTextLeft">
    <w:name w:val="Table Text Left"/>
    <w:basedOn w:val="Normal"/>
    <w:rsid w:val="00890DEA"/>
    <w:pPr>
      <w:ind w:left="357" w:hanging="357"/>
    </w:pPr>
    <w:rPr>
      <w:sz w:val="20"/>
      <w:szCs w:val="18"/>
    </w:rPr>
  </w:style>
  <w:style w:type="paragraph" w:customStyle="1" w:styleId="TableTextLeft-BP4">
    <w:name w:val="Table Text Left - BP4"/>
    <w:basedOn w:val="Normal"/>
    <w:rsid w:val="00890DEA"/>
    <w:pPr>
      <w:ind w:left="142" w:hanging="142"/>
    </w:pPr>
    <w:rPr>
      <w:sz w:val="18"/>
      <w:szCs w:val="18"/>
    </w:rPr>
  </w:style>
  <w:style w:type="paragraph" w:customStyle="1" w:styleId="TableTextLeft-BP3">
    <w:name w:val="Table Text Left - BP3"/>
    <w:basedOn w:val="TableTextLeft-BP4"/>
    <w:rsid w:val="00890DEA"/>
    <w:rPr>
      <w:sz w:val="20"/>
    </w:rPr>
  </w:style>
  <w:style w:type="paragraph" w:customStyle="1" w:styleId="TableTextLeft-BP410pt">
    <w:name w:val="Table Text Left - BP4 10pt"/>
    <w:basedOn w:val="TableTextLeft-BP4"/>
    <w:rsid w:val="00890DEA"/>
    <w:rPr>
      <w:sz w:val="20"/>
    </w:rPr>
  </w:style>
  <w:style w:type="paragraph" w:customStyle="1" w:styleId="TableTextLeft-BP4FS">
    <w:name w:val="Table Text Left - BP4 FS"/>
    <w:basedOn w:val="TableTextLeft-BP4"/>
    <w:rsid w:val="00890DEA"/>
    <w:pPr>
      <w:ind w:left="227"/>
    </w:pPr>
  </w:style>
  <w:style w:type="paragraph" w:customStyle="1" w:styleId="TableTextLeftBold">
    <w:name w:val="Table Text Left Bold"/>
    <w:basedOn w:val="Normal"/>
    <w:rsid w:val="00890DEA"/>
    <w:pPr>
      <w:ind w:left="357" w:hanging="357"/>
    </w:pPr>
    <w:rPr>
      <w:b/>
      <w:sz w:val="20"/>
    </w:rPr>
  </w:style>
  <w:style w:type="paragraph" w:customStyle="1" w:styleId="TableTextLeftBold-BP4">
    <w:name w:val="Table Text Left Bold - BP4"/>
    <w:basedOn w:val="Normal"/>
    <w:rsid w:val="00890DEA"/>
    <w:pPr>
      <w:ind w:left="142" w:hanging="142"/>
    </w:pPr>
    <w:rPr>
      <w:b/>
      <w:sz w:val="18"/>
    </w:rPr>
  </w:style>
  <w:style w:type="paragraph" w:customStyle="1" w:styleId="TableTextLeftBold-BP410pt">
    <w:name w:val="Table Text Left Bold - BP4 10pt"/>
    <w:basedOn w:val="TableTextLeftBold-BP4"/>
    <w:rsid w:val="00890DEA"/>
    <w:rPr>
      <w:sz w:val="20"/>
    </w:rPr>
  </w:style>
  <w:style w:type="paragraph" w:customStyle="1" w:styleId="TableTextRight">
    <w:name w:val="Table Text Right"/>
    <w:basedOn w:val="Normal"/>
    <w:rsid w:val="00890DEA"/>
    <w:pPr>
      <w:ind w:left="357" w:hanging="357"/>
      <w:jc w:val="right"/>
    </w:pPr>
    <w:rPr>
      <w:sz w:val="20"/>
    </w:rPr>
  </w:style>
  <w:style w:type="paragraph" w:customStyle="1" w:styleId="TableTextRight-BP4">
    <w:name w:val="Table Text Right - BP4"/>
    <w:basedOn w:val="Normal"/>
    <w:rsid w:val="00890DEA"/>
    <w:pPr>
      <w:jc w:val="right"/>
    </w:pPr>
    <w:rPr>
      <w:sz w:val="18"/>
    </w:rPr>
  </w:style>
  <w:style w:type="paragraph" w:customStyle="1" w:styleId="TableTextRight-BP3">
    <w:name w:val="Table Text Right - BP3"/>
    <w:basedOn w:val="TableTextRight-BP4"/>
    <w:rsid w:val="00890DEA"/>
    <w:rPr>
      <w:sz w:val="20"/>
    </w:rPr>
  </w:style>
  <w:style w:type="paragraph" w:customStyle="1" w:styleId="TableTextRight-BP410pt">
    <w:name w:val="Table Text Right - BP4 10pt"/>
    <w:basedOn w:val="TableTextRight-BP4"/>
    <w:rsid w:val="00890DEA"/>
    <w:rPr>
      <w:sz w:val="20"/>
    </w:rPr>
  </w:style>
  <w:style w:type="paragraph" w:customStyle="1" w:styleId="TableTextRightBold">
    <w:name w:val="Table Text Right Bold"/>
    <w:basedOn w:val="Normal"/>
    <w:rsid w:val="00890DEA"/>
    <w:pPr>
      <w:ind w:left="357" w:hanging="357"/>
      <w:jc w:val="right"/>
    </w:pPr>
    <w:rPr>
      <w:b/>
      <w:sz w:val="20"/>
    </w:rPr>
  </w:style>
  <w:style w:type="paragraph" w:customStyle="1" w:styleId="TableTextRightBold-BP4">
    <w:name w:val="Table Text Right Bold - BP4"/>
    <w:basedOn w:val="Normal"/>
    <w:rsid w:val="00890DEA"/>
    <w:pPr>
      <w:jc w:val="right"/>
    </w:pPr>
    <w:rPr>
      <w:b/>
      <w:sz w:val="18"/>
    </w:rPr>
  </w:style>
  <w:style w:type="paragraph" w:customStyle="1" w:styleId="TableTextRightBold-BP3">
    <w:name w:val="Table Text Right Bold - BP3"/>
    <w:basedOn w:val="TableTextRightBold-BP4"/>
    <w:rsid w:val="00890DEA"/>
  </w:style>
  <w:style w:type="paragraph" w:customStyle="1" w:styleId="TableTextRightBold-BP410pt">
    <w:name w:val="Table Text Right Bold - BP4 10pt"/>
    <w:basedOn w:val="TableTextRightBold-BP4"/>
    <w:rsid w:val="00890DEA"/>
    <w:rPr>
      <w:sz w:val="20"/>
    </w:rPr>
  </w:style>
  <w:style w:type="table" w:styleId="TableTheme">
    <w:name w:val="Table Theme"/>
    <w:basedOn w:val="TableNormal"/>
    <w:semiHidden/>
    <w:rsid w:val="00890D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890DEA"/>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90DEA"/>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90DEA"/>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90DE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90DEA"/>
    <w:rPr>
      <w:rFonts w:ascii="Arial" w:eastAsia="Times New Roman" w:hAnsi="Arial" w:cs="Arial"/>
      <w:b/>
      <w:bCs/>
      <w:kern w:val="28"/>
      <w:sz w:val="32"/>
      <w:szCs w:val="32"/>
      <w:lang w:eastAsia="en-US"/>
    </w:rPr>
  </w:style>
  <w:style w:type="paragraph" w:styleId="TOAHeading">
    <w:name w:val="toa heading"/>
    <w:basedOn w:val="Normal"/>
    <w:next w:val="Normal"/>
    <w:rsid w:val="00890DEA"/>
    <w:pPr>
      <w:spacing w:before="120"/>
    </w:pPr>
    <w:rPr>
      <w:b/>
      <w:bCs/>
      <w:szCs w:val="24"/>
    </w:rPr>
  </w:style>
  <w:style w:type="paragraph" w:styleId="TOC1">
    <w:name w:val="toc 1"/>
    <w:basedOn w:val="Normal"/>
    <w:next w:val="Normal"/>
    <w:autoRedefine/>
    <w:rsid w:val="00890DEA"/>
  </w:style>
  <w:style w:type="paragraph" w:styleId="TOC2">
    <w:name w:val="toc 2"/>
    <w:basedOn w:val="Normal"/>
    <w:next w:val="Normal"/>
    <w:autoRedefine/>
    <w:rsid w:val="00890DEA"/>
    <w:pPr>
      <w:ind w:left="240"/>
    </w:pPr>
  </w:style>
  <w:style w:type="paragraph" w:styleId="TOC3">
    <w:name w:val="toc 3"/>
    <w:basedOn w:val="Normal"/>
    <w:next w:val="Normal"/>
    <w:autoRedefine/>
    <w:rsid w:val="00890DEA"/>
    <w:pPr>
      <w:ind w:left="480"/>
    </w:pPr>
  </w:style>
  <w:style w:type="paragraph" w:styleId="TOC4">
    <w:name w:val="toc 4"/>
    <w:basedOn w:val="Normal"/>
    <w:next w:val="Normal"/>
    <w:autoRedefine/>
    <w:rsid w:val="00890DEA"/>
    <w:pPr>
      <w:ind w:left="720"/>
    </w:pPr>
  </w:style>
  <w:style w:type="paragraph" w:styleId="TOC5">
    <w:name w:val="toc 5"/>
    <w:basedOn w:val="Normal"/>
    <w:next w:val="Normal"/>
    <w:autoRedefine/>
    <w:rsid w:val="00890DEA"/>
    <w:pPr>
      <w:ind w:left="960"/>
    </w:pPr>
  </w:style>
  <w:style w:type="paragraph" w:styleId="TOC6">
    <w:name w:val="toc 6"/>
    <w:basedOn w:val="Normal"/>
    <w:next w:val="Normal"/>
    <w:autoRedefine/>
    <w:rsid w:val="00890DEA"/>
    <w:pPr>
      <w:ind w:left="1200"/>
    </w:pPr>
  </w:style>
  <w:style w:type="paragraph" w:styleId="TOC7">
    <w:name w:val="toc 7"/>
    <w:basedOn w:val="Normal"/>
    <w:next w:val="Normal"/>
    <w:autoRedefine/>
    <w:rsid w:val="00890DEA"/>
    <w:pPr>
      <w:ind w:left="1440"/>
    </w:pPr>
  </w:style>
  <w:style w:type="paragraph" w:styleId="TOC8">
    <w:name w:val="toc 8"/>
    <w:basedOn w:val="Normal"/>
    <w:next w:val="Normal"/>
    <w:autoRedefine/>
    <w:rsid w:val="00890DEA"/>
    <w:pPr>
      <w:ind w:left="1680"/>
    </w:pPr>
  </w:style>
  <w:style w:type="paragraph" w:styleId="TOC9">
    <w:name w:val="toc 9"/>
    <w:basedOn w:val="Normal"/>
    <w:next w:val="Normal"/>
    <w:autoRedefine/>
    <w:rsid w:val="00890DEA"/>
    <w:pPr>
      <w:ind w:left="1920"/>
    </w:pPr>
  </w:style>
  <w:style w:type="paragraph" w:customStyle="1" w:styleId="xl25">
    <w:name w:val="xl25"/>
    <w:basedOn w:val="Normal"/>
    <w:semiHidden/>
    <w:rsid w:val="00890DEA"/>
    <w:pPr>
      <w:spacing w:before="100" w:beforeAutospacing="1" w:after="100" w:afterAutospacing="1"/>
    </w:pPr>
    <w:rPr>
      <w:rFonts w:eastAsia="Arial Unicode MS"/>
      <w:sz w:val="18"/>
      <w:szCs w:val="18"/>
    </w:rPr>
  </w:style>
  <w:style w:type="paragraph" w:customStyle="1" w:styleId="xl63">
    <w:name w:val="xl63"/>
    <w:basedOn w:val="Normal"/>
    <w:rsid w:val="00943973"/>
    <w:pPr>
      <w:pBdr>
        <w:top w:val="single" w:sz="8" w:space="0" w:color="auto"/>
      </w:pBdr>
      <w:spacing w:before="100" w:beforeAutospacing="1" w:after="100" w:afterAutospacing="1"/>
      <w:jc w:val="right"/>
      <w:textAlignment w:val="top"/>
    </w:pPr>
    <w:rPr>
      <w:rFonts w:ascii="Times New Roman" w:hAnsi="Times New Roman"/>
      <w:b/>
      <w:bCs/>
      <w:sz w:val="18"/>
      <w:szCs w:val="18"/>
      <w:lang w:eastAsia="en-AU"/>
    </w:rPr>
  </w:style>
  <w:style w:type="paragraph" w:customStyle="1" w:styleId="xl64">
    <w:name w:val="xl64"/>
    <w:basedOn w:val="Normal"/>
    <w:rsid w:val="00943973"/>
    <w:pPr>
      <w:spacing w:before="100" w:beforeAutospacing="1" w:after="100" w:afterAutospacing="1"/>
    </w:pPr>
    <w:rPr>
      <w:rFonts w:ascii="Times New Roman" w:hAnsi="Times New Roman"/>
      <w:sz w:val="18"/>
      <w:szCs w:val="18"/>
      <w:lang w:eastAsia="en-AU"/>
    </w:rPr>
  </w:style>
  <w:style w:type="paragraph" w:customStyle="1" w:styleId="xl65">
    <w:name w:val="xl65"/>
    <w:basedOn w:val="Normal"/>
    <w:rsid w:val="00943973"/>
    <w:pPr>
      <w:spacing w:before="100" w:beforeAutospacing="1" w:after="100" w:afterAutospacing="1"/>
      <w:jc w:val="right"/>
      <w:textAlignment w:val="top"/>
    </w:pPr>
    <w:rPr>
      <w:rFonts w:ascii="Times New Roman" w:hAnsi="Times New Roman"/>
      <w:b/>
      <w:bCs/>
      <w:sz w:val="18"/>
      <w:szCs w:val="18"/>
      <w:lang w:eastAsia="en-AU"/>
    </w:rPr>
  </w:style>
  <w:style w:type="paragraph" w:customStyle="1" w:styleId="xl66">
    <w:name w:val="xl66"/>
    <w:basedOn w:val="Normal"/>
    <w:rsid w:val="00943973"/>
    <w:pPr>
      <w:spacing w:before="100" w:beforeAutospacing="1" w:after="100" w:afterAutospacing="1"/>
      <w:ind w:firstLineChars="100" w:firstLine="100"/>
      <w:textAlignment w:val="top"/>
    </w:pPr>
    <w:rPr>
      <w:rFonts w:ascii="Times New Roman" w:hAnsi="Times New Roman"/>
      <w:b/>
      <w:bCs/>
      <w:sz w:val="18"/>
      <w:szCs w:val="18"/>
      <w:lang w:eastAsia="en-AU"/>
    </w:rPr>
  </w:style>
  <w:style w:type="paragraph" w:customStyle="1" w:styleId="xl67">
    <w:name w:val="xl67"/>
    <w:basedOn w:val="Normal"/>
    <w:rsid w:val="00943973"/>
    <w:pPr>
      <w:pBdr>
        <w:bottom w:val="single" w:sz="8" w:space="0" w:color="auto"/>
      </w:pBdr>
      <w:spacing w:before="100" w:beforeAutospacing="1" w:after="100" w:afterAutospacing="1"/>
      <w:jc w:val="right"/>
      <w:textAlignment w:val="top"/>
    </w:pPr>
    <w:rPr>
      <w:rFonts w:ascii="Times New Roman" w:hAnsi="Times New Roman"/>
      <w:b/>
      <w:bCs/>
      <w:sz w:val="18"/>
      <w:szCs w:val="18"/>
      <w:lang w:eastAsia="en-AU"/>
    </w:rPr>
  </w:style>
  <w:style w:type="paragraph" w:customStyle="1" w:styleId="xl68">
    <w:name w:val="xl68"/>
    <w:basedOn w:val="Normal"/>
    <w:rsid w:val="00943973"/>
    <w:pPr>
      <w:spacing w:before="100" w:beforeAutospacing="1" w:after="100" w:afterAutospacing="1"/>
      <w:jc w:val="right"/>
      <w:textAlignment w:val="top"/>
    </w:pPr>
    <w:rPr>
      <w:rFonts w:ascii="Times New Roman" w:hAnsi="Times New Roman"/>
      <w:sz w:val="18"/>
      <w:szCs w:val="18"/>
      <w:lang w:eastAsia="en-AU"/>
    </w:rPr>
  </w:style>
  <w:style w:type="paragraph" w:customStyle="1" w:styleId="xl69">
    <w:name w:val="xl69"/>
    <w:basedOn w:val="Normal"/>
    <w:rsid w:val="00943973"/>
    <w:pPr>
      <w:spacing w:before="100" w:beforeAutospacing="1" w:after="100" w:afterAutospacing="1"/>
      <w:jc w:val="right"/>
      <w:textAlignment w:val="top"/>
    </w:pPr>
    <w:rPr>
      <w:rFonts w:ascii="Times New Roman" w:hAnsi="Times New Roman"/>
      <w:color w:val="000000"/>
      <w:sz w:val="18"/>
      <w:szCs w:val="18"/>
      <w:lang w:eastAsia="en-AU"/>
    </w:rPr>
  </w:style>
  <w:style w:type="paragraph" w:customStyle="1" w:styleId="xl70">
    <w:name w:val="xl70"/>
    <w:basedOn w:val="Normal"/>
    <w:rsid w:val="00943973"/>
    <w:pPr>
      <w:spacing w:before="100" w:beforeAutospacing="1" w:after="100" w:afterAutospacing="1"/>
      <w:ind w:firstLineChars="100" w:firstLine="100"/>
      <w:textAlignment w:val="top"/>
    </w:pPr>
    <w:rPr>
      <w:rFonts w:ascii="Times New Roman" w:hAnsi="Times New Roman"/>
      <w:sz w:val="18"/>
      <w:szCs w:val="18"/>
      <w:lang w:eastAsia="en-AU"/>
    </w:rPr>
  </w:style>
  <w:style w:type="paragraph" w:customStyle="1" w:styleId="xl71">
    <w:name w:val="xl71"/>
    <w:basedOn w:val="Normal"/>
    <w:rsid w:val="00943973"/>
    <w:pPr>
      <w:spacing w:before="100" w:beforeAutospacing="1" w:after="100" w:afterAutospacing="1"/>
      <w:ind w:firstLineChars="100" w:firstLine="100"/>
      <w:textAlignment w:val="top"/>
    </w:pPr>
    <w:rPr>
      <w:rFonts w:ascii="Times New Roman" w:hAnsi="Times New Roman"/>
      <w:sz w:val="18"/>
      <w:szCs w:val="18"/>
      <w:lang w:eastAsia="en-AU"/>
    </w:rPr>
  </w:style>
  <w:style w:type="paragraph" w:customStyle="1" w:styleId="xl72">
    <w:name w:val="xl72"/>
    <w:basedOn w:val="Normal"/>
    <w:rsid w:val="00943973"/>
    <w:pPr>
      <w:spacing w:before="100" w:beforeAutospacing="1" w:after="100" w:afterAutospacing="1"/>
      <w:textAlignment w:val="top"/>
    </w:pPr>
    <w:rPr>
      <w:rFonts w:ascii="Times New Roman" w:hAnsi="Times New Roman"/>
      <w:b/>
      <w:bCs/>
      <w:sz w:val="18"/>
      <w:szCs w:val="18"/>
      <w:lang w:eastAsia="en-AU"/>
    </w:rPr>
  </w:style>
  <w:style w:type="paragraph" w:customStyle="1" w:styleId="xl73">
    <w:name w:val="xl73"/>
    <w:basedOn w:val="Normal"/>
    <w:rsid w:val="00943973"/>
    <w:pPr>
      <w:spacing w:before="100" w:beforeAutospacing="1" w:after="100" w:afterAutospacing="1"/>
      <w:jc w:val="right"/>
      <w:textAlignment w:val="top"/>
    </w:pPr>
    <w:rPr>
      <w:rFonts w:ascii="Times New Roman" w:hAnsi="Times New Roman"/>
      <w:sz w:val="18"/>
      <w:szCs w:val="18"/>
      <w:lang w:eastAsia="en-AU"/>
    </w:rPr>
  </w:style>
  <w:style w:type="paragraph" w:customStyle="1" w:styleId="xl74">
    <w:name w:val="xl74"/>
    <w:basedOn w:val="Normal"/>
    <w:rsid w:val="00943973"/>
    <w:pPr>
      <w:spacing w:before="100" w:beforeAutospacing="1" w:after="100" w:afterAutospacing="1"/>
      <w:jc w:val="right"/>
      <w:textAlignment w:val="top"/>
    </w:pPr>
    <w:rPr>
      <w:rFonts w:ascii="Times New Roman" w:hAnsi="Times New Roman"/>
      <w:color w:val="000000"/>
      <w:sz w:val="18"/>
      <w:szCs w:val="18"/>
      <w:lang w:eastAsia="en-AU"/>
    </w:rPr>
  </w:style>
  <w:style w:type="paragraph" w:customStyle="1" w:styleId="xl75">
    <w:name w:val="xl75"/>
    <w:basedOn w:val="Normal"/>
    <w:rsid w:val="00943973"/>
    <w:pPr>
      <w:spacing w:before="100" w:beforeAutospacing="1" w:after="100" w:afterAutospacing="1"/>
      <w:jc w:val="right"/>
      <w:textAlignment w:val="top"/>
    </w:pPr>
    <w:rPr>
      <w:rFonts w:ascii="Times New Roman" w:hAnsi="Times New Roman"/>
      <w:i/>
      <w:iCs/>
      <w:color w:val="000000"/>
      <w:sz w:val="18"/>
      <w:szCs w:val="18"/>
      <w:lang w:eastAsia="en-AU"/>
    </w:rPr>
  </w:style>
  <w:style w:type="paragraph" w:customStyle="1" w:styleId="xl76">
    <w:name w:val="xl76"/>
    <w:basedOn w:val="Normal"/>
    <w:rsid w:val="00943973"/>
    <w:pPr>
      <w:spacing w:before="100" w:beforeAutospacing="1" w:after="100" w:afterAutospacing="1"/>
      <w:jc w:val="right"/>
      <w:textAlignment w:val="top"/>
    </w:pPr>
    <w:rPr>
      <w:rFonts w:ascii="Times New Roman" w:hAnsi="Times New Roman"/>
      <w:b/>
      <w:bCs/>
      <w:color w:val="000000"/>
      <w:sz w:val="18"/>
      <w:szCs w:val="18"/>
      <w:lang w:eastAsia="en-AU"/>
    </w:rPr>
  </w:style>
  <w:style w:type="paragraph" w:customStyle="1" w:styleId="xl77">
    <w:name w:val="xl77"/>
    <w:basedOn w:val="Normal"/>
    <w:rsid w:val="00943973"/>
    <w:pPr>
      <w:spacing w:before="100" w:beforeAutospacing="1" w:after="100" w:afterAutospacing="1"/>
      <w:ind w:firstLineChars="100" w:firstLine="100"/>
      <w:textAlignment w:val="top"/>
    </w:pPr>
    <w:rPr>
      <w:rFonts w:ascii="Times New Roman" w:hAnsi="Times New Roman"/>
      <w:b/>
      <w:bCs/>
      <w:sz w:val="18"/>
      <w:szCs w:val="18"/>
      <w:lang w:eastAsia="en-AU"/>
    </w:rPr>
  </w:style>
  <w:style w:type="paragraph" w:customStyle="1" w:styleId="xl79">
    <w:name w:val="xl79"/>
    <w:basedOn w:val="Normal"/>
    <w:rsid w:val="00943973"/>
    <w:pPr>
      <w:spacing w:before="100" w:beforeAutospacing="1" w:after="100" w:afterAutospacing="1"/>
      <w:jc w:val="right"/>
      <w:textAlignment w:val="top"/>
    </w:pPr>
    <w:rPr>
      <w:rFonts w:ascii="Times New Roman" w:hAnsi="Times New Roman"/>
      <w:b/>
      <w:bCs/>
      <w:color w:val="000000"/>
      <w:sz w:val="18"/>
      <w:szCs w:val="18"/>
      <w:lang w:eastAsia="en-AU"/>
    </w:rPr>
  </w:style>
  <w:style w:type="paragraph" w:customStyle="1" w:styleId="xl80">
    <w:name w:val="xl80"/>
    <w:basedOn w:val="Normal"/>
    <w:rsid w:val="00943973"/>
    <w:pPr>
      <w:pBdr>
        <w:top w:val="single" w:sz="4" w:space="0" w:color="auto"/>
        <w:bottom w:val="single" w:sz="4" w:space="0" w:color="auto"/>
      </w:pBdr>
      <w:spacing w:before="100" w:beforeAutospacing="1" w:after="100" w:afterAutospacing="1"/>
      <w:jc w:val="right"/>
      <w:textAlignment w:val="top"/>
    </w:pPr>
    <w:rPr>
      <w:rFonts w:ascii="Times New Roman" w:hAnsi="Times New Roman"/>
      <w:b/>
      <w:bCs/>
      <w:color w:val="000000"/>
      <w:sz w:val="18"/>
      <w:szCs w:val="18"/>
      <w:lang w:eastAsia="en-AU"/>
    </w:rPr>
  </w:style>
  <w:style w:type="paragraph" w:customStyle="1" w:styleId="xl81">
    <w:name w:val="xl81"/>
    <w:basedOn w:val="Normal"/>
    <w:rsid w:val="00943973"/>
    <w:pPr>
      <w:pBdr>
        <w:top w:val="single" w:sz="4" w:space="0" w:color="auto"/>
        <w:bottom w:val="single" w:sz="4" w:space="0" w:color="auto"/>
      </w:pBdr>
      <w:spacing w:before="100" w:beforeAutospacing="1" w:after="100" w:afterAutospacing="1"/>
      <w:ind w:firstLineChars="100" w:firstLine="100"/>
      <w:textAlignment w:val="top"/>
    </w:pPr>
    <w:rPr>
      <w:rFonts w:ascii="Times New Roman" w:hAnsi="Times New Roman"/>
      <w:b/>
      <w:bCs/>
      <w:sz w:val="18"/>
      <w:szCs w:val="18"/>
      <w:lang w:eastAsia="en-AU"/>
    </w:rPr>
  </w:style>
  <w:style w:type="paragraph" w:customStyle="1" w:styleId="xl82">
    <w:name w:val="xl82"/>
    <w:basedOn w:val="Normal"/>
    <w:rsid w:val="00943973"/>
    <w:pPr>
      <w:spacing w:before="100" w:beforeAutospacing="1" w:after="100" w:afterAutospacing="1"/>
      <w:ind w:firstLineChars="100" w:firstLine="100"/>
      <w:textAlignment w:val="top"/>
    </w:pPr>
    <w:rPr>
      <w:rFonts w:ascii="Times New Roman" w:hAnsi="Times New Roman"/>
      <w:b/>
      <w:bCs/>
      <w:i/>
      <w:iCs/>
      <w:sz w:val="18"/>
      <w:szCs w:val="18"/>
      <w:lang w:eastAsia="en-AU"/>
    </w:rPr>
  </w:style>
  <w:style w:type="paragraph" w:customStyle="1" w:styleId="xl83">
    <w:name w:val="xl83"/>
    <w:basedOn w:val="Normal"/>
    <w:rsid w:val="00943973"/>
    <w:pPr>
      <w:pBdr>
        <w:top w:val="single" w:sz="4" w:space="0" w:color="auto"/>
        <w:bottom w:val="single" w:sz="4" w:space="0" w:color="auto"/>
      </w:pBdr>
      <w:spacing w:before="100" w:beforeAutospacing="1" w:after="100" w:afterAutospacing="1"/>
      <w:jc w:val="right"/>
      <w:textAlignment w:val="top"/>
    </w:pPr>
    <w:rPr>
      <w:rFonts w:ascii="Times New Roman" w:hAnsi="Times New Roman"/>
      <w:b/>
      <w:bCs/>
      <w:sz w:val="18"/>
      <w:szCs w:val="18"/>
      <w:lang w:eastAsia="en-AU"/>
    </w:rPr>
  </w:style>
  <w:style w:type="paragraph" w:customStyle="1" w:styleId="xl84">
    <w:name w:val="xl84"/>
    <w:basedOn w:val="Normal"/>
    <w:rsid w:val="00943973"/>
    <w:pPr>
      <w:spacing w:before="100" w:beforeAutospacing="1" w:after="100" w:afterAutospacing="1"/>
      <w:jc w:val="right"/>
      <w:textAlignment w:val="top"/>
    </w:pPr>
    <w:rPr>
      <w:rFonts w:ascii="Times New Roman" w:hAnsi="Times New Roman"/>
      <w:i/>
      <w:iCs/>
      <w:sz w:val="18"/>
      <w:szCs w:val="18"/>
      <w:lang w:eastAsia="en-AU"/>
    </w:rPr>
  </w:style>
  <w:style w:type="paragraph" w:customStyle="1" w:styleId="xl85">
    <w:name w:val="xl85"/>
    <w:basedOn w:val="Normal"/>
    <w:rsid w:val="00943973"/>
    <w:pPr>
      <w:spacing w:before="100" w:beforeAutospacing="1" w:after="100" w:afterAutospacing="1"/>
    </w:pPr>
    <w:rPr>
      <w:rFonts w:ascii="Times New Roman" w:hAnsi="Times New Roman"/>
      <w:i/>
      <w:iCs/>
      <w:sz w:val="18"/>
      <w:szCs w:val="18"/>
      <w:lang w:eastAsia="en-AU"/>
    </w:rPr>
  </w:style>
  <w:style w:type="paragraph" w:customStyle="1" w:styleId="xl86">
    <w:name w:val="xl86"/>
    <w:basedOn w:val="Normal"/>
    <w:rsid w:val="00943973"/>
    <w:pPr>
      <w:pBdr>
        <w:top w:val="single" w:sz="4" w:space="0" w:color="auto"/>
      </w:pBdr>
      <w:spacing w:before="100" w:beforeAutospacing="1" w:after="100" w:afterAutospacing="1"/>
      <w:jc w:val="right"/>
      <w:textAlignment w:val="top"/>
    </w:pPr>
    <w:rPr>
      <w:rFonts w:ascii="Times New Roman" w:hAnsi="Times New Roman"/>
      <w:b/>
      <w:bCs/>
      <w:color w:val="000000"/>
      <w:sz w:val="18"/>
      <w:szCs w:val="18"/>
      <w:lang w:eastAsia="en-AU"/>
    </w:rPr>
  </w:style>
  <w:style w:type="paragraph" w:customStyle="1" w:styleId="xl87">
    <w:name w:val="xl87"/>
    <w:basedOn w:val="Normal"/>
    <w:rsid w:val="00943973"/>
    <w:pPr>
      <w:pBdr>
        <w:top w:val="single" w:sz="4" w:space="0" w:color="auto"/>
      </w:pBdr>
      <w:spacing w:before="100" w:beforeAutospacing="1" w:after="100" w:afterAutospacing="1"/>
      <w:ind w:firstLineChars="100" w:firstLine="100"/>
      <w:textAlignment w:val="top"/>
    </w:pPr>
    <w:rPr>
      <w:rFonts w:ascii="Times New Roman" w:hAnsi="Times New Roman"/>
      <w:b/>
      <w:bCs/>
      <w:sz w:val="18"/>
      <w:szCs w:val="18"/>
      <w:lang w:eastAsia="en-AU"/>
    </w:rPr>
  </w:style>
  <w:style w:type="paragraph" w:customStyle="1" w:styleId="xl88">
    <w:name w:val="xl88"/>
    <w:basedOn w:val="Normal"/>
    <w:rsid w:val="00943973"/>
    <w:pPr>
      <w:pBdr>
        <w:top w:val="single" w:sz="8" w:space="0" w:color="auto"/>
        <w:left w:val="single" w:sz="8" w:space="0" w:color="auto"/>
        <w:bottom w:val="single" w:sz="8" w:space="0" w:color="auto"/>
      </w:pBdr>
      <w:spacing w:before="100" w:beforeAutospacing="1" w:after="100" w:afterAutospacing="1"/>
      <w:jc w:val="right"/>
      <w:textAlignment w:val="top"/>
    </w:pPr>
    <w:rPr>
      <w:rFonts w:ascii="Times New Roman" w:hAnsi="Times New Roman"/>
      <w:b/>
      <w:bCs/>
      <w:sz w:val="18"/>
      <w:szCs w:val="18"/>
      <w:lang w:eastAsia="en-AU"/>
    </w:rPr>
  </w:style>
  <w:style w:type="paragraph" w:customStyle="1" w:styleId="xl89">
    <w:name w:val="xl89"/>
    <w:basedOn w:val="Normal"/>
    <w:rsid w:val="00943973"/>
    <w:pPr>
      <w:pBdr>
        <w:top w:val="single" w:sz="8" w:space="0" w:color="auto"/>
        <w:bottom w:val="single" w:sz="8" w:space="0" w:color="auto"/>
      </w:pBdr>
      <w:spacing w:before="100" w:beforeAutospacing="1" w:after="100" w:afterAutospacing="1"/>
      <w:ind w:firstLineChars="100" w:firstLine="100"/>
      <w:textAlignment w:val="top"/>
    </w:pPr>
    <w:rPr>
      <w:rFonts w:ascii="Times New Roman" w:hAnsi="Times New Roman"/>
      <w:b/>
      <w:bCs/>
      <w:sz w:val="18"/>
      <w:szCs w:val="18"/>
      <w:lang w:eastAsia="en-AU"/>
    </w:rPr>
  </w:style>
  <w:style w:type="paragraph" w:customStyle="1" w:styleId="xl90">
    <w:name w:val="xl90"/>
    <w:basedOn w:val="Normal"/>
    <w:rsid w:val="00943973"/>
    <w:pPr>
      <w:pBdr>
        <w:top w:val="single" w:sz="8" w:space="0" w:color="auto"/>
        <w:bottom w:val="single" w:sz="8" w:space="0" w:color="auto"/>
      </w:pBdr>
      <w:spacing w:before="100" w:beforeAutospacing="1" w:after="100" w:afterAutospacing="1"/>
      <w:jc w:val="right"/>
      <w:textAlignment w:val="top"/>
    </w:pPr>
    <w:rPr>
      <w:rFonts w:ascii="Times New Roman" w:hAnsi="Times New Roman"/>
      <w:b/>
      <w:bCs/>
      <w:sz w:val="18"/>
      <w:szCs w:val="18"/>
      <w:lang w:eastAsia="en-AU"/>
    </w:rPr>
  </w:style>
  <w:style w:type="paragraph" w:customStyle="1" w:styleId="xl91">
    <w:name w:val="xl91"/>
    <w:basedOn w:val="Normal"/>
    <w:rsid w:val="00943973"/>
    <w:pPr>
      <w:spacing w:before="100" w:beforeAutospacing="1" w:after="100" w:afterAutospacing="1"/>
      <w:ind w:firstLineChars="100" w:firstLine="100"/>
      <w:textAlignment w:val="top"/>
    </w:pPr>
    <w:rPr>
      <w:rFonts w:ascii="Times New Roman" w:hAnsi="Times New Roman"/>
      <w:b/>
      <w:bCs/>
      <w:i/>
      <w:iCs/>
      <w:sz w:val="18"/>
      <w:szCs w:val="18"/>
      <w:lang w:eastAsia="en-AU"/>
    </w:rPr>
  </w:style>
  <w:style w:type="paragraph" w:customStyle="1" w:styleId="xl92">
    <w:name w:val="xl92"/>
    <w:basedOn w:val="Normal"/>
    <w:rsid w:val="00943973"/>
    <w:pPr>
      <w:pBdr>
        <w:top w:val="single" w:sz="8" w:space="0" w:color="auto"/>
        <w:bottom w:val="single" w:sz="8" w:space="0" w:color="auto"/>
        <w:right w:val="single" w:sz="8" w:space="0" w:color="auto"/>
      </w:pBdr>
      <w:spacing w:before="100" w:beforeAutospacing="1" w:after="100" w:afterAutospacing="1"/>
      <w:jc w:val="right"/>
      <w:textAlignment w:val="top"/>
    </w:pPr>
    <w:rPr>
      <w:rFonts w:ascii="Times New Roman" w:hAnsi="Times New Roman"/>
      <w:b/>
      <w:bCs/>
      <w:sz w:val="18"/>
      <w:szCs w:val="18"/>
      <w:lang w:eastAsia="en-AU"/>
    </w:rPr>
  </w:style>
</w:styles>
</file>

<file path=word/webSettings.xml><?xml version="1.0" encoding="utf-8"?>
<w:webSettings xmlns:r="http://schemas.openxmlformats.org/officeDocument/2006/relationships" xmlns:w="http://schemas.openxmlformats.org/wordprocessingml/2006/main">
  <w:divs>
    <w:div w:id="117526917">
      <w:bodyDiv w:val="1"/>
      <w:marLeft w:val="0"/>
      <w:marRight w:val="0"/>
      <w:marTop w:val="0"/>
      <w:marBottom w:val="0"/>
      <w:divBdr>
        <w:top w:val="none" w:sz="0" w:space="0" w:color="auto"/>
        <w:left w:val="none" w:sz="0" w:space="0" w:color="auto"/>
        <w:bottom w:val="none" w:sz="0" w:space="0" w:color="auto"/>
        <w:right w:val="none" w:sz="0" w:space="0" w:color="auto"/>
      </w:divBdr>
    </w:div>
    <w:div w:id="485241921">
      <w:bodyDiv w:val="1"/>
      <w:marLeft w:val="0"/>
      <w:marRight w:val="0"/>
      <w:marTop w:val="0"/>
      <w:marBottom w:val="0"/>
      <w:divBdr>
        <w:top w:val="none" w:sz="0" w:space="0" w:color="auto"/>
        <w:left w:val="none" w:sz="0" w:space="0" w:color="auto"/>
        <w:bottom w:val="none" w:sz="0" w:space="0" w:color="auto"/>
        <w:right w:val="none" w:sz="0" w:space="0" w:color="auto"/>
      </w:divBdr>
    </w:div>
    <w:div w:id="861016788">
      <w:bodyDiv w:val="1"/>
      <w:marLeft w:val="0"/>
      <w:marRight w:val="0"/>
      <w:marTop w:val="0"/>
      <w:marBottom w:val="0"/>
      <w:divBdr>
        <w:top w:val="none" w:sz="0" w:space="0" w:color="auto"/>
        <w:left w:val="none" w:sz="0" w:space="0" w:color="auto"/>
        <w:bottom w:val="none" w:sz="0" w:space="0" w:color="auto"/>
        <w:right w:val="none" w:sz="0" w:space="0" w:color="auto"/>
      </w:divBdr>
    </w:div>
    <w:div w:id="862941071">
      <w:bodyDiv w:val="1"/>
      <w:marLeft w:val="0"/>
      <w:marRight w:val="0"/>
      <w:marTop w:val="0"/>
      <w:marBottom w:val="0"/>
      <w:divBdr>
        <w:top w:val="none" w:sz="0" w:space="0" w:color="auto"/>
        <w:left w:val="none" w:sz="0" w:space="0" w:color="auto"/>
        <w:bottom w:val="none" w:sz="0" w:space="0" w:color="auto"/>
        <w:right w:val="none" w:sz="0" w:space="0" w:color="auto"/>
      </w:divBdr>
    </w:div>
    <w:div w:id="970403214">
      <w:bodyDiv w:val="1"/>
      <w:marLeft w:val="0"/>
      <w:marRight w:val="0"/>
      <w:marTop w:val="0"/>
      <w:marBottom w:val="0"/>
      <w:divBdr>
        <w:top w:val="none" w:sz="0" w:space="0" w:color="auto"/>
        <w:left w:val="none" w:sz="0" w:space="0" w:color="auto"/>
        <w:bottom w:val="none" w:sz="0" w:space="0" w:color="auto"/>
        <w:right w:val="none" w:sz="0" w:space="0" w:color="auto"/>
      </w:divBdr>
    </w:div>
    <w:div w:id="1789662693">
      <w:bodyDiv w:val="1"/>
      <w:marLeft w:val="0"/>
      <w:marRight w:val="0"/>
      <w:marTop w:val="0"/>
      <w:marBottom w:val="0"/>
      <w:divBdr>
        <w:top w:val="none" w:sz="0" w:space="0" w:color="auto"/>
        <w:left w:val="none" w:sz="0" w:space="0" w:color="auto"/>
        <w:bottom w:val="none" w:sz="0" w:space="0" w:color="auto"/>
        <w:right w:val="none" w:sz="0" w:space="0" w:color="auto"/>
      </w:divBdr>
    </w:div>
    <w:div w:id="1832942911">
      <w:bodyDiv w:val="1"/>
      <w:marLeft w:val="0"/>
      <w:marRight w:val="0"/>
      <w:marTop w:val="0"/>
      <w:marBottom w:val="0"/>
      <w:divBdr>
        <w:top w:val="none" w:sz="0" w:space="0" w:color="auto"/>
        <w:left w:val="none" w:sz="0" w:space="0" w:color="auto"/>
        <w:bottom w:val="none" w:sz="0" w:space="0" w:color="auto"/>
        <w:right w:val="none" w:sz="0" w:space="0" w:color="auto"/>
      </w:divBdr>
    </w:div>
    <w:div w:id="1907451534">
      <w:bodyDiv w:val="1"/>
      <w:marLeft w:val="0"/>
      <w:marRight w:val="0"/>
      <w:marTop w:val="0"/>
      <w:marBottom w:val="0"/>
      <w:divBdr>
        <w:top w:val="none" w:sz="0" w:space="0" w:color="auto"/>
        <w:left w:val="none" w:sz="0" w:space="0" w:color="auto"/>
        <w:bottom w:val="none" w:sz="0" w:space="0" w:color="auto"/>
        <w:right w:val="none" w:sz="0" w:space="0" w:color="auto"/>
      </w:divBdr>
    </w:div>
    <w:div w:id="202069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federalfinancialrelations.gov.au"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agreformcouncil.gov.au"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ag.gov.au" TargetMode="External"/><Relationship Id="rId5" Type="http://schemas.openxmlformats.org/officeDocument/2006/relationships/webSettings" Target="webSettings.xml"/><Relationship Id="rId15" Type="http://schemas.openxmlformats.org/officeDocument/2006/relationships/hyperlink" Target="http://www.cgc.gov.au" TargetMode="External"/><Relationship Id="rId10" Type="http://schemas.openxmlformats.org/officeDocument/2006/relationships/hyperlink" Target="http://www.federalfinancialrelations.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Paul%20Hutchinson\AppData\Local\Microsoft\Windows\Temporary%20Internet%20Files\Content.Outlook\MPHUKBNW\VFI%20GRAPH.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ul%20Hutchinson\AppData\Local\Microsoft\Windows\Temporary%20Internet%20Files\Content.Outlook\MPHUKBNW\VFI%20GRAPH.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act.gov.au\treasury\dt\csf\BUDGETS\Budget%20-%20ACT\Budget%202013-14\Charts%20and%20Graphs\SPP%20and%20NPP%20char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act.gov.au\treasury\dt\financialmgmt\COMMON\Budget13\Budpapers\DRAFT%20-%202013-14%20CHAPTERS\BP3%20new%20structure\chapter%204%20Federal%20Financial%20Relations\SPP%20and%20NPP%20charts%20Pie%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style val="1"/>
  <c:chart>
    <c:plotArea>
      <c:layout>
        <c:manualLayout>
          <c:layoutTarget val="inner"/>
          <c:xMode val="edge"/>
          <c:yMode val="edge"/>
          <c:x val="0.13293810572847406"/>
          <c:y val="5.6495161985348985E-2"/>
          <c:w val="0.72167368275641464"/>
          <c:h val="0.77768417753751062"/>
        </c:manualLayout>
      </c:layout>
      <c:pieChart>
        <c:varyColors val="1"/>
        <c:ser>
          <c:idx val="0"/>
          <c:order val="0"/>
          <c:dLbls>
            <c:dLbl>
              <c:idx val="0"/>
              <c:layout>
                <c:manualLayout>
                  <c:x val="0.24197530864197545"/>
                  <c:y val="-6.0476847641079176E-2"/>
                </c:manualLayout>
              </c:layout>
              <c:spPr/>
              <c:txPr>
                <a:bodyPr/>
                <a:lstStyle/>
                <a:p>
                  <a:pPr>
                    <a:defRPr sz="1500" b="1" i="0" u="none" strike="noStrike" baseline="0">
                      <a:solidFill>
                        <a:srgbClr val="000000"/>
                      </a:solidFill>
                      <a:latin typeface="Calibri"/>
                      <a:ea typeface="Calibri"/>
                      <a:cs typeface="Calibri"/>
                    </a:defRPr>
                  </a:pPr>
                  <a:endParaRPr lang="en-US"/>
                </a:p>
              </c:txPr>
              <c:dLblPos val="bestFit"/>
              <c:showVal val="1"/>
            </c:dLbl>
            <c:dLbl>
              <c:idx val="1"/>
              <c:layout>
                <c:manualLayout>
                  <c:x val="-0.20246913580246956"/>
                  <c:y val="5.7720208461665007E-2"/>
                </c:manualLayout>
              </c:layout>
              <c:spPr/>
              <c:txPr>
                <a:bodyPr/>
                <a:lstStyle/>
                <a:p>
                  <a:pPr>
                    <a:defRPr sz="1500" b="1" i="0" u="none" strike="noStrike" baseline="0">
                      <a:solidFill>
                        <a:srgbClr val="000000"/>
                      </a:solidFill>
                      <a:latin typeface="Calibri"/>
                      <a:ea typeface="Calibri"/>
                      <a:cs typeface="Calibri"/>
                    </a:defRPr>
                  </a:pPr>
                  <a:endParaRPr lang="en-US"/>
                </a:p>
              </c:txPr>
              <c:dLblPos val="bestFit"/>
              <c:showVal val="1"/>
            </c:dLbl>
            <c:delete val="1"/>
          </c:dLbls>
          <c:cat>
            <c:strRef>
              <c:f>Sheet1!$A$8:$A$9</c:f>
              <c:strCache>
                <c:ptCount val="2"/>
                <c:pt idx="0">
                  <c:v>Commonwealth</c:v>
                </c:pt>
                <c:pt idx="1">
                  <c:v>States</c:v>
                </c:pt>
              </c:strCache>
            </c:strRef>
          </c:cat>
          <c:val>
            <c:numRef>
              <c:f>Sheet1!$B$8:$B$9</c:f>
              <c:numCache>
                <c:formatCode>0%</c:formatCode>
                <c:ptCount val="2"/>
                <c:pt idx="0">
                  <c:v>0.69000000000000139</c:v>
                </c:pt>
                <c:pt idx="1">
                  <c:v>0.3100000000000005</c:v>
                </c:pt>
              </c:numCache>
            </c:numRef>
          </c:val>
        </c:ser>
        <c:firstSliceAng val="139"/>
      </c:pieChart>
      <c:spPr>
        <a:noFill/>
        <a:ln w="25400">
          <a:noFill/>
        </a:ln>
      </c:spPr>
    </c:plotArea>
    <c:legend>
      <c:legendPos val="b"/>
      <c:layout>
        <c:manualLayout>
          <c:xMode val="edge"/>
          <c:yMode val="edge"/>
          <c:x val="2.0384449332867323E-2"/>
          <c:y val="0.85242561493972702"/>
          <c:w val="0.97163298451923197"/>
          <c:h val="9.4098281962542482E-2"/>
        </c:manualLayout>
      </c:layout>
      <c:txPr>
        <a:bodyPr/>
        <a:lstStyle/>
        <a:p>
          <a:pPr>
            <a:defRPr sz="1380" b="0" i="0" u="none" strike="noStrike" baseline="0">
              <a:solidFill>
                <a:srgbClr val="000000"/>
              </a:solidFill>
              <a:latin typeface="Calibri"/>
              <a:ea typeface="Calibri"/>
              <a:cs typeface="Calibri"/>
            </a:defRPr>
          </a:pPr>
          <a:endParaRPr lang="en-US"/>
        </a:p>
      </c:txPr>
    </c:legend>
    <c:plotVisOnly val="1"/>
    <c:dispBlanksAs val="zero"/>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AU"/>
  <c:style val="1"/>
  <c:chart>
    <c:plotArea>
      <c:layout>
        <c:manualLayout>
          <c:layoutTarget val="inner"/>
          <c:xMode val="edge"/>
          <c:yMode val="edge"/>
          <c:x val="0.13925865010998953"/>
          <c:y val="7.8943937317569823E-2"/>
          <c:w val="0.71912941210217907"/>
          <c:h val="0.78333739532558433"/>
        </c:manualLayout>
      </c:layout>
      <c:pieChart>
        <c:varyColors val="1"/>
        <c:ser>
          <c:idx val="0"/>
          <c:order val="0"/>
          <c:dLbls>
            <c:dLbl>
              <c:idx val="0"/>
              <c:layout>
                <c:manualLayout>
                  <c:x val="0.25696969696969735"/>
                  <c:y val="2.6289923636088697E-3"/>
                </c:manualLayout>
              </c:layout>
              <c:spPr/>
              <c:txPr>
                <a:bodyPr/>
                <a:lstStyle/>
                <a:p>
                  <a:pPr>
                    <a:defRPr sz="1500" b="1" i="0" u="none" strike="noStrike" baseline="0">
                      <a:solidFill>
                        <a:srgbClr val="000000"/>
                      </a:solidFill>
                      <a:latin typeface="Calibri"/>
                      <a:ea typeface="Calibri"/>
                      <a:cs typeface="Calibri"/>
                    </a:defRPr>
                  </a:pPr>
                  <a:endParaRPr lang="en-US"/>
                </a:p>
              </c:txPr>
              <c:dLblPos val="bestFit"/>
              <c:showVal val="1"/>
            </c:dLbl>
            <c:dLbl>
              <c:idx val="1"/>
              <c:layout>
                <c:manualLayout>
                  <c:x val="-0.24242424242424257"/>
                  <c:y val="1.2080835574565536E-2"/>
                </c:manualLayout>
              </c:layout>
              <c:spPr/>
              <c:txPr>
                <a:bodyPr/>
                <a:lstStyle/>
                <a:p>
                  <a:pPr>
                    <a:defRPr sz="1500" b="1" i="0" u="none" strike="noStrike" baseline="0">
                      <a:solidFill>
                        <a:srgbClr val="000000"/>
                      </a:solidFill>
                      <a:latin typeface="Calibri"/>
                      <a:ea typeface="Calibri"/>
                      <a:cs typeface="Calibri"/>
                    </a:defRPr>
                  </a:pPr>
                  <a:endParaRPr lang="en-US"/>
                </a:p>
              </c:txPr>
              <c:dLblPos val="bestFit"/>
              <c:showVal val="1"/>
            </c:dLbl>
            <c:delete val="1"/>
          </c:dLbls>
          <c:cat>
            <c:strRef>
              <c:f>Sheet1!$G$4:$G$5</c:f>
              <c:strCache>
                <c:ptCount val="2"/>
                <c:pt idx="0">
                  <c:v>Commonwealth</c:v>
                </c:pt>
                <c:pt idx="1">
                  <c:v>States</c:v>
                </c:pt>
              </c:strCache>
            </c:strRef>
          </c:cat>
          <c:val>
            <c:numRef>
              <c:f>Sheet1!$H$4:$H$5</c:f>
              <c:numCache>
                <c:formatCode>0%</c:formatCode>
                <c:ptCount val="2"/>
                <c:pt idx="0">
                  <c:v>0.55000000000000004</c:v>
                </c:pt>
                <c:pt idx="1">
                  <c:v>0.45</c:v>
                </c:pt>
              </c:numCache>
            </c:numRef>
          </c:val>
        </c:ser>
        <c:firstSliceAng val="170"/>
      </c:pieChart>
      <c:spPr>
        <a:noFill/>
        <a:ln w="25400">
          <a:noFill/>
        </a:ln>
      </c:spPr>
    </c:plotArea>
    <c:legend>
      <c:legendPos val="b"/>
      <c:layout>
        <c:manualLayout>
          <c:xMode val="edge"/>
          <c:yMode val="edge"/>
          <c:x val="0"/>
          <c:y val="0.86538607452829464"/>
          <c:w val="0.93736066281532049"/>
          <c:h val="8.607901888370148E-2"/>
        </c:manualLayout>
      </c:layout>
      <c:txPr>
        <a:bodyPr/>
        <a:lstStyle/>
        <a:p>
          <a:pPr>
            <a:defRPr sz="1380" b="0" i="0" u="none" strike="noStrike" baseline="0">
              <a:solidFill>
                <a:srgbClr val="000000"/>
              </a:solidFill>
              <a:latin typeface="Calibri"/>
              <a:ea typeface="Calibri"/>
              <a:cs typeface="Calibri"/>
            </a:defRPr>
          </a:pPr>
          <a:endParaRPr lang="en-US"/>
        </a:p>
      </c:txPr>
    </c:legend>
    <c:plotVisOnly val="1"/>
    <c:dispBlanksAs val="zero"/>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AU"/>
  <c:style val="1"/>
  <c:chart>
    <c:plotArea>
      <c:layout/>
      <c:pieChart>
        <c:varyColors val="1"/>
        <c:ser>
          <c:idx val="0"/>
          <c:order val="0"/>
          <c:dLbls>
            <c:dLbl>
              <c:idx val="0"/>
              <c:layout>
                <c:manualLayout>
                  <c:x val="1.9619445316302692E-2"/>
                  <c:y val="-3.5250023798838598E-2"/>
                </c:manualLayout>
              </c:layout>
              <c:tx>
                <c:rich>
                  <a:bodyPr/>
                  <a:lstStyle/>
                  <a:p>
                    <a:r>
                      <a:rPr lang="en-US"/>
                      <a:t>Health (National Health Reform Funding), $233.0m</a:t>
                    </a:r>
                  </a:p>
                </c:rich>
              </c:tx>
              <c:showVal val="1"/>
              <c:showCatName val="1"/>
            </c:dLbl>
            <c:dLbl>
              <c:idx val="1"/>
              <c:layout>
                <c:manualLayout>
                  <c:x val="-5.9662204269527494E-2"/>
                  <c:y val="-1.793317286116438E-2"/>
                </c:manualLayout>
              </c:layout>
              <c:tx>
                <c:rich>
                  <a:bodyPr/>
                  <a:lstStyle/>
                  <a:p>
                    <a:r>
                      <a:rPr lang="en-US"/>
                      <a:t>Schools / National Education Reform Agreement funding, $231.4m</a:t>
                    </a:r>
                  </a:p>
                </c:rich>
              </c:tx>
              <c:showVal val="1"/>
              <c:showCatName val="1"/>
            </c:dLbl>
            <c:dLbl>
              <c:idx val="2"/>
              <c:layout>
                <c:manualLayout>
                  <c:x val="-9.2630630876513034E-2"/>
                  <c:y val="0.12594155005235744"/>
                </c:manualLayout>
              </c:layout>
              <c:tx>
                <c:rich>
                  <a:bodyPr/>
                  <a:lstStyle/>
                  <a:p>
                    <a:r>
                      <a:rPr lang="en-US"/>
                      <a:t>Skills &amp; Workforce Development, $23.5m</a:t>
                    </a:r>
                  </a:p>
                </c:rich>
              </c:tx>
              <c:showVal val="1"/>
              <c:showCatName val="1"/>
            </c:dLbl>
            <c:dLbl>
              <c:idx val="3"/>
              <c:layout>
                <c:manualLayout>
                  <c:x val="-4.8202079005527164E-2"/>
                  <c:y val="1.1007574830348369E-2"/>
                </c:manualLayout>
              </c:layout>
              <c:tx>
                <c:rich>
                  <a:bodyPr/>
                  <a:lstStyle/>
                  <a:p>
                    <a:r>
                      <a:rPr lang="en-US"/>
                      <a:t>Disability, $24.2m</a:t>
                    </a:r>
                  </a:p>
                </c:rich>
              </c:tx>
              <c:showVal val="1"/>
              <c:showCatName val="1"/>
            </c:dLbl>
            <c:dLbl>
              <c:idx val="4"/>
              <c:tx>
                <c:rich>
                  <a:bodyPr/>
                  <a:lstStyle/>
                  <a:p>
                    <a:r>
                      <a:rPr lang="en-US"/>
                      <a:t>Affordable Housing, $22.6m</a:t>
                    </a:r>
                  </a:p>
                </c:rich>
              </c:tx>
              <c:showVal val="1"/>
              <c:showCatName val="1"/>
            </c:dLbl>
            <c:showVal val="1"/>
            <c:showCatName val="1"/>
            <c:showLeaderLines val="1"/>
          </c:dLbls>
          <c:cat>
            <c:strRef>
              <c:f>'Budget 2013-14'!$F$8:$F$12</c:f>
              <c:strCache>
                <c:ptCount val="5"/>
                <c:pt idx="0">
                  <c:v>Health (National Health Reform Funding)</c:v>
                </c:pt>
                <c:pt idx="1">
                  <c:v>Schools / National Education Reform Agreement funding</c:v>
                </c:pt>
                <c:pt idx="2">
                  <c:v>Skills &amp; Workforce Development</c:v>
                </c:pt>
                <c:pt idx="3">
                  <c:v>Disability</c:v>
                </c:pt>
                <c:pt idx="4">
                  <c:v>Affordable Housing</c:v>
                </c:pt>
              </c:strCache>
            </c:strRef>
          </c:cat>
          <c:val>
            <c:numRef>
              <c:f>'Budget 2013-14'!$G$8:$G$12</c:f>
              <c:numCache>
                <c:formatCode>0.0</c:formatCode>
                <c:ptCount val="5"/>
                <c:pt idx="0">
                  <c:v>233</c:v>
                </c:pt>
                <c:pt idx="1">
                  <c:v>231.4</c:v>
                </c:pt>
                <c:pt idx="2">
                  <c:v>23.5</c:v>
                </c:pt>
                <c:pt idx="3">
                  <c:v>24.2</c:v>
                </c:pt>
                <c:pt idx="4">
                  <c:v>22.6</c:v>
                </c:pt>
              </c:numCache>
            </c:numRef>
          </c:val>
        </c:ser>
        <c:dLbls>
          <c:showVal val="1"/>
          <c:showCatName val="1"/>
        </c:dLbls>
        <c:firstSliceAng val="0"/>
      </c:pie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AU"/>
  <c:style val="1"/>
  <c:chart>
    <c:plotArea>
      <c:layout/>
      <c:pieChart>
        <c:varyColors val="1"/>
        <c:ser>
          <c:idx val="0"/>
          <c:order val="0"/>
          <c:dLbls>
            <c:dLbl>
              <c:idx val="0"/>
              <c:layout>
                <c:manualLayout>
                  <c:x val="2.6824045838200871E-2"/>
                  <c:y val="-4.8948063310268075E-2"/>
                </c:manualLayout>
              </c:layout>
              <c:tx>
                <c:rich>
                  <a:bodyPr/>
                  <a:lstStyle/>
                  <a:p>
                    <a:r>
                      <a:rPr lang="en-US"/>
                      <a:t>Health, $32.7m</a:t>
                    </a:r>
                  </a:p>
                </c:rich>
              </c:tx>
              <c:showVal val="1"/>
              <c:showCatName val="1"/>
            </c:dLbl>
            <c:dLbl>
              <c:idx val="1"/>
              <c:layout>
                <c:manualLayout>
                  <c:x val="8.9321084864391956E-2"/>
                  <c:y val="1.0779381743948701E-3"/>
                </c:manualLayout>
              </c:layout>
              <c:tx>
                <c:rich>
                  <a:bodyPr/>
                  <a:lstStyle/>
                  <a:p>
                    <a:r>
                      <a:rPr lang="en-US"/>
                      <a:t>Education, $18.5m</a:t>
                    </a:r>
                  </a:p>
                </c:rich>
              </c:tx>
              <c:showVal val="1"/>
              <c:showCatName val="1"/>
            </c:dLbl>
            <c:dLbl>
              <c:idx val="2"/>
              <c:layout>
                <c:manualLayout>
                  <c:x val="7.5478021818774013E-2"/>
                  <c:y val="-5.1032053635782566E-2"/>
                </c:manualLayout>
              </c:layout>
              <c:tx>
                <c:rich>
                  <a:bodyPr/>
                  <a:lstStyle/>
                  <a:p>
                    <a:r>
                      <a:rPr lang="en-US"/>
                      <a:t>Skills &amp; Workforce Development, $5.7m</a:t>
                    </a:r>
                  </a:p>
                </c:rich>
              </c:tx>
              <c:showVal val="1"/>
              <c:showCatName val="1"/>
            </c:dLbl>
            <c:dLbl>
              <c:idx val="3"/>
              <c:layout>
                <c:manualLayout>
                  <c:x val="0.12003439746773464"/>
                  <c:y val="3.9881413787007337E-3"/>
                </c:manualLayout>
              </c:layout>
              <c:tx>
                <c:rich>
                  <a:bodyPr/>
                  <a:lstStyle/>
                  <a:p>
                    <a:r>
                      <a:rPr lang="en-US"/>
                      <a:t>Community Services, $9.5m</a:t>
                    </a:r>
                  </a:p>
                </c:rich>
              </c:tx>
              <c:showVal val="1"/>
              <c:showCatName val="1"/>
            </c:dLbl>
            <c:dLbl>
              <c:idx val="4"/>
              <c:layout>
                <c:manualLayout>
                  <c:x val="-0.26671465333358835"/>
                  <c:y val="7.4336692369412691E-3"/>
                </c:manualLayout>
              </c:layout>
              <c:tx>
                <c:rich>
                  <a:bodyPr/>
                  <a:lstStyle/>
                  <a:p>
                    <a:r>
                      <a:rPr lang="en-US"/>
                      <a:t>Affordable Housing, n/a</a:t>
                    </a:r>
                  </a:p>
                </c:rich>
              </c:tx>
              <c:showVal val="1"/>
              <c:showCatName val="1"/>
            </c:dLbl>
            <c:dLbl>
              <c:idx val="5"/>
              <c:layout>
                <c:manualLayout>
                  <c:x val="-4.9991149950186914E-2"/>
                  <c:y val="2.0529070229857636E-2"/>
                </c:manualLayout>
              </c:layout>
              <c:tx>
                <c:rich>
                  <a:bodyPr/>
                  <a:lstStyle/>
                  <a:p>
                    <a:r>
                      <a:rPr lang="en-US"/>
                      <a:t>Infrastructure, $56.8m</a:t>
                    </a:r>
                  </a:p>
                </c:rich>
              </c:tx>
              <c:showVal val="1"/>
              <c:showCatName val="1"/>
            </c:dLbl>
            <c:dLbl>
              <c:idx val="6"/>
              <c:layout>
                <c:manualLayout>
                  <c:x val="-8.9106584666918634E-2"/>
                  <c:y val="7.4598887574286413E-2"/>
                </c:manualLayout>
              </c:layout>
              <c:tx>
                <c:rich>
                  <a:bodyPr/>
                  <a:lstStyle/>
                  <a:p>
                    <a:r>
                      <a:rPr lang="en-US"/>
                      <a:t>Environment, $1.9m</a:t>
                    </a:r>
                  </a:p>
                </c:rich>
              </c:tx>
              <c:showVal val="1"/>
              <c:showCatName val="1"/>
            </c:dLbl>
            <c:dLbl>
              <c:idx val="7"/>
              <c:layout>
                <c:manualLayout>
                  <c:x val="-7.5417897166494732E-2"/>
                  <c:y val="-9.0299593379843564E-3"/>
                </c:manualLayout>
              </c:layout>
              <c:tx>
                <c:rich>
                  <a:bodyPr/>
                  <a:lstStyle/>
                  <a:p>
                    <a:r>
                      <a:rPr lang="en-US"/>
                      <a:t>Contingent payments, $0.1m</a:t>
                    </a:r>
                  </a:p>
                </c:rich>
              </c:tx>
              <c:showVal val="1"/>
              <c:showCatName val="1"/>
            </c:dLbl>
            <c:dLbl>
              <c:idx val="8"/>
              <c:layout>
                <c:manualLayout>
                  <c:x val="5.0514266192493884E-2"/>
                  <c:y val="-2.6304652332966149E-2"/>
                </c:manualLayout>
              </c:layout>
              <c:tx>
                <c:rich>
                  <a:bodyPr/>
                  <a:lstStyle/>
                  <a:p>
                    <a:r>
                      <a:rPr lang="en-US"/>
                      <a:t>Other, $16.7m</a:t>
                    </a:r>
                  </a:p>
                </c:rich>
              </c:tx>
              <c:showVal val="1"/>
              <c:showCatName val="1"/>
            </c:dLbl>
            <c:showVal val="1"/>
            <c:showCatName val="1"/>
            <c:showLeaderLines val="1"/>
          </c:dLbls>
          <c:cat>
            <c:strRef>
              <c:f>'Budget 2013-14'!$L$8:$L$16</c:f>
              <c:strCache>
                <c:ptCount val="9"/>
                <c:pt idx="0">
                  <c:v>Health</c:v>
                </c:pt>
                <c:pt idx="1">
                  <c:v>Education</c:v>
                </c:pt>
                <c:pt idx="2">
                  <c:v>Skills &amp; Workforce Ddevelopment</c:v>
                </c:pt>
                <c:pt idx="3">
                  <c:v>Community Services</c:v>
                </c:pt>
                <c:pt idx="4">
                  <c:v>Affordable Housing</c:v>
                </c:pt>
                <c:pt idx="5">
                  <c:v>Infrastructure</c:v>
                </c:pt>
                <c:pt idx="6">
                  <c:v>Environment</c:v>
                </c:pt>
                <c:pt idx="7">
                  <c:v>Contingent payments</c:v>
                </c:pt>
                <c:pt idx="8">
                  <c:v>Other</c:v>
                </c:pt>
              </c:strCache>
            </c:strRef>
          </c:cat>
          <c:val>
            <c:numRef>
              <c:f>'Budget 2013-14'!$M$8:$M$16</c:f>
              <c:numCache>
                <c:formatCode>General</c:formatCode>
                <c:ptCount val="9"/>
                <c:pt idx="0">
                  <c:v>32.700000000000003</c:v>
                </c:pt>
                <c:pt idx="1">
                  <c:v>18.5</c:v>
                </c:pt>
                <c:pt idx="2">
                  <c:v>5.7</c:v>
                </c:pt>
                <c:pt idx="3">
                  <c:v>9.5</c:v>
                </c:pt>
                <c:pt idx="4">
                  <c:v>0</c:v>
                </c:pt>
                <c:pt idx="5">
                  <c:v>56.8</c:v>
                </c:pt>
                <c:pt idx="6">
                  <c:v>1.9000000000000001</c:v>
                </c:pt>
                <c:pt idx="7">
                  <c:v>0.1</c:v>
                </c:pt>
                <c:pt idx="8">
                  <c:v>16.7</c:v>
                </c:pt>
              </c:numCache>
            </c:numRef>
          </c:val>
        </c:ser>
        <c:dLbls>
          <c:showVal val="1"/>
          <c:showCatName val="1"/>
        </c:dLbls>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FF706-1E7D-49B7-AE64-E3FC4A4E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26</Pages>
  <Words>8536</Words>
  <Characters>48656</Characters>
  <Application>Microsoft Office Word</Application>
  <DocSecurity>6</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57078</CharactersWithSpaces>
  <SharedDoc>false</SharedDoc>
  <HLinks>
    <vt:vector size="30" baseType="variant">
      <vt:variant>
        <vt:i4>7602221</vt:i4>
      </vt:variant>
      <vt:variant>
        <vt:i4>12</vt:i4>
      </vt:variant>
      <vt:variant>
        <vt:i4>0</vt:i4>
      </vt:variant>
      <vt:variant>
        <vt:i4>5</vt:i4>
      </vt:variant>
      <vt:variant>
        <vt:lpwstr>http://www.cgc.gov.au/</vt:lpwstr>
      </vt:variant>
      <vt:variant>
        <vt:lpwstr/>
      </vt:variant>
      <vt:variant>
        <vt:i4>1310795</vt:i4>
      </vt:variant>
      <vt:variant>
        <vt:i4>9</vt:i4>
      </vt:variant>
      <vt:variant>
        <vt:i4>0</vt:i4>
      </vt:variant>
      <vt:variant>
        <vt:i4>5</vt:i4>
      </vt:variant>
      <vt:variant>
        <vt:lpwstr>http://www.federalfinancialrelations.gov.au/</vt:lpwstr>
      </vt:variant>
      <vt:variant>
        <vt:lpwstr/>
      </vt:variant>
      <vt:variant>
        <vt:i4>589901</vt:i4>
      </vt:variant>
      <vt:variant>
        <vt:i4>6</vt:i4>
      </vt:variant>
      <vt:variant>
        <vt:i4>0</vt:i4>
      </vt:variant>
      <vt:variant>
        <vt:i4>5</vt:i4>
      </vt:variant>
      <vt:variant>
        <vt:lpwstr>http://www.coagreformcouncil.gov.au/</vt:lpwstr>
      </vt:variant>
      <vt:variant>
        <vt:lpwstr/>
      </vt:variant>
      <vt:variant>
        <vt:i4>3342376</vt:i4>
      </vt:variant>
      <vt:variant>
        <vt:i4>3</vt:i4>
      </vt:variant>
      <vt:variant>
        <vt:i4>0</vt:i4>
      </vt:variant>
      <vt:variant>
        <vt:i4>5</vt:i4>
      </vt:variant>
      <vt:variant>
        <vt:lpwstr>http://www.coag.gov.au/</vt:lpwstr>
      </vt:variant>
      <vt:variant>
        <vt:lpwstr/>
      </vt:variant>
      <vt:variant>
        <vt:i4>1310795</vt:i4>
      </vt:variant>
      <vt:variant>
        <vt:i4>0</vt:i4>
      </vt:variant>
      <vt:variant>
        <vt:i4>0</vt:i4>
      </vt:variant>
      <vt:variant>
        <vt:i4>5</vt:i4>
      </vt:variant>
      <vt:variant>
        <vt:lpwstr>http://www.federalfinancialrelations.gov.au/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3: 4.1 Federal Financial Relations</dc:title>
  <dc:subject>4.1 Federal Financial Relations</dc:subject>
  <dc:creator>Chief Minister and Treasury Directorate</dc:creator>
  <cp:lastModifiedBy>Keaton Paterson</cp:lastModifiedBy>
  <cp:revision>11</cp:revision>
  <cp:lastPrinted>2013-05-25T04:07:00Z</cp:lastPrinted>
  <dcterms:created xsi:type="dcterms:W3CDTF">2013-05-25T02:41:00Z</dcterms:created>
  <dcterms:modified xsi:type="dcterms:W3CDTF">2013-06-02T07:33:00Z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