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45" w:rsidRPr="00F8491F" w:rsidRDefault="00AF2EEE" w:rsidP="00F8491F">
      <w:pPr>
        <w:pStyle w:val="Heading1"/>
      </w:pPr>
      <w:r w:rsidRPr="00F8491F">
        <w:t>2.1</w:t>
      </w:r>
      <w:r w:rsidR="00287B45" w:rsidRPr="00F8491F">
        <w:tab/>
        <w:t>BUDGET Outlook</w:t>
      </w:r>
    </w:p>
    <w:p w:rsidR="00F75A80" w:rsidRPr="00F8491F" w:rsidRDefault="00F75A80" w:rsidP="00F8491F">
      <w:pPr>
        <w:pStyle w:val="Heading3"/>
      </w:pPr>
      <w:r w:rsidRPr="00F8491F">
        <w:t>The Context of the 201</w:t>
      </w:r>
      <w:r w:rsidR="00E07C71" w:rsidRPr="00F8491F">
        <w:t>3</w:t>
      </w:r>
      <w:r w:rsidRPr="00F8491F">
        <w:t>-1</w:t>
      </w:r>
      <w:r w:rsidR="00E07C71" w:rsidRPr="00F8491F">
        <w:t>4</w:t>
      </w:r>
      <w:r w:rsidRPr="00F8491F">
        <w:t xml:space="preserve"> Budget</w:t>
      </w:r>
    </w:p>
    <w:p w:rsidR="00221B72" w:rsidRPr="00F8491F" w:rsidRDefault="00221B72" w:rsidP="00F8491F">
      <w:pPr>
        <w:pStyle w:val="BodyText"/>
      </w:pPr>
      <w:r w:rsidRPr="00F8491F">
        <w:t>The Territory’s budget has been shaped in the context of an expected fragile economic outlook in 2013-14 due to continued fiscal consolidation by the Commonwealth.  A number of downside risk</w:t>
      </w:r>
      <w:r w:rsidR="00D0712D" w:rsidRPr="00F8491F">
        <w:t>s</w:t>
      </w:r>
      <w:r w:rsidRPr="00F8491F">
        <w:t xml:space="preserve"> do exist</w:t>
      </w:r>
      <w:r w:rsidR="00D0712D" w:rsidRPr="00F8491F">
        <w:t xml:space="preserve"> and the Territory’s outlook is dependent on decisions following the upcoming Federal election.  H</w:t>
      </w:r>
      <w:r w:rsidRPr="00F8491F">
        <w:t>owever, the Territory maintains strong economic fundamentals.</w:t>
      </w:r>
    </w:p>
    <w:p w:rsidR="00D0712D" w:rsidRPr="00F8491F" w:rsidRDefault="00D0712D" w:rsidP="00F8491F">
      <w:pPr>
        <w:pStyle w:val="BodyText"/>
      </w:pPr>
      <w:r w:rsidRPr="00F8491F">
        <w:t xml:space="preserve">The underlying </w:t>
      </w:r>
      <w:r w:rsidR="00D51860" w:rsidRPr="00F8491F">
        <w:t>foundations</w:t>
      </w:r>
      <w:r w:rsidRPr="00F8491F">
        <w:t xml:space="preserve"> of the Budget Plan remain and the Territory has maintained a forecast return to surplus in 2015-16 which is also maintained in 2016-17.</w:t>
      </w:r>
    </w:p>
    <w:p w:rsidR="00BB5388" w:rsidRPr="00F8491F" w:rsidRDefault="00236704" w:rsidP="00F8491F">
      <w:pPr>
        <w:pStyle w:val="BodyText"/>
      </w:pPr>
      <w:r>
        <w:t>Compared to the 2012-13 Budget Review, revenue is expected to be slightly weaker in 2013</w:t>
      </w:r>
      <w:r>
        <w:noBreakHyphen/>
        <w:t>14 but slightly stronger from 201</w:t>
      </w:r>
      <w:r w:rsidR="00627E04">
        <w:t>4</w:t>
      </w:r>
      <w:r>
        <w:t>-1</w:t>
      </w:r>
      <w:r w:rsidR="00627E04">
        <w:t>5</w:t>
      </w:r>
      <w:r>
        <w:t xml:space="preserve"> onwards.</w:t>
      </w:r>
    </w:p>
    <w:p w:rsidR="00DB6430" w:rsidRDefault="007C3886" w:rsidP="00BB5388">
      <w:pPr>
        <w:pStyle w:val="TableNumber"/>
        <w:spacing w:before="240"/>
      </w:pPr>
      <w:r w:rsidRPr="001E3F15">
        <w:t xml:space="preserve">Figure </w:t>
      </w:r>
      <w:r w:rsidR="00AF2EEE" w:rsidRPr="001E3F15">
        <w:t>2</w:t>
      </w:r>
      <w:r w:rsidR="00E07C71" w:rsidRPr="001E3F15">
        <w:t>.1: Underlying Revenue, 2012</w:t>
      </w:r>
      <w:r w:rsidR="00DB6430" w:rsidRPr="001E3F15">
        <w:t>-1</w:t>
      </w:r>
      <w:r w:rsidR="00E07C71" w:rsidRPr="001E3F15">
        <w:t>3</w:t>
      </w:r>
      <w:r w:rsidR="001E3F15" w:rsidRPr="001E3F15">
        <w:t xml:space="preserve"> Budget Review</w:t>
      </w:r>
      <w:r w:rsidR="00DB6430" w:rsidRPr="001E3F15">
        <w:t xml:space="preserve"> and 201</w:t>
      </w:r>
      <w:r w:rsidR="00E07C71" w:rsidRPr="001E3F15">
        <w:t>3</w:t>
      </w:r>
      <w:r w:rsidR="00DB6430" w:rsidRPr="001E3F15">
        <w:t>-1</w:t>
      </w:r>
      <w:r w:rsidR="00E07C71" w:rsidRPr="001E3F15">
        <w:t>4</w:t>
      </w:r>
      <w:r w:rsidR="00DB6430" w:rsidRPr="001E3F15">
        <w:t xml:space="preserve"> Budg</w:t>
      </w:r>
      <w:r w:rsidR="001E3F15" w:rsidRPr="001E3F15">
        <w:t>et</w:t>
      </w:r>
    </w:p>
    <w:p w:rsidR="001E3F15" w:rsidRPr="001E3F15" w:rsidRDefault="004A738A" w:rsidP="001E3F15">
      <w:pPr>
        <w:pStyle w:val="TableName"/>
      </w:pPr>
      <w:r w:rsidRPr="004A738A">
        <w:rPr>
          <w:noProof/>
          <w:lang w:eastAsia="en-AU"/>
        </w:rPr>
        <w:drawing>
          <wp:inline distT="0" distB="0" distL="0" distR="0">
            <wp:extent cx="5732145" cy="2742289"/>
            <wp:effectExtent l="19050" t="0" r="20955" b="911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712D" w:rsidRPr="007567ED" w:rsidRDefault="00D0712D" w:rsidP="00BB5388">
      <w:pPr>
        <w:pStyle w:val="BodyText"/>
        <w:spacing w:before="240"/>
      </w:pPr>
      <w:r w:rsidRPr="007567ED">
        <w:t>Forecast expenses over the fi</w:t>
      </w:r>
      <w:r w:rsidR="00D41D9A" w:rsidRPr="007567ED">
        <w:t>ve year period have marginally increased</w:t>
      </w:r>
      <w:r w:rsidR="00BB5388">
        <w:t xml:space="preserve"> compared </w:t>
      </w:r>
      <w:proofErr w:type="gramStart"/>
      <w:r w:rsidR="00BB5388">
        <w:t xml:space="preserve">to the </w:t>
      </w:r>
      <w:r w:rsidRPr="007567ED">
        <w:t>2012-13 Budget</w:t>
      </w:r>
      <w:r w:rsidR="00236704">
        <w:t xml:space="preserve"> Review</w:t>
      </w:r>
      <w:proofErr w:type="gramEnd"/>
      <w:r w:rsidRPr="007567ED">
        <w:t xml:space="preserve">.  </w:t>
      </w:r>
      <w:r w:rsidR="00D41D9A" w:rsidRPr="007567ED">
        <w:t xml:space="preserve">The Government has constrained expenditure in this budget to an underlying growth of </w:t>
      </w:r>
      <w:r w:rsidR="00190E9B" w:rsidRPr="007567ED">
        <w:t>3.5</w:t>
      </w:r>
      <w:r w:rsidR="00D41D9A" w:rsidRPr="007567ED">
        <w:t xml:space="preserve"> per cent</w:t>
      </w:r>
      <w:r w:rsidR="00236704">
        <w:t xml:space="preserve"> per annum</w:t>
      </w:r>
      <w:r w:rsidR="00D41D9A" w:rsidRPr="007567ED">
        <w:t xml:space="preserve"> as a result of</w:t>
      </w:r>
      <w:r w:rsidR="00236704">
        <w:t xml:space="preserve"> limiting new initiatives to only high priority activity and</w:t>
      </w:r>
      <w:r w:rsidR="00D41D9A" w:rsidRPr="007567ED">
        <w:t xml:space="preserve"> </w:t>
      </w:r>
      <w:r w:rsidR="00236704">
        <w:t>implementing</w:t>
      </w:r>
      <w:r w:rsidRPr="007567ED">
        <w:t xml:space="preserve"> a range of savings measures involving the ceasing of initiatives that no longer align with Government priorities, further administrative savings and the reprioritisation of program expenditure.</w:t>
      </w:r>
    </w:p>
    <w:p w:rsidR="00D41D9A" w:rsidRDefault="00D41D9A">
      <w:pPr>
        <w:rPr>
          <w:rFonts w:ascii="Arial" w:hAnsi="Arial"/>
          <w:b/>
          <w:sz w:val="20"/>
        </w:rPr>
      </w:pPr>
      <w:r>
        <w:br w:type="page"/>
      </w:r>
    </w:p>
    <w:p w:rsidR="00260AF7" w:rsidRDefault="007C3886" w:rsidP="00F8491F">
      <w:pPr>
        <w:pStyle w:val="TableNumber"/>
      </w:pPr>
      <w:r w:rsidRPr="001E3F15">
        <w:lastRenderedPageBreak/>
        <w:t xml:space="preserve">Figure </w:t>
      </w:r>
      <w:r w:rsidR="00AF2EEE" w:rsidRPr="001E3F15">
        <w:t>2</w:t>
      </w:r>
      <w:r w:rsidR="00260AF7" w:rsidRPr="001E3F15">
        <w:t>.2: Underlying Expenses, 201</w:t>
      </w:r>
      <w:r w:rsidR="00E07C71" w:rsidRPr="001E3F15">
        <w:t>2</w:t>
      </w:r>
      <w:r w:rsidR="00260AF7" w:rsidRPr="001E3F15">
        <w:t>-1</w:t>
      </w:r>
      <w:r w:rsidR="00E07C71" w:rsidRPr="001E3F15">
        <w:t>3</w:t>
      </w:r>
      <w:r w:rsidR="00260AF7" w:rsidRPr="001E3F15">
        <w:t xml:space="preserve"> </w:t>
      </w:r>
      <w:r w:rsidR="001E3F15" w:rsidRPr="001E3F15">
        <w:t xml:space="preserve">Budget Review </w:t>
      </w:r>
      <w:r w:rsidR="00260AF7" w:rsidRPr="001E3F15">
        <w:t>and 201</w:t>
      </w:r>
      <w:r w:rsidR="00E07C71" w:rsidRPr="001E3F15">
        <w:t>3</w:t>
      </w:r>
      <w:r w:rsidR="00260AF7" w:rsidRPr="001E3F15">
        <w:t>-1</w:t>
      </w:r>
      <w:r w:rsidR="00E07C71" w:rsidRPr="001E3F15">
        <w:t>4</w:t>
      </w:r>
      <w:r w:rsidR="001E3F15" w:rsidRPr="001E3F15">
        <w:t xml:space="preserve"> Budget</w:t>
      </w:r>
    </w:p>
    <w:p w:rsidR="00C50925" w:rsidRPr="009E457D" w:rsidRDefault="00E60D66" w:rsidP="00260AF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60D66">
        <w:rPr>
          <w:rFonts w:asciiTheme="minorHAnsi" w:hAnsiTheme="minorHAnsi" w:cstheme="minorHAnsi"/>
          <w:noProof/>
          <w:sz w:val="22"/>
          <w:szCs w:val="22"/>
          <w:lang w:eastAsia="en-AU"/>
        </w:rPr>
        <w:drawing>
          <wp:inline distT="0" distB="0" distL="0" distR="0">
            <wp:extent cx="5724525" cy="274320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5A80" w:rsidRPr="00F8491F" w:rsidRDefault="00216B40" w:rsidP="00F8491F">
      <w:pPr>
        <w:pStyle w:val="Heading3"/>
      </w:pPr>
      <w:r w:rsidRPr="00F8491F">
        <w:t>201</w:t>
      </w:r>
      <w:r w:rsidR="00E07C71" w:rsidRPr="00F8491F">
        <w:t>3</w:t>
      </w:r>
      <w:r w:rsidRPr="00F8491F">
        <w:t>-1</w:t>
      </w:r>
      <w:r w:rsidR="00E07C71" w:rsidRPr="00F8491F">
        <w:t>4</w:t>
      </w:r>
      <w:r w:rsidRPr="00F8491F">
        <w:t xml:space="preserve"> Budget</w:t>
      </w:r>
    </w:p>
    <w:p w:rsidR="00805834" w:rsidRPr="00F8491F" w:rsidRDefault="00805834" w:rsidP="00F8491F">
      <w:pPr>
        <w:pStyle w:val="BodyText"/>
      </w:pPr>
      <w:r w:rsidRPr="00F8491F">
        <w:t>The 2013-14 Budget remains committed to the original budget plan target of a return to surplus in 2015-16.  The Government has taken a sharper focus in this budget on restructuring the Territory’s expenditure and revenue base to plan for future challenges.</w:t>
      </w:r>
    </w:p>
    <w:p w:rsidR="00E929D0" w:rsidRPr="00F8491F" w:rsidRDefault="00E929D0" w:rsidP="00F8491F">
      <w:pPr>
        <w:pStyle w:val="BodyText"/>
      </w:pPr>
      <w:r w:rsidRPr="00F8491F">
        <w:t xml:space="preserve">The forecast </w:t>
      </w:r>
      <w:r w:rsidR="005E61DB" w:rsidRPr="00F8491F">
        <w:t>Headline</w:t>
      </w:r>
      <w:r w:rsidRPr="00F8491F">
        <w:t xml:space="preserve"> Net Operating Balance in 201</w:t>
      </w:r>
      <w:r w:rsidR="00477A41" w:rsidRPr="00F8491F">
        <w:t>3</w:t>
      </w:r>
      <w:r w:rsidRPr="00F8491F">
        <w:noBreakHyphen/>
        <w:t>1</w:t>
      </w:r>
      <w:r w:rsidR="00477A41" w:rsidRPr="00F8491F">
        <w:t>4</w:t>
      </w:r>
      <w:r w:rsidRPr="00F8491F">
        <w:t xml:space="preserve"> is a deficit of $</w:t>
      </w:r>
      <w:r w:rsidR="00477A41" w:rsidRPr="00F8491F">
        <w:t>253.6</w:t>
      </w:r>
      <w:r w:rsidRPr="00F8491F">
        <w:t> million, an</w:t>
      </w:r>
      <w:r w:rsidR="00477A41" w:rsidRPr="00F8491F">
        <w:t>d return to surplus</w:t>
      </w:r>
      <w:r w:rsidR="00CE4A60" w:rsidRPr="00F8491F">
        <w:t>es</w:t>
      </w:r>
      <w:r w:rsidR="00477A41" w:rsidRPr="00F8491F">
        <w:t xml:space="preserve"> in 2015-16 </w:t>
      </w:r>
      <w:r w:rsidR="00CE4A60" w:rsidRPr="00F8491F">
        <w:t>and 2016</w:t>
      </w:r>
      <w:r w:rsidR="002B5F60">
        <w:t>-</w:t>
      </w:r>
      <w:r w:rsidR="00CE4A60" w:rsidRPr="00F8491F">
        <w:t xml:space="preserve">17 </w:t>
      </w:r>
      <w:r w:rsidR="00477A41" w:rsidRPr="00F8491F">
        <w:t xml:space="preserve">of $29.3 million </w:t>
      </w:r>
      <w:r w:rsidR="00CE4A60" w:rsidRPr="00F8491F">
        <w:t>and</w:t>
      </w:r>
      <w:r w:rsidR="00477A41" w:rsidRPr="00F8491F">
        <w:t xml:space="preserve"> $47.1 million.</w:t>
      </w:r>
    </w:p>
    <w:p w:rsidR="008A6425" w:rsidRPr="00F8491F" w:rsidRDefault="008A6425" w:rsidP="00F8491F">
      <w:pPr>
        <w:pStyle w:val="TableNumber"/>
      </w:pPr>
      <w:r w:rsidRPr="00F8491F">
        <w:t xml:space="preserve">Table </w:t>
      </w:r>
      <w:r w:rsidR="00AF2EEE" w:rsidRPr="00F8491F">
        <w:t>2</w:t>
      </w:r>
      <w:r w:rsidRPr="00F8491F">
        <w:t>.</w:t>
      </w:r>
      <w:r w:rsidR="00AF2EEE" w:rsidRPr="00F8491F">
        <w:t>1</w:t>
      </w:r>
      <w:r w:rsidRPr="00F8491F">
        <w:t>.1</w:t>
      </w:r>
    </w:p>
    <w:p w:rsidR="008A6425" w:rsidRPr="00F8491F" w:rsidRDefault="008A6425" w:rsidP="00F8491F">
      <w:pPr>
        <w:pStyle w:val="TableName"/>
      </w:pPr>
      <w:r w:rsidRPr="00F8491F">
        <w:t>General Government Sector – Headline Net Operating Balance</w:t>
      </w:r>
    </w:p>
    <w:tbl>
      <w:tblPr>
        <w:tblW w:w="9100" w:type="dxa"/>
        <w:jc w:val="center"/>
        <w:tblLook w:val="0000"/>
      </w:tblPr>
      <w:tblGrid>
        <w:gridCol w:w="3165"/>
        <w:gridCol w:w="1511"/>
        <w:gridCol w:w="1511"/>
        <w:gridCol w:w="1511"/>
        <w:gridCol w:w="1402"/>
      </w:tblGrid>
      <w:tr w:rsidR="00301BFB" w:rsidRPr="00D369B6" w:rsidTr="00F8491F">
        <w:trPr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9E457D" w:rsidRDefault="00301BFB" w:rsidP="008A6425">
            <w:pPr>
              <w:pStyle w:val="DefinitionTerm"/>
              <w:keepNext/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D369B6" w:rsidRDefault="00301BFB" w:rsidP="008A6425">
            <w:pPr>
              <w:keepNext/>
              <w:spacing w:before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201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-1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  <w:p w:rsidR="00301BFB" w:rsidRPr="00D369B6" w:rsidRDefault="00301BFB" w:rsidP="008A6425">
            <w:pPr>
              <w:keepNext/>
              <w:spacing w:after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$m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D369B6" w:rsidRDefault="00301BFB" w:rsidP="008A6425">
            <w:pPr>
              <w:keepNext/>
              <w:spacing w:before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201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-1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  <w:p w:rsidR="00301BFB" w:rsidRPr="00D369B6" w:rsidRDefault="00301BFB" w:rsidP="008A6425">
            <w:pPr>
              <w:keepNext/>
              <w:spacing w:after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$m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D369B6" w:rsidRDefault="00301BFB" w:rsidP="008A6425">
            <w:pPr>
              <w:keepNext/>
              <w:spacing w:before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201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-1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</w:p>
          <w:p w:rsidR="00301BFB" w:rsidRPr="00D369B6" w:rsidRDefault="00301BFB" w:rsidP="008A6425">
            <w:pPr>
              <w:keepNext/>
              <w:spacing w:after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$m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D369B6" w:rsidRDefault="00301BFB" w:rsidP="00726FC8">
            <w:pPr>
              <w:keepNext/>
              <w:spacing w:before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201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-1</w:t>
            </w:r>
            <w:r w:rsidR="00E07C71" w:rsidRPr="00D369B6">
              <w:rPr>
                <w:rFonts w:asciiTheme="minorHAnsi" w:hAnsiTheme="minorHAnsi" w:cstheme="minorHAnsi"/>
                <w:b/>
                <w:bCs/>
                <w:sz w:val="20"/>
              </w:rPr>
              <w:t>7</w:t>
            </w:r>
          </w:p>
          <w:p w:rsidR="00301BFB" w:rsidRPr="00D369B6" w:rsidRDefault="00301BFB" w:rsidP="00726FC8">
            <w:pPr>
              <w:keepNext/>
              <w:spacing w:after="6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369B6">
              <w:rPr>
                <w:rFonts w:asciiTheme="minorHAnsi" w:hAnsiTheme="minorHAnsi" w:cstheme="minorHAnsi"/>
                <w:b/>
                <w:bCs/>
                <w:sz w:val="20"/>
              </w:rPr>
              <w:t>$m</w:t>
            </w:r>
          </w:p>
        </w:tc>
      </w:tr>
      <w:tr w:rsidR="00301BFB" w:rsidRPr="00E07C71" w:rsidTr="00F8491F">
        <w:trPr>
          <w:jc w:val="center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F8491F" w:rsidRDefault="00301BFB" w:rsidP="00F8491F">
            <w:pPr>
              <w:pStyle w:val="TableTextLeft-BP3"/>
            </w:pPr>
            <w:r w:rsidRPr="00F8491F">
              <w:t>Headline Net Operating Balance</w:t>
            </w:r>
            <w:r w:rsidRPr="00756E1F">
              <w:rPr>
                <w:vertAlign w:val="superscript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CD0C9B" w:rsidRDefault="00D369B6" w:rsidP="00F8491F">
            <w:pPr>
              <w:pStyle w:val="TableTextRight"/>
            </w:pPr>
            <w:r w:rsidRPr="00CD0C9B">
              <w:t>-253.6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CD0C9B" w:rsidRDefault="00D369B6" w:rsidP="00F8491F">
            <w:pPr>
              <w:pStyle w:val="TableTextRight"/>
            </w:pPr>
            <w:r w:rsidRPr="00CD0C9B">
              <w:t>-99.</w:t>
            </w:r>
            <w:r w:rsidR="00CD0C9B" w:rsidRPr="00CD0C9B">
              <w:t>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CD0C9B" w:rsidRDefault="00D369B6" w:rsidP="00F8491F">
            <w:pPr>
              <w:pStyle w:val="TableTextRight"/>
            </w:pPr>
            <w:r w:rsidRPr="00CD0C9B">
              <w:t>29.3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01BFB" w:rsidRPr="00CD0C9B" w:rsidRDefault="00D369B6" w:rsidP="00F8491F">
            <w:pPr>
              <w:pStyle w:val="TableTextRight"/>
            </w:pPr>
            <w:r w:rsidRPr="00CD0C9B">
              <w:t>47.1</w:t>
            </w:r>
          </w:p>
        </w:tc>
      </w:tr>
    </w:tbl>
    <w:p w:rsidR="008A6425" w:rsidRPr="007567ED" w:rsidRDefault="008A6425" w:rsidP="007567ED">
      <w:pPr>
        <w:pStyle w:val="NoteHeading0"/>
      </w:pPr>
      <w:r w:rsidRPr="007567ED">
        <w:t>Note:</w:t>
      </w:r>
    </w:p>
    <w:p w:rsidR="008A6425" w:rsidRPr="009E457D" w:rsidRDefault="005E61DB" w:rsidP="008A6425">
      <w:pPr>
        <w:pStyle w:val="AINotes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Headline</w:t>
      </w:r>
      <w:r w:rsidR="008A6425" w:rsidRPr="009E457D">
        <w:rPr>
          <w:rFonts w:asciiTheme="minorHAnsi" w:hAnsiTheme="minorHAnsi" w:cstheme="minorHAnsi"/>
        </w:rPr>
        <w:t xml:space="preserve"> Net Operating Balance incorporates the impact of long term superannuation investment earnings </w:t>
      </w:r>
      <w:r>
        <w:rPr>
          <w:rFonts w:asciiTheme="minorHAnsi" w:hAnsiTheme="minorHAnsi" w:cstheme="minorHAnsi"/>
        </w:rPr>
        <w:t>in order to provide an accurate assessment of the longer term sustainability of the budget position</w:t>
      </w:r>
      <w:r w:rsidR="008A6425" w:rsidRPr="009E457D">
        <w:rPr>
          <w:rFonts w:asciiTheme="minorHAnsi" w:hAnsiTheme="minorHAnsi" w:cstheme="minorHAnsi"/>
        </w:rPr>
        <w:t>.  Further details are provided later in this chapter.</w:t>
      </w:r>
    </w:p>
    <w:p w:rsidR="0076500B" w:rsidRPr="00F8491F" w:rsidRDefault="0076500B" w:rsidP="00F8491F">
      <w:pPr>
        <w:pStyle w:val="BodyText"/>
      </w:pPr>
      <w:r w:rsidRPr="00F8491F">
        <w:t>Across the Budget and forward estimates period, aggregate revenues grow at around 5.8 per cent</w:t>
      </w:r>
      <w:r w:rsidR="00236704">
        <w:t xml:space="preserve"> per annum</w:t>
      </w:r>
      <w:r w:rsidRPr="00F8491F">
        <w:t xml:space="preserve">, 0.55 </w:t>
      </w:r>
      <w:r w:rsidR="00152679">
        <w:t>of a percentage point</w:t>
      </w:r>
      <w:r w:rsidRPr="00F8491F">
        <w:t xml:space="preserve"> higher than the Budget Plan parameters.</w:t>
      </w:r>
    </w:p>
    <w:p w:rsidR="00641138" w:rsidRPr="00F8491F" w:rsidRDefault="00236704" w:rsidP="00F8491F">
      <w:pPr>
        <w:pStyle w:val="BodyText"/>
      </w:pPr>
      <w:r>
        <w:t>Forecast e</w:t>
      </w:r>
      <w:r w:rsidR="00641138" w:rsidRPr="00F8491F">
        <w:t xml:space="preserve">xpense growth across this period </w:t>
      </w:r>
      <w:r>
        <w:t>of</w:t>
      </w:r>
      <w:r w:rsidR="00812DE0" w:rsidRPr="00F8491F">
        <w:t xml:space="preserve"> 3.5 per cent</w:t>
      </w:r>
      <w:r w:rsidR="004A738A">
        <w:t xml:space="preserve"> per annum</w:t>
      </w:r>
      <w:r w:rsidR="00812DE0" w:rsidRPr="00F8491F">
        <w:t xml:space="preserve"> </w:t>
      </w:r>
      <w:r>
        <w:t>compares to</w:t>
      </w:r>
      <w:r w:rsidR="00812DE0" w:rsidRPr="00F8491F">
        <w:t xml:space="preserve"> the Budget Plan</w:t>
      </w:r>
      <w:r>
        <w:t xml:space="preserve"> forecast</w:t>
      </w:r>
      <w:r w:rsidR="00812DE0" w:rsidRPr="00F8491F">
        <w:t xml:space="preserve"> of 4.5</w:t>
      </w:r>
      <w:r w:rsidR="00641138" w:rsidRPr="00F8491F">
        <w:t xml:space="preserve"> per cent</w:t>
      </w:r>
      <w:r w:rsidR="004A738A">
        <w:t xml:space="preserve"> per annum</w:t>
      </w:r>
      <w:r w:rsidR="00812DE0" w:rsidRPr="00F8491F">
        <w:t xml:space="preserve"> and 2012-13 Budget </w:t>
      </w:r>
      <w:r w:rsidR="0037391B">
        <w:t>forecast</w:t>
      </w:r>
      <w:r w:rsidR="00812DE0" w:rsidRPr="00F8491F">
        <w:t xml:space="preserve"> of </w:t>
      </w:r>
      <w:r w:rsidR="00BB5388">
        <w:t>4 per </w:t>
      </w:r>
      <w:r w:rsidR="00812DE0" w:rsidRPr="00F8491F">
        <w:t>cent</w:t>
      </w:r>
      <w:r w:rsidR="00641138" w:rsidRPr="00F8491F">
        <w:t>.</w:t>
      </w:r>
    </w:p>
    <w:p w:rsidR="006E01E6" w:rsidRPr="00E07C71" w:rsidRDefault="006E01E6">
      <w:pPr>
        <w:rPr>
          <w:rFonts w:ascii="Arial" w:hAnsi="Arial" w:cs="Arial"/>
          <w:b/>
          <w:bCs/>
          <w:szCs w:val="26"/>
          <w:highlight w:val="yellow"/>
        </w:rPr>
      </w:pPr>
      <w:r w:rsidRPr="00E07C71">
        <w:rPr>
          <w:highlight w:val="yellow"/>
        </w:rPr>
        <w:br w:type="page"/>
      </w:r>
    </w:p>
    <w:p w:rsidR="00726FC8" w:rsidRPr="00BB5388" w:rsidRDefault="00726FC8" w:rsidP="00BB5388">
      <w:pPr>
        <w:pStyle w:val="Heading3TopofPage"/>
      </w:pPr>
      <w:r w:rsidRPr="00BB5388">
        <w:lastRenderedPageBreak/>
        <w:t xml:space="preserve">2013-14 </w:t>
      </w:r>
      <w:r w:rsidR="005E61DB" w:rsidRPr="00BB5388">
        <w:t xml:space="preserve">Headline </w:t>
      </w:r>
      <w:r w:rsidRPr="00BB5388">
        <w:t>Net Operating Balance and Forward Estimates</w:t>
      </w:r>
    </w:p>
    <w:p w:rsidR="00726FC8" w:rsidRPr="00F8491F" w:rsidRDefault="00726FC8" w:rsidP="00F8491F">
      <w:pPr>
        <w:pStyle w:val="BodyText"/>
      </w:pPr>
      <w:r w:rsidRPr="00F8491F">
        <w:t>One of the key financial objectives for the Government is to achieve an operating surplus: temporary deficits must only occur if they are offset by surpluses at other times.  The Budget is in deficit in 201</w:t>
      </w:r>
      <w:r w:rsidR="00CE4A60" w:rsidRPr="00F8491F">
        <w:t>3</w:t>
      </w:r>
      <w:r w:rsidRPr="00F8491F">
        <w:t>-1</w:t>
      </w:r>
      <w:r w:rsidR="00CE4A60" w:rsidRPr="00F8491F">
        <w:t>4 and 2014-15</w:t>
      </w:r>
      <w:r w:rsidRPr="00F8491F">
        <w:t>.</w:t>
      </w:r>
      <w:r w:rsidR="005E61DB" w:rsidRPr="00F8491F">
        <w:t xml:space="preserve">  In 2009-10 the Government accepted these temporary deficits as part of the Budget Plan and targeted a return to </w:t>
      </w:r>
      <w:r w:rsidR="006C4E4B">
        <w:t xml:space="preserve">a balanced budget </w:t>
      </w:r>
      <w:r w:rsidR="005E61DB" w:rsidRPr="00F8491F">
        <w:t xml:space="preserve">in 2015-16.  This </w:t>
      </w:r>
      <w:r w:rsidR="0037391B">
        <w:t>objective</w:t>
      </w:r>
      <w:r w:rsidR="005E61DB" w:rsidRPr="00F8491F">
        <w:t xml:space="preserve"> has been maintained.</w:t>
      </w:r>
    </w:p>
    <w:p w:rsidR="00CE4A60" w:rsidRPr="00F8491F" w:rsidRDefault="00CE4A60" w:rsidP="00F8491F">
      <w:pPr>
        <w:pStyle w:val="BodyText"/>
      </w:pPr>
      <w:proofErr w:type="gramStart"/>
      <w:r w:rsidRPr="00F8491F">
        <w:t>Since the 2012-13 Budget</w:t>
      </w:r>
      <w:r w:rsidR="0037391B">
        <w:t xml:space="preserve"> Review</w:t>
      </w:r>
      <w:r w:rsidRPr="00F8491F">
        <w:t>,</w:t>
      </w:r>
      <w:proofErr w:type="gramEnd"/>
      <w:r w:rsidRPr="00F8491F">
        <w:t xml:space="preserve"> the Net Operating Balance has </w:t>
      </w:r>
      <w:r w:rsidR="006C4E4B">
        <w:t xml:space="preserve">decreased </w:t>
      </w:r>
      <w:r w:rsidR="0037391B">
        <w:t>in</w:t>
      </w:r>
      <w:r w:rsidRPr="00F8491F">
        <w:t xml:space="preserve"> </w:t>
      </w:r>
      <w:r w:rsidR="0037391B">
        <w:t>2013-14</w:t>
      </w:r>
      <w:r w:rsidR="006C4E4B">
        <w:t xml:space="preserve">, largely due to a reduction in </w:t>
      </w:r>
      <w:r w:rsidR="00152679">
        <w:t xml:space="preserve">forecast </w:t>
      </w:r>
      <w:r w:rsidR="006C4E4B">
        <w:t>taxation revenue</w:t>
      </w:r>
      <w:r w:rsidR="00152679">
        <w:t xml:space="preserve"> growth</w:t>
      </w:r>
      <w:r w:rsidR="006C4E4B">
        <w:t>, revised funding profiles and dividends</w:t>
      </w:r>
      <w:r w:rsidRPr="00F8491F">
        <w:t xml:space="preserve">.  Aggregate revenues over </w:t>
      </w:r>
      <w:r w:rsidR="00627E04">
        <w:t>th</w:t>
      </w:r>
      <w:r w:rsidR="004A738A">
        <w:t>is</w:t>
      </w:r>
      <w:r w:rsidR="00627E04">
        <w:t xml:space="preserve"> period</w:t>
      </w:r>
      <w:r w:rsidRPr="00F8491F">
        <w:t xml:space="preserve"> are broadly in line with those </w:t>
      </w:r>
      <w:proofErr w:type="gramStart"/>
      <w:r w:rsidRPr="00F8491F">
        <w:t>of the 2012-13 Budget</w:t>
      </w:r>
      <w:r w:rsidR="00627E04">
        <w:t xml:space="preserve"> Review</w:t>
      </w:r>
      <w:proofErr w:type="gramEnd"/>
      <w:r w:rsidRPr="00F8491F">
        <w:t>.  Aggregate expenses are temporarily</w:t>
      </w:r>
      <w:r w:rsidR="007567ED">
        <w:t xml:space="preserve"> higher compared to the 2012</w:t>
      </w:r>
      <w:r w:rsidR="00627E04">
        <w:noBreakHyphen/>
      </w:r>
      <w:r w:rsidR="007567ED">
        <w:t>13 </w:t>
      </w:r>
      <w:r w:rsidRPr="00F8491F">
        <w:t xml:space="preserve">Budget </w:t>
      </w:r>
      <w:r w:rsidR="00627E04">
        <w:t xml:space="preserve">Review </w:t>
      </w:r>
      <w:r w:rsidRPr="00F8491F">
        <w:t>over the period from 2012-13 to 201</w:t>
      </w:r>
      <w:r w:rsidR="00627E04">
        <w:t>5</w:t>
      </w:r>
      <w:r w:rsidRPr="00F8491F">
        <w:t>-1</w:t>
      </w:r>
      <w:r w:rsidR="00627E04">
        <w:t>6</w:t>
      </w:r>
      <w:r w:rsidRPr="00F8491F">
        <w:t xml:space="preserve">.  Expenses over this period have been </w:t>
      </w:r>
      <w:r w:rsidR="004A738A">
        <w:t>affected</w:t>
      </w:r>
      <w:r w:rsidRPr="00F8491F">
        <w:t xml:space="preserve"> by </w:t>
      </w:r>
      <w:r w:rsidR="00812DE0" w:rsidRPr="00F8491F">
        <w:t>higher employee, supplies and services, grants and interest expenses.</w:t>
      </w:r>
      <w:r w:rsidRPr="00F8491F">
        <w:t xml:space="preserve">   </w:t>
      </w:r>
    </w:p>
    <w:p w:rsidR="00726FC8" w:rsidRPr="00F8491F" w:rsidRDefault="00726FC8" w:rsidP="00F8491F">
      <w:pPr>
        <w:pStyle w:val="BodyText"/>
      </w:pPr>
      <w:r w:rsidRPr="00F8491F">
        <w:t>Table 2.1.</w:t>
      </w:r>
      <w:r w:rsidR="00190E9B" w:rsidRPr="00F8491F">
        <w:t>2</w:t>
      </w:r>
      <w:r w:rsidRPr="00F8491F">
        <w:t xml:space="preserve"> below provides the Headline Net Operating Balance for the 2012-13 estimated </w:t>
      </w:r>
      <w:proofErr w:type="gramStart"/>
      <w:r w:rsidRPr="00F8491F">
        <w:t>outcome</w:t>
      </w:r>
      <w:proofErr w:type="gramEnd"/>
      <w:r w:rsidRPr="00F8491F">
        <w:t>, the 2013-14 Budget and the forward estimates.</w:t>
      </w:r>
    </w:p>
    <w:p w:rsidR="00726FC8" w:rsidRPr="00F8491F" w:rsidRDefault="00070698" w:rsidP="00F8491F">
      <w:pPr>
        <w:pStyle w:val="TableNumber"/>
      </w:pPr>
      <w:r w:rsidRPr="00F8491F">
        <w:t xml:space="preserve">Table </w:t>
      </w:r>
      <w:r w:rsidR="00AF2EEE" w:rsidRPr="00F8491F">
        <w:t>2</w:t>
      </w:r>
      <w:r w:rsidRPr="00F8491F">
        <w:t>.</w:t>
      </w:r>
      <w:r w:rsidR="00AF2EEE" w:rsidRPr="00F8491F">
        <w:t>1</w:t>
      </w:r>
      <w:r w:rsidR="00726FC8" w:rsidRPr="00F8491F">
        <w:t>.</w:t>
      </w:r>
      <w:r w:rsidRPr="00F8491F">
        <w:t>2</w:t>
      </w:r>
    </w:p>
    <w:p w:rsidR="00726FC8" w:rsidRPr="00F8491F" w:rsidRDefault="00726FC8" w:rsidP="00F8491F">
      <w:pPr>
        <w:pStyle w:val="TableName"/>
      </w:pPr>
      <w:r w:rsidRPr="00F8491F">
        <w:t xml:space="preserve">2013-14 Budget </w:t>
      </w:r>
      <w:r w:rsidR="007567ED">
        <w:t>–</w:t>
      </w:r>
      <w:r w:rsidRPr="00F8491F">
        <w:t xml:space="preserve"> GGS Headline Net Operating Surplus/Deficit</w:t>
      </w:r>
    </w:p>
    <w:tbl>
      <w:tblPr>
        <w:tblW w:w="9100" w:type="dxa"/>
        <w:tblLook w:val="01E0"/>
      </w:tblPr>
      <w:tblGrid>
        <w:gridCol w:w="3369"/>
        <w:gridCol w:w="1364"/>
        <w:gridCol w:w="1085"/>
        <w:gridCol w:w="1094"/>
        <w:gridCol w:w="1094"/>
        <w:gridCol w:w="1094"/>
      </w:tblGrid>
      <w:tr w:rsidR="00726FC8" w:rsidRPr="00D369B6" w:rsidTr="004A738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BF7247" w:rsidRDefault="00726FC8" w:rsidP="00726FC8">
            <w:pPr>
              <w:pStyle w:val="BodyText"/>
              <w:spacing w:before="10" w:after="10"/>
              <w:rPr>
                <w:rFonts w:cs="Calibri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2012-13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Est.</w:t>
            </w:r>
            <w:r w:rsidR="004A738A">
              <w:rPr>
                <w:rFonts w:cs="Calibri"/>
                <w:szCs w:val="20"/>
              </w:rPr>
              <w:t xml:space="preserve"> </w:t>
            </w:r>
            <w:r w:rsidRPr="00D369B6">
              <w:rPr>
                <w:rFonts w:cs="Calibri"/>
                <w:szCs w:val="20"/>
              </w:rPr>
              <w:t>Outcome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$m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2013-14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Budget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$m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2014-15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Estimate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$m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2015-16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Estimate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$m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2016-17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Estimate</w:t>
            </w:r>
          </w:p>
          <w:p w:rsidR="00726FC8" w:rsidRPr="00D369B6" w:rsidRDefault="00726FC8" w:rsidP="00726FC8">
            <w:pPr>
              <w:pStyle w:val="TableHeadingRight"/>
              <w:spacing w:before="10" w:after="10"/>
              <w:rPr>
                <w:rFonts w:cs="Calibri"/>
                <w:szCs w:val="20"/>
              </w:rPr>
            </w:pPr>
            <w:r w:rsidRPr="00D369B6">
              <w:rPr>
                <w:rFonts w:cs="Calibri"/>
                <w:szCs w:val="20"/>
              </w:rPr>
              <w:t>$m</w:t>
            </w:r>
          </w:p>
        </w:tc>
      </w:tr>
      <w:tr w:rsidR="00726FC8" w:rsidRPr="00D369B6" w:rsidTr="004A738A">
        <w:tc>
          <w:tcPr>
            <w:tcW w:w="3369" w:type="dxa"/>
            <w:tcBorders>
              <w:top w:val="single" w:sz="4" w:space="0" w:color="auto"/>
            </w:tcBorders>
          </w:tcPr>
          <w:p w:rsidR="00726FC8" w:rsidRPr="00627E04" w:rsidRDefault="00726FC8" w:rsidP="00726FC8">
            <w:pPr>
              <w:pStyle w:val="TableTextLeftBold"/>
              <w:spacing w:before="16" w:after="16"/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D369B6" w:rsidTr="004A738A">
        <w:tc>
          <w:tcPr>
            <w:tcW w:w="3369" w:type="dxa"/>
          </w:tcPr>
          <w:p w:rsidR="00726FC8" w:rsidRPr="00D369B6" w:rsidRDefault="00726FC8" w:rsidP="00726FC8">
            <w:pPr>
              <w:pStyle w:val="TableTextLeftBold"/>
              <w:spacing w:before="16" w:after="16"/>
              <w:rPr>
                <w:rFonts w:cs="Calibri"/>
                <w:b w:val="0"/>
              </w:rPr>
            </w:pPr>
            <w:r w:rsidRPr="00D369B6">
              <w:rPr>
                <w:rFonts w:cs="Calibri"/>
                <w:b w:val="0"/>
              </w:rPr>
              <w:t>Revenue</w:t>
            </w:r>
          </w:p>
        </w:tc>
        <w:tc>
          <w:tcPr>
            <w:tcW w:w="136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3,999.</w:t>
            </w:r>
            <w:r w:rsidR="00CD0C9B">
              <w:rPr>
                <w:rFonts w:cs="Calibri"/>
              </w:rPr>
              <w:t>9</w:t>
            </w:r>
          </w:p>
        </w:tc>
        <w:tc>
          <w:tcPr>
            <w:tcW w:w="1085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4,237.3</w:t>
            </w:r>
          </w:p>
        </w:tc>
        <w:tc>
          <w:tcPr>
            <w:tcW w:w="109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4,519.6</w:t>
            </w:r>
          </w:p>
        </w:tc>
        <w:tc>
          <w:tcPr>
            <w:tcW w:w="109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4,788.3</w:t>
            </w:r>
          </w:p>
        </w:tc>
        <w:tc>
          <w:tcPr>
            <w:tcW w:w="109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5,006.8</w:t>
            </w:r>
          </w:p>
        </w:tc>
      </w:tr>
      <w:tr w:rsidR="00726FC8" w:rsidRPr="00D369B6" w:rsidTr="004A738A">
        <w:tc>
          <w:tcPr>
            <w:tcW w:w="3369" w:type="dxa"/>
          </w:tcPr>
          <w:p w:rsidR="00726FC8" w:rsidRPr="00D369B6" w:rsidRDefault="00726FC8" w:rsidP="00726FC8">
            <w:pPr>
              <w:pStyle w:val="TableTextLeftBold"/>
              <w:spacing w:before="16" w:after="16"/>
              <w:rPr>
                <w:rFonts w:cs="Calibri"/>
                <w:b w:val="0"/>
              </w:rPr>
            </w:pPr>
            <w:r w:rsidRPr="00D369B6">
              <w:rPr>
                <w:rFonts w:cs="Calibri"/>
                <w:b w:val="0"/>
              </w:rPr>
              <w:t>Expenses</w:t>
            </w:r>
          </w:p>
        </w:tc>
        <w:tc>
          <w:tcPr>
            <w:tcW w:w="136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4,424.3</w:t>
            </w:r>
          </w:p>
        </w:tc>
        <w:tc>
          <w:tcPr>
            <w:tcW w:w="1085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4,577.9</w:t>
            </w:r>
          </w:p>
        </w:tc>
        <w:tc>
          <w:tcPr>
            <w:tcW w:w="109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4,713.5</w:t>
            </w:r>
          </w:p>
        </w:tc>
        <w:tc>
          <w:tcPr>
            <w:tcW w:w="109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4,860.2</w:t>
            </w:r>
          </w:p>
        </w:tc>
        <w:tc>
          <w:tcPr>
            <w:tcW w:w="1094" w:type="dxa"/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5,068.6</w:t>
            </w:r>
          </w:p>
        </w:tc>
      </w:tr>
      <w:tr w:rsidR="00726FC8" w:rsidRPr="00D369B6" w:rsidTr="004A738A">
        <w:tc>
          <w:tcPr>
            <w:tcW w:w="3369" w:type="dxa"/>
            <w:tcBorders>
              <w:bottom w:val="single" w:sz="4" w:space="0" w:color="auto"/>
            </w:tcBorders>
          </w:tcPr>
          <w:p w:rsidR="00726FC8" w:rsidRPr="00D369B6" w:rsidRDefault="00726FC8" w:rsidP="00726FC8">
            <w:pPr>
              <w:pStyle w:val="TableTextLeftBold"/>
              <w:spacing w:before="16" w:after="16"/>
              <w:rPr>
                <w:rFonts w:cs="Calibri"/>
              </w:rPr>
            </w:pPr>
            <w:r w:rsidRPr="00D369B6">
              <w:rPr>
                <w:rFonts w:cs="Calibri"/>
              </w:rPr>
              <w:t>UPF Net Operating Balance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-424.5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-340.6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-193.9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-71.9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-61.8</w:t>
            </w:r>
          </w:p>
        </w:tc>
      </w:tr>
      <w:tr w:rsidR="00726FC8" w:rsidRPr="00D369B6" w:rsidTr="004A738A">
        <w:tc>
          <w:tcPr>
            <w:tcW w:w="3369" w:type="dxa"/>
            <w:tcBorders>
              <w:bottom w:val="single" w:sz="4" w:space="0" w:color="auto"/>
            </w:tcBorders>
          </w:tcPr>
          <w:p w:rsidR="00726FC8" w:rsidRPr="00F8491F" w:rsidRDefault="005E61DB" w:rsidP="00F8491F">
            <w:pPr>
              <w:pStyle w:val="TableTextLeft-BP3"/>
              <w:rPr>
                <w:b/>
              </w:rPr>
            </w:pPr>
            <w:r w:rsidRPr="00F8491F">
              <w:rPr>
                <w:b/>
              </w:rPr>
              <w:t>Investment Return Differential Adjustment on Superannuation Investments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84.7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87.0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94.4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101.1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</w:rPr>
            </w:pPr>
            <w:r w:rsidRPr="00D369B6">
              <w:rPr>
                <w:rFonts w:cs="Calibri"/>
              </w:rPr>
              <w:t>108.9</w:t>
            </w:r>
          </w:p>
        </w:tc>
      </w:tr>
      <w:tr w:rsidR="00726FC8" w:rsidRPr="005A06C0" w:rsidTr="004A738A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726FC8" w:rsidP="00726FC8">
            <w:pPr>
              <w:pStyle w:val="TableTextLeftBold"/>
              <w:spacing w:before="16" w:after="16"/>
              <w:rPr>
                <w:rFonts w:cs="Calibri"/>
              </w:rPr>
            </w:pPr>
            <w:r w:rsidRPr="00D369B6">
              <w:rPr>
                <w:rFonts w:cs="Calibri"/>
              </w:rPr>
              <w:t>HEADLINE NET OPERATING BALANCE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-339.8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-253.6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-99.5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29.3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726FC8" w:rsidRPr="00D369B6" w:rsidRDefault="00D369B6" w:rsidP="00F8491F">
            <w:pPr>
              <w:pStyle w:val="TableNumbersRight"/>
              <w:rPr>
                <w:rFonts w:cs="Calibri"/>
                <w:b/>
                <w:bCs/>
              </w:rPr>
            </w:pPr>
            <w:r w:rsidRPr="00D369B6">
              <w:rPr>
                <w:rFonts w:cs="Calibri"/>
                <w:b/>
                <w:bCs/>
              </w:rPr>
              <w:t>47.1</w:t>
            </w:r>
          </w:p>
        </w:tc>
      </w:tr>
    </w:tbl>
    <w:p w:rsidR="00756E1F" w:rsidRPr="001174A4" w:rsidRDefault="00756E1F" w:rsidP="00756E1F">
      <w:pPr>
        <w:pStyle w:val="Note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rPr>
          <w:rFonts w:cs="Calibri"/>
          <w:sz w:val="16"/>
          <w:szCs w:val="16"/>
        </w:rPr>
      </w:pPr>
      <w:r w:rsidRPr="001174A4">
        <w:rPr>
          <w:rFonts w:cs="Calibri"/>
          <w:sz w:val="16"/>
          <w:szCs w:val="16"/>
        </w:rPr>
        <w:t xml:space="preserve">Note: </w:t>
      </w:r>
      <w:r w:rsidRPr="001174A4">
        <w:rPr>
          <w:rFonts w:cs="Calibri"/>
          <w:b w:val="0"/>
          <w:bCs/>
          <w:sz w:val="16"/>
          <w:szCs w:val="16"/>
        </w:rPr>
        <w:t>Table may not add due to rounding.</w:t>
      </w:r>
    </w:p>
    <w:p w:rsidR="00070698" w:rsidRPr="00F8491F" w:rsidRDefault="00190E9B" w:rsidP="00F8491F">
      <w:pPr>
        <w:pStyle w:val="BodyText"/>
      </w:pPr>
      <w:r w:rsidRPr="00F8491F">
        <w:t>Table 2.1.3 provides an overview of variations in the General Government Sector Headline Net Operating Balance since the 2012-13 Budget</w:t>
      </w:r>
      <w:r w:rsidR="00627E04">
        <w:t xml:space="preserve"> and </w:t>
      </w:r>
      <w:proofErr w:type="gramStart"/>
      <w:r w:rsidR="00627E04">
        <w:t>2012-13 Budget Review</w:t>
      </w:r>
      <w:proofErr w:type="gramEnd"/>
      <w:r w:rsidRPr="00F8491F">
        <w:t>.</w:t>
      </w:r>
    </w:p>
    <w:p w:rsidR="00070698" w:rsidRPr="00070698" w:rsidRDefault="00070698" w:rsidP="00070698">
      <w:pPr>
        <w:pStyle w:val="BodyText"/>
        <w:rPr>
          <w:rFonts w:cs="Calibri"/>
        </w:rPr>
      </w:pPr>
    </w:p>
    <w:p w:rsidR="00190E9B" w:rsidRDefault="00190E9B">
      <w:pPr>
        <w:rPr>
          <w:rFonts w:ascii="Arial" w:hAnsi="Arial"/>
          <w:b/>
          <w:sz w:val="20"/>
        </w:rPr>
      </w:pPr>
      <w:r>
        <w:br w:type="page"/>
      </w:r>
    </w:p>
    <w:p w:rsidR="00726FC8" w:rsidRPr="00F8491F" w:rsidRDefault="00726FC8" w:rsidP="00BB5388">
      <w:pPr>
        <w:pStyle w:val="TableNumber"/>
        <w:spacing w:before="0"/>
      </w:pPr>
      <w:r w:rsidRPr="00F8491F">
        <w:lastRenderedPageBreak/>
        <w:t xml:space="preserve">Table </w:t>
      </w:r>
      <w:r w:rsidR="00AF2EEE" w:rsidRPr="00F8491F">
        <w:t>2</w:t>
      </w:r>
      <w:r w:rsidRPr="00F8491F">
        <w:t>.</w:t>
      </w:r>
      <w:r w:rsidR="00AF2EEE" w:rsidRPr="00F8491F">
        <w:t>1</w:t>
      </w:r>
      <w:r w:rsidRPr="00F8491F">
        <w:t>.</w:t>
      </w:r>
      <w:r w:rsidR="00070698" w:rsidRPr="00F8491F">
        <w:t>3</w:t>
      </w:r>
    </w:p>
    <w:p w:rsidR="00726FC8" w:rsidRPr="00F8491F" w:rsidRDefault="00726FC8" w:rsidP="00F8491F">
      <w:pPr>
        <w:pStyle w:val="TableName"/>
      </w:pPr>
      <w:r w:rsidRPr="00F8491F">
        <w:t xml:space="preserve">Summary of Movements in the </w:t>
      </w:r>
      <w:r w:rsidR="004A738A">
        <w:t>GGS</w:t>
      </w:r>
      <w:r w:rsidRPr="00F8491F">
        <w:t xml:space="preserve"> Headline Net Operating Balance from the 2012-13 Budget</w:t>
      </w:r>
    </w:p>
    <w:tbl>
      <w:tblPr>
        <w:tblW w:w="9100" w:type="dxa"/>
        <w:jc w:val="center"/>
        <w:tblInd w:w="-17" w:type="dxa"/>
        <w:tblLook w:val="0000"/>
      </w:tblPr>
      <w:tblGrid>
        <w:gridCol w:w="4380"/>
        <w:gridCol w:w="944"/>
        <w:gridCol w:w="944"/>
        <w:gridCol w:w="944"/>
        <w:gridCol w:w="944"/>
        <w:gridCol w:w="944"/>
      </w:tblGrid>
      <w:tr w:rsidR="00726FC8" w:rsidRPr="00E86811" w:rsidTr="005819A0">
        <w:trPr>
          <w:tblHeader/>
          <w:jc w:val="center"/>
        </w:trPr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6FC8" w:rsidRPr="001174A4" w:rsidRDefault="00726FC8" w:rsidP="00726FC8">
            <w:pPr>
              <w:ind w:firstLineChars="100" w:firstLine="180"/>
              <w:rPr>
                <w:rFonts w:cs="Calibr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2012-13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2013-14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2014-15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2015-16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2016-17</w:t>
            </w:r>
          </w:p>
        </w:tc>
      </w:tr>
      <w:tr w:rsidR="00726FC8" w:rsidRPr="00E86811" w:rsidTr="005819A0">
        <w:trPr>
          <w:tblHeader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6FC8" w:rsidRPr="001174A4" w:rsidRDefault="00726FC8" w:rsidP="00726FC8">
            <w:pPr>
              <w:ind w:firstLineChars="100" w:firstLine="180"/>
              <w:rPr>
                <w:rFonts w:cs="Calibr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</w:tr>
      <w:tr w:rsidR="00726FC8" w:rsidRPr="00E86811" w:rsidTr="005819A0">
        <w:trPr>
          <w:tblHeader/>
          <w:jc w:val="center"/>
        </w:trPr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1174A4" w:rsidRDefault="00726FC8" w:rsidP="00726FC8">
            <w:pPr>
              <w:ind w:firstLineChars="100" w:firstLine="180"/>
              <w:rPr>
                <w:rFonts w:cs="Calibri"/>
                <w:sz w:val="18"/>
                <w:szCs w:val="18"/>
              </w:rPr>
            </w:pPr>
            <w:r w:rsidRPr="001174A4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E86811" w:rsidRDefault="00726FC8" w:rsidP="00726FC8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</w:tr>
      <w:tr w:rsidR="00726FC8" w:rsidRPr="001174A4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1174A4" w:rsidRDefault="00726FC8" w:rsidP="00726FC8">
            <w:pPr>
              <w:ind w:firstLineChars="100" w:firstLine="181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1174A4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1174A4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1174A4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1174A4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1174A4" w:rsidRDefault="00726FC8" w:rsidP="00F8491F">
            <w:pPr>
              <w:pStyle w:val="TableNumbersRight"/>
            </w:pPr>
          </w:p>
        </w:tc>
      </w:tr>
      <w:tr w:rsidR="00726FC8" w:rsidRPr="00EE61C4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2012-13 Original Budget Papers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-318.3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-130.2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-51.3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25.2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EE61C4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Parameter Impacts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GST Revenue</w:t>
            </w:r>
            <w:r w:rsidR="007567ED">
              <w:t>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17.1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14.5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17.2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20.1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Other Commonwealth Revenue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-5.5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Superannuation Expenses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-83.0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Superannuation Investment Earnings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-6.6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-6.7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-6.8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 xml:space="preserve">Taxation Revenue </w:t>
            </w:r>
            <w:r w:rsidR="007567ED">
              <w:t>–</w:t>
            </w:r>
            <w:r w:rsidRPr="00756E1F">
              <w:t xml:space="preserve"> Conveyance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4.3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-5.1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 xml:space="preserve">Taxation Revenue </w:t>
            </w:r>
            <w:r w:rsidR="007567ED">
              <w:t>–</w:t>
            </w:r>
            <w:r w:rsidRPr="00756E1F">
              <w:t xml:space="preserve"> Payroll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3.7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3.9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4.1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4.4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 xml:space="preserve">Taxation Revenue </w:t>
            </w:r>
            <w:r w:rsidR="007567ED">
              <w:t>–</w:t>
            </w:r>
            <w:r w:rsidRPr="00756E1F">
              <w:t xml:space="preserve"> Other</w:t>
            </w:r>
            <w:r w:rsidR="007567ED"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-0.5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-1.3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Land Rent Scheme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1.6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2.1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2.1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2.1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Dividends and Income Tax Equivalent</w:t>
            </w:r>
            <w:r w:rsidR="00CD0C9B" w:rsidRPr="00756E1F">
              <w:t>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9.1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i/>
                <w:iCs/>
              </w:rPr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Territory Banking Account</w:t>
            </w:r>
            <w:r w:rsidR="00CD0C9B" w:rsidRPr="00756E1F">
              <w:t xml:space="preserve"> – Interest (net)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-3.1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-1.6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CD0C9B" w:rsidP="00756E1F">
            <w:pPr>
              <w:pStyle w:val="TableTextLeft-BP3"/>
            </w:pPr>
            <w:r w:rsidRPr="00756E1F">
              <w:t>Insurance Claims Expense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3.4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7.5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8.7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9.2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>Policing Agreement Indexation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3.5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TextLeft-BP3"/>
            </w:pPr>
            <w:r w:rsidRPr="00756E1F">
              <w:t xml:space="preserve">Other / </w:t>
            </w:r>
            <w:r w:rsidR="00CD0C9B" w:rsidRPr="00756E1F">
              <w:t>End of Year Outcome Flow-on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2.3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  <w:i/>
              </w:rPr>
            </w:pPr>
            <w:r w:rsidRPr="00145EC8">
              <w:rPr>
                <w:b/>
                <w:i/>
              </w:rPr>
              <w:t>Sub-Total (Parameter Impacts)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F8491F" w:rsidRDefault="00726FC8" w:rsidP="00F8491F">
            <w:pPr>
              <w:pStyle w:val="TableNumbersRight"/>
              <w:rPr>
                <w:b/>
                <w:i/>
              </w:rPr>
            </w:pPr>
            <w:r w:rsidRPr="00F8491F">
              <w:rPr>
                <w:b/>
                <w:i/>
              </w:rPr>
              <w:t>-60.7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F8491F" w:rsidRDefault="00726FC8" w:rsidP="00F8491F">
            <w:pPr>
              <w:pStyle w:val="TableNumbersRight"/>
              <w:rPr>
                <w:b/>
                <w:i/>
              </w:rPr>
            </w:pPr>
            <w:r w:rsidRPr="00F8491F">
              <w:rPr>
                <w:b/>
                <w:i/>
              </w:rPr>
              <w:t>22.0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F8491F" w:rsidRDefault="00726FC8" w:rsidP="00F8491F">
            <w:pPr>
              <w:pStyle w:val="TableNumbersRight"/>
              <w:rPr>
                <w:b/>
                <w:i/>
              </w:rPr>
            </w:pPr>
            <w:r w:rsidRPr="00F8491F">
              <w:rPr>
                <w:b/>
                <w:i/>
              </w:rPr>
              <w:t>16.5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F8491F" w:rsidRDefault="00726FC8" w:rsidP="00F8491F">
            <w:pPr>
              <w:pStyle w:val="TableNumbersRight"/>
              <w:rPr>
                <w:b/>
                <w:i/>
              </w:rPr>
            </w:pPr>
            <w:r w:rsidRPr="00F8491F">
              <w:rPr>
                <w:b/>
                <w:i/>
              </w:rPr>
              <w:t>26.2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F8491F" w:rsidRDefault="00726FC8" w:rsidP="00F8491F">
            <w:pPr>
              <w:pStyle w:val="TableNumbersRight"/>
              <w:rPr>
                <w:b/>
                <w:i/>
                <w:szCs w:val="18"/>
              </w:rPr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  <w:szCs w:val="18"/>
              </w:rPr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Policy Impacts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szCs w:val="18"/>
              </w:rPr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Grant to Pace Farm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-3.8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0.0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szCs w:val="18"/>
              </w:rPr>
            </w:pPr>
          </w:p>
        </w:tc>
      </w:tr>
      <w:tr w:rsidR="00726FC8" w:rsidRPr="00070698" w:rsidTr="007567ED">
        <w:trPr>
          <w:jc w:val="center"/>
        </w:trPr>
        <w:tc>
          <w:tcPr>
            <w:tcW w:w="43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7B06" w:rsidRPr="005819A0" w:rsidRDefault="00726FC8" w:rsidP="005819A0">
            <w:pPr>
              <w:pStyle w:val="TableTextLeft-BP3"/>
            </w:pPr>
            <w:r w:rsidRPr="005819A0">
              <w:t xml:space="preserve">National Disability Insurance </w:t>
            </w:r>
            <w:r w:rsidR="009B7B06" w:rsidRPr="005819A0">
              <w:t xml:space="preserve">Scheme – Respite </w:t>
            </w:r>
            <w:r w:rsidRPr="005819A0">
              <w:t>Pilo</w:t>
            </w:r>
            <w:r w:rsidR="009B7B06" w:rsidRPr="005819A0">
              <w:t>t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9B7B06" w:rsidRDefault="00726FC8" w:rsidP="00756E1F">
            <w:pPr>
              <w:pStyle w:val="TableNumbersRight"/>
              <w:rPr>
                <w:szCs w:val="18"/>
              </w:rPr>
            </w:pPr>
            <w:r w:rsidRPr="009B7B06">
              <w:rPr>
                <w:szCs w:val="18"/>
              </w:rPr>
              <w:t>0.0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9B7B06" w:rsidRDefault="00726FC8" w:rsidP="00756E1F">
            <w:pPr>
              <w:pStyle w:val="TableNumbersRight"/>
              <w:rPr>
                <w:szCs w:val="18"/>
              </w:rPr>
            </w:pPr>
            <w:r w:rsidRPr="009B7B06">
              <w:rPr>
                <w:szCs w:val="18"/>
              </w:rPr>
              <w:t>-3.7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9B7B06" w:rsidRDefault="00726FC8" w:rsidP="00756E1F">
            <w:pPr>
              <w:pStyle w:val="TableNumbersRight"/>
              <w:rPr>
                <w:szCs w:val="18"/>
              </w:rPr>
            </w:pPr>
            <w:r w:rsidRPr="009B7B06">
              <w:rPr>
                <w:szCs w:val="18"/>
              </w:rPr>
              <w:t>-3.7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9B7B06" w:rsidRDefault="00726FC8" w:rsidP="00756E1F">
            <w:pPr>
              <w:pStyle w:val="TableNumbersRight"/>
              <w:rPr>
                <w:szCs w:val="18"/>
              </w:rPr>
            </w:pPr>
            <w:r w:rsidRPr="009B7B06">
              <w:rPr>
                <w:szCs w:val="18"/>
              </w:rPr>
              <w:t>-3.7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756E1F" w:rsidRDefault="00726FC8" w:rsidP="00756E1F">
            <w:pPr>
              <w:pStyle w:val="TableNumbersRight"/>
              <w:rPr>
                <w:szCs w:val="18"/>
              </w:rPr>
            </w:pPr>
          </w:p>
        </w:tc>
      </w:tr>
      <w:tr w:rsidR="00726FC8" w:rsidRPr="00070698" w:rsidTr="007567ED">
        <w:trPr>
          <w:trHeight w:hRule="exact" w:val="480"/>
          <w:jc w:val="center"/>
        </w:trPr>
        <w:tc>
          <w:tcPr>
            <w:tcW w:w="43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 xml:space="preserve">Revenue Reduction </w:t>
            </w:r>
            <w:r w:rsidR="00CD0C9B" w:rsidRPr="005819A0">
              <w:t>–</w:t>
            </w:r>
            <w:r w:rsidRPr="005819A0">
              <w:t xml:space="preserve"> </w:t>
            </w:r>
            <w:r w:rsidR="00CD0C9B" w:rsidRPr="005819A0">
              <w:t xml:space="preserve">Extension of Time </w:t>
            </w:r>
            <w:r w:rsidRPr="005819A0">
              <w:t>to</w:t>
            </w:r>
            <w:r w:rsidR="00CD0C9B" w:rsidRPr="005819A0">
              <w:t xml:space="preserve"> Commence and Complete Fees</w:t>
            </w:r>
            <w:r w:rsidRPr="005819A0"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-2.1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-2.2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-2.3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-2.4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567ED" w:rsidP="005819A0">
            <w:pPr>
              <w:pStyle w:val="TableTextLeft-BP3"/>
            </w:pPr>
            <w:r w:rsidRPr="005819A0">
              <w:t xml:space="preserve">University of Canberra – </w:t>
            </w:r>
            <w:r w:rsidR="00726FC8" w:rsidRPr="005819A0">
              <w:t>Extension of Borrowings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</w:pPr>
            <w:r w:rsidRPr="00D369B6">
              <w:t>0.4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  <w:i/>
                <w:iCs/>
              </w:rPr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145EC8">
            <w:pPr>
              <w:pStyle w:val="TableTextLeft-BP3"/>
              <w:rPr>
                <w:rFonts w:cs="Calibri"/>
                <w:b/>
                <w:bCs/>
                <w:i/>
                <w:iCs/>
              </w:rPr>
            </w:pPr>
            <w:r w:rsidRPr="00145EC8">
              <w:rPr>
                <w:b/>
                <w:i/>
              </w:rPr>
              <w:t>Sub-Total (Policy Impacts)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  <w:i/>
                <w:iCs/>
              </w:rPr>
            </w:pPr>
            <w:r w:rsidRPr="00D369B6">
              <w:rPr>
                <w:b/>
                <w:bCs/>
                <w:i/>
                <w:iCs/>
              </w:rPr>
              <w:t>-2.0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  <w:i/>
                <w:iCs/>
              </w:rPr>
            </w:pPr>
            <w:r w:rsidRPr="00D369B6">
              <w:rPr>
                <w:b/>
                <w:bCs/>
                <w:i/>
                <w:iCs/>
              </w:rPr>
              <w:t>-9.4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  <w:i/>
                <w:iCs/>
              </w:rPr>
            </w:pPr>
            <w:r w:rsidRPr="00D369B6">
              <w:rPr>
                <w:b/>
                <w:bCs/>
                <w:i/>
                <w:iCs/>
              </w:rPr>
              <w:t>-5.6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  <w:i/>
                <w:iCs/>
              </w:rPr>
            </w:pPr>
            <w:r w:rsidRPr="00D369B6">
              <w:rPr>
                <w:b/>
                <w:bCs/>
                <w:i/>
                <w:iCs/>
              </w:rPr>
              <w:t>-5.7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  <w:i/>
                <w:iCs/>
              </w:rPr>
            </w:pPr>
          </w:p>
        </w:tc>
      </w:tr>
      <w:tr w:rsidR="00726FC8" w:rsidRPr="00070698" w:rsidTr="007567ED">
        <w:trPr>
          <w:trHeight w:hRule="exact" w:val="255"/>
          <w:jc w:val="center"/>
        </w:trPr>
        <w:tc>
          <w:tcPr>
            <w:tcW w:w="43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F8491F">
            <w:pPr>
              <w:pStyle w:val="TableNumbersRight"/>
              <w:rPr>
                <w:b/>
                <w:bCs/>
              </w:rPr>
            </w:pPr>
          </w:p>
        </w:tc>
      </w:tr>
      <w:tr w:rsidR="00726FC8" w:rsidRPr="00070698" w:rsidTr="007567ED">
        <w:trPr>
          <w:trHeight w:hRule="exact" w:val="284"/>
          <w:jc w:val="center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2012-13 Pre-Election Budget Update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-381.1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-117.6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-40.4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45.6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2012-13 Budget Review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jc w:val="right"/>
              <w:rPr>
                <w:b/>
                <w:bCs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7567ED">
        <w:trPr>
          <w:trHeight w:hRule="exact" w:val="284"/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Parameter Impacts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GST Revenues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26.7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9.2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11.2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13.6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Other Commonwealth Revenue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-1.2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-0.8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-0.5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Superannuation Investment Earnings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-7.6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4.4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4.3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4.2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Interest (net)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9.6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-5.3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-9.1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-18.7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Revised Conveyance Estimates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-10.4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-12.3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-14.6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-9.9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Revised Payroll Tax Estimates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1.5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1.6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1.7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1.8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Revised General Rates Tax Estimates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-5.0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 xml:space="preserve">Revised Taxation Revenue </w:t>
            </w:r>
            <w:r w:rsidR="007567ED" w:rsidRPr="005819A0">
              <w:t>–</w:t>
            </w:r>
            <w:r w:rsidRPr="005819A0">
              <w:t xml:space="preserve"> Other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-0.4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-0.4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-0.4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-0.4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Revised Lease Variation Charge Estimates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-4.0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Revised Gambling Tax Estimates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2.1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Revised Waste Management Fees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-1.9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-2.0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-2.2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-2.4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 xml:space="preserve">LDA </w:t>
            </w:r>
            <w:r w:rsidR="00756E1F" w:rsidRPr="005819A0">
              <w:t>–</w:t>
            </w:r>
            <w:r w:rsidRPr="005819A0">
              <w:t xml:space="preserve"> Revised Dividends and Income Tax Equivalen</w:t>
            </w:r>
            <w:r w:rsidR="00756E1F" w:rsidRPr="005819A0">
              <w:t>t</w:t>
            </w:r>
            <w:r w:rsidR="007567ED" w:rsidRPr="005819A0">
              <w:t>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33.0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-5.0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-60.6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-12.7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</w:tbl>
    <w:p w:rsidR="005819A0" w:rsidRDefault="005819A0">
      <w:r>
        <w:br w:type="page"/>
      </w:r>
    </w:p>
    <w:tbl>
      <w:tblPr>
        <w:tblW w:w="9100" w:type="dxa"/>
        <w:jc w:val="center"/>
        <w:tblInd w:w="-17" w:type="dxa"/>
        <w:tblLook w:val="0000"/>
      </w:tblPr>
      <w:tblGrid>
        <w:gridCol w:w="4380"/>
        <w:gridCol w:w="944"/>
        <w:gridCol w:w="944"/>
        <w:gridCol w:w="944"/>
        <w:gridCol w:w="944"/>
        <w:gridCol w:w="944"/>
      </w:tblGrid>
      <w:tr w:rsidR="005819A0" w:rsidRPr="00070698" w:rsidTr="005819A0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819A0" w:rsidRPr="001174A4" w:rsidRDefault="005819A0" w:rsidP="005819A0">
            <w:pPr>
              <w:ind w:firstLineChars="100" w:firstLine="180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2012-13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2013-14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2014-15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2015-16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bCs/>
                <w:sz w:val="20"/>
                <w:szCs w:val="18"/>
              </w:rPr>
              <w:t>2016-17</w:t>
            </w:r>
          </w:p>
        </w:tc>
      </w:tr>
      <w:tr w:rsidR="005819A0" w:rsidRPr="00070698" w:rsidTr="005819A0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19A0" w:rsidRPr="001174A4" w:rsidRDefault="005819A0" w:rsidP="005819A0">
            <w:pPr>
              <w:ind w:firstLineChars="100" w:firstLine="180"/>
              <w:rPr>
                <w:rFonts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Estimate</w:t>
            </w:r>
          </w:p>
        </w:tc>
      </w:tr>
      <w:tr w:rsidR="005819A0" w:rsidRPr="00070698" w:rsidTr="005819A0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19A0" w:rsidRPr="001174A4" w:rsidRDefault="005819A0" w:rsidP="005819A0">
            <w:pPr>
              <w:ind w:firstLineChars="100" w:firstLine="180"/>
              <w:rPr>
                <w:rFonts w:cs="Calibri"/>
                <w:sz w:val="18"/>
                <w:szCs w:val="18"/>
              </w:rPr>
            </w:pPr>
            <w:r w:rsidRPr="001174A4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9A0" w:rsidRPr="00E86811" w:rsidRDefault="005819A0" w:rsidP="005819A0">
            <w:pPr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E86811">
              <w:rPr>
                <w:rFonts w:cs="Calibri"/>
                <w:b/>
                <w:bCs/>
                <w:sz w:val="20"/>
                <w:szCs w:val="18"/>
              </w:rPr>
              <w:t>$m</w:t>
            </w:r>
          </w:p>
        </w:tc>
      </w:tr>
      <w:tr w:rsidR="005819A0" w:rsidRPr="00070698" w:rsidTr="005819A0">
        <w:trPr>
          <w:jc w:val="center"/>
        </w:trPr>
        <w:tc>
          <w:tcPr>
            <w:tcW w:w="4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563A09" w:rsidRDefault="005819A0" w:rsidP="00563A09">
            <w:pPr>
              <w:pStyle w:val="TableTextLeft-BP3"/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D369B6" w:rsidRDefault="005819A0" w:rsidP="00563A09">
            <w:pPr>
              <w:pStyle w:val="TableNumbersRight"/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D369B6" w:rsidRDefault="005819A0" w:rsidP="00563A09">
            <w:pPr>
              <w:pStyle w:val="TableNumbersRight"/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D369B6" w:rsidRDefault="005819A0" w:rsidP="00563A09">
            <w:pPr>
              <w:pStyle w:val="TableNumbersRight"/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D369B6" w:rsidRDefault="005819A0" w:rsidP="00563A09">
            <w:pPr>
              <w:pStyle w:val="TableNumbersRight"/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819A0" w:rsidRPr="00D369B6" w:rsidRDefault="005819A0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 xml:space="preserve">ACTEW </w:t>
            </w:r>
            <w:r w:rsidR="007567ED" w:rsidRPr="005819A0">
              <w:t>–</w:t>
            </w:r>
            <w:r w:rsidRPr="005819A0">
              <w:t xml:space="preserve"> </w:t>
            </w:r>
            <w:r w:rsidR="007567ED" w:rsidRPr="005819A0">
              <w:t xml:space="preserve">Revised </w:t>
            </w:r>
            <w:r w:rsidRPr="005819A0">
              <w:t>Dividends and Income Tax Equivalent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24.5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-15.0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  <w:r w:rsidRPr="00D369B6">
              <w:t>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563A09">
            <w:pPr>
              <w:pStyle w:val="TableNumbersRight"/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567ED" w:rsidP="005819A0">
            <w:pPr>
              <w:pStyle w:val="TableTextLeft-BP3"/>
            </w:pPr>
            <w:r w:rsidRPr="005819A0">
              <w:t xml:space="preserve">ACTTAB – Revised </w:t>
            </w:r>
            <w:r w:rsidR="00726FC8" w:rsidRPr="005819A0">
              <w:t>Dividends and Income Tax Equivalent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-2.1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-1.1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-0.8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563A09" w:rsidP="005819A0">
            <w:pPr>
              <w:pStyle w:val="TableTextLeft-BP3"/>
            </w:pPr>
            <w:r w:rsidRPr="005819A0">
              <w:t>Health –</w:t>
            </w:r>
            <w:r w:rsidR="00726FC8" w:rsidRPr="005819A0">
              <w:t xml:space="preserve"> Revised Outcome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-11.6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 xml:space="preserve">Education and Training </w:t>
            </w:r>
            <w:r w:rsidR="00563A09" w:rsidRPr="005819A0">
              <w:t>–</w:t>
            </w:r>
            <w:r w:rsidRPr="005819A0">
              <w:t xml:space="preserve"> Revised Depreciation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-7.9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-7.9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-7.9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-7.9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Impact of Other Audit and Estimated Outcome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1.6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-0.7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-0.9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-0.6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Appropriation Rollovers (2011-12 to 2012-13)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-35.5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819A0" w:rsidRDefault="00726FC8" w:rsidP="005819A0">
            <w:pPr>
              <w:pStyle w:val="TableTextLeft-BP3"/>
            </w:pPr>
            <w:r w:rsidRPr="005819A0">
              <w:t>Operating Impact of Capital Re</w:t>
            </w:r>
            <w:r w:rsidR="00CD0C9B" w:rsidRPr="005819A0">
              <w:t>-</w:t>
            </w:r>
            <w:r w:rsidRPr="005819A0">
              <w:t>profiling and  Rollovers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12.5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2.2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3.3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145EC8">
            <w:pPr>
              <w:pStyle w:val="TableTextLeft-BP3"/>
              <w:rPr>
                <w:rFonts w:cs="Calibri"/>
              </w:rPr>
            </w:pPr>
            <w:r w:rsidRPr="00145EC8">
              <w:rPr>
                <w:b/>
                <w:i/>
              </w:rPr>
              <w:t xml:space="preserve">Sub-Total </w:t>
            </w:r>
            <w:r w:rsidR="00A862F6" w:rsidRPr="00145EC8">
              <w:rPr>
                <w:b/>
                <w:i/>
              </w:rPr>
              <w:t>(</w:t>
            </w:r>
            <w:r w:rsidRPr="00145EC8">
              <w:rPr>
                <w:b/>
                <w:i/>
              </w:rPr>
              <w:t>Parameter Impacts</w:t>
            </w:r>
            <w:r w:rsidR="00A862F6" w:rsidRPr="00145EC8">
              <w:rPr>
                <w:b/>
                <w:i/>
              </w:rPr>
              <w:t>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23.9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-34.6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-76.6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-30.5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7567ED">
        <w:trPr>
          <w:trHeight w:hRule="exact" w:val="284"/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Policy Impacts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</w:pPr>
            <w:r w:rsidRPr="00563A09">
              <w:t>Reduction in Treasurer's Advance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3.4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3.6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3.7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</w:pPr>
            <w:r w:rsidRPr="00563A09">
              <w:t>Expenditure Reduction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10.0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10.3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10.5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</w:pPr>
            <w:r w:rsidRPr="00563A09">
              <w:t>Supplementary Appropriation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-5.8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  <w:r w:rsidRPr="00D369B6">
              <w:rPr>
                <w:rFonts w:cs="Calibri"/>
                <w:sz w:val="20"/>
              </w:rPr>
              <w:t>0.0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E94DFF" w:rsidRDefault="00A862F6" w:rsidP="00E94DFF">
            <w:pPr>
              <w:pStyle w:val="TableTextLeft-BP3"/>
              <w:rPr>
                <w:b/>
                <w:i/>
              </w:rPr>
            </w:pPr>
            <w:r w:rsidRPr="00E94DFF">
              <w:rPr>
                <w:b/>
                <w:i/>
              </w:rPr>
              <w:t>Sub-Total</w:t>
            </w:r>
            <w:r w:rsidR="00726FC8" w:rsidRPr="00E94DFF">
              <w:rPr>
                <w:b/>
                <w:i/>
              </w:rPr>
              <w:t xml:space="preserve"> </w:t>
            </w:r>
            <w:r w:rsidRPr="00E94DFF">
              <w:rPr>
                <w:b/>
                <w:i/>
              </w:rPr>
              <w:t>(</w:t>
            </w:r>
            <w:r w:rsidR="00726FC8" w:rsidRPr="00E94DFF">
              <w:rPr>
                <w:b/>
                <w:i/>
              </w:rPr>
              <w:t>Policy Impacts</w:t>
            </w:r>
            <w:r w:rsidRPr="00E94DFF">
              <w:rPr>
                <w:b/>
                <w:i/>
              </w:rPr>
              <w:t>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-5.8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13.4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13.8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i/>
                <w:iCs/>
                <w:sz w:val="20"/>
              </w:rPr>
            </w:pPr>
            <w:r w:rsidRPr="00D369B6">
              <w:rPr>
                <w:rFonts w:cs="Calibri"/>
                <w:b/>
                <w:bCs/>
                <w:i/>
                <w:iCs/>
                <w:sz w:val="20"/>
              </w:rPr>
              <w:t>14.2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7567ED">
        <w:trPr>
          <w:trHeight w:hRule="exact" w:val="227"/>
          <w:jc w:val="center"/>
        </w:trPr>
        <w:tc>
          <w:tcPr>
            <w:tcW w:w="43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left="341" w:hanging="284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sz w:val="20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firstLineChars="100" w:firstLine="200"/>
              <w:jc w:val="right"/>
              <w:rPr>
                <w:rFonts w:cs="Calibri"/>
                <w:sz w:val="20"/>
              </w:rPr>
            </w:pPr>
          </w:p>
        </w:tc>
      </w:tr>
      <w:tr w:rsidR="00726FC8" w:rsidRPr="00070698" w:rsidTr="007567ED">
        <w:trPr>
          <w:trHeight w:hRule="exact" w:val="284"/>
          <w:jc w:val="center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ind w:left="341" w:hanging="284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2012-13 Budget Review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-362.9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-138.7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-103.2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D369B6">
              <w:rPr>
                <w:rFonts w:cs="Calibri"/>
                <w:b/>
                <w:bCs/>
                <w:sz w:val="20"/>
              </w:rPr>
              <w:t>29.3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6FC8" w:rsidRPr="00D369B6" w:rsidRDefault="00726FC8" w:rsidP="00726FC8">
            <w:pPr>
              <w:jc w:val="right"/>
              <w:rPr>
                <w:rFonts w:cs="Calibri"/>
                <w:b/>
                <w:bCs/>
                <w:sz w:val="20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  <w:highlight w:val="yellow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726FC8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2013-14 Budget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7567ED" w:rsidRDefault="00726FC8" w:rsidP="00563A09">
            <w:pPr>
              <w:pStyle w:val="TableTextLeft-BP3"/>
              <w:rPr>
                <w:b/>
                <w:bCs/>
                <w:szCs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7567ED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7567ED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7567ED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7567ED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7567ED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</w:tr>
      <w:tr w:rsidR="00726FC8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726FC8" w:rsidRPr="00563A09" w:rsidRDefault="00A06EFD" w:rsidP="00563A09">
            <w:pPr>
              <w:pStyle w:val="TableTextLeft-BP3"/>
              <w:rPr>
                <w:b/>
                <w:bCs/>
              </w:rPr>
            </w:pPr>
            <w:r w:rsidRPr="00563A09">
              <w:rPr>
                <w:b/>
                <w:bCs/>
              </w:rPr>
              <w:t>Parameter Impacts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726FC8" w:rsidRPr="00070698" w:rsidRDefault="00726FC8" w:rsidP="005819A0">
            <w:pPr>
              <w:jc w:val="right"/>
              <w:rPr>
                <w:rFonts w:cs="Calibri"/>
                <w:b/>
                <w:bCs/>
                <w:sz w:val="20"/>
                <w:highlight w:val="yellow"/>
              </w:rPr>
            </w:pP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F0708E" w:rsidP="00756E1F">
            <w:pPr>
              <w:pStyle w:val="TableTextLeft-BP3"/>
            </w:pPr>
            <w:r>
              <w:t>Commonwealth Revenue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-6.1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17.7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A06EFD" w:rsidP="00756E1F">
            <w:pPr>
              <w:pStyle w:val="TableTextLeft-BP3"/>
            </w:pPr>
            <w:r w:rsidRPr="00756E1F">
              <w:t>Investments and Interest (net)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A06EFD" w:rsidP="00756E1F">
            <w:pPr>
              <w:pStyle w:val="TableTextLeft-BP3"/>
            </w:pPr>
            <w:r w:rsidRPr="00756E1F">
              <w:t>Taxation Revenue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-37.2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-38.3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-22.0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-16.4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A06EFD" w:rsidP="00756E1F">
            <w:pPr>
              <w:pStyle w:val="TableTextLeft-BP3"/>
            </w:pPr>
            <w:r w:rsidRPr="00756E1F">
              <w:t>Land Rent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4A738A">
              <w:rPr>
                <w:sz w:val="20"/>
              </w:rPr>
              <w:t>.1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F0708E" w:rsidP="007567ED">
            <w:pPr>
              <w:pStyle w:val="TableTextLeft-BP3"/>
            </w:pPr>
            <w:r>
              <w:t>PTE – Dividends and Income Tax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 w:rsidP="004A738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-13.</w:t>
            </w:r>
            <w:r w:rsidR="004A738A">
              <w:rPr>
                <w:sz w:val="20"/>
              </w:rPr>
              <w:t>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 w:rsidP="008E1607">
            <w:pPr>
              <w:jc w:val="right"/>
              <w:rPr>
                <w:sz w:val="20"/>
              </w:rPr>
            </w:pPr>
            <w:r>
              <w:rPr>
                <w:sz w:val="20"/>
              </w:rPr>
              <w:t>-32.5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 w:rsidP="008E1607">
            <w:pPr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 w:rsidP="008E1607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 w:rsidP="008E1607">
            <w:pPr>
              <w:jc w:val="right"/>
              <w:rPr>
                <w:sz w:val="20"/>
              </w:rPr>
            </w:pPr>
            <w:r>
              <w:rPr>
                <w:sz w:val="20"/>
              </w:rPr>
              <w:t>78.4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A06EFD" w:rsidP="00756E1F">
            <w:pPr>
              <w:pStyle w:val="TableTextLeft-BP3"/>
            </w:pPr>
            <w:r w:rsidRPr="00756E1F">
              <w:t>Contributed Asset Gains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 w:rsidP="00883054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83054">
              <w:rPr>
                <w:sz w:val="20"/>
              </w:rPr>
              <w:t>6.9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A06EFD" w:rsidP="00756E1F">
            <w:pPr>
              <w:pStyle w:val="TableTextLeft-BP3"/>
            </w:pPr>
            <w:r w:rsidRPr="00756E1F">
              <w:t>Revised Funding Profiles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45.6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-40.4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-6.4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-0.2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-0.3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756E1F" w:rsidRDefault="00A06EFD" w:rsidP="00756E1F">
            <w:pPr>
              <w:pStyle w:val="TableTextLeft-BP3"/>
            </w:pPr>
            <w:r w:rsidRPr="00756E1F">
              <w:t>Estimated Outcome / Other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44.3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-13.2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</w:tr>
      <w:tr w:rsidR="00A06EFD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06EFD" w:rsidRPr="00A862F6" w:rsidRDefault="00A862F6" w:rsidP="00145EC8">
            <w:pPr>
              <w:pStyle w:val="TableTextLeft-BP3"/>
              <w:rPr>
                <w:rFonts w:cs="Calibri"/>
                <w:b/>
                <w:bCs/>
                <w:i/>
              </w:rPr>
            </w:pPr>
            <w:r w:rsidRPr="00145EC8">
              <w:rPr>
                <w:b/>
                <w:i/>
              </w:rPr>
              <w:t>Sub-Total (Parameter Impacts)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Pr="00A862F6" w:rsidRDefault="00F0708E" w:rsidP="004A738A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23.</w:t>
            </w:r>
            <w:r w:rsidR="004A738A">
              <w:rPr>
                <w:b/>
                <w:i/>
                <w:sz w:val="20"/>
              </w:rPr>
              <w:t>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Pr="00A862F6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-50.5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Pr="00A862F6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26.0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Pr="00A862F6" w:rsidRDefault="00F0708E" w:rsidP="004A738A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0.</w:t>
            </w:r>
            <w:r w:rsidR="004A738A">
              <w:rPr>
                <w:b/>
                <w:i/>
                <w:sz w:val="20"/>
              </w:rPr>
              <w:t>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06EFD" w:rsidRPr="00A862F6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152.4</w:t>
            </w:r>
          </w:p>
        </w:tc>
      </w:tr>
      <w:tr w:rsidR="00A862F6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862F6" w:rsidRPr="009B7B06" w:rsidRDefault="00A862F6" w:rsidP="00726FC8">
            <w:pPr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</w:tr>
      <w:tr w:rsidR="00A862F6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862F6" w:rsidRPr="00A862F6" w:rsidRDefault="00A862F6" w:rsidP="00726FC8">
            <w:pPr>
              <w:rPr>
                <w:rFonts w:cs="Calibri"/>
                <w:b/>
                <w:bCs/>
                <w:i/>
                <w:iCs/>
                <w:sz w:val="20"/>
              </w:rPr>
            </w:pPr>
            <w:r w:rsidRPr="00A862F6">
              <w:rPr>
                <w:rFonts w:cs="Calibri"/>
                <w:b/>
                <w:bCs/>
                <w:sz w:val="20"/>
              </w:rPr>
              <w:t>Policy Impacts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A862F6">
            <w:pPr>
              <w:jc w:val="right"/>
              <w:rPr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A862F6">
            <w:pPr>
              <w:jc w:val="right"/>
              <w:rPr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A862F6">
            <w:pPr>
              <w:jc w:val="right"/>
              <w:rPr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A862F6">
            <w:pPr>
              <w:jc w:val="right"/>
              <w:rPr>
                <w:sz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A862F6">
            <w:pPr>
              <w:jc w:val="right"/>
              <w:rPr>
                <w:sz w:val="20"/>
              </w:rPr>
            </w:pPr>
          </w:p>
        </w:tc>
      </w:tr>
      <w:tr w:rsidR="00A862F6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862F6" w:rsidRPr="00A862F6" w:rsidRDefault="00A862F6" w:rsidP="00F8491F">
            <w:pPr>
              <w:pStyle w:val="TableTextLeft-BP3"/>
            </w:pPr>
            <w:r>
              <w:t>Government Policy Decisions (net)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-64.4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-22.4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-0.8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Default="00F0708E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862F6" w:rsidRPr="00070698" w:rsidTr="005819A0">
        <w:trPr>
          <w:jc w:val="center"/>
        </w:trPr>
        <w:tc>
          <w:tcPr>
            <w:tcW w:w="4380" w:type="dxa"/>
            <w:tcBorders>
              <w:left w:val="nil"/>
              <w:right w:val="nil"/>
            </w:tcBorders>
            <w:shd w:val="clear" w:color="auto" w:fill="auto"/>
          </w:tcPr>
          <w:p w:rsidR="00A862F6" w:rsidRDefault="00A862F6" w:rsidP="00145EC8">
            <w:pPr>
              <w:pStyle w:val="TableTextLeft-BP3"/>
              <w:rPr>
                <w:rFonts w:cs="Calibri"/>
                <w:bCs/>
                <w:iCs/>
              </w:rPr>
            </w:pPr>
            <w:r w:rsidRPr="00145EC8">
              <w:rPr>
                <w:b/>
                <w:i/>
              </w:rPr>
              <w:t>Sub-Total (Policy Impacts)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C860AE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-0.5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C860AE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-64.4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C860AE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-22.4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C860AE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-0.8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:rsidR="00A862F6" w:rsidRPr="00C860AE" w:rsidRDefault="00F0708E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</w:p>
        </w:tc>
      </w:tr>
      <w:tr w:rsidR="00A862F6" w:rsidRPr="00070698" w:rsidTr="005819A0">
        <w:trPr>
          <w:jc w:val="center"/>
        </w:trPr>
        <w:tc>
          <w:tcPr>
            <w:tcW w:w="43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9B7B06" w:rsidRDefault="00A862F6" w:rsidP="00A862F6">
            <w:pPr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9B7B06" w:rsidRDefault="00A862F6">
            <w:pPr>
              <w:jc w:val="right"/>
              <w:rPr>
                <w:sz w:val="18"/>
                <w:szCs w:val="18"/>
              </w:rPr>
            </w:pPr>
          </w:p>
        </w:tc>
      </w:tr>
      <w:tr w:rsidR="00A862F6" w:rsidRPr="00070698" w:rsidTr="005819A0">
        <w:trPr>
          <w:jc w:val="center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D369B6" w:rsidRDefault="00A862F6" w:rsidP="00A862F6">
            <w:pPr>
              <w:ind w:left="341" w:hanging="284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2013-</w:t>
            </w:r>
            <w:r w:rsidRPr="00D369B6">
              <w:rPr>
                <w:rFonts w:cs="Calibri"/>
                <w:b/>
                <w:bCs/>
                <w:sz w:val="20"/>
              </w:rPr>
              <w:t>1</w:t>
            </w:r>
            <w:r>
              <w:rPr>
                <w:rFonts w:cs="Calibri"/>
                <w:b/>
                <w:bCs/>
                <w:sz w:val="20"/>
              </w:rPr>
              <w:t>4</w:t>
            </w:r>
            <w:r w:rsidRPr="00D369B6">
              <w:rPr>
                <w:rFonts w:cs="Calibri"/>
                <w:b/>
                <w:bCs/>
                <w:sz w:val="20"/>
              </w:rPr>
              <w:t xml:space="preserve"> Budget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D369B6" w:rsidRDefault="00F0708E" w:rsidP="004A738A">
            <w:pPr>
              <w:jc w:val="right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-339.</w:t>
            </w:r>
            <w:r w:rsidR="004A738A">
              <w:rPr>
                <w:rFonts w:cs="Calibri"/>
                <w:b/>
                <w:bCs/>
                <w:sz w:val="20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D369B6" w:rsidRDefault="00F0708E" w:rsidP="007567ED">
            <w:pPr>
              <w:jc w:val="right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-253.6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D369B6" w:rsidRDefault="00F0708E" w:rsidP="00883054">
            <w:pPr>
              <w:jc w:val="right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-99.</w:t>
            </w:r>
            <w:r w:rsidR="00883054">
              <w:rPr>
                <w:rFonts w:cs="Calibri"/>
                <w:b/>
                <w:bCs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D369B6" w:rsidRDefault="00F0708E" w:rsidP="007567ED">
            <w:pPr>
              <w:jc w:val="right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29.3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62F6" w:rsidRPr="00D369B6" w:rsidRDefault="00F0708E" w:rsidP="007567ED">
            <w:pPr>
              <w:jc w:val="right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47.1</w:t>
            </w:r>
          </w:p>
        </w:tc>
      </w:tr>
    </w:tbl>
    <w:p w:rsidR="00064260" w:rsidRDefault="008F58FC" w:rsidP="008F58FC">
      <w:pPr>
        <w:pStyle w:val="NoteText"/>
        <w:spacing w:before="120"/>
      </w:pPr>
      <w:r w:rsidRPr="008F58FC">
        <w:rPr>
          <w:b/>
        </w:rPr>
        <w:t>Note</w:t>
      </w:r>
      <w:r w:rsidRPr="008F58FC">
        <w:t>:</w:t>
      </w:r>
      <w:r>
        <w:t xml:space="preserve">  This table may not add due to rounding</w:t>
      </w:r>
      <w:r w:rsidR="004D5DA5">
        <w:t>.</w:t>
      </w:r>
    </w:p>
    <w:p w:rsidR="004D5DA5" w:rsidRDefault="004D5DA5">
      <w:pPr>
        <w:rPr>
          <w:iCs/>
          <w:sz w:val="16"/>
        </w:rPr>
      </w:pPr>
      <w:r>
        <w:br w:type="page"/>
      </w:r>
    </w:p>
    <w:p w:rsidR="004D5DA5" w:rsidRDefault="004D5DA5" w:rsidP="008F58FC">
      <w:pPr>
        <w:pStyle w:val="NoteText"/>
        <w:spacing w:before="120"/>
      </w:pPr>
    </w:p>
    <w:p w:rsidR="004D5DA5" w:rsidRPr="008F58FC" w:rsidRDefault="004D5DA5" w:rsidP="008F58FC">
      <w:pPr>
        <w:pStyle w:val="NoteText"/>
        <w:spacing w:before="120"/>
      </w:pPr>
    </w:p>
    <w:sectPr w:rsidR="004D5DA5" w:rsidRPr="008F58FC" w:rsidSect="00B26AFC">
      <w:footerReference w:type="default" r:id="rId10"/>
      <w:pgSz w:w="11907" w:h="16840" w:code="9"/>
      <w:pgMar w:top="1151" w:right="1440" w:bottom="1729" w:left="1440" w:header="720" w:footer="720" w:gutter="0"/>
      <w:pgNumType w:start="23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8A" w:rsidRDefault="004A738A">
      <w:r>
        <w:separator/>
      </w:r>
    </w:p>
  </w:endnote>
  <w:endnote w:type="continuationSeparator" w:id="0">
    <w:p w:rsidR="004A738A" w:rsidRDefault="004A7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8A" w:rsidRPr="000F3068" w:rsidRDefault="004A738A">
    <w:pPr>
      <w:pStyle w:val="FooterBP"/>
      <w:rPr>
        <w:rFonts w:cs="Calibri"/>
        <w:sz w:val="16"/>
        <w:szCs w:val="16"/>
      </w:rPr>
    </w:pPr>
    <w:r w:rsidRPr="000F3068">
      <w:rPr>
        <w:rFonts w:cs="Calibri"/>
      </w:rPr>
      <w:t>201</w:t>
    </w:r>
    <w:r>
      <w:rPr>
        <w:rFonts w:cs="Calibri"/>
      </w:rPr>
      <w:t>3-14</w:t>
    </w:r>
    <w:r w:rsidRPr="000F3068">
      <w:rPr>
        <w:rFonts w:cs="Calibri"/>
      </w:rPr>
      <w:t xml:space="preserve"> Budget Paper No. 3</w:t>
    </w:r>
    <w:r w:rsidRPr="000F3068">
      <w:rPr>
        <w:rFonts w:cs="Calibri"/>
      </w:rPr>
      <w:tab/>
    </w:r>
    <w:r w:rsidR="00946511">
      <w:rPr>
        <w:rStyle w:val="PageNumber"/>
        <w:rFonts w:cs="Calibri"/>
      </w:rPr>
      <w:fldChar w:fldCharType="begin"/>
    </w:r>
    <w:r w:rsidR="000064CE">
      <w:rPr>
        <w:rStyle w:val="PageNumber"/>
        <w:rFonts w:cs="Calibri"/>
      </w:rPr>
      <w:instrText xml:space="preserve"> PAGE   \* MERGEFORMAT </w:instrText>
    </w:r>
    <w:r w:rsidR="00946511">
      <w:rPr>
        <w:rStyle w:val="PageNumber"/>
        <w:rFonts w:cs="Calibri"/>
      </w:rPr>
      <w:fldChar w:fldCharType="separate"/>
    </w:r>
    <w:r w:rsidR="00B62D1C">
      <w:rPr>
        <w:rStyle w:val="PageNumber"/>
        <w:rFonts w:cs="Calibri"/>
        <w:noProof/>
      </w:rPr>
      <w:t>23</w:t>
    </w:r>
    <w:r w:rsidR="00946511">
      <w:rPr>
        <w:rStyle w:val="PageNumber"/>
        <w:rFonts w:cs="Calibri"/>
      </w:rPr>
      <w:fldChar w:fldCharType="end"/>
    </w:r>
    <w:r w:rsidRPr="000F3068">
      <w:rPr>
        <w:rStyle w:val="PageNumber"/>
        <w:rFonts w:cs="Calibri"/>
      </w:rPr>
      <w:tab/>
      <w:t>Budget Outlook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8A" w:rsidRDefault="004A738A">
      <w:r>
        <w:separator/>
      </w:r>
    </w:p>
  </w:footnote>
  <w:footnote w:type="continuationSeparator" w:id="0">
    <w:p w:rsidR="004A738A" w:rsidRDefault="004A7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BFE218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ECF7C2E"/>
    <w:multiLevelType w:val="hybridMultilevel"/>
    <w:tmpl w:val="6DB67CE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61F61E9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85B1D27"/>
    <w:multiLevelType w:val="multilevel"/>
    <w:tmpl w:val="17F458F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560CB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D59391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735141C2"/>
    <w:multiLevelType w:val="hybridMultilevel"/>
    <w:tmpl w:val="4BD6E9D6"/>
    <w:lvl w:ilvl="0" w:tplc="90EE9AFE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F1B0FA6"/>
    <w:multiLevelType w:val="hybridMultilevel"/>
    <w:tmpl w:val="85E05738"/>
    <w:lvl w:ilvl="0" w:tplc="64488392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17"/>
  </w:num>
  <w:num w:numId="7">
    <w:abstractNumId w:val="22"/>
    <w:lvlOverride w:ilvl="0">
      <w:startOverride w:val="1"/>
    </w:lvlOverride>
  </w:num>
  <w:num w:numId="8">
    <w:abstractNumId w:val="15"/>
  </w:num>
  <w:num w:numId="9">
    <w:abstractNumId w:val="12"/>
  </w:num>
  <w:num w:numId="10">
    <w:abstractNumId w:val="24"/>
  </w:num>
  <w:num w:numId="11">
    <w:abstractNumId w:val="20"/>
  </w:num>
  <w:num w:numId="12">
    <w:abstractNumId w:val="19"/>
  </w:num>
  <w:num w:numId="13">
    <w:abstractNumId w:val="22"/>
  </w:num>
  <w:num w:numId="14">
    <w:abstractNumId w:val="16"/>
  </w:num>
  <w:num w:numId="15">
    <w:abstractNumId w:val="23"/>
  </w:num>
  <w:num w:numId="16">
    <w:abstractNumId w:val="14"/>
  </w:num>
  <w:num w:numId="17">
    <w:abstractNumId w:val="10"/>
  </w:num>
  <w:num w:numId="18">
    <w:abstractNumId w:val="13"/>
  </w:num>
  <w:num w:numId="19">
    <w:abstractNumId w:val="11"/>
  </w:num>
  <w:num w:numId="20">
    <w:abstractNumId w:val="21"/>
  </w:num>
  <w:num w:numId="21">
    <w:abstractNumId w:val="21"/>
  </w:num>
  <w:num w:numId="22">
    <w:abstractNumId w:val="21"/>
  </w:num>
  <w:num w:numId="23">
    <w:abstractNumId w:val="9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5"/>
  </w:num>
  <w:num w:numId="29">
    <w:abstractNumId w:val="5"/>
  </w:num>
  <w:num w:numId="30">
    <w:abstractNumId w:val="4"/>
  </w:num>
  <w:num w:numId="31">
    <w:abstractNumId w:val="4"/>
  </w:num>
  <w:num w:numId="32">
    <w:abstractNumId w:val="8"/>
  </w:num>
  <w:num w:numId="33">
    <w:abstractNumId w:val="8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8"/>
  </w:num>
  <w:num w:numId="43">
    <w:abstractNumId w:val="25"/>
  </w:num>
  <w:num w:numId="44">
    <w:abstractNumId w:val="10"/>
  </w:num>
  <w:num w:numId="45">
    <w:abstractNumId w:val="14"/>
  </w:num>
  <w:num w:numId="46">
    <w:abstractNumId w:val="14"/>
  </w:num>
  <w:num w:numId="47">
    <w:abstractNumId w:val="14"/>
  </w:num>
  <w:num w:numId="48">
    <w:abstractNumId w:val="10"/>
  </w:num>
  <w:num w:numId="49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Full" w:cryptAlgorithmClass="hash" w:cryptAlgorithmType="typeAny" w:cryptAlgorithmSid="4" w:cryptSpinCount="100000" w:hash="J/IJDh3mmYdIELVgO4De3JAnyCg=" w:salt="BMimRgYWnuNlwjplrtnEcQ=="/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B45"/>
    <w:rsid w:val="00000E51"/>
    <w:rsid w:val="000064CE"/>
    <w:rsid w:val="00017DCD"/>
    <w:rsid w:val="00052CD3"/>
    <w:rsid w:val="00064260"/>
    <w:rsid w:val="00065F6E"/>
    <w:rsid w:val="0007023C"/>
    <w:rsid w:val="00070698"/>
    <w:rsid w:val="00070822"/>
    <w:rsid w:val="00081F75"/>
    <w:rsid w:val="000952C1"/>
    <w:rsid w:val="0009532C"/>
    <w:rsid w:val="000A3A8B"/>
    <w:rsid w:val="000A57E6"/>
    <w:rsid w:val="000B377D"/>
    <w:rsid w:val="000B53AB"/>
    <w:rsid w:val="000D106B"/>
    <w:rsid w:val="000F2244"/>
    <w:rsid w:val="000F3068"/>
    <w:rsid w:val="001126FB"/>
    <w:rsid w:val="00124D1B"/>
    <w:rsid w:val="0012551B"/>
    <w:rsid w:val="00126F67"/>
    <w:rsid w:val="00145EC8"/>
    <w:rsid w:val="00152679"/>
    <w:rsid w:val="00177C28"/>
    <w:rsid w:val="001853A6"/>
    <w:rsid w:val="00190E9B"/>
    <w:rsid w:val="001E3F15"/>
    <w:rsid w:val="001F1CC6"/>
    <w:rsid w:val="001F635D"/>
    <w:rsid w:val="00207AF2"/>
    <w:rsid w:val="00216B40"/>
    <w:rsid w:val="00221B72"/>
    <w:rsid w:val="00236704"/>
    <w:rsid w:val="0025082B"/>
    <w:rsid w:val="00260AF7"/>
    <w:rsid w:val="00264956"/>
    <w:rsid w:val="00280E40"/>
    <w:rsid w:val="00286AD5"/>
    <w:rsid w:val="00287B45"/>
    <w:rsid w:val="0029635C"/>
    <w:rsid w:val="002A1A5F"/>
    <w:rsid w:val="002B3A20"/>
    <w:rsid w:val="002B5F60"/>
    <w:rsid w:val="002C28DB"/>
    <w:rsid w:val="002D0909"/>
    <w:rsid w:val="002F0EE2"/>
    <w:rsid w:val="00301954"/>
    <w:rsid w:val="00301BFB"/>
    <w:rsid w:val="00323555"/>
    <w:rsid w:val="00337D49"/>
    <w:rsid w:val="00344286"/>
    <w:rsid w:val="0037391B"/>
    <w:rsid w:val="00381526"/>
    <w:rsid w:val="0039627C"/>
    <w:rsid w:val="003B04E5"/>
    <w:rsid w:val="003C72A7"/>
    <w:rsid w:val="0040110E"/>
    <w:rsid w:val="0040455D"/>
    <w:rsid w:val="00407590"/>
    <w:rsid w:val="0041218C"/>
    <w:rsid w:val="004127CB"/>
    <w:rsid w:val="00461582"/>
    <w:rsid w:val="00477A41"/>
    <w:rsid w:val="004A738A"/>
    <w:rsid w:val="004A79D4"/>
    <w:rsid w:val="004D5DA5"/>
    <w:rsid w:val="004D6AEB"/>
    <w:rsid w:val="004E0DFB"/>
    <w:rsid w:val="005265C3"/>
    <w:rsid w:val="00530DF7"/>
    <w:rsid w:val="0053406D"/>
    <w:rsid w:val="00535839"/>
    <w:rsid w:val="00545B85"/>
    <w:rsid w:val="00563A09"/>
    <w:rsid w:val="005819A0"/>
    <w:rsid w:val="005961B3"/>
    <w:rsid w:val="005A6E9F"/>
    <w:rsid w:val="005C0BB8"/>
    <w:rsid w:val="005D4D8D"/>
    <w:rsid w:val="005D6053"/>
    <w:rsid w:val="005E017A"/>
    <w:rsid w:val="005E3E8A"/>
    <w:rsid w:val="005E61DB"/>
    <w:rsid w:val="005F2D2A"/>
    <w:rsid w:val="005F43ED"/>
    <w:rsid w:val="006126D5"/>
    <w:rsid w:val="0062131B"/>
    <w:rsid w:val="00627E04"/>
    <w:rsid w:val="00637B04"/>
    <w:rsid w:val="00637F7E"/>
    <w:rsid w:val="00641138"/>
    <w:rsid w:val="00656DB3"/>
    <w:rsid w:val="0066554B"/>
    <w:rsid w:val="00680CF5"/>
    <w:rsid w:val="00681AC1"/>
    <w:rsid w:val="006C0487"/>
    <w:rsid w:val="006C4E4B"/>
    <w:rsid w:val="006E01E6"/>
    <w:rsid w:val="00700634"/>
    <w:rsid w:val="007120F4"/>
    <w:rsid w:val="00726FC8"/>
    <w:rsid w:val="00726FF1"/>
    <w:rsid w:val="007278F7"/>
    <w:rsid w:val="0075192D"/>
    <w:rsid w:val="007567ED"/>
    <w:rsid w:val="00756E1F"/>
    <w:rsid w:val="00762523"/>
    <w:rsid w:val="0076500B"/>
    <w:rsid w:val="007A06BC"/>
    <w:rsid w:val="007C1CBC"/>
    <w:rsid w:val="007C3886"/>
    <w:rsid w:val="007E086F"/>
    <w:rsid w:val="007E2EBF"/>
    <w:rsid w:val="007E55A0"/>
    <w:rsid w:val="007E592B"/>
    <w:rsid w:val="007F0465"/>
    <w:rsid w:val="0080279E"/>
    <w:rsid w:val="00804DDE"/>
    <w:rsid w:val="00805834"/>
    <w:rsid w:val="00812DE0"/>
    <w:rsid w:val="008233AD"/>
    <w:rsid w:val="00827F8D"/>
    <w:rsid w:val="00842F93"/>
    <w:rsid w:val="00844066"/>
    <w:rsid w:val="008801E0"/>
    <w:rsid w:val="00883054"/>
    <w:rsid w:val="008923ED"/>
    <w:rsid w:val="00893755"/>
    <w:rsid w:val="00894149"/>
    <w:rsid w:val="008A26F6"/>
    <w:rsid w:val="008A6425"/>
    <w:rsid w:val="008A7D83"/>
    <w:rsid w:val="008B7E2B"/>
    <w:rsid w:val="008D2238"/>
    <w:rsid w:val="008E1607"/>
    <w:rsid w:val="008F58FC"/>
    <w:rsid w:val="00915050"/>
    <w:rsid w:val="00922187"/>
    <w:rsid w:val="009277CA"/>
    <w:rsid w:val="00946511"/>
    <w:rsid w:val="00970E3B"/>
    <w:rsid w:val="00985B3B"/>
    <w:rsid w:val="00993A63"/>
    <w:rsid w:val="009B0A6F"/>
    <w:rsid w:val="009B3715"/>
    <w:rsid w:val="009B7B06"/>
    <w:rsid w:val="009C771A"/>
    <w:rsid w:val="009D7F08"/>
    <w:rsid w:val="009E1639"/>
    <w:rsid w:val="009E457D"/>
    <w:rsid w:val="009E5763"/>
    <w:rsid w:val="00A06EFD"/>
    <w:rsid w:val="00A24122"/>
    <w:rsid w:val="00A543F7"/>
    <w:rsid w:val="00A55FEB"/>
    <w:rsid w:val="00A621ED"/>
    <w:rsid w:val="00A751A4"/>
    <w:rsid w:val="00A862F6"/>
    <w:rsid w:val="00AB31C9"/>
    <w:rsid w:val="00AF0E0D"/>
    <w:rsid w:val="00AF2EEE"/>
    <w:rsid w:val="00B10BA9"/>
    <w:rsid w:val="00B1601C"/>
    <w:rsid w:val="00B25BCC"/>
    <w:rsid w:val="00B26AFC"/>
    <w:rsid w:val="00B45E7E"/>
    <w:rsid w:val="00B56309"/>
    <w:rsid w:val="00B62D1C"/>
    <w:rsid w:val="00B821D6"/>
    <w:rsid w:val="00B9531B"/>
    <w:rsid w:val="00BA0C2E"/>
    <w:rsid w:val="00BB2741"/>
    <w:rsid w:val="00BB5388"/>
    <w:rsid w:val="00BD004F"/>
    <w:rsid w:val="00BD24F3"/>
    <w:rsid w:val="00BE3C85"/>
    <w:rsid w:val="00BE7AEA"/>
    <w:rsid w:val="00C0508E"/>
    <w:rsid w:val="00C325FE"/>
    <w:rsid w:val="00C32B84"/>
    <w:rsid w:val="00C42557"/>
    <w:rsid w:val="00C50925"/>
    <w:rsid w:val="00C54229"/>
    <w:rsid w:val="00C55600"/>
    <w:rsid w:val="00C603EB"/>
    <w:rsid w:val="00C85351"/>
    <w:rsid w:val="00C860AE"/>
    <w:rsid w:val="00CA2A7D"/>
    <w:rsid w:val="00CC0DA0"/>
    <w:rsid w:val="00CC661F"/>
    <w:rsid w:val="00CD0C9B"/>
    <w:rsid w:val="00CE4A60"/>
    <w:rsid w:val="00D0712D"/>
    <w:rsid w:val="00D12BFF"/>
    <w:rsid w:val="00D22DAE"/>
    <w:rsid w:val="00D332D1"/>
    <w:rsid w:val="00D369B6"/>
    <w:rsid w:val="00D378AC"/>
    <w:rsid w:val="00D41D9A"/>
    <w:rsid w:val="00D51860"/>
    <w:rsid w:val="00D5469B"/>
    <w:rsid w:val="00D55AB6"/>
    <w:rsid w:val="00D57C02"/>
    <w:rsid w:val="00D63369"/>
    <w:rsid w:val="00D63F8F"/>
    <w:rsid w:val="00D70210"/>
    <w:rsid w:val="00D7213F"/>
    <w:rsid w:val="00D8235C"/>
    <w:rsid w:val="00D90AD5"/>
    <w:rsid w:val="00DB6430"/>
    <w:rsid w:val="00DB7D23"/>
    <w:rsid w:val="00DC38B4"/>
    <w:rsid w:val="00DD19E7"/>
    <w:rsid w:val="00E07C71"/>
    <w:rsid w:val="00E11557"/>
    <w:rsid w:val="00E23C6C"/>
    <w:rsid w:val="00E3285A"/>
    <w:rsid w:val="00E52198"/>
    <w:rsid w:val="00E60D66"/>
    <w:rsid w:val="00E6471E"/>
    <w:rsid w:val="00E7084C"/>
    <w:rsid w:val="00E929D0"/>
    <w:rsid w:val="00E94DFF"/>
    <w:rsid w:val="00E96BD9"/>
    <w:rsid w:val="00ED546E"/>
    <w:rsid w:val="00EE6888"/>
    <w:rsid w:val="00F016AC"/>
    <w:rsid w:val="00F0708E"/>
    <w:rsid w:val="00F109BF"/>
    <w:rsid w:val="00F162DC"/>
    <w:rsid w:val="00F30C3E"/>
    <w:rsid w:val="00F514A7"/>
    <w:rsid w:val="00F51C13"/>
    <w:rsid w:val="00F75A80"/>
    <w:rsid w:val="00F81C06"/>
    <w:rsid w:val="00F832D3"/>
    <w:rsid w:val="00F8491F"/>
    <w:rsid w:val="00F90DA5"/>
    <w:rsid w:val="00F97BDD"/>
    <w:rsid w:val="00F97E08"/>
    <w:rsid w:val="00FA4B75"/>
    <w:rsid w:val="00FB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A80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F75A80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F75A80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F75A80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F75A80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qFormat/>
    <w:rsid w:val="00F75A80"/>
    <w:pPr>
      <w:keepNext/>
      <w:numPr>
        <w:ilvl w:val="4"/>
        <w:numId w:val="22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F75A80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F75A80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75A80"/>
    <w:pPr>
      <w:keepNext/>
      <w:numPr>
        <w:ilvl w:val="7"/>
        <w:numId w:val="22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F75A80"/>
    <w:pPr>
      <w:keepNext/>
      <w:numPr>
        <w:ilvl w:val="8"/>
        <w:numId w:val="22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locked/>
    <w:rsid w:val="00287B45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rsid w:val="00F75A80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F75A80"/>
    <w:pPr>
      <w:keepNext/>
      <w:keepLines/>
      <w:numPr>
        <w:numId w:val="16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F75A80"/>
    <w:pPr>
      <w:keepNext/>
      <w:keepLines/>
      <w:numPr>
        <w:numId w:val="17"/>
      </w:numPr>
      <w:spacing w:after="120"/>
      <w:jc w:val="both"/>
    </w:pPr>
  </w:style>
  <w:style w:type="paragraph" w:customStyle="1" w:styleId="Noteheading">
    <w:name w:val="Note heading"/>
    <w:basedOn w:val="Normal"/>
    <w:autoRedefine/>
    <w:rsid w:val="007567ED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287B45"/>
    <w:rPr>
      <w:rFonts w:ascii="Calibri" w:hAnsi="Calibri"/>
      <w:sz w:val="24"/>
      <w:szCs w:val="24"/>
      <w:lang w:eastAsia="en-US"/>
    </w:rPr>
  </w:style>
  <w:style w:type="paragraph" w:customStyle="1" w:styleId="FooterBP">
    <w:name w:val="Footer BP"/>
    <w:basedOn w:val="Normal"/>
    <w:next w:val="Normal"/>
    <w:rsid w:val="00F75A80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customStyle="1" w:styleId="Heading3TopofPage">
    <w:name w:val="Heading 3 Top of Page"/>
    <w:basedOn w:val="Heading3"/>
    <w:next w:val="BodyText"/>
    <w:rsid w:val="00F75A80"/>
    <w:pPr>
      <w:spacing w:before="0"/>
    </w:pPr>
    <w:rPr>
      <w:rFonts w:cs="Times New Roman"/>
      <w:lang w:eastAsia="en-AU"/>
    </w:rPr>
  </w:style>
  <w:style w:type="paragraph" w:customStyle="1" w:styleId="TableName">
    <w:name w:val="Table Name"/>
    <w:basedOn w:val="Normal"/>
    <w:rsid w:val="00F75A80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Notes">
    <w:name w:val="AI Notes"/>
    <w:basedOn w:val="Normal"/>
    <w:rsid w:val="00F75A80"/>
    <w:pPr>
      <w:numPr>
        <w:numId w:val="13"/>
      </w:numPr>
      <w:jc w:val="both"/>
    </w:pPr>
    <w:rPr>
      <w:sz w:val="16"/>
    </w:rPr>
  </w:style>
  <w:style w:type="paragraph" w:customStyle="1" w:styleId="Notes">
    <w:name w:val="Notes"/>
    <w:basedOn w:val="Normal"/>
    <w:rsid w:val="00F75A80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F75A80"/>
    <w:rPr>
      <w:sz w:val="20"/>
    </w:rPr>
  </w:style>
  <w:style w:type="paragraph" w:customStyle="1" w:styleId="TableTextLeft-BP3">
    <w:name w:val="Table Text Left - BP3"/>
    <w:basedOn w:val="TableTextLeft-BP4"/>
    <w:rsid w:val="00F75A80"/>
    <w:rPr>
      <w:sz w:val="20"/>
    </w:rPr>
  </w:style>
  <w:style w:type="paragraph" w:customStyle="1" w:styleId="TableTextLeftBold-BP3">
    <w:name w:val="Table Text Left Bold - BP3"/>
    <w:basedOn w:val="TableTextLeftBold-BP4"/>
    <w:rsid w:val="00F75A80"/>
    <w:rPr>
      <w:sz w:val="20"/>
    </w:rPr>
  </w:style>
  <w:style w:type="paragraph" w:customStyle="1" w:styleId="TableNumber">
    <w:name w:val="Table Number"/>
    <w:basedOn w:val="TableName"/>
    <w:next w:val="TableName"/>
    <w:rsid w:val="00F75A80"/>
    <w:pPr>
      <w:spacing w:before="60" w:after="0"/>
    </w:pPr>
  </w:style>
  <w:style w:type="character" w:styleId="PageNumber">
    <w:name w:val="page number"/>
    <w:basedOn w:val="DefaultParagraphFont"/>
    <w:rsid w:val="00F75A80"/>
  </w:style>
  <w:style w:type="paragraph" w:customStyle="1" w:styleId="DefinitionTerm">
    <w:name w:val="Definition Term"/>
    <w:basedOn w:val="Normal"/>
    <w:next w:val="Normal"/>
    <w:rsid w:val="00287B45"/>
  </w:style>
  <w:style w:type="paragraph" w:customStyle="1" w:styleId="MinorHeading">
    <w:name w:val="Minor Heading"/>
    <w:basedOn w:val="Normal"/>
    <w:rsid w:val="00287B45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75A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5A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5A80"/>
    <w:pPr>
      <w:tabs>
        <w:tab w:val="center" w:pos="4153"/>
        <w:tab w:val="right" w:pos="8306"/>
      </w:tabs>
    </w:pPr>
  </w:style>
  <w:style w:type="numbering" w:styleId="111111">
    <w:name w:val="Outline List 2"/>
    <w:basedOn w:val="NoList"/>
    <w:rsid w:val="00F75A80"/>
    <w:pPr>
      <w:numPr>
        <w:numId w:val="10"/>
      </w:numPr>
    </w:pPr>
  </w:style>
  <w:style w:type="numbering" w:styleId="1ai">
    <w:name w:val="Outline List 1"/>
    <w:basedOn w:val="NoList"/>
    <w:rsid w:val="00F75A80"/>
    <w:pPr>
      <w:numPr>
        <w:numId w:val="11"/>
      </w:numPr>
    </w:pPr>
  </w:style>
  <w:style w:type="paragraph" w:customStyle="1" w:styleId="n">
    <w:name w:val="n"/>
    <w:basedOn w:val="Normal"/>
    <w:semiHidden/>
    <w:rsid w:val="00F75A80"/>
    <w:pPr>
      <w:jc w:val="both"/>
    </w:pPr>
    <w:rPr>
      <w:sz w:val="16"/>
      <w:szCs w:val="24"/>
    </w:rPr>
  </w:style>
  <w:style w:type="paragraph" w:customStyle="1" w:styleId="1n">
    <w:name w:val="1. n"/>
    <w:basedOn w:val="n"/>
    <w:rsid w:val="00F75A80"/>
    <w:rPr>
      <w:iCs/>
      <w:szCs w:val="20"/>
    </w:rPr>
  </w:style>
  <w:style w:type="paragraph" w:customStyle="1" w:styleId="an">
    <w:name w:val="a. n"/>
    <w:basedOn w:val="n"/>
    <w:rsid w:val="00F75A80"/>
    <w:rPr>
      <w:iCs/>
      <w:szCs w:val="20"/>
    </w:rPr>
  </w:style>
  <w:style w:type="paragraph" w:customStyle="1" w:styleId="AIblurb">
    <w:name w:val="AI blurb"/>
    <w:basedOn w:val="Normal"/>
    <w:rsid w:val="00F75A80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F75A80"/>
    <w:pPr>
      <w:tabs>
        <w:tab w:val="num" w:pos="360"/>
      </w:tabs>
      <w:ind w:left="357" w:hanging="357"/>
    </w:pPr>
    <w:rPr>
      <w:sz w:val="20"/>
    </w:rPr>
  </w:style>
  <w:style w:type="paragraph" w:customStyle="1" w:styleId="AITableText">
    <w:name w:val="AI Table Text"/>
    <w:basedOn w:val="Normal"/>
    <w:rsid w:val="00F75A80"/>
    <w:pPr>
      <w:jc w:val="right"/>
    </w:pPr>
    <w:rPr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75A80"/>
    <w:rPr>
      <w:rFonts w:ascii="Calibri" w:hAnsi="Calibri"/>
      <w:b/>
      <w:snapToGrid w:val="0"/>
      <w:lang w:eastAsia="en-US"/>
    </w:rPr>
  </w:style>
  <w:style w:type="character" w:customStyle="1" w:styleId="Heading4Char">
    <w:name w:val="Heading 4 Char"/>
    <w:basedOn w:val="DefaultParagraphFont"/>
    <w:link w:val="Heading4"/>
    <w:rsid w:val="00F75A80"/>
    <w:rPr>
      <w:rFonts w:ascii="Calibri" w:hAnsi="Calibri"/>
      <w:i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F75A80"/>
    <w:rPr>
      <w:rFonts w:ascii="Calibri" w:hAnsi="Calibri"/>
      <w:b/>
      <w:i/>
      <w:lang w:eastAsia="en-US"/>
    </w:rPr>
  </w:style>
  <w:style w:type="character" w:customStyle="1" w:styleId="Heading6Char">
    <w:name w:val="Heading 6 Char"/>
    <w:basedOn w:val="DefaultParagraphFont"/>
    <w:link w:val="Heading6"/>
    <w:rsid w:val="00F75A80"/>
    <w:rPr>
      <w:rFonts w:ascii="Calibri" w:hAnsi="Calibri"/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F75A80"/>
    <w:rPr>
      <w:rFonts w:ascii="Arial" w:hAnsi="Arial"/>
      <w:b/>
      <w:snapToGrid w:val="0"/>
      <w:color w:val="000000"/>
      <w:lang w:eastAsia="en-US"/>
    </w:rPr>
  </w:style>
  <w:style w:type="character" w:customStyle="1" w:styleId="Heading9Char">
    <w:name w:val="Heading 9 Char"/>
    <w:basedOn w:val="DefaultParagraphFont"/>
    <w:link w:val="Heading9"/>
    <w:rsid w:val="00F75A80"/>
    <w:rPr>
      <w:rFonts w:ascii="Arial" w:hAnsi="Arial" w:cs="Arial"/>
      <w:b/>
      <w:snapToGrid w:val="0"/>
      <w:color w:val="000000"/>
      <w:sz w:val="18"/>
      <w:lang w:eastAsia="en-US"/>
    </w:rPr>
  </w:style>
  <w:style w:type="numbering" w:styleId="ArticleSection">
    <w:name w:val="Outline List 3"/>
    <w:basedOn w:val="NoList"/>
    <w:rsid w:val="00F75A80"/>
    <w:pPr>
      <w:numPr>
        <w:numId w:val="15"/>
      </w:numPr>
    </w:pPr>
  </w:style>
  <w:style w:type="paragraph" w:styleId="BlockText">
    <w:name w:val="Block Text"/>
    <w:basedOn w:val="Normal"/>
    <w:rsid w:val="00F75A80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F75A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5A80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F75A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5A80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5A80"/>
    <w:pPr>
      <w:spacing w:before="0"/>
      <w:ind w:firstLine="210"/>
      <w:jc w:val="left"/>
    </w:pPr>
  </w:style>
  <w:style w:type="character" w:customStyle="1" w:styleId="BodyTextChar">
    <w:name w:val="Body Text Char"/>
    <w:basedOn w:val="DefaultParagraphFont"/>
    <w:link w:val="BodyText"/>
    <w:rsid w:val="00F75A80"/>
    <w:rPr>
      <w:rFonts w:ascii="Calibri" w:hAnsi="Calibri"/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F75A80"/>
  </w:style>
  <w:style w:type="paragraph" w:styleId="BodyTextFirstIndent2">
    <w:name w:val="Body Text First Indent 2"/>
    <w:basedOn w:val="BodyTextIndent"/>
    <w:link w:val="BodyTextFirstIndent2Char"/>
    <w:rsid w:val="00F75A80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F75A80"/>
  </w:style>
  <w:style w:type="paragraph" w:styleId="BodyTextIndent3">
    <w:name w:val="Body Text Indent 3"/>
    <w:basedOn w:val="Normal"/>
    <w:link w:val="BodyTextIndent3Char"/>
    <w:rsid w:val="00F75A80"/>
    <w:pPr>
      <w:keepNext/>
      <w:keepLines/>
      <w:numPr>
        <w:numId w:val="18"/>
      </w:numPr>
      <w:tabs>
        <w:tab w:val="left" w:pos="1134"/>
      </w:tabs>
      <w:spacing w:after="12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75A80"/>
    <w:rPr>
      <w:rFonts w:ascii="Calibri" w:hAnsi="Calibri"/>
      <w:sz w:val="24"/>
      <w:szCs w:val="24"/>
      <w:lang w:eastAsia="en-US"/>
    </w:rPr>
  </w:style>
  <w:style w:type="paragraph" w:customStyle="1" w:styleId="BodyTextIndent4">
    <w:name w:val="Body Text Indent 4"/>
    <w:basedOn w:val="BodyText"/>
    <w:next w:val="BodyText"/>
    <w:rsid w:val="00F75A80"/>
    <w:pPr>
      <w:numPr>
        <w:numId w:val="19"/>
      </w:numPr>
      <w:spacing w:before="0"/>
    </w:pPr>
  </w:style>
  <w:style w:type="character" w:customStyle="1" w:styleId="CharChar">
    <w:name w:val="Char Char"/>
    <w:basedOn w:val="DefaultParagraphFont"/>
    <w:rsid w:val="00F75A80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F75A80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F75A80"/>
    <w:pPr>
      <w:ind w:left="4252"/>
    </w:pPr>
  </w:style>
  <w:style w:type="character" w:customStyle="1" w:styleId="ClosingChar">
    <w:name w:val="Closing Char"/>
    <w:basedOn w:val="DefaultParagraphFont"/>
    <w:link w:val="Closing"/>
    <w:rsid w:val="00F75A80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F75A80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75A80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75A80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75A80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75A80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F75A80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F75A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5A80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5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5A80"/>
    <w:rPr>
      <w:b/>
      <w:bCs/>
    </w:rPr>
  </w:style>
  <w:style w:type="paragraph" w:styleId="Date">
    <w:name w:val="Date"/>
    <w:basedOn w:val="Normal"/>
    <w:next w:val="Normal"/>
    <w:link w:val="DateChar"/>
    <w:rsid w:val="00F75A80"/>
  </w:style>
  <w:style w:type="character" w:customStyle="1" w:styleId="DateChar">
    <w:name w:val="Date Char"/>
    <w:basedOn w:val="DefaultParagraphFont"/>
    <w:link w:val="Date"/>
    <w:rsid w:val="00F75A80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F75A80"/>
  </w:style>
  <w:style w:type="character" w:customStyle="1" w:styleId="E-mailSignatureChar">
    <w:name w:val="E-mail Signature Char"/>
    <w:basedOn w:val="DefaultParagraphFont"/>
    <w:link w:val="E-mailSignature"/>
    <w:rsid w:val="00F75A80"/>
    <w:rPr>
      <w:rFonts w:ascii="Calibri" w:hAnsi="Calibri"/>
      <w:sz w:val="24"/>
      <w:lang w:eastAsia="en-US"/>
    </w:rPr>
  </w:style>
  <w:style w:type="character" w:styleId="Emphasis">
    <w:name w:val="Emphasis"/>
    <w:basedOn w:val="DefaultParagraphFont"/>
    <w:qFormat/>
    <w:rsid w:val="00F75A80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F75A80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F75A8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5A80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F75A8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F75A8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F75A80"/>
    <w:rPr>
      <w:color w:val="800080"/>
      <w:u w:val="single"/>
    </w:rPr>
  </w:style>
  <w:style w:type="character" w:styleId="FootnoteReference">
    <w:name w:val="footnote reference"/>
    <w:basedOn w:val="DefaultParagraphFont"/>
    <w:rsid w:val="00F75A80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F75A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5A80"/>
    <w:rPr>
      <w:rFonts w:ascii="Calibri" w:hAnsi="Calibri"/>
      <w:lang w:eastAsia="en-US"/>
    </w:rPr>
  </w:style>
  <w:style w:type="paragraph" w:customStyle="1" w:styleId="Heading3Centred">
    <w:name w:val="Heading 3 Centred"/>
    <w:basedOn w:val="Heading3"/>
    <w:next w:val="BodyText"/>
    <w:rsid w:val="00F75A80"/>
    <w:pPr>
      <w:spacing w:before="0"/>
      <w:jc w:val="center"/>
    </w:pPr>
    <w:rPr>
      <w:rFonts w:cs="Times New Roman"/>
      <w:lang w:eastAsia="en-AU"/>
    </w:rPr>
  </w:style>
  <w:style w:type="character" w:styleId="HTMLAcronym">
    <w:name w:val="HTML Acronym"/>
    <w:basedOn w:val="DefaultParagraphFont"/>
    <w:rsid w:val="00F75A80"/>
  </w:style>
  <w:style w:type="paragraph" w:styleId="HTMLAddress">
    <w:name w:val="HTML Address"/>
    <w:basedOn w:val="Normal"/>
    <w:link w:val="HTMLAddressChar"/>
    <w:rsid w:val="00F75A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5A80"/>
    <w:rPr>
      <w:rFonts w:ascii="Calibri" w:hAnsi="Calibri"/>
      <w:i/>
      <w:iCs/>
      <w:sz w:val="24"/>
      <w:lang w:eastAsia="en-US"/>
    </w:rPr>
  </w:style>
  <w:style w:type="character" w:styleId="HTMLCite">
    <w:name w:val="HTML Cite"/>
    <w:basedOn w:val="DefaultParagraphFont"/>
    <w:rsid w:val="00F75A80"/>
    <w:rPr>
      <w:i/>
      <w:iCs/>
    </w:rPr>
  </w:style>
  <w:style w:type="character" w:styleId="HTMLCode">
    <w:name w:val="HTML Code"/>
    <w:basedOn w:val="DefaultParagraphFont"/>
    <w:rsid w:val="00F75A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5A80"/>
    <w:rPr>
      <w:i/>
      <w:iCs/>
    </w:rPr>
  </w:style>
  <w:style w:type="character" w:styleId="HTMLKeyboard">
    <w:name w:val="HTML Keyboard"/>
    <w:basedOn w:val="DefaultParagraphFont"/>
    <w:rsid w:val="00F75A8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5A8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5A80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F75A8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5A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5A80"/>
    <w:rPr>
      <w:i/>
      <w:iCs/>
    </w:rPr>
  </w:style>
  <w:style w:type="character" w:styleId="Hyperlink">
    <w:name w:val="Hyperlink"/>
    <w:basedOn w:val="DefaultParagraphFont"/>
    <w:rsid w:val="00F75A80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F75A80"/>
    <w:pPr>
      <w:ind w:left="240" w:hanging="240"/>
    </w:pPr>
  </w:style>
  <w:style w:type="paragraph" w:styleId="Index2">
    <w:name w:val="index 2"/>
    <w:basedOn w:val="Normal"/>
    <w:next w:val="Normal"/>
    <w:autoRedefine/>
    <w:rsid w:val="00F75A80"/>
    <w:pPr>
      <w:ind w:left="480" w:hanging="240"/>
    </w:pPr>
  </w:style>
  <w:style w:type="paragraph" w:styleId="Index3">
    <w:name w:val="index 3"/>
    <w:basedOn w:val="Normal"/>
    <w:next w:val="Normal"/>
    <w:autoRedefine/>
    <w:rsid w:val="00F75A80"/>
    <w:pPr>
      <w:ind w:left="720" w:hanging="240"/>
    </w:pPr>
  </w:style>
  <w:style w:type="paragraph" w:styleId="Index4">
    <w:name w:val="index 4"/>
    <w:basedOn w:val="Normal"/>
    <w:next w:val="Normal"/>
    <w:autoRedefine/>
    <w:rsid w:val="00F75A80"/>
    <w:pPr>
      <w:ind w:left="960" w:hanging="240"/>
    </w:pPr>
  </w:style>
  <w:style w:type="paragraph" w:styleId="Index5">
    <w:name w:val="index 5"/>
    <w:basedOn w:val="Normal"/>
    <w:next w:val="Normal"/>
    <w:autoRedefine/>
    <w:rsid w:val="00F75A80"/>
    <w:pPr>
      <w:ind w:left="1200" w:hanging="240"/>
    </w:pPr>
  </w:style>
  <w:style w:type="paragraph" w:styleId="Index6">
    <w:name w:val="index 6"/>
    <w:basedOn w:val="Normal"/>
    <w:next w:val="Normal"/>
    <w:autoRedefine/>
    <w:rsid w:val="00F75A80"/>
    <w:pPr>
      <w:ind w:left="1440" w:hanging="240"/>
    </w:pPr>
  </w:style>
  <w:style w:type="paragraph" w:styleId="Index7">
    <w:name w:val="index 7"/>
    <w:basedOn w:val="Normal"/>
    <w:next w:val="Normal"/>
    <w:autoRedefine/>
    <w:rsid w:val="00F75A80"/>
    <w:pPr>
      <w:ind w:left="1680" w:hanging="240"/>
    </w:pPr>
  </w:style>
  <w:style w:type="paragraph" w:styleId="Index8">
    <w:name w:val="index 8"/>
    <w:basedOn w:val="Normal"/>
    <w:next w:val="Normal"/>
    <w:autoRedefine/>
    <w:rsid w:val="00F75A80"/>
    <w:pPr>
      <w:ind w:left="1920" w:hanging="240"/>
    </w:pPr>
  </w:style>
  <w:style w:type="paragraph" w:styleId="Index9">
    <w:name w:val="index 9"/>
    <w:basedOn w:val="Normal"/>
    <w:next w:val="Normal"/>
    <w:autoRedefine/>
    <w:rsid w:val="00F75A80"/>
    <w:pPr>
      <w:ind w:left="2160" w:hanging="240"/>
    </w:pPr>
  </w:style>
  <w:style w:type="paragraph" w:styleId="IndexHeading">
    <w:name w:val="index heading"/>
    <w:basedOn w:val="Normal"/>
    <w:next w:val="Index1"/>
    <w:rsid w:val="00F75A80"/>
    <w:rPr>
      <w:b/>
      <w:bCs/>
    </w:rPr>
  </w:style>
  <w:style w:type="character" w:styleId="LineNumber">
    <w:name w:val="line number"/>
    <w:basedOn w:val="DefaultParagraphFont"/>
    <w:rsid w:val="00F75A80"/>
  </w:style>
  <w:style w:type="paragraph" w:styleId="List">
    <w:name w:val="List"/>
    <w:basedOn w:val="Normal"/>
    <w:rsid w:val="00F75A80"/>
    <w:pPr>
      <w:ind w:left="283" w:hanging="283"/>
    </w:pPr>
  </w:style>
  <w:style w:type="paragraph" w:styleId="List2">
    <w:name w:val="List 2"/>
    <w:basedOn w:val="Normal"/>
    <w:rsid w:val="00F75A80"/>
    <w:pPr>
      <w:ind w:left="566" w:hanging="283"/>
    </w:pPr>
  </w:style>
  <w:style w:type="paragraph" w:styleId="List3">
    <w:name w:val="List 3"/>
    <w:basedOn w:val="Normal"/>
    <w:rsid w:val="00F75A80"/>
    <w:pPr>
      <w:ind w:left="849" w:hanging="283"/>
    </w:pPr>
  </w:style>
  <w:style w:type="paragraph" w:styleId="List4">
    <w:name w:val="List 4"/>
    <w:basedOn w:val="Normal"/>
    <w:rsid w:val="00F75A80"/>
    <w:pPr>
      <w:ind w:left="1132" w:hanging="283"/>
    </w:pPr>
  </w:style>
  <w:style w:type="paragraph" w:styleId="List5">
    <w:name w:val="List 5"/>
    <w:basedOn w:val="Normal"/>
    <w:rsid w:val="00F75A80"/>
    <w:pPr>
      <w:ind w:left="1415" w:hanging="283"/>
    </w:pPr>
  </w:style>
  <w:style w:type="paragraph" w:styleId="ListBullet">
    <w:name w:val="List Bullet"/>
    <w:basedOn w:val="Normal"/>
    <w:rsid w:val="00F75A80"/>
    <w:pPr>
      <w:numPr>
        <w:numId w:val="23"/>
      </w:numPr>
    </w:pPr>
  </w:style>
  <w:style w:type="paragraph" w:styleId="ListBullet2">
    <w:name w:val="List Bullet 2"/>
    <w:basedOn w:val="Normal"/>
    <w:rsid w:val="00F75A80"/>
    <w:pPr>
      <w:numPr>
        <w:numId w:val="25"/>
      </w:numPr>
    </w:pPr>
  </w:style>
  <w:style w:type="paragraph" w:styleId="ListBullet3">
    <w:name w:val="List Bullet 3"/>
    <w:basedOn w:val="Normal"/>
    <w:rsid w:val="00F75A80"/>
    <w:pPr>
      <w:numPr>
        <w:numId w:val="27"/>
      </w:numPr>
    </w:pPr>
  </w:style>
  <w:style w:type="paragraph" w:styleId="ListBullet4">
    <w:name w:val="List Bullet 4"/>
    <w:basedOn w:val="Normal"/>
    <w:rsid w:val="00F75A80"/>
    <w:pPr>
      <w:numPr>
        <w:numId w:val="29"/>
      </w:numPr>
    </w:pPr>
  </w:style>
  <w:style w:type="paragraph" w:styleId="ListBullet5">
    <w:name w:val="List Bullet 5"/>
    <w:basedOn w:val="Normal"/>
    <w:rsid w:val="00F75A80"/>
    <w:pPr>
      <w:numPr>
        <w:numId w:val="31"/>
      </w:numPr>
    </w:pPr>
  </w:style>
  <w:style w:type="paragraph" w:styleId="ListContinue">
    <w:name w:val="List Continue"/>
    <w:basedOn w:val="Normal"/>
    <w:rsid w:val="00F75A80"/>
    <w:pPr>
      <w:spacing w:after="120"/>
      <w:ind w:left="283"/>
    </w:pPr>
  </w:style>
  <w:style w:type="paragraph" w:styleId="ListContinue2">
    <w:name w:val="List Continue 2"/>
    <w:basedOn w:val="Normal"/>
    <w:rsid w:val="00F75A80"/>
    <w:pPr>
      <w:spacing w:after="120"/>
      <w:ind w:left="566"/>
    </w:pPr>
  </w:style>
  <w:style w:type="paragraph" w:styleId="ListContinue3">
    <w:name w:val="List Continue 3"/>
    <w:basedOn w:val="Normal"/>
    <w:rsid w:val="00F75A80"/>
    <w:pPr>
      <w:spacing w:after="120"/>
      <w:ind w:left="849"/>
    </w:pPr>
  </w:style>
  <w:style w:type="paragraph" w:styleId="ListContinue4">
    <w:name w:val="List Continue 4"/>
    <w:basedOn w:val="Normal"/>
    <w:rsid w:val="00F75A80"/>
    <w:pPr>
      <w:spacing w:after="120"/>
      <w:ind w:left="1132"/>
    </w:pPr>
  </w:style>
  <w:style w:type="paragraph" w:styleId="ListContinue5">
    <w:name w:val="List Continue 5"/>
    <w:basedOn w:val="Normal"/>
    <w:rsid w:val="00F75A80"/>
    <w:pPr>
      <w:spacing w:after="120"/>
      <w:ind w:left="1415"/>
    </w:pPr>
  </w:style>
  <w:style w:type="paragraph" w:styleId="ListNumber">
    <w:name w:val="List Number"/>
    <w:basedOn w:val="Normal"/>
    <w:rsid w:val="00F75A80"/>
    <w:pPr>
      <w:numPr>
        <w:numId w:val="33"/>
      </w:numPr>
    </w:pPr>
  </w:style>
  <w:style w:type="paragraph" w:styleId="ListNumber2">
    <w:name w:val="List Number 2"/>
    <w:basedOn w:val="Normal"/>
    <w:rsid w:val="00F75A80"/>
    <w:pPr>
      <w:numPr>
        <w:numId w:val="35"/>
      </w:numPr>
    </w:pPr>
  </w:style>
  <w:style w:type="paragraph" w:styleId="ListNumber3">
    <w:name w:val="List Number 3"/>
    <w:basedOn w:val="Normal"/>
    <w:rsid w:val="00F75A80"/>
    <w:pPr>
      <w:numPr>
        <w:numId w:val="37"/>
      </w:numPr>
    </w:pPr>
  </w:style>
  <w:style w:type="paragraph" w:styleId="ListNumber4">
    <w:name w:val="List Number 4"/>
    <w:basedOn w:val="Normal"/>
    <w:rsid w:val="00F75A80"/>
    <w:pPr>
      <w:numPr>
        <w:numId w:val="39"/>
      </w:numPr>
    </w:pPr>
  </w:style>
  <w:style w:type="paragraph" w:styleId="ListNumber5">
    <w:name w:val="List Number 5"/>
    <w:basedOn w:val="Normal"/>
    <w:rsid w:val="00F75A80"/>
    <w:pPr>
      <w:numPr>
        <w:numId w:val="41"/>
      </w:numPr>
    </w:pPr>
  </w:style>
  <w:style w:type="paragraph" w:styleId="ListParagraph">
    <w:name w:val="List Paragraph"/>
    <w:basedOn w:val="Normal"/>
    <w:qFormat/>
    <w:rsid w:val="00F75A80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F75A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5A80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F75A80"/>
    <w:rPr>
      <w:szCs w:val="24"/>
    </w:rPr>
  </w:style>
  <w:style w:type="paragraph" w:styleId="NormalIndent">
    <w:name w:val="Normal Indent"/>
    <w:basedOn w:val="Normal"/>
    <w:rsid w:val="00F75A80"/>
    <w:pPr>
      <w:ind w:left="720"/>
    </w:pPr>
  </w:style>
  <w:style w:type="paragraph" w:styleId="NoteHeading0">
    <w:name w:val="Note Heading"/>
    <w:basedOn w:val="Normal"/>
    <w:next w:val="Normal"/>
    <w:link w:val="NoteHeadingChar"/>
    <w:rsid w:val="00F75A80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F75A80"/>
    <w:rPr>
      <w:rFonts w:ascii="Calibri" w:hAnsi="Calibri"/>
      <w:b/>
      <w:sz w:val="16"/>
      <w:lang w:eastAsia="en-US"/>
    </w:rPr>
  </w:style>
  <w:style w:type="paragraph" w:customStyle="1" w:styleId="NoteText">
    <w:name w:val="Note Text"/>
    <w:basedOn w:val="Normal"/>
    <w:rsid w:val="00F75A80"/>
    <w:pPr>
      <w:jc w:val="both"/>
    </w:pPr>
    <w:rPr>
      <w:iCs/>
      <w:sz w:val="16"/>
    </w:rPr>
  </w:style>
  <w:style w:type="paragraph" w:styleId="PlainText">
    <w:name w:val="Plain Text"/>
    <w:basedOn w:val="Normal"/>
    <w:link w:val="PlainTextChar"/>
    <w:rsid w:val="00F75A80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75A80"/>
    <w:rPr>
      <w:rFonts w:ascii="Calibri" w:hAnsi="Calibri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F75A80"/>
  </w:style>
  <w:style w:type="character" w:customStyle="1" w:styleId="SalutationChar">
    <w:name w:val="Salutation Char"/>
    <w:basedOn w:val="DefaultParagraphFont"/>
    <w:link w:val="Salutation"/>
    <w:rsid w:val="00F75A80"/>
    <w:rPr>
      <w:rFonts w:ascii="Calibri" w:hAnsi="Calibri"/>
      <w:sz w:val="24"/>
      <w:lang w:eastAsia="en-US"/>
    </w:rPr>
  </w:style>
  <w:style w:type="paragraph" w:customStyle="1" w:styleId="SIHeading1">
    <w:name w:val="SI Heading 1"/>
    <w:basedOn w:val="Normal"/>
    <w:next w:val="BodyText"/>
    <w:rsid w:val="00F75A80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F75A80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styleId="Signature">
    <w:name w:val="Signature"/>
    <w:basedOn w:val="Normal"/>
    <w:link w:val="SignatureChar"/>
    <w:rsid w:val="00F75A8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5A80"/>
    <w:rPr>
      <w:rFonts w:ascii="Calibri" w:hAnsi="Calibri"/>
      <w:sz w:val="24"/>
      <w:lang w:eastAsia="en-US"/>
    </w:rPr>
  </w:style>
  <w:style w:type="paragraph" w:customStyle="1" w:styleId="SinglePara">
    <w:name w:val="Single Para"/>
    <w:basedOn w:val="Normal"/>
    <w:semiHidden/>
    <w:rsid w:val="00F75A80"/>
  </w:style>
  <w:style w:type="character" w:styleId="Strong">
    <w:name w:val="Strong"/>
    <w:basedOn w:val="DefaultParagraphFont"/>
    <w:qFormat/>
    <w:rsid w:val="00F75A80"/>
    <w:rPr>
      <w:b/>
      <w:bCs/>
    </w:rPr>
  </w:style>
  <w:style w:type="paragraph" w:customStyle="1" w:styleId="Sub-Heading">
    <w:name w:val="Sub-Heading"/>
    <w:basedOn w:val="Normal"/>
    <w:next w:val="BodyText"/>
    <w:rsid w:val="00F75A80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F75A80"/>
    <w:rPr>
      <w:i/>
    </w:rPr>
  </w:style>
  <w:style w:type="paragraph" w:styleId="Subtitle">
    <w:name w:val="Subtitle"/>
    <w:basedOn w:val="Normal"/>
    <w:link w:val="SubtitleChar"/>
    <w:qFormat/>
    <w:rsid w:val="00F75A8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F75A80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F75A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5A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5A8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75A8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5A8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5A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5A8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5A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5A8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5A8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5A8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5A8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5A8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5A8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5A8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75A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5A8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75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F75A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5A8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5A8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5A8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5A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5A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5A8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5A8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F75A80"/>
    <w:pPr>
      <w:keepNext/>
      <w:jc w:val="center"/>
    </w:pPr>
    <w:rPr>
      <w:b/>
      <w:sz w:val="20"/>
    </w:rPr>
  </w:style>
  <w:style w:type="paragraph" w:customStyle="1" w:styleId="TableHeadingCentre-BP4">
    <w:name w:val="Table Heading Centre - BP4"/>
    <w:basedOn w:val="Normal"/>
    <w:rsid w:val="00F75A80"/>
    <w:pPr>
      <w:keepNext/>
      <w:jc w:val="center"/>
    </w:pPr>
    <w:rPr>
      <w:b/>
      <w:sz w:val="18"/>
    </w:rPr>
  </w:style>
  <w:style w:type="paragraph" w:customStyle="1" w:styleId="TableHeadingCentre-BP410pt">
    <w:name w:val="Table Heading Centre - BP4 10pt"/>
    <w:basedOn w:val="TableHeadingCentre-BP4"/>
    <w:rsid w:val="00F75A80"/>
    <w:rPr>
      <w:sz w:val="20"/>
    </w:rPr>
  </w:style>
  <w:style w:type="paragraph" w:customStyle="1" w:styleId="TableHeadingLeft">
    <w:name w:val="Table Heading Left"/>
    <w:basedOn w:val="Normal"/>
    <w:rsid w:val="00F75A80"/>
    <w:pPr>
      <w:keepNext/>
    </w:pPr>
    <w:rPr>
      <w:b/>
      <w:sz w:val="20"/>
      <w:lang w:eastAsia="en-AU"/>
    </w:rPr>
  </w:style>
  <w:style w:type="paragraph" w:customStyle="1" w:styleId="TableHeadingLeft-BP4">
    <w:name w:val="Table Heading Left - BP4"/>
    <w:basedOn w:val="Normal"/>
    <w:rsid w:val="00F75A80"/>
    <w:pPr>
      <w:keepNext/>
    </w:pPr>
    <w:rPr>
      <w:b/>
      <w:sz w:val="18"/>
      <w:lang w:eastAsia="en-AU"/>
    </w:rPr>
  </w:style>
  <w:style w:type="paragraph" w:customStyle="1" w:styleId="TableHeadingLeft-BP3">
    <w:name w:val="Table Heading Left - BP3"/>
    <w:basedOn w:val="TableHeadingLeft-BP4"/>
    <w:rsid w:val="00F75A80"/>
    <w:rPr>
      <w:sz w:val="20"/>
    </w:rPr>
  </w:style>
  <w:style w:type="paragraph" w:customStyle="1" w:styleId="TableHeadingLeft-BP410pt">
    <w:name w:val="Table Heading Left - BP4 10pt"/>
    <w:basedOn w:val="TableHeadingLeft-BP4"/>
    <w:rsid w:val="00F75A80"/>
    <w:rPr>
      <w:sz w:val="20"/>
    </w:rPr>
  </w:style>
  <w:style w:type="paragraph" w:customStyle="1" w:styleId="TableHeadingRight">
    <w:name w:val="Table Heading Right"/>
    <w:basedOn w:val="Normal"/>
    <w:rsid w:val="00F75A80"/>
    <w:pPr>
      <w:keepNext/>
      <w:jc w:val="right"/>
    </w:pPr>
    <w:rPr>
      <w:b/>
      <w:sz w:val="20"/>
      <w:szCs w:val="24"/>
    </w:rPr>
  </w:style>
  <w:style w:type="paragraph" w:customStyle="1" w:styleId="TableHeadingRight-BP4">
    <w:name w:val="Table Heading Right - BP4"/>
    <w:basedOn w:val="Normal"/>
    <w:rsid w:val="00F75A80"/>
    <w:pPr>
      <w:keepNext/>
      <w:jc w:val="right"/>
    </w:pPr>
    <w:rPr>
      <w:b/>
      <w:sz w:val="18"/>
      <w:szCs w:val="24"/>
    </w:rPr>
  </w:style>
  <w:style w:type="paragraph" w:customStyle="1" w:styleId="TableHeadingRight-BP3">
    <w:name w:val="Table Heading Right - BP3"/>
    <w:basedOn w:val="TableHeadingRight-BP4"/>
    <w:rsid w:val="00F75A80"/>
    <w:rPr>
      <w:sz w:val="20"/>
    </w:rPr>
  </w:style>
  <w:style w:type="paragraph" w:customStyle="1" w:styleId="TableHeadingRight-BP410pt">
    <w:name w:val="Table Heading Right - BP4 10pt"/>
    <w:basedOn w:val="TableHeadingRight-BP4"/>
    <w:rsid w:val="00F75A80"/>
    <w:rPr>
      <w:sz w:val="20"/>
    </w:rPr>
  </w:style>
  <w:style w:type="table" w:styleId="TableList1">
    <w:name w:val="Table List 1"/>
    <w:basedOn w:val="TableNormal"/>
    <w:rsid w:val="00F75A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5A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5A8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5A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5A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5A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5A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5A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sRight">
    <w:name w:val="Table Numbers Right"/>
    <w:basedOn w:val="TableHeadingRight"/>
    <w:rsid w:val="00F75A80"/>
    <w:rPr>
      <w:b w:val="0"/>
    </w:rPr>
  </w:style>
  <w:style w:type="paragraph" w:customStyle="1" w:styleId="TableNumbersRight-BP4">
    <w:name w:val="Table Numbers Right - BP4"/>
    <w:basedOn w:val="Normal"/>
    <w:rsid w:val="00F75A80"/>
    <w:pPr>
      <w:jc w:val="right"/>
    </w:pPr>
    <w:rPr>
      <w:sz w:val="18"/>
    </w:rPr>
  </w:style>
  <w:style w:type="paragraph" w:customStyle="1" w:styleId="TableNumbersRight-BP3">
    <w:name w:val="Table Numbers Right - BP3"/>
    <w:basedOn w:val="TableNumbersRight-BP4"/>
    <w:rsid w:val="00F75A80"/>
    <w:rPr>
      <w:sz w:val="20"/>
    </w:rPr>
  </w:style>
  <w:style w:type="paragraph" w:styleId="TableofAuthorities">
    <w:name w:val="table of authorities"/>
    <w:basedOn w:val="Normal"/>
    <w:next w:val="Normal"/>
    <w:rsid w:val="00F75A80"/>
    <w:pPr>
      <w:ind w:left="240" w:hanging="240"/>
    </w:pPr>
  </w:style>
  <w:style w:type="paragraph" w:styleId="TableofFigures">
    <w:name w:val="table of figures"/>
    <w:basedOn w:val="Normal"/>
    <w:next w:val="Normal"/>
    <w:rsid w:val="00F75A80"/>
  </w:style>
  <w:style w:type="table" w:styleId="TableProfessional">
    <w:name w:val="Table Professional"/>
    <w:basedOn w:val="TableNormal"/>
    <w:rsid w:val="00F75A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75A8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5A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5A8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5A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5A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F75A80"/>
    <w:pPr>
      <w:numPr>
        <w:numId w:val="42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F75A80"/>
    <w:pPr>
      <w:numPr>
        <w:numId w:val="43"/>
      </w:numPr>
      <w:spacing w:before="60"/>
    </w:pPr>
    <w:rPr>
      <w:kern w:val="16"/>
      <w:sz w:val="20"/>
      <w:szCs w:val="24"/>
    </w:rPr>
  </w:style>
  <w:style w:type="paragraph" w:customStyle="1" w:styleId="TableTextLeft">
    <w:name w:val="Table Text Left"/>
    <w:basedOn w:val="Normal"/>
    <w:rsid w:val="00F75A80"/>
    <w:pPr>
      <w:ind w:left="357" w:hanging="357"/>
    </w:pPr>
    <w:rPr>
      <w:sz w:val="20"/>
      <w:szCs w:val="18"/>
    </w:rPr>
  </w:style>
  <w:style w:type="paragraph" w:customStyle="1" w:styleId="TableTextLeft-BP4">
    <w:name w:val="Table Text Left - BP4"/>
    <w:basedOn w:val="Normal"/>
    <w:rsid w:val="00F75A80"/>
    <w:pPr>
      <w:ind w:left="142" w:hanging="142"/>
    </w:pPr>
    <w:rPr>
      <w:sz w:val="18"/>
      <w:szCs w:val="18"/>
    </w:rPr>
  </w:style>
  <w:style w:type="paragraph" w:customStyle="1" w:styleId="TableTextLeft-BP410pt">
    <w:name w:val="Table Text Left - BP4 10pt"/>
    <w:basedOn w:val="TableTextLeft-BP4"/>
    <w:rsid w:val="00F75A80"/>
    <w:rPr>
      <w:sz w:val="20"/>
    </w:rPr>
  </w:style>
  <w:style w:type="paragraph" w:customStyle="1" w:styleId="TableTextLeft-BP4FS">
    <w:name w:val="Table Text Left - BP4 FS"/>
    <w:basedOn w:val="TableTextLeft-BP4"/>
    <w:rsid w:val="00F75A80"/>
    <w:pPr>
      <w:ind w:left="227"/>
    </w:pPr>
  </w:style>
  <w:style w:type="paragraph" w:customStyle="1" w:styleId="TableTextLeftBold">
    <w:name w:val="Table Text Left Bold"/>
    <w:basedOn w:val="Normal"/>
    <w:link w:val="TableTextLeftBoldChar"/>
    <w:rsid w:val="00F75A80"/>
    <w:pPr>
      <w:ind w:left="357" w:hanging="357"/>
    </w:pPr>
    <w:rPr>
      <w:b/>
      <w:sz w:val="20"/>
    </w:rPr>
  </w:style>
  <w:style w:type="paragraph" w:customStyle="1" w:styleId="TableTextLeftBold-BP4">
    <w:name w:val="Table Text Left Bold - BP4"/>
    <w:basedOn w:val="Normal"/>
    <w:rsid w:val="00F75A80"/>
    <w:pPr>
      <w:ind w:left="142" w:hanging="142"/>
    </w:pPr>
    <w:rPr>
      <w:b/>
      <w:sz w:val="18"/>
    </w:rPr>
  </w:style>
  <w:style w:type="paragraph" w:customStyle="1" w:styleId="TableTextLeftBold-BP410pt">
    <w:name w:val="Table Text Left Bold - BP4 10pt"/>
    <w:basedOn w:val="TableTextLeftBold-BP4"/>
    <w:rsid w:val="00F75A80"/>
    <w:rPr>
      <w:sz w:val="20"/>
    </w:rPr>
  </w:style>
  <w:style w:type="paragraph" w:customStyle="1" w:styleId="TableTextRight">
    <w:name w:val="Table Text Right"/>
    <w:basedOn w:val="Normal"/>
    <w:rsid w:val="00F75A80"/>
    <w:pPr>
      <w:ind w:left="357" w:hanging="357"/>
      <w:jc w:val="right"/>
    </w:pPr>
    <w:rPr>
      <w:sz w:val="20"/>
    </w:rPr>
  </w:style>
  <w:style w:type="paragraph" w:customStyle="1" w:styleId="TableTextRight-BP4">
    <w:name w:val="Table Text Right - BP4"/>
    <w:basedOn w:val="Normal"/>
    <w:rsid w:val="00F75A80"/>
    <w:pPr>
      <w:jc w:val="right"/>
    </w:pPr>
    <w:rPr>
      <w:sz w:val="18"/>
    </w:rPr>
  </w:style>
  <w:style w:type="paragraph" w:customStyle="1" w:styleId="TableTextRight-BP3">
    <w:name w:val="Table Text Right - BP3"/>
    <w:basedOn w:val="TableTextRight-BP4"/>
    <w:rsid w:val="00F75A80"/>
    <w:rPr>
      <w:sz w:val="20"/>
    </w:rPr>
  </w:style>
  <w:style w:type="paragraph" w:customStyle="1" w:styleId="TableTextRight-BP410pt">
    <w:name w:val="Table Text Right - BP4 10pt"/>
    <w:basedOn w:val="TableTextRight-BP4"/>
    <w:rsid w:val="00F75A80"/>
    <w:rPr>
      <w:sz w:val="20"/>
    </w:rPr>
  </w:style>
  <w:style w:type="paragraph" w:customStyle="1" w:styleId="TableTextRightBold">
    <w:name w:val="Table Text Right Bold"/>
    <w:basedOn w:val="Normal"/>
    <w:rsid w:val="00F75A80"/>
    <w:pPr>
      <w:ind w:left="357" w:hanging="357"/>
      <w:jc w:val="right"/>
    </w:pPr>
    <w:rPr>
      <w:b/>
      <w:sz w:val="20"/>
    </w:rPr>
  </w:style>
  <w:style w:type="paragraph" w:customStyle="1" w:styleId="TableTextRightBold-BP4">
    <w:name w:val="Table Text Right Bold - BP4"/>
    <w:basedOn w:val="Normal"/>
    <w:rsid w:val="00F75A80"/>
    <w:pPr>
      <w:jc w:val="right"/>
    </w:pPr>
    <w:rPr>
      <w:b/>
      <w:sz w:val="18"/>
    </w:rPr>
  </w:style>
  <w:style w:type="paragraph" w:customStyle="1" w:styleId="TableTextRightBold-BP3">
    <w:name w:val="Table Text Right Bold - BP3"/>
    <w:basedOn w:val="TableTextRightBold-BP4"/>
    <w:rsid w:val="00F75A80"/>
  </w:style>
  <w:style w:type="paragraph" w:customStyle="1" w:styleId="TableTextRightBold-BP410pt">
    <w:name w:val="Table Text Right Bold - BP4 10pt"/>
    <w:basedOn w:val="TableTextRightBold-BP4"/>
    <w:rsid w:val="00F75A80"/>
    <w:rPr>
      <w:sz w:val="20"/>
    </w:rPr>
  </w:style>
  <w:style w:type="table" w:styleId="TableTheme">
    <w:name w:val="Table Theme"/>
    <w:basedOn w:val="TableNormal"/>
    <w:rsid w:val="00F75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F75A8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5A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5A8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F75A8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75A80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F75A80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F75A80"/>
  </w:style>
  <w:style w:type="paragraph" w:styleId="TOC2">
    <w:name w:val="toc 2"/>
    <w:basedOn w:val="Normal"/>
    <w:next w:val="Normal"/>
    <w:autoRedefine/>
    <w:rsid w:val="00F75A80"/>
    <w:pPr>
      <w:ind w:left="240"/>
    </w:pPr>
  </w:style>
  <w:style w:type="paragraph" w:styleId="TOC3">
    <w:name w:val="toc 3"/>
    <w:basedOn w:val="Normal"/>
    <w:next w:val="Normal"/>
    <w:autoRedefine/>
    <w:rsid w:val="00F75A80"/>
    <w:pPr>
      <w:ind w:left="480"/>
    </w:pPr>
  </w:style>
  <w:style w:type="paragraph" w:styleId="TOC4">
    <w:name w:val="toc 4"/>
    <w:basedOn w:val="Normal"/>
    <w:next w:val="Normal"/>
    <w:autoRedefine/>
    <w:rsid w:val="00F75A80"/>
    <w:pPr>
      <w:ind w:left="720"/>
    </w:pPr>
  </w:style>
  <w:style w:type="paragraph" w:styleId="TOC5">
    <w:name w:val="toc 5"/>
    <w:basedOn w:val="Normal"/>
    <w:next w:val="Normal"/>
    <w:autoRedefine/>
    <w:rsid w:val="00F75A80"/>
    <w:pPr>
      <w:ind w:left="960"/>
    </w:pPr>
  </w:style>
  <w:style w:type="paragraph" w:styleId="TOC6">
    <w:name w:val="toc 6"/>
    <w:basedOn w:val="Normal"/>
    <w:next w:val="Normal"/>
    <w:autoRedefine/>
    <w:rsid w:val="00F75A80"/>
    <w:pPr>
      <w:ind w:left="1200"/>
    </w:pPr>
  </w:style>
  <w:style w:type="paragraph" w:styleId="TOC7">
    <w:name w:val="toc 7"/>
    <w:basedOn w:val="Normal"/>
    <w:next w:val="Normal"/>
    <w:autoRedefine/>
    <w:rsid w:val="00F75A80"/>
    <w:pPr>
      <w:ind w:left="1440"/>
    </w:pPr>
  </w:style>
  <w:style w:type="paragraph" w:styleId="TOC8">
    <w:name w:val="toc 8"/>
    <w:basedOn w:val="Normal"/>
    <w:next w:val="Normal"/>
    <w:autoRedefine/>
    <w:rsid w:val="00F75A80"/>
    <w:pPr>
      <w:ind w:left="1680"/>
    </w:pPr>
  </w:style>
  <w:style w:type="paragraph" w:styleId="TOC9">
    <w:name w:val="toc 9"/>
    <w:basedOn w:val="Normal"/>
    <w:next w:val="Normal"/>
    <w:autoRedefine/>
    <w:rsid w:val="00F75A80"/>
    <w:pPr>
      <w:ind w:left="1920"/>
    </w:pPr>
  </w:style>
  <w:style w:type="paragraph" w:customStyle="1" w:styleId="xl25">
    <w:name w:val="xl25"/>
    <w:basedOn w:val="Normal"/>
    <w:semiHidden/>
    <w:rsid w:val="00F75A80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8A6425"/>
    <w:rPr>
      <w:rFonts w:ascii="Calibri" w:hAnsi="Calibri"/>
      <w:b/>
      <w:lang w:eastAsia="en-US"/>
    </w:rPr>
  </w:style>
  <w:style w:type="character" w:customStyle="1" w:styleId="TableTextLeftBoldChar">
    <w:name w:val="Table Text Left Bold Char"/>
    <w:basedOn w:val="DefaultParagraphFont"/>
    <w:link w:val="TableTextLeftBold"/>
    <w:rsid w:val="00726FC8"/>
    <w:rPr>
      <w:rFonts w:ascii="Calibri" w:hAnsi="Calibri"/>
      <w:b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ul%20Hutchinson\AppData\Local\Microsoft\Windows\Temporary%20Internet%20Files\Content.Outlook\MPHUKBNW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ul%20Hutchinson\AppData\Local\Microsoft\Windows\Temporary%20Internet%20Files\Content.Outlook\MPHUKBNW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AU"/>
  <c:chart>
    <c:plotArea>
      <c:layout>
        <c:manualLayout>
          <c:layoutTarget val="inner"/>
          <c:xMode val="edge"/>
          <c:yMode val="edge"/>
          <c:x val="0.17226640419947653"/>
          <c:y val="4.6770924467774859E-2"/>
          <c:w val="0.79717804024496941"/>
          <c:h val="0.8326195683872849"/>
        </c:manualLayout>
      </c:layout>
      <c:lineChart>
        <c:grouping val="standard"/>
        <c:ser>
          <c:idx val="1"/>
          <c:order val="0"/>
          <c:tx>
            <c:strRef>
              <c:f>'Budget Review'!$A$15</c:f>
              <c:strCache>
                <c:ptCount val="1"/>
                <c:pt idx="0">
                  <c:v>2013-14 Budget Underlying Revenue</c:v>
                </c:pt>
              </c:strCache>
            </c:strRef>
          </c:tx>
          <c:spPr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dPt>
            <c:idx val="1"/>
            <c:spPr>
              <a:ln>
                <a:solidFill>
                  <a:schemeClr val="tx1">
                    <a:lumMod val="95000"/>
                    <a:lumOff val="5000"/>
                  </a:schemeClr>
                </a:solidFill>
                <a:prstDash val="sysDot"/>
              </a:ln>
            </c:spPr>
          </c:dPt>
          <c:cat>
            <c:strRef>
              <c:f>'[1]Comparison to 12-13'!$K$1:$P$1</c:f>
              <c:strCache>
                <c:ptCount val="6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  <c:pt idx="5">
                  <c:v>2016-17</c:v>
                </c:pt>
              </c:strCache>
            </c:strRef>
          </c:cat>
          <c:val>
            <c:numRef>
              <c:f>'Budget Review'!$B$15:$G$15</c:f>
              <c:numCache>
                <c:formatCode>#,##0_ ;\-#,##0\ </c:formatCode>
                <c:ptCount val="6"/>
                <c:pt idx="0">
                  <c:v>4119.4000000000005</c:v>
                </c:pt>
                <c:pt idx="1">
                  <c:v>4084.5309999999999</c:v>
                </c:pt>
                <c:pt idx="2">
                  <c:v>4274.2329999999993</c:v>
                </c:pt>
                <c:pt idx="3">
                  <c:v>4549.4220000000014</c:v>
                </c:pt>
                <c:pt idx="4">
                  <c:v>4869.4939999999997</c:v>
                </c:pt>
                <c:pt idx="5">
                  <c:v>5115.7069999999994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'Budget Review'!$A$7</c:f>
              <c:strCache>
                <c:ptCount val="1"/>
                <c:pt idx="0">
                  <c:v>2012-13 Budget Review Underlying Revenue</c:v>
                </c:pt>
              </c:strCache>
            </c:strRef>
          </c:tx>
          <c:spPr>
            <a:ln>
              <a:solidFill>
                <a:schemeClr val="bg1">
                  <a:lumMod val="75000"/>
                </a:schemeClr>
              </a:solidFill>
            </a:ln>
          </c:spPr>
          <c:marker>
            <c:symbol val="none"/>
          </c:marker>
          <c:dPt>
            <c:idx val="1"/>
            <c:spPr>
              <a:ln>
                <a:solidFill>
                  <a:schemeClr val="bg1">
                    <a:lumMod val="75000"/>
                  </a:schemeClr>
                </a:solidFill>
                <a:prstDash val="sysDot"/>
              </a:ln>
            </c:spPr>
          </c:dPt>
          <c:val>
            <c:numRef>
              <c:f>'Budget Review'!$B$7:$F$7</c:f>
              <c:numCache>
                <c:formatCode>#,##0_ ;\-#,##0\ </c:formatCode>
                <c:ptCount val="5"/>
                <c:pt idx="0">
                  <c:v>4119.4000000000005</c:v>
                </c:pt>
                <c:pt idx="1">
                  <c:v>4125</c:v>
                </c:pt>
                <c:pt idx="2">
                  <c:v>4296.6000000000004</c:v>
                </c:pt>
                <c:pt idx="3">
                  <c:v>4506.8</c:v>
                </c:pt>
                <c:pt idx="4">
                  <c:v>4836.5</c:v>
                </c:pt>
              </c:numCache>
            </c:numRef>
          </c:val>
          <c:smooth val="1"/>
        </c:ser>
        <c:marker val="1"/>
        <c:axId val="147740160"/>
        <c:axId val="147741696"/>
      </c:lineChart>
      <c:catAx>
        <c:axId val="147740160"/>
        <c:scaling>
          <c:orientation val="minMax"/>
        </c:scaling>
        <c:axPos val="b"/>
        <c:tickLblPos val="nextTo"/>
        <c:crossAx val="147741696"/>
        <c:crosses val="autoZero"/>
        <c:auto val="1"/>
        <c:lblAlgn val="ctr"/>
        <c:lblOffset val="100"/>
      </c:catAx>
      <c:valAx>
        <c:axId val="147741696"/>
        <c:scaling>
          <c:orientation val="minMax"/>
          <c:max val="5300"/>
          <c:min val="39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AU"/>
                  <a:t>$ millions</a:t>
                </a:r>
              </a:p>
            </c:rich>
          </c:tx>
          <c:layout/>
        </c:title>
        <c:numFmt formatCode="#,##0_ ;\-#,##0\ " sourceLinked="1"/>
        <c:tickLblPos val="nextTo"/>
        <c:crossAx val="147740160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0.22500000000000026"/>
          <c:y val="0.14738043161271541"/>
          <c:w val="0.31138888888889144"/>
          <c:h val="0.58678805774278264"/>
        </c:manualLayout>
      </c:layout>
      <c:overlay val="1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AU"/>
  <c:chart>
    <c:plotArea>
      <c:layout/>
      <c:lineChart>
        <c:grouping val="standard"/>
        <c:ser>
          <c:idx val="1"/>
          <c:order val="0"/>
          <c:tx>
            <c:strRef>
              <c:f>'Budget Review'!$A$17</c:f>
              <c:strCache>
                <c:ptCount val="1"/>
                <c:pt idx="0">
                  <c:v>2013-14 Budget Underlying Expenses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Pt>
            <c:idx val="1"/>
            <c:spPr>
              <a:ln>
                <a:solidFill>
                  <a:schemeClr val="tx1"/>
                </a:solidFill>
                <a:prstDash val="sysDot"/>
              </a:ln>
            </c:spPr>
          </c:dPt>
          <c:cat>
            <c:strRef>
              <c:f>'[1]Comparison to 12-13'!$K$13:$P$13</c:f>
              <c:strCache>
                <c:ptCount val="6"/>
                <c:pt idx="0">
                  <c:v>2011-12</c:v>
                </c:pt>
                <c:pt idx="1">
                  <c:v>2012-13</c:v>
                </c:pt>
                <c:pt idx="2">
                  <c:v>2013-14</c:v>
                </c:pt>
                <c:pt idx="3">
                  <c:v>2014-15</c:v>
                </c:pt>
                <c:pt idx="4">
                  <c:v>2015-16</c:v>
                </c:pt>
                <c:pt idx="5">
                  <c:v>2016-17</c:v>
                </c:pt>
              </c:strCache>
            </c:strRef>
          </c:cat>
          <c:val>
            <c:numRef>
              <c:f>'Budget Review'!$B$17:$G$17</c:f>
              <c:numCache>
                <c:formatCode>#,##0_ ;\-#,##0\ </c:formatCode>
                <c:ptCount val="6"/>
                <c:pt idx="0">
                  <c:v>4075.6</c:v>
                </c:pt>
                <c:pt idx="1">
                  <c:v>4424.3410000000003</c:v>
                </c:pt>
                <c:pt idx="2">
                  <c:v>4577.8760000000002</c:v>
                </c:pt>
                <c:pt idx="3">
                  <c:v>4713.4670000000015</c:v>
                </c:pt>
                <c:pt idx="4">
                  <c:v>4860.2339999999995</c:v>
                </c:pt>
                <c:pt idx="5">
                  <c:v>5068.5749999999998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'Budget Review'!$A$8</c:f>
              <c:strCache>
                <c:ptCount val="1"/>
                <c:pt idx="0">
                  <c:v>2012-13 Budget Review Underlying Expenses</c:v>
                </c:pt>
              </c:strCache>
            </c:strRef>
          </c:tx>
          <c:spPr>
            <a:ln>
              <a:solidFill>
                <a:schemeClr val="bg1">
                  <a:lumMod val="75000"/>
                </a:schemeClr>
              </a:solidFill>
            </a:ln>
          </c:spPr>
          <c:marker>
            <c:symbol val="none"/>
          </c:marker>
          <c:dPt>
            <c:idx val="1"/>
            <c:spPr>
              <a:ln>
                <a:solidFill>
                  <a:schemeClr val="bg1">
                    <a:lumMod val="75000"/>
                  </a:schemeClr>
                </a:solidFill>
                <a:prstDash val="sysDot"/>
              </a:ln>
            </c:spPr>
          </c:dPt>
          <c:val>
            <c:numRef>
              <c:f>'Budget Review'!$B$8:$F$8</c:f>
              <c:numCache>
                <c:formatCode>#,##0_ ;\-#,##0\ </c:formatCode>
                <c:ptCount val="5"/>
                <c:pt idx="0">
                  <c:v>4075.6</c:v>
                </c:pt>
                <c:pt idx="1">
                  <c:v>4487.9000000000005</c:v>
                </c:pt>
                <c:pt idx="2">
                  <c:v>4485.4000000000005</c:v>
                </c:pt>
                <c:pt idx="3">
                  <c:v>4675.4000000000005</c:v>
                </c:pt>
                <c:pt idx="4">
                  <c:v>4827.2</c:v>
                </c:pt>
              </c:numCache>
            </c:numRef>
          </c:val>
          <c:smooth val="1"/>
        </c:ser>
        <c:marker val="1"/>
        <c:axId val="147797120"/>
        <c:axId val="147798656"/>
      </c:lineChart>
      <c:catAx>
        <c:axId val="147797120"/>
        <c:scaling>
          <c:orientation val="minMax"/>
        </c:scaling>
        <c:axPos val="b"/>
        <c:tickLblPos val="nextTo"/>
        <c:crossAx val="147798656"/>
        <c:crosses val="autoZero"/>
        <c:auto val="1"/>
        <c:lblAlgn val="ctr"/>
        <c:lblOffset val="100"/>
      </c:catAx>
      <c:valAx>
        <c:axId val="147798656"/>
        <c:scaling>
          <c:orientation val="minMax"/>
          <c:max val="5300"/>
          <c:min val="39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AU"/>
                  <a:t>$ millions</a:t>
                </a:r>
              </a:p>
            </c:rich>
          </c:tx>
        </c:title>
        <c:numFmt formatCode="#,##0_ ;\-#,##0\ " sourceLinked="1"/>
        <c:tickLblPos val="nextTo"/>
        <c:crossAx val="147797120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0.66944444444444695"/>
          <c:y val="0.42515820939049415"/>
          <c:w val="0.30337510936133072"/>
          <c:h val="0.47104731700204228"/>
        </c:manualLayout>
      </c:layout>
      <c:overlay val="1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52688-75D6-455D-BCEE-43C43B3A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1219</Words>
  <Characters>6977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ACT Government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3: 2.1 Budget Outlook</dc:title>
  <dc:subject>2.1 Budget Outlook</dc:subject>
  <dc:creator>Chief Minister and Treasury Directorate</dc:creator>
  <cp:lastModifiedBy>Keaton Paterson</cp:lastModifiedBy>
  <cp:revision>8</cp:revision>
  <cp:lastPrinted>2013-05-27T01:32:00Z</cp:lastPrinted>
  <dcterms:created xsi:type="dcterms:W3CDTF">2013-05-28T07:29:00Z</dcterms:created>
  <dcterms:modified xsi:type="dcterms:W3CDTF">2013-06-02T07:23:00Z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