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6843E3E3" w:rsidR="00150347" w:rsidRPr="00407C99" w:rsidRDefault="00EF1D96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A</w:t>
      </w:r>
      <w:r w:rsidR="00CC08E3">
        <w:rPr>
          <w:szCs w:val="24"/>
        </w:rPr>
        <w:t>PIA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2EAE5D09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7968EA">
        <w:rPr>
          <w:b/>
        </w:rPr>
        <w:t>01</w:t>
      </w:r>
      <w:r w:rsidR="006D7AA2">
        <w:rPr>
          <w:b/>
        </w:rPr>
        <w:t>/</w:t>
      </w:r>
      <w:r w:rsidR="00A42AAC">
        <w:rPr>
          <w:b/>
        </w:rPr>
        <w:t>0</w:t>
      </w:r>
      <w:r w:rsidR="00EF1D96">
        <w:rPr>
          <w:b/>
        </w:rPr>
        <w:t>2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7968EA">
        <w:rPr>
          <w:b/>
        </w:rPr>
        <w:t>5</w:t>
      </w:r>
      <w:r w:rsidRPr="00407C99">
        <w:rPr>
          <w:b/>
        </w:rPr>
        <w:t>)</w:t>
      </w:r>
    </w:p>
    <w:p w14:paraId="68F614F5" w14:textId="06ABEB1F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>12</w:t>
      </w:r>
      <w:r w:rsidR="00A95400">
        <w:t>-</w:t>
      </w:r>
      <w:r w:rsidRPr="00407C99">
        <w:t xml:space="preserve">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52"/>
        <w:gridCol w:w="1160"/>
        <w:gridCol w:w="1162"/>
      </w:tblGrid>
      <w:tr w:rsidR="00407C99" w:rsidRPr="003D0D12" w14:paraId="1A5AECD6" w14:textId="77777777" w:rsidTr="00790105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790105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B6026A" w:rsidRPr="00A95400" w14:paraId="410DF87B" w14:textId="77777777" w:rsidTr="00A20173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B6026A" w:rsidRPr="00A95400" w:rsidRDefault="00B6026A" w:rsidP="00B602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A9540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B6026A" w:rsidRPr="00A95400" w:rsidRDefault="00B6026A" w:rsidP="00B602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A9540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C1F9E" w14:textId="2CF3B517" w:rsidR="00B6026A" w:rsidRPr="00A95400" w:rsidRDefault="00B6026A" w:rsidP="00B6026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425.60</w:t>
            </w: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5C9DE" w14:textId="51907FFC" w:rsidR="00B6026A" w:rsidRPr="00A95400" w:rsidRDefault="00B6026A" w:rsidP="00B6026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453.20</w:t>
            </w: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3D0D12" w14:paraId="002E976F" w14:textId="77777777" w:rsidTr="00B6026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1F262E3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8C0A7" w14:textId="0788584B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525.60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3ACF1" w14:textId="0C9A0DF4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559.70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5FCAF4E8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2831C7FF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F9652" w14:textId="39EBDFA5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2,003.20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6B0D6" w14:textId="77EFE10B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$2,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133.40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725F4B76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C71EE13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7B42B" w14:textId="722EE26B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$4,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447.70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7A199" w14:textId="320DF063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$4,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736.80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6CA38DB5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543FCCC1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84D58" w14:textId="0959AACB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672.40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BF21A" w14:textId="0DC0EC40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716.10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2B42B20C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DFE30" w14:textId="22B8EDAA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8,077.60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D7FF4" w14:textId="22563C55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$8,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602.60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3809A597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263D8" w14:textId="75AAD963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$1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497.60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D2963" w14:textId="4384D96D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$1,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594.90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13008AC3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E410C" w14:textId="7CA0E111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$1,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096.50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21F88" w14:textId="2C292D74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$1,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167.70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5A119E93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1F63A88D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63CB1" w14:textId="628222DD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$501.90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337D3" w14:textId="67663962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$534.50 </w:t>
            </w:r>
          </w:p>
        </w:tc>
      </w:tr>
      <w:tr w:rsidR="00B6026A" w:rsidRPr="0098575B" w14:paraId="6D6820D8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64E49F2B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8BC14" w14:textId="35806947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$501.90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41A77" w14:textId="57B441D0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$534.50 </w:t>
            </w:r>
          </w:p>
        </w:tc>
      </w:tr>
      <w:tr w:rsidR="00B6026A" w:rsidRPr="0098575B" w14:paraId="372FCC00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60A66F53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ECF81" w14:textId="1A539F56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$116.90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B71F7" w14:textId="394DA0E7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$124.50 </w:t>
            </w:r>
          </w:p>
        </w:tc>
      </w:tr>
      <w:tr w:rsidR="00B6026A" w:rsidRPr="0098575B" w14:paraId="25CD3C5E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595B7A5A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C3CBA" w14:textId="15147837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$116.90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2ABFF" w14:textId="72229DAC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$124.50 </w:t>
            </w:r>
          </w:p>
        </w:tc>
      </w:tr>
      <w:tr w:rsidR="00B6026A" w:rsidRPr="0098575B" w14:paraId="778A1592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E621E" w14:textId="407598DC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636.00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6EE8A" w14:textId="14F2D306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677.30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4FFD9441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E4936" w14:textId="705AD387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318.80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B411B" w14:textId="67692FFD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339.50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7FB33BD8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2187D" w14:textId="7FCD7E25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$1,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227.80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275F0" w14:textId="4448CE89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$1,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307.60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1EB94D96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15176" w14:textId="7ACFF686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707.60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EE5F9" w14:textId="02E104A4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753.50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068F767D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60EFB" w14:textId="49E4923B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707.60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97738" w14:textId="35E1DABC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753.50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6BBE40E2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90A38" w14:textId="7FAF5196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$1,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226.00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9DDC8" w14:textId="57C7B142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$1,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305.60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460780B9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1876F561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C05FD" w14:textId="7E9A6488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162.60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E91AE" w14:textId="37DA53D7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426A9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173.10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4DEB2CF6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0090DEA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B36EF" w14:textId="2223707E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162.60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74C6A" w14:textId="5E93893B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426A9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173.10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5E2D7294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09C11FD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EB1A3" w14:textId="0782E573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162.60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17F4D" w14:textId="5EB24481" w:rsidR="00B6026A" w:rsidRPr="0022146A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426A9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173.10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179F267E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1AFD2" w14:textId="37143BEF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41.10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2FFE1" w14:textId="5824D66C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426A9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44.00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4BDB2F9C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DFC60" w14:textId="4EA3D560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41.10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79E27" w14:textId="7A5DCC42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426A9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44.00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6602FA88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2F382" w14:textId="2197329E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41.10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4B791" w14:textId="05EF6602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426A9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44.00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6D751467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FF068" w14:textId="3E34CB67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712.00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68624" w14:textId="35AE5016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426A9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758.20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5E6958F0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742B3" w14:textId="75CFCD9A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$1,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114.30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6AD76" w14:textId="40C5539B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$1,</w:t>
            </w:r>
            <w:r w:rsidR="00426A9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186.70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64B72657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1A363" w14:textId="7406068F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EA06" w14:textId="5637AB7F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8E382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FD8F3" w14:textId="6A481ACC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54.80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2A3E9" w14:textId="17B79991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426A9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58.30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6FF5C184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FE46A" w14:textId="57EF7D1F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$1,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149.10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A784C" w14:textId="0ECBA7D9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$1,</w:t>
            </w:r>
            <w:r w:rsidR="00426A9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223.70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199B7F6F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939E8E8" w14:textId="7BB8EA42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$1,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149.10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A90E6F" w14:textId="64CA2E62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$1,</w:t>
            </w:r>
            <w:r w:rsidR="00426A9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223.70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026A" w:rsidRPr="0098575B" w14:paraId="0EB1110B" w14:textId="77777777" w:rsidTr="00382D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B6026A" w:rsidRPr="003D0D12" w:rsidRDefault="00B6026A" w:rsidP="00B6026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87F93CE" w14:textId="4D0EF22A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</w:t>
            </w:r>
            <w:r w:rsidR="007968E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5,107.20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15616AE" w14:textId="56D2724B" w:rsidR="00B6026A" w:rsidRPr="00224D31" w:rsidRDefault="00B6026A" w:rsidP="00B6026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$5,</w:t>
            </w:r>
            <w:r w:rsidR="00426A9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439.10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0128" w14:textId="77777777" w:rsidR="00F94F44" w:rsidRDefault="00F94F44" w:rsidP="00F81557">
      <w:r>
        <w:separator/>
      </w:r>
    </w:p>
  </w:endnote>
  <w:endnote w:type="continuationSeparator" w:id="0">
    <w:p w14:paraId="51BBE896" w14:textId="77777777" w:rsidR="00F94F44" w:rsidRDefault="00F94F4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7D1961B9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</w:t>
    </w:r>
    <w:r w:rsidR="00A95400">
      <w:rPr>
        <w:rFonts w:asciiTheme="minorHAnsi" w:hAnsiTheme="minorHAnsi"/>
        <w:spacing w:val="-1"/>
      </w:rPr>
      <w:t>n</w:t>
    </w:r>
    <w:r w:rsidRPr="00A84084">
      <w:rPr>
        <w:rFonts w:asciiTheme="minorHAnsi" w:hAnsiTheme="minorHAnsi"/>
        <w:spacing w:val="-1"/>
      </w:rPr>
      <w:t xml:space="preserve">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B4D2" w14:textId="77777777" w:rsidR="00F94F44" w:rsidRDefault="00F94F44" w:rsidP="00F81557">
      <w:r>
        <w:separator/>
      </w:r>
    </w:p>
  </w:footnote>
  <w:footnote w:type="continuationSeparator" w:id="0">
    <w:p w14:paraId="75102B2C" w14:textId="77777777" w:rsidR="00F94F44" w:rsidRDefault="00F94F4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C1EEB"/>
    <w:rsid w:val="000D4A14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A3628"/>
    <w:rsid w:val="001B1F9E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2146A"/>
    <w:rsid w:val="00224D31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5A9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A92"/>
    <w:rsid w:val="00426DC6"/>
    <w:rsid w:val="0043032C"/>
    <w:rsid w:val="00437459"/>
    <w:rsid w:val="0045529B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45EA1"/>
    <w:rsid w:val="00565F57"/>
    <w:rsid w:val="0057125F"/>
    <w:rsid w:val="00593A31"/>
    <w:rsid w:val="005A117D"/>
    <w:rsid w:val="005B5CEB"/>
    <w:rsid w:val="005C03CC"/>
    <w:rsid w:val="005C3302"/>
    <w:rsid w:val="005D70A1"/>
    <w:rsid w:val="005E3A84"/>
    <w:rsid w:val="005F7482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968EA"/>
    <w:rsid w:val="007A046F"/>
    <w:rsid w:val="007B6DC5"/>
    <w:rsid w:val="007B777A"/>
    <w:rsid w:val="007C4DB0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0FAF"/>
    <w:rsid w:val="008B6919"/>
    <w:rsid w:val="008C004D"/>
    <w:rsid w:val="008D2621"/>
    <w:rsid w:val="008E22ED"/>
    <w:rsid w:val="008E382D"/>
    <w:rsid w:val="00930F9A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1451"/>
    <w:rsid w:val="00A17AAC"/>
    <w:rsid w:val="00A223FF"/>
    <w:rsid w:val="00A42AAC"/>
    <w:rsid w:val="00A54FC4"/>
    <w:rsid w:val="00A77A09"/>
    <w:rsid w:val="00A84084"/>
    <w:rsid w:val="00A84A4D"/>
    <w:rsid w:val="00A923B8"/>
    <w:rsid w:val="00A95400"/>
    <w:rsid w:val="00A9712E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1611E"/>
    <w:rsid w:val="00B325EF"/>
    <w:rsid w:val="00B37517"/>
    <w:rsid w:val="00B44105"/>
    <w:rsid w:val="00B44F13"/>
    <w:rsid w:val="00B6026A"/>
    <w:rsid w:val="00B6164E"/>
    <w:rsid w:val="00B8136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C94F63"/>
    <w:rsid w:val="00CC08E3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EF1D96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effective 1 February 2025</dc:title>
  <dc:creator>ACT Government</dc:creator>
  <cp:lastModifiedBy>Vivian, Trent</cp:lastModifiedBy>
  <cp:revision>11</cp:revision>
  <cp:lastPrinted>2022-09-06T00:17:00Z</cp:lastPrinted>
  <dcterms:created xsi:type="dcterms:W3CDTF">2023-09-19T01:37:00Z</dcterms:created>
  <dcterms:modified xsi:type="dcterms:W3CDTF">2024-11-29T04:22:00Z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2023-03-31T06:22:44Z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23d3c713-f800-4f0f-9018-1194dd9403e6</vt:lpwstr>
  </property>
  <property fmtid="{D5CDD505-2E9C-101B-9397-08002B2CF9AE}" pid="8" name="MSIP_Label_0398bece-4cad-4176-a27c-6d014ddc78e7_ContentBits">
    <vt:lpwstr>0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2024-11-29T04:22:57Z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eaa453f7-871b-4e8d-a683-471e715dcfc8</vt:lpwstr>
  </property>
  <property fmtid="{D5CDD505-2E9C-101B-9397-08002B2CF9AE}" pid="15" name="MSIP_Label_69af8531-eb46-4968-8cb3-105d2f5ea87e_ContentBits">
    <vt:lpwstr>0</vt:lpwstr>
  </property>
</Properties>
</file>