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rPr>
          <w:rFonts w:ascii="Times New Roman"/>
          <w:sz w:val="20"/>
        </w:rPr>
      </w:pPr>
    </w:p>
    <w:p w:rsidR="004E6266" w:rsidRDefault="004E6266">
      <w:pPr>
        <w:pStyle w:val="BodyText"/>
        <w:spacing w:before="9"/>
        <w:rPr>
          <w:rFonts w:ascii="Times New Roman"/>
          <w:sz w:val="20"/>
        </w:rPr>
      </w:pPr>
    </w:p>
    <w:p w:rsidR="004E6266" w:rsidRDefault="004B6EF7">
      <w:pPr>
        <w:pStyle w:val="Heading2"/>
        <w:spacing w:line="285" w:lineRule="auto"/>
        <w:ind w:left="1815" w:right="7489" w:firstLine="12"/>
      </w:pPr>
      <w:r w:rsidRPr="004B6EF7">
        <w:pict>
          <v:group id="_x0000_s1031" alt="ICRC Independent competition and regulatory commission" style="position:absolute;left:0;text-align:left;margin-left:33.75pt;margin-top:-126.95pt;width:204.5pt;height:393.6pt;z-index:-6520;mso-position-horizontal-relative:page" coordorigin="672,-2539" coordsize="4090,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691;top:-2539;width:4070;height:1133">
              <v:imagedata r:id="rId5" o:title=""/>
            </v:shape>
            <v:shape id="_x0000_s1041" type="#_x0000_t75" style="position:absolute;left:672;top:2895;width:1018;height:2438">
              <v:imagedata r:id="rId6" o:title=""/>
            </v:shape>
            <v:line id="_x0000_s1040" style="position:absolute" from="743,2869" to="743,-1414" strokecolor="#e4af4b" strokeweight=".25197mm"/>
            <v:line id="_x0000_s1039" style="position:absolute" from="838,2869" to="838,-1414" strokecolor="#e4bc4f" strokeweight=".16797mm"/>
            <v:line id="_x0000_s1038" style="position:absolute" from="936,3691" to="936,-1361" strokecolor="#e8b85b" strokeweight=".25197mm"/>
            <v:line id="_x0000_s1037" style="position:absolute" from="1057,2869" to="1057,-1318" strokecolor="#e48748" strokeweight=".41994mm"/>
            <v:line id="_x0000_s1036" style="position:absolute" from="1200,3614" to="1200,-1309" strokecolor="#e8b857" strokeweight=".25197mm"/>
            <v:line id="_x0000_s1035" style="position:absolute" from="1286,2869" to="1286,-1318" strokecolor="#e8bf57" strokeweight=".25197mm"/>
            <v:line id="_x0000_s1034" style="position:absolute" from="1386,2764" to="1386,-1332" strokecolor="#ebc360" strokeweight=".33594mm"/>
            <v:line id="_x0000_s1033" style="position:absolute" from="1467,2869" to="1467,-1395" strokecolor="#dfb85b" strokeweight=".16797mm"/>
            <v:line id="_x0000_s1032" style="position:absolute" from="1605,2869" to="1605,-1414" strokecolor="#eba057" strokeweight=".50394mm"/>
            <w10:wrap anchorx="page"/>
          </v:group>
        </w:pict>
      </w:r>
      <w:r w:rsidR="00D036C4">
        <w:rPr>
          <w:color w:val="161616"/>
        </w:rPr>
        <w:t>Mr Andrew Barr MLA Treasurer</w:t>
      </w:r>
    </w:p>
    <w:p w:rsidR="004E6266" w:rsidRDefault="00655C62">
      <w:pPr>
        <w:spacing w:before="4" w:line="295" w:lineRule="auto"/>
        <w:ind w:left="1818" w:right="7489" w:firstLine="7"/>
        <w:rPr>
          <w:b/>
          <w:sz w:val="20"/>
        </w:rPr>
      </w:pPr>
      <w:r>
        <w:rPr>
          <w:color w:val="161616"/>
          <w:sz w:val="21"/>
        </w:rPr>
        <w:t xml:space="preserve">ACT </w:t>
      </w:r>
      <w:proofErr w:type="gramStart"/>
      <w:r w:rsidR="00D036C4">
        <w:rPr>
          <w:color w:val="161616"/>
          <w:sz w:val="21"/>
        </w:rPr>
        <w:t xml:space="preserve">Government </w:t>
      </w:r>
      <w:r>
        <w:rPr>
          <w:color w:val="161616"/>
          <w:sz w:val="21"/>
        </w:rPr>
        <w:t xml:space="preserve"> </w:t>
      </w:r>
      <w:r w:rsidR="00D036C4">
        <w:rPr>
          <w:color w:val="161616"/>
          <w:sz w:val="21"/>
        </w:rPr>
        <w:t>Email</w:t>
      </w:r>
      <w:proofErr w:type="gramEnd"/>
      <w:r w:rsidR="00D036C4">
        <w:rPr>
          <w:color w:val="161616"/>
          <w:sz w:val="21"/>
        </w:rPr>
        <w:t xml:space="preserve">: </w:t>
      </w:r>
      <w:hyperlink r:id="rId7">
        <w:proofErr w:type="spellStart"/>
        <w:r w:rsidR="00D036C4">
          <w:rPr>
            <w:b/>
            <w:color w:val="1C4B99"/>
            <w:sz w:val="20"/>
            <w:u w:val="single" w:color="000000"/>
          </w:rPr>
          <w:t>barr@act</w:t>
        </w:r>
        <w:proofErr w:type="spellEnd"/>
        <w:r w:rsidR="00D036C4">
          <w:rPr>
            <w:b/>
            <w:color w:val="1C4B99"/>
            <w:sz w:val="20"/>
            <w:u w:val="single" w:color="000000"/>
          </w:rPr>
          <w:t xml:space="preserve"> </w:t>
        </w:r>
        <w:r w:rsidR="00D036C4">
          <w:rPr>
            <w:b/>
            <w:color w:val="385B9C"/>
            <w:sz w:val="20"/>
            <w:u w:val="single" w:color="000000"/>
          </w:rPr>
          <w:t>.</w:t>
        </w:r>
        <w:proofErr w:type="spellStart"/>
        <w:r w:rsidR="00D036C4">
          <w:rPr>
            <w:b/>
            <w:color w:val="1C4B99"/>
            <w:sz w:val="20"/>
            <w:u w:val="single" w:color="000000"/>
          </w:rPr>
          <w:t>gov.au</w:t>
        </w:r>
        <w:proofErr w:type="spellEnd"/>
      </w:hyperlink>
    </w:p>
    <w:p w:rsidR="004E6266" w:rsidRDefault="004E6266">
      <w:pPr>
        <w:pStyle w:val="BodyText"/>
        <w:spacing w:before="7"/>
        <w:rPr>
          <w:b/>
          <w:sz w:val="21"/>
        </w:rPr>
      </w:pPr>
    </w:p>
    <w:p w:rsidR="004E6266" w:rsidRDefault="00D036C4">
      <w:pPr>
        <w:pStyle w:val="Heading2"/>
        <w:tabs>
          <w:tab w:val="left" w:pos="3227"/>
        </w:tabs>
        <w:ind w:left="1810" w:right="0"/>
      </w:pPr>
      <w:r>
        <w:rPr>
          <w:color w:val="161616"/>
        </w:rPr>
        <w:t>Copied to:</w:t>
      </w:r>
      <w:r>
        <w:rPr>
          <w:color w:val="161616"/>
        </w:rPr>
        <w:tab/>
      </w:r>
      <w:hyperlink r:id="rId8" w:history="1">
        <w:r w:rsidR="00655C62" w:rsidRPr="00893DF5">
          <w:rPr>
            <w:rStyle w:val="Hyperlink"/>
            <w:u w:color="000000"/>
          </w:rPr>
          <w:t>energyindust</w:t>
        </w:r>
        <w:r w:rsidR="00655C62" w:rsidRPr="00893DF5">
          <w:rPr>
            <w:rStyle w:val="Hyperlink"/>
            <w:spacing w:val="-47"/>
            <w:u w:color="000000"/>
          </w:rPr>
          <w:t xml:space="preserve"> </w:t>
        </w:r>
        <w:r w:rsidR="00655C62" w:rsidRPr="00893DF5">
          <w:rPr>
            <w:rStyle w:val="Hyperlink"/>
            <w:u w:color="000000"/>
          </w:rPr>
          <w:t>rylevy@act.gov.au</w:t>
        </w:r>
      </w:hyperlink>
    </w:p>
    <w:p w:rsidR="004E6266" w:rsidRDefault="004E6266">
      <w:pPr>
        <w:pStyle w:val="BodyText"/>
        <w:rPr>
          <w:sz w:val="22"/>
        </w:rPr>
      </w:pPr>
    </w:p>
    <w:p w:rsidR="004E6266" w:rsidRDefault="004E6266">
      <w:pPr>
        <w:pStyle w:val="BodyText"/>
        <w:spacing w:before="8"/>
        <w:rPr>
          <w:sz w:val="29"/>
        </w:rPr>
      </w:pPr>
    </w:p>
    <w:p w:rsidR="004E6266" w:rsidRDefault="00D036C4">
      <w:pPr>
        <w:ind w:left="1804"/>
        <w:rPr>
          <w:sz w:val="21"/>
        </w:rPr>
      </w:pPr>
      <w:r>
        <w:rPr>
          <w:color w:val="161616"/>
          <w:sz w:val="21"/>
        </w:rPr>
        <w:t>Dear Treasurer,</w:t>
      </w:r>
    </w:p>
    <w:p w:rsidR="004E6266" w:rsidRDefault="004E6266">
      <w:pPr>
        <w:pStyle w:val="BodyText"/>
        <w:spacing w:before="5"/>
        <w:rPr>
          <w:sz w:val="30"/>
        </w:rPr>
      </w:pPr>
    </w:p>
    <w:p w:rsidR="004E6266" w:rsidRDefault="00D036C4">
      <w:pPr>
        <w:ind w:left="1796"/>
        <w:rPr>
          <w:b/>
          <w:sz w:val="20"/>
        </w:rPr>
      </w:pPr>
      <w:r>
        <w:rPr>
          <w:b/>
          <w:color w:val="161616"/>
          <w:sz w:val="20"/>
        </w:rPr>
        <w:t>Re: Investigation into the Energy Industry</w:t>
      </w:r>
      <w:r>
        <w:rPr>
          <w:b/>
          <w:color w:val="161616"/>
          <w:spacing w:val="52"/>
          <w:sz w:val="20"/>
        </w:rPr>
        <w:t xml:space="preserve"> </w:t>
      </w:r>
      <w:r>
        <w:rPr>
          <w:b/>
          <w:color w:val="161616"/>
          <w:sz w:val="20"/>
        </w:rPr>
        <w:t>Levy</w:t>
      </w:r>
    </w:p>
    <w:p w:rsidR="004E6266" w:rsidRDefault="004E6266">
      <w:pPr>
        <w:pStyle w:val="BodyText"/>
        <w:spacing w:before="9"/>
        <w:rPr>
          <w:b/>
          <w:sz w:val="29"/>
        </w:rPr>
      </w:pPr>
    </w:p>
    <w:p w:rsidR="004E6266" w:rsidRDefault="00D036C4">
      <w:pPr>
        <w:pStyle w:val="Heading2"/>
        <w:spacing w:line="285" w:lineRule="auto"/>
        <w:ind w:left="1789" w:right="1522" w:hanging="3"/>
      </w:pPr>
      <w:r>
        <w:rPr>
          <w:color w:val="161616"/>
          <w:w w:val="105"/>
        </w:rPr>
        <w:t>I refer to a discussion paper provided to the Commission on the investigation in</w:t>
      </w:r>
      <w:r w:rsidR="00655C62">
        <w:rPr>
          <w:color w:val="161616"/>
          <w:w w:val="105"/>
        </w:rPr>
        <w:t>to the Energy Industry Levy (EIL</w:t>
      </w:r>
      <w:r>
        <w:rPr>
          <w:color w:val="161616"/>
          <w:w w:val="105"/>
        </w:rPr>
        <w:t xml:space="preserve">). The discussion paper called for comments on proposed amendments to Part 3A of the </w:t>
      </w:r>
      <w:r w:rsidRPr="00655C62">
        <w:rPr>
          <w:i/>
          <w:color w:val="161616"/>
          <w:w w:val="105"/>
        </w:rPr>
        <w:t>Utilities Act 2000</w:t>
      </w:r>
      <w:r>
        <w:rPr>
          <w:color w:val="161616"/>
          <w:w w:val="105"/>
        </w:rPr>
        <w:t xml:space="preserve"> (E</w:t>
      </w:r>
      <w:r w:rsidR="00655C62">
        <w:rPr>
          <w:color w:val="161616"/>
          <w:w w:val="105"/>
        </w:rPr>
        <w:t>IL</w:t>
      </w:r>
      <w:r>
        <w:rPr>
          <w:color w:val="161616"/>
          <w:w w:val="105"/>
        </w:rPr>
        <w:t xml:space="preserve"> provisions).</w:t>
      </w:r>
    </w:p>
    <w:p w:rsidR="004E6266" w:rsidRDefault="004E6266">
      <w:pPr>
        <w:pStyle w:val="BodyText"/>
        <w:spacing w:before="4"/>
        <w:rPr>
          <w:sz w:val="25"/>
        </w:rPr>
      </w:pPr>
    </w:p>
    <w:p w:rsidR="004E6266" w:rsidRDefault="00D036C4">
      <w:pPr>
        <w:spacing w:line="290" w:lineRule="auto"/>
        <w:ind w:left="1775" w:right="976" w:firstLine="7"/>
        <w:rPr>
          <w:sz w:val="21"/>
        </w:rPr>
      </w:pPr>
      <w:r>
        <w:rPr>
          <w:color w:val="161616"/>
          <w:w w:val="105"/>
          <w:sz w:val="21"/>
        </w:rPr>
        <w:t>Attached to this letter is a succinct overview of the current methodology and associated issues</w:t>
      </w:r>
      <w:r>
        <w:rPr>
          <w:color w:val="161616"/>
          <w:spacing w:val="-16"/>
          <w:w w:val="105"/>
          <w:sz w:val="21"/>
        </w:rPr>
        <w:t xml:space="preserve"> </w:t>
      </w:r>
      <w:r>
        <w:rPr>
          <w:color w:val="161616"/>
          <w:w w:val="105"/>
          <w:sz w:val="21"/>
        </w:rPr>
        <w:t>which</w:t>
      </w:r>
      <w:r>
        <w:rPr>
          <w:color w:val="161616"/>
          <w:spacing w:val="-16"/>
          <w:w w:val="105"/>
          <w:sz w:val="21"/>
        </w:rPr>
        <w:t xml:space="preserve"> </w:t>
      </w:r>
      <w:r>
        <w:rPr>
          <w:color w:val="161616"/>
          <w:w w:val="105"/>
          <w:sz w:val="21"/>
        </w:rPr>
        <w:t>underpin</w:t>
      </w:r>
      <w:r>
        <w:rPr>
          <w:color w:val="161616"/>
          <w:spacing w:val="-14"/>
          <w:w w:val="105"/>
          <w:sz w:val="21"/>
        </w:rPr>
        <w:t xml:space="preserve"> </w:t>
      </w:r>
      <w:r>
        <w:rPr>
          <w:color w:val="161616"/>
          <w:w w:val="105"/>
          <w:sz w:val="21"/>
        </w:rPr>
        <w:t>my</w:t>
      </w:r>
      <w:r>
        <w:rPr>
          <w:color w:val="161616"/>
          <w:spacing w:val="-21"/>
          <w:w w:val="105"/>
          <w:sz w:val="21"/>
        </w:rPr>
        <w:t xml:space="preserve"> </w:t>
      </w:r>
      <w:r>
        <w:rPr>
          <w:color w:val="161616"/>
          <w:w w:val="105"/>
          <w:sz w:val="21"/>
        </w:rPr>
        <w:t>comments</w:t>
      </w:r>
      <w:r>
        <w:rPr>
          <w:color w:val="161616"/>
          <w:spacing w:val="-11"/>
          <w:w w:val="105"/>
          <w:sz w:val="21"/>
        </w:rPr>
        <w:t xml:space="preserve"> </w:t>
      </w:r>
      <w:r>
        <w:rPr>
          <w:color w:val="161616"/>
          <w:w w:val="105"/>
          <w:sz w:val="21"/>
        </w:rPr>
        <w:t>contained</w:t>
      </w:r>
      <w:r>
        <w:rPr>
          <w:color w:val="161616"/>
          <w:spacing w:val="-16"/>
          <w:w w:val="105"/>
          <w:sz w:val="21"/>
        </w:rPr>
        <w:t xml:space="preserve"> </w:t>
      </w:r>
      <w:r>
        <w:rPr>
          <w:color w:val="161616"/>
          <w:w w:val="105"/>
          <w:sz w:val="21"/>
        </w:rPr>
        <w:t>herein.</w:t>
      </w:r>
      <w:r>
        <w:rPr>
          <w:color w:val="161616"/>
          <w:spacing w:val="17"/>
          <w:w w:val="105"/>
          <w:sz w:val="21"/>
        </w:rPr>
        <w:t xml:space="preserve"> </w:t>
      </w:r>
      <w:r>
        <w:rPr>
          <w:color w:val="161616"/>
          <w:w w:val="105"/>
          <w:sz w:val="21"/>
        </w:rPr>
        <w:t>The</w:t>
      </w:r>
      <w:r>
        <w:rPr>
          <w:color w:val="161616"/>
          <w:spacing w:val="-16"/>
          <w:w w:val="105"/>
          <w:sz w:val="21"/>
        </w:rPr>
        <w:t xml:space="preserve"> </w:t>
      </w:r>
      <w:r>
        <w:rPr>
          <w:color w:val="161616"/>
          <w:w w:val="105"/>
          <w:sz w:val="21"/>
        </w:rPr>
        <w:t>discussion</w:t>
      </w:r>
      <w:r>
        <w:rPr>
          <w:color w:val="161616"/>
          <w:spacing w:val="-14"/>
          <w:w w:val="105"/>
          <w:sz w:val="21"/>
        </w:rPr>
        <w:t xml:space="preserve"> </w:t>
      </w:r>
      <w:r>
        <w:rPr>
          <w:color w:val="161616"/>
          <w:w w:val="105"/>
          <w:sz w:val="21"/>
        </w:rPr>
        <w:t>paper</w:t>
      </w:r>
      <w:r>
        <w:rPr>
          <w:color w:val="161616"/>
          <w:spacing w:val="-12"/>
          <w:w w:val="105"/>
          <w:sz w:val="21"/>
        </w:rPr>
        <w:t xml:space="preserve"> </w:t>
      </w:r>
      <w:r>
        <w:rPr>
          <w:color w:val="161616"/>
          <w:w w:val="105"/>
          <w:sz w:val="21"/>
        </w:rPr>
        <w:t>outlines</w:t>
      </w:r>
      <w:r>
        <w:rPr>
          <w:color w:val="161616"/>
          <w:spacing w:val="-17"/>
          <w:w w:val="105"/>
          <w:sz w:val="21"/>
        </w:rPr>
        <w:t xml:space="preserve"> </w:t>
      </w:r>
      <w:r>
        <w:rPr>
          <w:color w:val="161616"/>
          <w:w w:val="105"/>
          <w:sz w:val="21"/>
        </w:rPr>
        <w:t>four options</w:t>
      </w:r>
      <w:r>
        <w:rPr>
          <w:color w:val="161616"/>
          <w:spacing w:val="-13"/>
          <w:w w:val="105"/>
          <w:sz w:val="21"/>
        </w:rPr>
        <w:t xml:space="preserve"> </w:t>
      </w:r>
      <w:r>
        <w:rPr>
          <w:color w:val="161616"/>
          <w:w w:val="105"/>
          <w:sz w:val="21"/>
        </w:rPr>
        <w:t>under</w:t>
      </w:r>
      <w:r>
        <w:rPr>
          <w:color w:val="161616"/>
          <w:spacing w:val="-12"/>
          <w:w w:val="105"/>
          <w:sz w:val="21"/>
        </w:rPr>
        <w:t xml:space="preserve"> </w:t>
      </w:r>
      <w:r>
        <w:rPr>
          <w:color w:val="161616"/>
          <w:w w:val="105"/>
          <w:sz w:val="21"/>
        </w:rPr>
        <w:t>investigation.</w:t>
      </w:r>
      <w:r>
        <w:rPr>
          <w:color w:val="161616"/>
          <w:spacing w:val="-22"/>
          <w:w w:val="105"/>
          <w:sz w:val="21"/>
        </w:rPr>
        <w:t xml:space="preserve"> </w:t>
      </w:r>
      <w:r>
        <w:rPr>
          <w:color w:val="161616"/>
          <w:w w:val="105"/>
          <w:sz w:val="21"/>
        </w:rPr>
        <w:t>I</w:t>
      </w:r>
      <w:r>
        <w:rPr>
          <w:color w:val="161616"/>
          <w:spacing w:val="-14"/>
          <w:w w:val="105"/>
          <w:sz w:val="21"/>
        </w:rPr>
        <w:t xml:space="preserve"> </w:t>
      </w:r>
      <w:r>
        <w:rPr>
          <w:color w:val="161616"/>
          <w:w w:val="105"/>
          <w:sz w:val="21"/>
        </w:rPr>
        <w:t>address</w:t>
      </w:r>
      <w:r>
        <w:rPr>
          <w:color w:val="161616"/>
          <w:spacing w:val="-5"/>
          <w:w w:val="105"/>
          <w:sz w:val="21"/>
        </w:rPr>
        <w:t xml:space="preserve"> </w:t>
      </w:r>
      <w:r>
        <w:rPr>
          <w:color w:val="161616"/>
          <w:w w:val="105"/>
          <w:sz w:val="21"/>
        </w:rPr>
        <w:t>each</w:t>
      </w:r>
      <w:r>
        <w:rPr>
          <w:color w:val="161616"/>
          <w:spacing w:val="-12"/>
          <w:w w:val="105"/>
          <w:sz w:val="21"/>
        </w:rPr>
        <w:t xml:space="preserve"> </w:t>
      </w:r>
      <w:r>
        <w:rPr>
          <w:color w:val="161616"/>
          <w:w w:val="105"/>
          <w:sz w:val="21"/>
        </w:rPr>
        <w:t>of</w:t>
      </w:r>
      <w:r>
        <w:rPr>
          <w:color w:val="161616"/>
          <w:spacing w:val="-7"/>
          <w:w w:val="105"/>
          <w:sz w:val="21"/>
        </w:rPr>
        <w:t xml:space="preserve"> </w:t>
      </w:r>
      <w:r>
        <w:rPr>
          <w:color w:val="161616"/>
          <w:w w:val="105"/>
          <w:sz w:val="21"/>
        </w:rPr>
        <w:t>these</w:t>
      </w:r>
      <w:r>
        <w:rPr>
          <w:color w:val="161616"/>
          <w:spacing w:val="-13"/>
          <w:w w:val="105"/>
          <w:sz w:val="21"/>
        </w:rPr>
        <w:t xml:space="preserve"> </w:t>
      </w:r>
      <w:r>
        <w:rPr>
          <w:color w:val="161616"/>
          <w:w w:val="105"/>
          <w:sz w:val="21"/>
        </w:rPr>
        <w:t>options</w:t>
      </w:r>
      <w:r>
        <w:rPr>
          <w:color w:val="161616"/>
          <w:spacing w:val="-9"/>
          <w:w w:val="105"/>
          <w:sz w:val="21"/>
        </w:rPr>
        <w:t xml:space="preserve"> </w:t>
      </w:r>
      <w:r>
        <w:rPr>
          <w:color w:val="161616"/>
          <w:w w:val="105"/>
          <w:sz w:val="21"/>
        </w:rPr>
        <w:t>below.</w:t>
      </w:r>
    </w:p>
    <w:p w:rsidR="004E6266" w:rsidRDefault="004E6266">
      <w:pPr>
        <w:pStyle w:val="BodyText"/>
        <w:spacing w:before="4"/>
        <w:rPr>
          <w:sz w:val="25"/>
        </w:rPr>
      </w:pPr>
    </w:p>
    <w:p w:rsidR="004E6266" w:rsidRDefault="00D036C4">
      <w:pPr>
        <w:spacing w:line="290" w:lineRule="auto"/>
        <w:ind w:left="1760" w:right="976" w:firstLine="12"/>
        <w:rPr>
          <w:sz w:val="21"/>
        </w:rPr>
      </w:pPr>
      <w:r>
        <w:rPr>
          <w:color w:val="161616"/>
          <w:w w:val="105"/>
          <w:sz w:val="21"/>
        </w:rPr>
        <w:t>Option 1: Fixed Methodology - this</w:t>
      </w:r>
      <w:r>
        <w:rPr>
          <w:color w:val="777777"/>
          <w:w w:val="105"/>
          <w:sz w:val="21"/>
        </w:rPr>
        <w:t xml:space="preserve"> </w:t>
      </w:r>
      <w:r>
        <w:rPr>
          <w:color w:val="161616"/>
          <w:w w:val="105"/>
          <w:sz w:val="21"/>
        </w:rPr>
        <w:t>option creates an unequal distribution of regulatory costs, where the larger utilities would pay a significantly reduced levy, and the smaller utilities would pay a significantly higher levy, resulting in a significant barrier to entry into the ACT retail electricity market for new participants. This option is not recommended.</w:t>
      </w:r>
    </w:p>
    <w:p w:rsidR="004E6266" w:rsidRDefault="004E6266">
      <w:pPr>
        <w:pStyle w:val="BodyText"/>
        <w:spacing w:before="2"/>
        <w:rPr>
          <w:sz w:val="31"/>
        </w:rPr>
      </w:pPr>
    </w:p>
    <w:p w:rsidR="004E6266" w:rsidRDefault="00D036C4">
      <w:pPr>
        <w:spacing w:line="292" w:lineRule="auto"/>
        <w:ind w:left="1750" w:right="976" w:firstLine="3"/>
        <w:rPr>
          <w:sz w:val="21"/>
        </w:rPr>
      </w:pPr>
      <w:r>
        <w:rPr>
          <w:color w:val="161616"/>
          <w:w w:val="105"/>
          <w:sz w:val="21"/>
        </w:rPr>
        <w:t xml:space="preserve">Option 2: Variable Methodology- whilst this option is feasible, and would work within the </w:t>
      </w:r>
      <w:proofErr w:type="gramStart"/>
      <w:r>
        <w:rPr>
          <w:color w:val="161616"/>
          <w:w w:val="105"/>
          <w:sz w:val="21"/>
        </w:rPr>
        <w:t>current</w:t>
      </w:r>
      <w:proofErr w:type="gramEnd"/>
      <w:r>
        <w:rPr>
          <w:color w:val="161616"/>
          <w:w w:val="105"/>
          <w:sz w:val="21"/>
        </w:rPr>
        <w:t xml:space="preserve"> framework for recovering the levy, it may result in the under recovery of regulatory costs for the Territory. This option is not recommended.</w:t>
      </w:r>
    </w:p>
    <w:p w:rsidR="004E6266" w:rsidRDefault="004E6266">
      <w:pPr>
        <w:pStyle w:val="BodyText"/>
        <w:rPr>
          <w:sz w:val="31"/>
        </w:rPr>
      </w:pPr>
    </w:p>
    <w:p w:rsidR="004E6266" w:rsidRDefault="004B6EF7">
      <w:pPr>
        <w:spacing w:line="290" w:lineRule="auto"/>
        <w:ind w:left="1735" w:right="1522" w:firstLine="8"/>
        <w:rPr>
          <w:sz w:val="21"/>
        </w:rPr>
      </w:pPr>
      <w:r w:rsidRPr="004B6EF7">
        <w:pict>
          <v:line id="_x0000_s1030" style="position:absolute;left:0;text-align:left;z-index:1048;mso-position-horizontal-relative:page" from="585.9pt,243.1pt" to="585.9pt,19.65pt" strokecolor="#b3b3b3" strokeweight=".33594mm">
            <w10:wrap anchorx="page"/>
          </v:line>
        </w:pict>
      </w:r>
      <w:r w:rsidR="00D036C4">
        <w:rPr>
          <w:color w:val="161616"/>
          <w:w w:val="105"/>
          <w:sz w:val="21"/>
        </w:rPr>
        <w:t>Option 3: Variable Methodology (with minimum fee) - under this option the Levy Administrator is not able to account for the fee at the time the levy is determined, increasing the risk of over or under-recovery for the Territory. This option is not recommended.</w:t>
      </w:r>
    </w:p>
    <w:p w:rsidR="004E6266" w:rsidRDefault="004E6266">
      <w:pPr>
        <w:pStyle w:val="BodyText"/>
        <w:spacing w:before="2"/>
        <w:rPr>
          <w:sz w:val="31"/>
        </w:rPr>
      </w:pPr>
    </w:p>
    <w:p w:rsidR="004E6266" w:rsidRDefault="00D036C4">
      <w:pPr>
        <w:spacing w:line="290" w:lineRule="auto"/>
        <w:ind w:left="1717" w:right="1154" w:firstLine="12"/>
        <w:jc w:val="both"/>
        <w:rPr>
          <w:sz w:val="21"/>
        </w:rPr>
      </w:pPr>
      <w:r>
        <w:rPr>
          <w:color w:val="161616"/>
          <w:w w:val="105"/>
          <w:sz w:val="21"/>
        </w:rPr>
        <w:t xml:space="preserve">Option 4: Current Methodology (with defined fixed fee) </w:t>
      </w:r>
      <w:r>
        <w:rPr>
          <w:color w:val="2D2D2D"/>
          <w:w w:val="105"/>
          <w:sz w:val="21"/>
        </w:rPr>
        <w:t xml:space="preserve">- </w:t>
      </w:r>
      <w:r>
        <w:rPr>
          <w:color w:val="161616"/>
          <w:w w:val="105"/>
          <w:sz w:val="21"/>
        </w:rPr>
        <w:t>this option addresses the barrier to</w:t>
      </w:r>
      <w:r>
        <w:rPr>
          <w:color w:val="161616"/>
          <w:spacing w:val="7"/>
          <w:w w:val="105"/>
          <w:sz w:val="21"/>
        </w:rPr>
        <w:t xml:space="preserve"> </w:t>
      </w:r>
      <w:r>
        <w:rPr>
          <w:color w:val="161616"/>
          <w:w w:val="105"/>
          <w:sz w:val="21"/>
        </w:rPr>
        <w:t>entry</w:t>
      </w:r>
      <w:r>
        <w:rPr>
          <w:color w:val="161616"/>
          <w:spacing w:val="-14"/>
          <w:w w:val="105"/>
          <w:sz w:val="21"/>
        </w:rPr>
        <w:t xml:space="preserve"> </w:t>
      </w:r>
      <w:r>
        <w:rPr>
          <w:color w:val="161616"/>
          <w:w w:val="105"/>
          <w:sz w:val="21"/>
        </w:rPr>
        <w:t>issue</w:t>
      </w:r>
      <w:r>
        <w:rPr>
          <w:color w:val="161616"/>
          <w:spacing w:val="-22"/>
          <w:w w:val="105"/>
          <w:sz w:val="21"/>
        </w:rPr>
        <w:t xml:space="preserve"> </w:t>
      </w:r>
      <w:r>
        <w:rPr>
          <w:color w:val="161616"/>
          <w:w w:val="105"/>
          <w:sz w:val="21"/>
        </w:rPr>
        <w:t>that</w:t>
      </w:r>
      <w:r>
        <w:rPr>
          <w:color w:val="161616"/>
          <w:spacing w:val="-17"/>
          <w:w w:val="105"/>
          <w:sz w:val="21"/>
        </w:rPr>
        <w:t xml:space="preserve"> </w:t>
      </w:r>
      <w:r>
        <w:rPr>
          <w:color w:val="161616"/>
          <w:w w:val="105"/>
          <w:sz w:val="21"/>
        </w:rPr>
        <w:t>Treasury</w:t>
      </w:r>
      <w:r>
        <w:rPr>
          <w:color w:val="161616"/>
          <w:spacing w:val="-5"/>
          <w:w w:val="105"/>
          <w:sz w:val="21"/>
        </w:rPr>
        <w:t xml:space="preserve"> </w:t>
      </w:r>
      <w:r>
        <w:rPr>
          <w:color w:val="161616"/>
          <w:w w:val="105"/>
          <w:sz w:val="21"/>
        </w:rPr>
        <w:t>have</w:t>
      </w:r>
      <w:r>
        <w:rPr>
          <w:color w:val="161616"/>
          <w:spacing w:val="-11"/>
          <w:w w:val="105"/>
          <w:sz w:val="21"/>
        </w:rPr>
        <w:t xml:space="preserve"> </w:t>
      </w:r>
      <w:r>
        <w:rPr>
          <w:color w:val="161616"/>
          <w:w w:val="105"/>
          <w:sz w:val="21"/>
        </w:rPr>
        <w:t>ident</w:t>
      </w:r>
      <w:r>
        <w:rPr>
          <w:color w:val="161616"/>
          <w:spacing w:val="5"/>
          <w:w w:val="105"/>
          <w:sz w:val="21"/>
        </w:rPr>
        <w:t>ified</w:t>
      </w:r>
      <w:r>
        <w:rPr>
          <w:color w:val="3D3D3D"/>
          <w:spacing w:val="5"/>
          <w:w w:val="105"/>
          <w:sz w:val="21"/>
        </w:rPr>
        <w:t>.</w:t>
      </w:r>
      <w:r>
        <w:rPr>
          <w:color w:val="3D3D3D"/>
          <w:spacing w:val="-11"/>
          <w:w w:val="105"/>
          <w:sz w:val="21"/>
        </w:rPr>
        <w:t xml:space="preserve"> </w:t>
      </w:r>
      <w:r>
        <w:rPr>
          <w:color w:val="161616"/>
          <w:w w:val="105"/>
          <w:sz w:val="21"/>
        </w:rPr>
        <w:t>If</w:t>
      </w:r>
      <w:r>
        <w:rPr>
          <w:color w:val="161616"/>
          <w:spacing w:val="-10"/>
          <w:w w:val="105"/>
          <w:sz w:val="21"/>
        </w:rPr>
        <w:t xml:space="preserve"> </w:t>
      </w:r>
      <w:r>
        <w:rPr>
          <w:color w:val="161616"/>
          <w:w w:val="105"/>
          <w:sz w:val="21"/>
        </w:rPr>
        <w:t>the</w:t>
      </w:r>
      <w:r>
        <w:rPr>
          <w:color w:val="161616"/>
          <w:spacing w:val="-11"/>
          <w:w w:val="105"/>
          <w:sz w:val="21"/>
        </w:rPr>
        <w:t xml:space="preserve"> </w:t>
      </w:r>
      <w:r>
        <w:rPr>
          <w:color w:val="161616"/>
          <w:w w:val="105"/>
          <w:sz w:val="21"/>
        </w:rPr>
        <w:t>fixed</w:t>
      </w:r>
      <w:r>
        <w:rPr>
          <w:color w:val="161616"/>
          <w:spacing w:val="-11"/>
          <w:w w:val="105"/>
          <w:sz w:val="21"/>
        </w:rPr>
        <w:t xml:space="preserve"> </w:t>
      </w:r>
      <w:r>
        <w:rPr>
          <w:color w:val="161616"/>
          <w:w w:val="105"/>
          <w:sz w:val="21"/>
        </w:rPr>
        <w:t>fee</w:t>
      </w:r>
      <w:r>
        <w:rPr>
          <w:color w:val="161616"/>
          <w:spacing w:val="-17"/>
          <w:w w:val="105"/>
          <w:sz w:val="21"/>
        </w:rPr>
        <w:t xml:space="preserve"> </w:t>
      </w:r>
      <w:r>
        <w:rPr>
          <w:color w:val="161616"/>
          <w:w w:val="105"/>
          <w:sz w:val="21"/>
        </w:rPr>
        <w:t>is</w:t>
      </w:r>
      <w:r>
        <w:rPr>
          <w:color w:val="161616"/>
          <w:spacing w:val="-14"/>
          <w:w w:val="105"/>
          <w:sz w:val="21"/>
        </w:rPr>
        <w:t xml:space="preserve"> </w:t>
      </w:r>
      <w:r>
        <w:rPr>
          <w:color w:val="161616"/>
          <w:w w:val="105"/>
          <w:sz w:val="21"/>
        </w:rPr>
        <w:t>based</w:t>
      </w:r>
      <w:r>
        <w:rPr>
          <w:color w:val="161616"/>
          <w:spacing w:val="-5"/>
          <w:w w:val="105"/>
          <w:sz w:val="21"/>
        </w:rPr>
        <w:t xml:space="preserve"> </w:t>
      </w:r>
      <w:r>
        <w:rPr>
          <w:color w:val="161616"/>
          <w:w w:val="105"/>
          <w:sz w:val="21"/>
        </w:rPr>
        <w:t>on</w:t>
      </w:r>
      <w:r>
        <w:rPr>
          <w:color w:val="161616"/>
          <w:spacing w:val="-16"/>
          <w:w w:val="105"/>
          <w:sz w:val="21"/>
        </w:rPr>
        <w:t xml:space="preserve"> </w:t>
      </w:r>
      <w:r>
        <w:rPr>
          <w:color w:val="161616"/>
          <w:w w:val="105"/>
          <w:sz w:val="21"/>
        </w:rPr>
        <w:t>the</w:t>
      </w:r>
      <w:r>
        <w:rPr>
          <w:color w:val="161616"/>
          <w:spacing w:val="-10"/>
          <w:w w:val="105"/>
          <w:sz w:val="21"/>
        </w:rPr>
        <w:t xml:space="preserve"> </w:t>
      </w:r>
      <w:r>
        <w:rPr>
          <w:color w:val="161616"/>
          <w:w w:val="105"/>
          <w:sz w:val="21"/>
        </w:rPr>
        <w:t>minimal</w:t>
      </w:r>
      <w:r>
        <w:rPr>
          <w:color w:val="161616"/>
          <w:spacing w:val="-5"/>
          <w:w w:val="105"/>
          <w:sz w:val="21"/>
        </w:rPr>
        <w:t xml:space="preserve"> </w:t>
      </w:r>
      <w:r>
        <w:rPr>
          <w:color w:val="161616"/>
          <w:w w:val="105"/>
          <w:sz w:val="21"/>
        </w:rPr>
        <w:t>cost</w:t>
      </w:r>
      <w:r>
        <w:rPr>
          <w:color w:val="161616"/>
          <w:spacing w:val="-11"/>
          <w:w w:val="105"/>
          <w:sz w:val="21"/>
        </w:rPr>
        <w:t xml:space="preserve"> </w:t>
      </w:r>
      <w:r>
        <w:rPr>
          <w:color w:val="161616"/>
          <w:w w:val="105"/>
          <w:sz w:val="21"/>
        </w:rPr>
        <w:t>o</w:t>
      </w:r>
      <w:r w:rsidR="00655C62">
        <w:rPr>
          <w:color w:val="161616"/>
          <w:w w:val="105"/>
          <w:sz w:val="21"/>
        </w:rPr>
        <w:t>f regulating a small utility an</w:t>
      </w:r>
      <w:r>
        <w:rPr>
          <w:color w:val="161616"/>
          <w:w w:val="105"/>
          <w:sz w:val="21"/>
        </w:rPr>
        <w:t>d only changed infrequently, it would have the added benefit of creating certainty for smaller and newer entrants to the market about the levy</w:t>
      </w:r>
      <w:r>
        <w:rPr>
          <w:color w:val="161616"/>
          <w:spacing w:val="-33"/>
          <w:w w:val="105"/>
          <w:sz w:val="21"/>
        </w:rPr>
        <w:t xml:space="preserve"> </w:t>
      </w:r>
      <w:r>
        <w:rPr>
          <w:color w:val="161616"/>
          <w:w w:val="105"/>
          <w:sz w:val="21"/>
        </w:rPr>
        <w:t>payable.</w:t>
      </w:r>
    </w:p>
    <w:p w:rsidR="004E6266" w:rsidRDefault="00D036C4">
      <w:pPr>
        <w:spacing w:line="290" w:lineRule="auto"/>
        <w:ind w:left="1711" w:right="1522"/>
        <w:rPr>
          <w:sz w:val="21"/>
        </w:rPr>
      </w:pPr>
      <w:r>
        <w:rPr>
          <w:color w:val="161616"/>
          <w:sz w:val="21"/>
        </w:rPr>
        <w:t>This option is the preferred option as it eliminates a barrier to entry without exposing the Territory to increased ri</w:t>
      </w:r>
      <w:r w:rsidR="00655C62">
        <w:rPr>
          <w:color w:val="161616"/>
          <w:sz w:val="21"/>
        </w:rPr>
        <w:t>sk of not recovering regulatory</w:t>
      </w:r>
      <w:r>
        <w:rPr>
          <w:color w:val="161616"/>
          <w:sz w:val="21"/>
        </w:rPr>
        <w:t xml:space="preserve"> costs.</w:t>
      </w:r>
    </w:p>
    <w:p w:rsidR="004E6266" w:rsidRDefault="004E6266">
      <w:pPr>
        <w:pStyle w:val="BodyText"/>
        <w:rPr>
          <w:sz w:val="22"/>
        </w:rPr>
      </w:pPr>
    </w:p>
    <w:p w:rsidR="004E6266" w:rsidRDefault="004E6266">
      <w:pPr>
        <w:pStyle w:val="BodyText"/>
        <w:rPr>
          <w:sz w:val="22"/>
        </w:rPr>
      </w:pPr>
    </w:p>
    <w:p w:rsidR="004E6266" w:rsidRDefault="004E6266">
      <w:pPr>
        <w:pStyle w:val="BodyText"/>
        <w:rPr>
          <w:sz w:val="22"/>
        </w:rPr>
      </w:pPr>
    </w:p>
    <w:p w:rsidR="004E6266" w:rsidRDefault="004E6266">
      <w:pPr>
        <w:pStyle w:val="BodyText"/>
        <w:spacing w:before="7"/>
        <w:rPr>
          <w:sz w:val="19"/>
        </w:rPr>
      </w:pPr>
    </w:p>
    <w:p w:rsidR="004E6266" w:rsidRDefault="00D036C4">
      <w:pPr>
        <w:ind w:left="100"/>
        <w:rPr>
          <w:sz w:val="14"/>
        </w:rPr>
      </w:pPr>
      <w:r>
        <w:rPr>
          <w:color w:val="2D2D2D"/>
          <w:w w:val="105"/>
          <w:sz w:val="14"/>
        </w:rPr>
        <w:t xml:space="preserve">Phone: </w:t>
      </w:r>
      <w:r>
        <w:rPr>
          <w:color w:val="161616"/>
          <w:w w:val="105"/>
          <w:sz w:val="14"/>
        </w:rPr>
        <w:t>0</w:t>
      </w:r>
      <w:r>
        <w:rPr>
          <w:color w:val="3D3D3D"/>
          <w:w w:val="105"/>
          <w:sz w:val="14"/>
        </w:rPr>
        <w:t xml:space="preserve">2 </w:t>
      </w:r>
      <w:r>
        <w:rPr>
          <w:color w:val="2D2D2D"/>
          <w:w w:val="105"/>
          <w:sz w:val="14"/>
        </w:rPr>
        <w:t xml:space="preserve">6205 </w:t>
      </w:r>
      <w:r>
        <w:rPr>
          <w:color w:val="161616"/>
          <w:w w:val="105"/>
          <w:sz w:val="14"/>
        </w:rPr>
        <w:t xml:space="preserve">0799 </w:t>
      </w:r>
      <w:r>
        <w:rPr>
          <w:color w:val="2D2D2D"/>
          <w:w w:val="105"/>
          <w:sz w:val="14"/>
        </w:rPr>
        <w:t>• Fax</w:t>
      </w:r>
      <w:r>
        <w:rPr>
          <w:color w:val="565656"/>
          <w:w w:val="105"/>
          <w:sz w:val="14"/>
        </w:rPr>
        <w:t xml:space="preserve">: </w:t>
      </w:r>
      <w:r>
        <w:rPr>
          <w:color w:val="161616"/>
          <w:w w:val="105"/>
          <w:sz w:val="14"/>
        </w:rPr>
        <w:t xml:space="preserve">02 </w:t>
      </w:r>
      <w:r>
        <w:rPr>
          <w:color w:val="2D2D2D"/>
          <w:w w:val="105"/>
          <w:sz w:val="14"/>
        </w:rPr>
        <w:t xml:space="preserve">6207 </w:t>
      </w:r>
      <w:r>
        <w:rPr>
          <w:color w:val="3D3D3D"/>
          <w:w w:val="105"/>
          <w:sz w:val="14"/>
        </w:rPr>
        <w:t>588</w:t>
      </w:r>
      <w:r>
        <w:rPr>
          <w:color w:val="161616"/>
          <w:w w:val="105"/>
          <w:sz w:val="14"/>
        </w:rPr>
        <w:t xml:space="preserve">7 </w:t>
      </w:r>
      <w:r>
        <w:rPr>
          <w:color w:val="2D2D2D"/>
          <w:w w:val="105"/>
          <w:sz w:val="14"/>
        </w:rPr>
        <w:t xml:space="preserve">• </w:t>
      </w:r>
      <w:r>
        <w:rPr>
          <w:color w:val="161616"/>
          <w:w w:val="105"/>
          <w:sz w:val="14"/>
        </w:rPr>
        <w:t>W</w:t>
      </w:r>
      <w:r>
        <w:rPr>
          <w:color w:val="3D3D3D"/>
          <w:w w:val="105"/>
          <w:sz w:val="14"/>
        </w:rPr>
        <w:t>e</w:t>
      </w:r>
      <w:r>
        <w:rPr>
          <w:color w:val="161616"/>
          <w:w w:val="105"/>
          <w:sz w:val="14"/>
        </w:rPr>
        <w:t>b</w:t>
      </w:r>
      <w:r>
        <w:rPr>
          <w:color w:val="3D3D3D"/>
          <w:w w:val="105"/>
          <w:sz w:val="14"/>
        </w:rPr>
        <w:t xml:space="preserve">: </w:t>
      </w:r>
      <w:hyperlink r:id="rId9">
        <w:r>
          <w:rPr>
            <w:color w:val="3F70AF"/>
            <w:w w:val="105"/>
            <w:sz w:val="14"/>
            <w:u w:val="single" w:color="000000"/>
          </w:rPr>
          <w:t xml:space="preserve">www.icrc.actgov.au </w:t>
        </w:r>
      </w:hyperlink>
      <w:r>
        <w:rPr>
          <w:color w:val="2D2D2D"/>
          <w:w w:val="105"/>
          <w:sz w:val="14"/>
        </w:rPr>
        <w:t xml:space="preserve">• </w:t>
      </w:r>
      <w:r>
        <w:rPr>
          <w:color w:val="161616"/>
          <w:w w:val="105"/>
          <w:sz w:val="14"/>
        </w:rPr>
        <w:t xml:space="preserve">Level </w:t>
      </w:r>
      <w:r>
        <w:rPr>
          <w:color w:val="2D2D2D"/>
          <w:w w:val="105"/>
          <w:sz w:val="14"/>
        </w:rPr>
        <w:t xml:space="preserve">8, 221 </w:t>
      </w:r>
      <w:r>
        <w:rPr>
          <w:color w:val="161616"/>
          <w:w w:val="105"/>
          <w:sz w:val="14"/>
        </w:rPr>
        <w:t xml:space="preserve">London </w:t>
      </w:r>
      <w:r>
        <w:rPr>
          <w:color w:val="3D3D3D"/>
          <w:w w:val="105"/>
          <w:sz w:val="14"/>
        </w:rPr>
        <w:t>C</w:t>
      </w:r>
      <w:r>
        <w:rPr>
          <w:color w:val="161616"/>
          <w:w w:val="105"/>
          <w:sz w:val="14"/>
        </w:rPr>
        <w:t xml:space="preserve">ircuit, </w:t>
      </w:r>
      <w:r>
        <w:rPr>
          <w:color w:val="2D2D2D"/>
          <w:w w:val="105"/>
          <w:sz w:val="14"/>
        </w:rPr>
        <w:t>Canberra City</w:t>
      </w:r>
      <w:r w:rsidR="007337CB">
        <w:rPr>
          <w:color w:val="2D2D2D"/>
          <w:w w:val="105"/>
          <w:sz w:val="14"/>
        </w:rPr>
        <w:t xml:space="preserve"> ACT</w:t>
      </w:r>
      <w:r>
        <w:rPr>
          <w:rFonts w:ascii="Times New Roman" w:hAnsi="Times New Roman"/>
          <w:i/>
          <w:color w:val="161616"/>
          <w:w w:val="105"/>
          <w:sz w:val="16"/>
        </w:rPr>
        <w:t xml:space="preserve"> </w:t>
      </w:r>
      <w:r>
        <w:rPr>
          <w:color w:val="2D2D2D"/>
          <w:w w:val="105"/>
          <w:sz w:val="14"/>
        </w:rPr>
        <w:t xml:space="preserve">2601• </w:t>
      </w:r>
      <w:r>
        <w:rPr>
          <w:color w:val="161616"/>
          <w:w w:val="105"/>
          <w:sz w:val="14"/>
        </w:rPr>
        <w:t>PO Bo</w:t>
      </w:r>
      <w:r>
        <w:rPr>
          <w:color w:val="3D3D3D"/>
          <w:w w:val="105"/>
          <w:sz w:val="14"/>
        </w:rPr>
        <w:t xml:space="preserve">x </w:t>
      </w:r>
      <w:r>
        <w:rPr>
          <w:color w:val="2D2D2D"/>
          <w:w w:val="105"/>
          <w:sz w:val="14"/>
        </w:rPr>
        <w:t xml:space="preserve">161, Civic </w:t>
      </w:r>
      <w:r>
        <w:rPr>
          <w:color w:val="3D3D3D"/>
          <w:w w:val="105"/>
          <w:sz w:val="14"/>
        </w:rPr>
        <w:t>Squa</w:t>
      </w:r>
      <w:r>
        <w:rPr>
          <w:color w:val="161616"/>
          <w:w w:val="105"/>
          <w:sz w:val="14"/>
        </w:rPr>
        <w:t>re</w:t>
      </w:r>
      <w:r w:rsidR="007337CB">
        <w:rPr>
          <w:color w:val="161616"/>
          <w:w w:val="105"/>
          <w:sz w:val="14"/>
        </w:rPr>
        <w:t xml:space="preserve"> ACT</w:t>
      </w:r>
      <w:r>
        <w:rPr>
          <w:rFonts w:ascii="Times New Roman" w:hAnsi="Times New Roman"/>
          <w:i/>
          <w:color w:val="161616"/>
          <w:w w:val="105"/>
          <w:sz w:val="16"/>
        </w:rPr>
        <w:t xml:space="preserve"> </w:t>
      </w:r>
      <w:r>
        <w:rPr>
          <w:color w:val="3D3D3D"/>
          <w:w w:val="105"/>
          <w:sz w:val="14"/>
        </w:rPr>
        <w:t>26</w:t>
      </w:r>
      <w:r>
        <w:rPr>
          <w:color w:val="161616"/>
          <w:w w:val="105"/>
          <w:sz w:val="14"/>
        </w:rPr>
        <w:t>08</w:t>
      </w:r>
    </w:p>
    <w:p w:rsidR="004E6266" w:rsidRDefault="004E6266">
      <w:pPr>
        <w:rPr>
          <w:sz w:val="14"/>
        </w:rPr>
        <w:sectPr w:rsidR="004E6266">
          <w:type w:val="continuous"/>
          <w:pgSz w:w="11910" w:h="16840"/>
          <w:pgMar w:top="600" w:right="60" w:bottom="0" w:left="260" w:header="720" w:footer="720" w:gutter="0"/>
          <w:cols w:space="720"/>
        </w:sectPr>
      </w:pPr>
    </w:p>
    <w:p w:rsidR="004E6266" w:rsidRDefault="00D036C4">
      <w:pPr>
        <w:pStyle w:val="Heading3"/>
        <w:spacing w:before="67" w:line="302" w:lineRule="auto"/>
        <w:ind w:left="210" w:firstLine="17"/>
      </w:pPr>
      <w:r>
        <w:rPr>
          <w:color w:val="181818"/>
          <w:w w:val="110"/>
        </w:rPr>
        <w:lastRenderedPageBreak/>
        <w:t>Commission</w:t>
      </w:r>
      <w:r>
        <w:rPr>
          <w:color w:val="181818"/>
          <w:spacing w:val="-7"/>
          <w:w w:val="110"/>
        </w:rPr>
        <w:t xml:space="preserve"> </w:t>
      </w:r>
      <w:proofErr w:type="gramStart"/>
      <w:r>
        <w:rPr>
          <w:color w:val="181818"/>
          <w:w w:val="110"/>
        </w:rPr>
        <w:t>staff</w:t>
      </w:r>
      <w:r>
        <w:rPr>
          <w:color w:val="181818"/>
          <w:spacing w:val="-15"/>
          <w:w w:val="110"/>
        </w:rPr>
        <w:t xml:space="preserve"> </w:t>
      </w:r>
      <w:r>
        <w:rPr>
          <w:color w:val="181818"/>
          <w:w w:val="110"/>
        </w:rPr>
        <w:t>have</w:t>
      </w:r>
      <w:proofErr w:type="gramEnd"/>
      <w:r>
        <w:rPr>
          <w:color w:val="181818"/>
          <w:spacing w:val="-18"/>
          <w:w w:val="110"/>
        </w:rPr>
        <w:t xml:space="preserve"> </w:t>
      </w:r>
      <w:r>
        <w:rPr>
          <w:color w:val="181818"/>
          <w:w w:val="110"/>
        </w:rPr>
        <w:t>raised</w:t>
      </w:r>
      <w:r>
        <w:rPr>
          <w:color w:val="181818"/>
          <w:spacing w:val="-14"/>
          <w:w w:val="110"/>
        </w:rPr>
        <w:t xml:space="preserve"> </w:t>
      </w:r>
      <w:r>
        <w:rPr>
          <w:color w:val="181818"/>
          <w:w w:val="110"/>
        </w:rPr>
        <w:t>concerns</w:t>
      </w:r>
      <w:r>
        <w:rPr>
          <w:color w:val="181818"/>
          <w:spacing w:val="-10"/>
          <w:w w:val="110"/>
        </w:rPr>
        <w:t xml:space="preserve"> </w:t>
      </w:r>
      <w:r>
        <w:rPr>
          <w:color w:val="181818"/>
          <w:w w:val="110"/>
        </w:rPr>
        <w:t>in</w:t>
      </w:r>
      <w:r>
        <w:rPr>
          <w:color w:val="181818"/>
          <w:spacing w:val="-16"/>
          <w:w w:val="110"/>
        </w:rPr>
        <w:t xml:space="preserve"> </w:t>
      </w:r>
      <w:r>
        <w:rPr>
          <w:color w:val="181818"/>
          <w:w w:val="110"/>
        </w:rPr>
        <w:t>the</w:t>
      </w:r>
      <w:r>
        <w:rPr>
          <w:color w:val="181818"/>
          <w:spacing w:val="2"/>
          <w:w w:val="110"/>
        </w:rPr>
        <w:t xml:space="preserve"> </w:t>
      </w:r>
      <w:r>
        <w:rPr>
          <w:color w:val="181818"/>
          <w:w w:val="110"/>
        </w:rPr>
        <w:t>past</w:t>
      </w:r>
      <w:r>
        <w:rPr>
          <w:color w:val="181818"/>
          <w:spacing w:val="-15"/>
          <w:w w:val="110"/>
        </w:rPr>
        <w:t xml:space="preserve"> </w:t>
      </w:r>
      <w:r>
        <w:rPr>
          <w:color w:val="181818"/>
          <w:w w:val="110"/>
        </w:rPr>
        <w:t>in</w:t>
      </w:r>
      <w:r>
        <w:rPr>
          <w:color w:val="181818"/>
          <w:spacing w:val="-13"/>
          <w:w w:val="110"/>
        </w:rPr>
        <w:t xml:space="preserve"> </w:t>
      </w:r>
      <w:r>
        <w:rPr>
          <w:color w:val="181818"/>
          <w:w w:val="110"/>
        </w:rPr>
        <w:t>relation</w:t>
      </w:r>
      <w:r>
        <w:rPr>
          <w:color w:val="181818"/>
          <w:spacing w:val="-20"/>
          <w:w w:val="110"/>
        </w:rPr>
        <w:t xml:space="preserve"> </w:t>
      </w:r>
      <w:r>
        <w:rPr>
          <w:color w:val="181818"/>
          <w:w w:val="110"/>
        </w:rPr>
        <w:t>to</w:t>
      </w:r>
      <w:r>
        <w:rPr>
          <w:color w:val="181818"/>
          <w:spacing w:val="-27"/>
          <w:w w:val="110"/>
        </w:rPr>
        <w:t xml:space="preserve"> </w:t>
      </w:r>
      <w:r>
        <w:rPr>
          <w:color w:val="181818"/>
          <w:w w:val="110"/>
        </w:rPr>
        <w:t>the</w:t>
      </w:r>
      <w:r>
        <w:rPr>
          <w:color w:val="181818"/>
          <w:spacing w:val="8"/>
          <w:w w:val="110"/>
        </w:rPr>
        <w:t xml:space="preserve"> </w:t>
      </w:r>
      <w:r>
        <w:rPr>
          <w:color w:val="181818"/>
          <w:w w:val="110"/>
        </w:rPr>
        <w:t>variable</w:t>
      </w:r>
      <w:r>
        <w:rPr>
          <w:color w:val="181818"/>
          <w:spacing w:val="-6"/>
          <w:w w:val="110"/>
        </w:rPr>
        <w:t xml:space="preserve"> </w:t>
      </w:r>
      <w:r>
        <w:rPr>
          <w:color w:val="181818"/>
          <w:w w:val="110"/>
        </w:rPr>
        <w:t>'A'</w:t>
      </w:r>
      <w:r>
        <w:rPr>
          <w:color w:val="181818"/>
          <w:spacing w:val="-5"/>
          <w:w w:val="110"/>
        </w:rPr>
        <w:t xml:space="preserve"> </w:t>
      </w:r>
      <w:r>
        <w:rPr>
          <w:color w:val="181818"/>
          <w:w w:val="110"/>
        </w:rPr>
        <w:t>(adjustment</w:t>
      </w:r>
      <w:r>
        <w:rPr>
          <w:color w:val="181818"/>
          <w:spacing w:val="-9"/>
          <w:w w:val="110"/>
        </w:rPr>
        <w:t xml:space="preserve"> </w:t>
      </w:r>
      <w:r>
        <w:rPr>
          <w:color w:val="181818"/>
          <w:w w:val="110"/>
        </w:rPr>
        <w:t>for</w:t>
      </w:r>
      <w:r>
        <w:rPr>
          <w:color w:val="181818"/>
          <w:spacing w:val="-1"/>
          <w:w w:val="110"/>
        </w:rPr>
        <w:t xml:space="preserve"> </w:t>
      </w:r>
      <w:r>
        <w:rPr>
          <w:color w:val="181818"/>
          <w:w w:val="110"/>
        </w:rPr>
        <w:t xml:space="preserve">previous year) </w:t>
      </w:r>
      <w:r>
        <w:rPr>
          <w:color w:val="444448"/>
          <w:spacing w:val="3"/>
          <w:w w:val="110"/>
        </w:rPr>
        <w:t>i</w:t>
      </w:r>
      <w:r>
        <w:rPr>
          <w:color w:val="181818"/>
          <w:spacing w:val="3"/>
          <w:w w:val="110"/>
        </w:rPr>
        <w:t xml:space="preserve">n </w:t>
      </w:r>
      <w:r>
        <w:rPr>
          <w:color w:val="181818"/>
          <w:w w:val="110"/>
        </w:rPr>
        <w:t>the current levy formula. The adjustment should be made by comparing last year's estimated costs</w:t>
      </w:r>
      <w:r>
        <w:rPr>
          <w:color w:val="181818"/>
          <w:spacing w:val="-18"/>
          <w:w w:val="110"/>
        </w:rPr>
        <w:t xml:space="preserve"> </w:t>
      </w:r>
      <w:r>
        <w:rPr>
          <w:color w:val="181818"/>
          <w:w w:val="110"/>
        </w:rPr>
        <w:t>against</w:t>
      </w:r>
      <w:r>
        <w:rPr>
          <w:color w:val="181818"/>
          <w:spacing w:val="-17"/>
          <w:w w:val="110"/>
        </w:rPr>
        <w:t xml:space="preserve"> </w:t>
      </w:r>
      <w:r>
        <w:rPr>
          <w:color w:val="181818"/>
          <w:w w:val="110"/>
        </w:rPr>
        <w:t>actual</w:t>
      </w:r>
      <w:r>
        <w:rPr>
          <w:color w:val="181818"/>
          <w:spacing w:val="-27"/>
          <w:w w:val="110"/>
        </w:rPr>
        <w:t xml:space="preserve"> </w:t>
      </w:r>
      <w:r>
        <w:rPr>
          <w:color w:val="181818"/>
          <w:w w:val="110"/>
        </w:rPr>
        <w:t>costs,</w:t>
      </w:r>
      <w:r>
        <w:rPr>
          <w:color w:val="181818"/>
          <w:spacing w:val="-23"/>
          <w:w w:val="110"/>
        </w:rPr>
        <w:t xml:space="preserve"> </w:t>
      </w:r>
      <w:r>
        <w:rPr>
          <w:color w:val="181818"/>
          <w:w w:val="110"/>
        </w:rPr>
        <w:t>not</w:t>
      </w:r>
      <w:r>
        <w:rPr>
          <w:color w:val="181818"/>
          <w:spacing w:val="5"/>
          <w:w w:val="110"/>
        </w:rPr>
        <w:t xml:space="preserve"> </w:t>
      </w:r>
      <w:r>
        <w:rPr>
          <w:color w:val="181818"/>
          <w:w w:val="110"/>
        </w:rPr>
        <w:t>against</w:t>
      </w:r>
      <w:r>
        <w:rPr>
          <w:color w:val="181818"/>
          <w:spacing w:val="-21"/>
          <w:w w:val="110"/>
        </w:rPr>
        <w:t xml:space="preserve"> </w:t>
      </w:r>
      <w:r>
        <w:rPr>
          <w:color w:val="181818"/>
          <w:w w:val="110"/>
        </w:rPr>
        <w:t>levy</w:t>
      </w:r>
      <w:r>
        <w:rPr>
          <w:color w:val="181818"/>
          <w:spacing w:val="-23"/>
          <w:w w:val="110"/>
        </w:rPr>
        <w:t xml:space="preserve"> </w:t>
      </w:r>
      <w:r>
        <w:rPr>
          <w:color w:val="181818"/>
          <w:w w:val="110"/>
        </w:rPr>
        <w:t>paid</w:t>
      </w:r>
      <w:r>
        <w:rPr>
          <w:color w:val="181818"/>
          <w:spacing w:val="-23"/>
          <w:w w:val="110"/>
        </w:rPr>
        <w:t xml:space="preserve"> </w:t>
      </w:r>
      <w:r>
        <w:rPr>
          <w:color w:val="181818"/>
          <w:w w:val="110"/>
        </w:rPr>
        <w:t>(T).</w:t>
      </w:r>
      <w:r>
        <w:rPr>
          <w:color w:val="181818"/>
          <w:spacing w:val="-25"/>
          <w:w w:val="110"/>
        </w:rPr>
        <w:t xml:space="preserve"> </w:t>
      </w:r>
      <w:r>
        <w:rPr>
          <w:color w:val="181818"/>
          <w:w w:val="110"/>
        </w:rPr>
        <w:t>The</w:t>
      </w:r>
      <w:r>
        <w:rPr>
          <w:color w:val="181818"/>
          <w:spacing w:val="-25"/>
          <w:w w:val="110"/>
        </w:rPr>
        <w:t xml:space="preserve"> </w:t>
      </w:r>
      <w:r>
        <w:rPr>
          <w:color w:val="181818"/>
          <w:w w:val="110"/>
        </w:rPr>
        <w:t>Commission</w:t>
      </w:r>
      <w:r>
        <w:rPr>
          <w:color w:val="181818"/>
          <w:spacing w:val="-13"/>
          <w:w w:val="110"/>
        </w:rPr>
        <w:t xml:space="preserve"> </w:t>
      </w:r>
      <w:r>
        <w:rPr>
          <w:color w:val="181818"/>
          <w:w w:val="110"/>
        </w:rPr>
        <w:t>recommends</w:t>
      </w:r>
      <w:r>
        <w:rPr>
          <w:color w:val="181818"/>
          <w:spacing w:val="-23"/>
          <w:w w:val="110"/>
        </w:rPr>
        <w:t xml:space="preserve"> </w:t>
      </w:r>
      <w:r>
        <w:rPr>
          <w:color w:val="181818"/>
          <w:w w:val="110"/>
        </w:rPr>
        <w:t>that</w:t>
      </w:r>
      <w:r>
        <w:rPr>
          <w:color w:val="181818"/>
          <w:spacing w:val="-26"/>
          <w:w w:val="110"/>
        </w:rPr>
        <w:t xml:space="preserve"> </w:t>
      </w:r>
      <w:r>
        <w:rPr>
          <w:color w:val="181818"/>
          <w:w w:val="110"/>
        </w:rPr>
        <w:t>the</w:t>
      </w:r>
      <w:r>
        <w:rPr>
          <w:color w:val="181818"/>
          <w:spacing w:val="-31"/>
          <w:w w:val="110"/>
        </w:rPr>
        <w:t xml:space="preserve"> </w:t>
      </w:r>
      <w:r>
        <w:rPr>
          <w:color w:val="181818"/>
          <w:w w:val="110"/>
        </w:rPr>
        <w:t>investigation consider whether the calculation of the adjustment component of the levy formula is producing the intended effect and make appropriate amendments if it is</w:t>
      </w:r>
      <w:r>
        <w:rPr>
          <w:color w:val="181818"/>
          <w:spacing w:val="-33"/>
          <w:w w:val="110"/>
        </w:rPr>
        <w:t xml:space="preserve"> </w:t>
      </w:r>
      <w:r>
        <w:rPr>
          <w:color w:val="181818"/>
          <w:w w:val="110"/>
        </w:rPr>
        <w:t>not.</w:t>
      </w:r>
    </w:p>
    <w:p w:rsidR="004E6266" w:rsidRDefault="004E6266">
      <w:pPr>
        <w:pStyle w:val="BodyText"/>
        <w:rPr>
          <w:sz w:val="26"/>
        </w:rPr>
      </w:pPr>
    </w:p>
    <w:p w:rsidR="004E6266" w:rsidRDefault="004B6EF7">
      <w:pPr>
        <w:spacing w:line="304" w:lineRule="auto"/>
        <w:ind w:left="203" w:right="534" w:firstLine="1"/>
        <w:rPr>
          <w:sz w:val="20"/>
        </w:rPr>
      </w:pPr>
      <w:r w:rsidRPr="004B6EF7">
        <w:pict>
          <v:line id="_x0000_s1029" style="position:absolute;left:0;text-align:left;z-index:-6472;mso-position-horizontal-relative:page" from="206.1pt,25.75pt" to="316.05pt,25.75pt" strokeweight=".25186mm">
            <w10:wrap anchorx="page"/>
          </v:line>
        </w:pict>
      </w:r>
      <w:r w:rsidR="00D036C4">
        <w:rPr>
          <w:color w:val="181818"/>
          <w:w w:val="105"/>
          <w:sz w:val="20"/>
        </w:rPr>
        <w:t xml:space="preserve">If you require any further information regarding the comments in this letter please contact Mr Ian Phillips on </w:t>
      </w:r>
      <w:r w:rsidR="00655C62">
        <w:rPr>
          <w:color w:val="181818"/>
          <w:w w:val="105"/>
          <w:sz w:val="20"/>
        </w:rPr>
        <w:t>[redacted]</w:t>
      </w:r>
      <w:r w:rsidR="00D036C4">
        <w:rPr>
          <w:color w:val="181818"/>
          <w:w w:val="105"/>
          <w:sz w:val="20"/>
        </w:rPr>
        <w:t>.</w:t>
      </w: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spacing w:before="6"/>
        <w:rPr>
          <w:sz w:val="29"/>
        </w:rPr>
      </w:pPr>
    </w:p>
    <w:p w:rsidR="004E6266" w:rsidRDefault="004E6266">
      <w:pPr>
        <w:rPr>
          <w:sz w:val="29"/>
        </w:rPr>
      </w:pPr>
    </w:p>
    <w:p w:rsidR="00D036C4" w:rsidRDefault="00D036C4">
      <w:pPr>
        <w:rPr>
          <w:sz w:val="29"/>
        </w:rPr>
        <w:sectPr w:rsidR="00D036C4">
          <w:pgSz w:w="11910" w:h="16840"/>
          <w:pgMar w:top="1500" w:right="920" w:bottom="280" w:left="700" w:header="720" w:footer="720" w:gutter="0"/>
          <w:cols w:space="720"/>
        </w:sectPr>
      </w:pPr>
    </w:p>
    <w:p w:rsidR="004E6266" w:rsidRPr="00655C62" w:rsidRDefault="00D036C4" w:rsidP="00655C62">
      <w:pPr>
        <w:pStyle w:val="Heading3"/>
        <w:spacing w:before="67" w:line="302" w:lineRule="auto"/>
        <w:ind w:left="210" w:right="-177" w:firstLine="17"/>
        <w:rPr>
          <w:color w:val="181818"/>
          <w:w w:val="110"/>
        </w:rPr>
      </w:pPr>
      <w:r w:rsidRPr="00655C62">
        <w:rPr>
          <w:color w:val="181818"/>
          <w:w w:val="110"/>
        </w:rPr>
        <w:lastRenderedPageBreak/>
        <w:t>Yours</w:t>
      </w:r>
      <w:r w:rsidR="00655C62">
        <w:rPr>
          <w:color w:val="181818"/>
          <w:w w:val="110"/>
        </w:rPr>
        <w:t xml:space="preserve"> </w:t>
      </w:r>
      <w:r w:rsidRPr="00655C62">
        <w:rPr>
          <w:color w:val="181818"/>
          <w:w w:val="110"/>
        </w:rPr>
        <w:t>sincerely,</w:t>
      </w:r>
    </w:p>
    <w:p w:rsidR="004E6266" w:rsidRDefault="004E6266">
      <w:pPr>
        <w:spacing w:line="218" w:lineRule="exact"/>
        <w:rPr>
          <w:sz w:val="59"/>
        </w:rPr>
        <w:sectPr w:rsidR="004E6266">
          <w:type w:val="continuous"/>
          <w:pgSz w:w="11910" w:h="16840"/>
          <w:pgMar w:top="600" w:right="920" w:bottom="0" w:left="700" w:header="720" w:footer="720" w:gutter="0"/>
          <w:cols w:num="2" w:space="720" w:equalWidth="0">
            <w:col w:w="1666" w:space="40"/>
            <w:col w:w="8584"/>
          </w:cols>
        </w:sectPr>
      </w:pPr>
    </w:p>
    <w:p w:rsidR="00655C62" w:rsidRDefault="00655C62" w:rsidP="00655C62">
      <w:pPr>
        <w:pStyle w:val="Heading3"/>
        <w:spacing w:before="67" w:line="302" w:lineRule="auto"/>
        <w:ind w:left="210" w:right="-177" w:firstLine="17"/>
        <w:rPr>
          <w:color w:val="181818"/>
          <w:w w:val="110"/>
        </w:rPr>
      </w:pPr>
    </w:p>
    <w:p w:rsidR="00655C62" w:rsidRDefault="00655C62" w:rsidP="00655C62">
      <w:pPr>
        <w:pStyle w:val="Heading3"/>
        <w:spacing w:before="67" w:line="302" w:lineRule="auto"/>
        <w:ind w:left="210" w:right="-177" w:firstLine="17"/>
        <w:rPr>
          <w:color w:val="181818"/>
          <w:w w:val="110"/>
        </w:rPr>
      </w:pPr>
    </w:p>
    <w:p w:rsidR="00655C62" w:rsidRDefault="00D036C4" w:rsidP="00655C62">
      <w:pPr>
        <w:pStyle w:val="Heading3"/>
        <w:spacing w:before="67" w:line="302" w:lineRule="auto"/>
        <w:ind w:left="210" w:right="-177" w:firstLine="17"/>
        <w:rPr>
          <w:color w:val="181818"/>
          <w:w w:val="110"/>
        </w:rPr>
      </w:pPr>
      <w:r w:rsidRPr="00655C62">
        <w:rPr>
          <w:color w:val="181818"/>
          <w:w w:val="110"/>
        </w:rPr>
        <w:t xml:space="preserve">Malcolm Gray </w:t>
      </w:r>
    </w:p>
    <w:p w:rsidR="00655C62" w:rsidRDefault="00D036C4" w:rsidP="00655C62">
      <w:pPr>
        <w:pStyle w:val="Heading3"/>
        <w:spacing w:before="67" w:line="302" w:lineRule="auto"/>
        <w:ind w:left="210" w:right="-177" w:firstLine="17"/>
        <w:rPr>
          <w:color w:val="181818"/>
          <w:w w:val="110"/>
        </w:rPr>
      </w:pPr>
      <w:r w:rsidRPr="00655C62">
        <w:rPr>
          <w:color w:val="181818"/>
          <w:w w:val="110"/>
        </w:rPr>
        <w:t xml:space="preserve">Senior Commissioner </w:t>
      </w:r>
    </w:p>
    <w:p w:rsidR="004E6266" w:rsidRPr="00655C62" w:rsidRDefault="00D036C4" w:rsidP="00655C62">
      <w:pPr>
        <w:pStyle w:val="Heading3"/>
        <w:spacing w:before="67" w:line="302" w:lineRule="auto"/>
        <w:ind w:left="210" w:right="-177" w:firstLine="17"/>
        <w:rPr>
          <w:color w:val="181818"/>
          <w:w w:val="110"/>
        </w:rPr>
      </w:pPr>
      <w:r w:rsidRPr="00655C62">
        <w:rPr>
          <w:color w:val="181818"/>
          <w:w w:val="110"/>
        </w:rPr>
        <w:t>3 February 2016</w:t>
      </w:r>
    </w:p>
    <w:p w:rsidR="004E6266" w:rsidRDefault="004E6266">
      <w:pPr>
        <w:spacing w:line="295" w:lineRule="auto"/>
        <w:rPr>
          <w:sz w:val="20"/>
        </w:rPr>
        <w:sectPr w:rsidR="004E6266">
          <w:type w:val="continuous"/>
          <w:pgSz w:w="11910" w:h="16840"/>
          <w:pgMar w:top="600" w:right="920" w:bottom="0" w:left="700" w:header="720" w:footer="720" w:gutter="0"/>
          <w:cols w:space="720"/>
        </w:sectPr>
      </w:pPr>
    </w:p>
    <w:p w:rsidR="004E6266" w:rsidRDefault="00D036C4">
      <w:pPr>
        <w:spacing w:before="90"/>
        <w:ind w:left="214"/>
        <w:rPr>
          <w:rFonts w:ascii="Times New Roman"/>
          <w:b/>
          <w:sz w:val="25"/>
        </w:rPr>
      </w:pPr>
      <w:r>
        <w:rPr>
          <w:rFonts w:ascii="Times New Roman"/>
          <w:b/>
          <w:color w:val="1A80B8"/>
          <w:w w:val="105"/>
          <w:sz w:val="25"/>
        </w:rPr>
        <w:lastRenderedPageBreak/>
        <w:t>Discussion Paper on the ACT Energy Industry Levy Discussion Paper</w:t>
      </w:r>
    </w:p>
    <w:p w:rsidR="004E6266" w:rsidRDefault="00D036C4">
      <w:pPr>
        <w:pStyle w:val="BodyText"/>
        <w:spacing w:before="79"/>
        <w:ind w:left="203"/>
      </w:pPr>
      <w:r>
        <w:rPr>
          <w:color w:val="131313"/>
          <w:w w:val="105"/>
        </w:rPr>
        <w:t>The Discussion Paper is seeking the views of energy industry</w:t>
      </w:r>
      <w:r w:rsidR="00D535B3">
        <w:rPr>
          <w:color w:val="131313"/>
          <w:w w:val="105"/>
        </w:rPr>
        <w:t xml:space="preserve"> participants on four matters, </w:t>
      </w:r>
      <w:proofErr w:type="spellStart"/>
      <w:r>
        <w:rPr>
          <w:color w:val="131313"/>
          <w:w w:val="105"/>
        </w:rPr>
        <w:t>viz</w:t>
      </w:r>
      <w:proofErr w:type="spellEnd"/>
      <w:r>
        <w:rPr>
          <w:color w:val="131313"/>
          <w:w w:val="105"/>
        </w:rPr>
        <w:t>:</w:t>
      </w:r>
    </w:p>
    <w:p w:rsidR="004E6266" w:rsidRDefault="004E6266">
      <w:pPr>
        <w:pStyle w:val="BodyText"/>
        <w:spacing w:before="11"/>
        <w:rPr>
          <w:sz w:val="24"/>
        </w:rPr>
      </w:pPr>
    </w:p>
    <w:p w:rsidR="004E6266" w:rsidRDefault="00D036C4">
      <w:pPr>
        <w:pStyle w:val="ListParagraph"/>
        <w:numPr>
          <w:ilvl w:val="0"/>
          <w:numId w:val="1"/>
        </w:numPr>
        <w:tabs>
          <w:tab w:val="left" w:pos="887"/>
          <w:tab w:val="left" w:pos="888"/>
        </w:tabs>
        <w:spacing w:line="345" w:lineRule="auto"/>
        <w:ind w:right="875" w:hanging="343"/>
        <w:rPr>
          <w:color w:val="282828"/>
          <w:sz w:val="18"/>
        </w:rPr>
      </w:pPr>
      <w:r>
        <w:rPr>
          <w:color w:val="131313"/>
          <w:w w:val="110"/>
          <w:sz w:val="18"/>
        </w:rPr>
        <w:t>Whether</w:t>
      </w:r>
      <w:r>
        <w:rPr>
          <w:color w:val="131313"/>
          <w:spacing w:val="-11"/>
          <w:w w:val="110"/>
          <w:sz w:val="18"/>
        </w:rPr>
        <w:t xml:space="preserve"> </w:t>
      </w:r>
      <w:r>
        <w:rPr>
          <w:color w:val="131313"/>
          <w:w w:val="110"/>
          <w:sz w:val="18"/>
        </w:rPr>
        <w:t>the</w:t>
      </w:r>
      <w:r>
        <w:rPr>
          <w:color w:val="131313"/>
          <w:spacing w:val="-7"/>
          <w:w w:val="110"/>
          <w:sz w:val="18"/>
        </w:rPr>
        <w:t xml:space="preserve"> </w:t>
      </w:r>
      <w:r>
        <w:rPr>
          <w:color w:val="131313"/>
          <w:w w:val="110"/>
          <w:sz w:val="18"/>
        </w:rPr>
        <w:t>determination</w:t>
      </w:r>
      <w:r>
        <w:rPr>
          <w:color w:val="131313"/>
          <w:spacing w:val="-2"/>
          <w:w w:val="110"/>
          <w:sz w:val="18"/>
        </w:rPr>
        <w:t xml:space="preserve"> </w:t>
      </w:r>
      <w:r>
        <w:rPr>
          <w:color w:val="131313"/>
          <w:w w:val="110"/>
          <w:sz w:val="18"/>
        </w:rPr>
        <w:t>of</w:t>
      </w:r>
      <w:r>
        <w:rPr>
          <w:color w:val="131313"/>
          <w:spacing w:val="-13"/>
          <w:w w:val="110"/>
          <w:sz w:val="18"/>
        </w:rPr>
        <w:t xml:space="preserve"> </w:t>
      </w:r>
      <w:r>
        <w:rPr>
          <w:color w:val="131313"/>
          <w:w w:val="110"/>
          <w:sz w:val="18"/>
        </w:rPr>
        <w:t>the</w:t>
      </w:r>
      <w:r>
        <w:rPr>
          <w:color w:val="131313"/>
          <w:spacing w:val="-9"/>
          <w:w w:val="110"/>
          <w:sz w:val="18"/>
        </w:rPr>
        <w:t xml:space="preserve"> </w:t>
      </w:r>
      <w:r>
        <w:rPr>
          <w:color w:val="131313"/>
          <w:w w:val="110"/>
          <w:sz w:val="18"/>
        </w:rPr>
        <w:t>Energy</w:t>
      </w:r>
      <w:r>
        <w:rPr>
          <w:color w:val="131313"/>
          <w:spacing w:val="-12"/>
          <w:w w:val="110"/>
          <w:sz w:val="18"/>
        </w:rPr>
        <w:t xml:space="preserve"> </w:t>
      </w:r>
      <w:r>
        <w:rPr>
          <w:color w:val="131313"/>
          <w:w w:val="110"/>
          <w:sz w:val="18"/>
        </w:rPr>
        <w:t>Industry</w:t>
      </w:r>
      <w:r>
        <w:rPr>
          <w:color w:val="131313"/>
          <w:spacing w:val="-8"/>
          <w:w w:val="110"/>
          <w:sz w:val="18"/>
        </w:rPr>
        <w:t xml:space="preserve"> </w:t>
      </w:r>
      <w:r>
        <w:rPr>
          <w:color w:val="131313"/>
          <w:w w:val="110"/>
          <w:sz w:val="18"/>
        </w:rPr>
        <w:t>Levy</w:t>
      </w:r>
      <w:r>
        <w:rPr>
          <w:color w:val="131313"/>
          <w:spacing w:val="-17"/>
          <w:w w:val="110"/>
          <w:sz w:val="18"/>
        </w:rPr>
        <w:t xml:space="preserve"> </w:t>
      </w:r>
      <w:r>
        <w:rPr>
          <w:color w:val="131313"/>
          <w:w w:val="110"/>
          <w:sz w:val="18"/>
        </w:rPr>
        <w:t>(</w:t>
      </w:r>
      <w:r w:rsidR="00D535B3">
        <w:rPr>
          <w:color w:val="131313"/>
          <w:w w:val="110"/>
          <w:sz w:val="18"/>
        </w:rPr>
        <w:t>EIL</w:t>
      </w:r>
      <w:r>
        <w:rPr>
          <w:color w:val="131313"/>
          <w:w w:val="110"/>
          <w:sz w:val="18"/>
        </w:rPr>
        <w:t>),</w:t>
      </w:r>
      <w:r>
        <w:rPr>
          <w:color w:val="131313"/>
          <w:spacing w:val="-20"/>
          <w:w w:val="110"/>
          <w:sz w:val="18"/>
        </w:rPr>
        <w:t xml:space="preserve"> </w:t>
      </w:r>
      <w:r>
        <w:rPr>
          <w:color w:val="131313"/>
          <w:w w:val="110"/>
          <w:sz w:val="18"/>
        </w:rPr>
        <w:t>including</w:t>
      </w:r>
      <w:r>
        <w:rPr>
          <w:color w:val="131313"/>
          <w:spacing w:val="-22"/>
          <w:w w:val="110"/>
          <w:sz w:val="18"/>
        </w:rPr>
        <w:t xml:space="preserve"> </w:t>
      </w:r>
      <w:r>
        <w:rPr>
          <w:color w:val="131313"/>
          <w:w w:val="110"/>
          <w:sz w:val="18"/>
        </w:rPr>
        <w:t>the</w:t>
      </w:r>
      <w:r>
        <w:rPr>
          <w:color w:val="131313"/>
          <w:spacing w:val="4"/>
          <w:w w:val="110"/>
          <w:sz w:val="18"/>
        </w:rPr>
        <w:t xml:space="preserve"> </w:t>
      </w:r>
      <w:r>
        <w:rPr>
          <w:color w:val="131313"/>
          <w:w w:val="110"/>
          <w:sz w:val="18"/>
        </w:rPr>
        <w:t>range</w:t>
      </w:r>
      <w:r>
        <w:rPr>
          <w:color w:val="131313"/>
          <w:spacing w:val="-9"/>
          <w:w w:val="110"/>
          <w:sz w:val="18"/>
        </w:rPr>
        <w:t xml:space="preserve"> </w:t>
      </w:r>
      <w:r>
        <w:rPr>
          <w:color w:val="131313"/>
          <w:w w:val="110"/>
          <w:sz w:val="18"/>
        </w:rPr>
        <w:t>of regulatory</w:t>
      </w:r>
      <w:r>
        <w:rPr>
          <w:color w:val="131313"/>
          <w:spacing w:val="-12"/>
          <w:w w:val="110"/>
          <w:sz w:val="18"/>
        </w:rPr>
        <w:t xml:space="preserve"> </w:t>
      </w:r>
      <w:r>
        <w:rPr>
          <w:color w:val="131313"/>
          <w:w w:val="110"/>
          <w:sz w:val="18"/>
        </w:rPr>
        <w:t>costs</w:t>
      </w:r>
      <w:r>
        <w:rPr>
          <w:color w:val="131313"/>
          <w:spacing w:val="-18"/>
          <w:w w:val="110"/>
          <w:sz w:val="18"/>
        </w:rPr>
        <w:t xml:space="preserve"> </w:t>
      </w:r>
      <w:r>
        <w:rPr>
          <w:color w:val="131313"/>
          <w:w w:val="110"/>
          <w:sz w:val="18"/>
        </w:rPr>
        <w:t>to</w:t>
      </w:r>
      <w:r>
        <w:rPr>
          <w:color w:val="131313"/>
          <w:spacing w:val="-7"/>
          <w:w w:val="110"/>
          <w:sz w:val="18"/>
        </w:rPr>
        <w:t xml:space="preserve"> </w:t>
      </w:r>
      <w:r>
        <w:rPr>
          <w:color w:val="131313"/>
          <w:w w:val="110"/>
          <w:sz w:val="18"/>
        </w:rPr>
        <w:t>be</w:t>
      </w:r>
      <w:r>
        <w:rPr>
          <w:color w:val="131313"/>
          <w:spacing w:val="-22"/>
          <w:w w:val="110"/>
          <w:sz w:val="18"/>
        </w:rPr>
        <w:t xml:space="preserve"> </w:t>
      </w:r>
      <w:r>
        <w:rPr>
          <w:color w:val="131313"/>
          <w:w w:val="110"/>
          <w:sz w:val="18"/>
        </w:rPr>
        <w:t>recovered,</w:t>
      </w:r>
      <w:r>
        <w:rPr>
          <w:color w:val="131313"/>
          <w:spacing w:val="-16"/>
          <w:w w:val="110"/>
          <w:sz w:val="18"/>
        </w:rPr>
        <w:t xml:space="preserve"> </w:t>
      </w:r>
      <w:r>
        <w:rPr>
          <w:color w:val="131313"/>
          <w:w w:val="110"/>
          <w:sz w:val="18"/>
        </w:rPr>
        <w:t>is</w:t>
      </w:r>
      <w:r>
        <w:rPr>
          <w:color w:val="131313"/>
          <w:spacing w:val="-22"/>
          <w:w w:val="110"/>
          <w:sz w:val="18"/>
        </w:rPr>
        <w:t xml:space="preserve"> </w:t>
      </w:r>
      <w:r>
        <w:rPr>
          <w:color w:val="131313"/>
          <w:w w:val="110"/>
          <w:sz w:val="18"/>
        </w:rPr>
        <w:t>well</w:t>
      </w:r>
      <w:r>
        <w:rPr>
          <w:color w:val="131313"/>
          <w:spacing w:val="-20"/>
          <w:w w:val="110"/>
          <w:sz w:val="18"/>
        </w:rPr>
        <w:t xml:space="preserve"> </w:t>
      </w:r>
      <w:r>
        <w:rPr>
          <w:color w:val="131313"/>
          <w:w w:val="110"/>
          <w:sz w:val="18"/>
        </w:rPr>
        <w:t>understood</w:t>
      </w:r>
    </w:p>
    <w:p w:rsidR="004E6266" w:rsidRDefault="00D036C4">
      <w:pPr>
        <w:pStyle w:val="ListParagraph"/>
        <w:numPr>
          <w:ilvl w:val="0"/>
          <w:numId w:val="1"/>
        </w:numPr>
        <w:tabs>
          <w:tab w:val="left" w:pos="870"/>
          <w:tab w:val="left" w:pos="872"/>
        </w:tabs>
        <w:spacing w:before="16"/>
        <w:ind w:left="871" w:hanging="337"/>
        <w:rPr>
          <w:color w:val="282828"/>
          <w:sz w:val="18"/>
        </w:rPr>
      </w:pPr>
      <w:r>
        <w:rPr>
          <w:color w:val="131313"/>
          <w:w w:val="110"/>
          <w:sz w:val="18"/>
        </w:rPr>
        <w:t>The</w:t>
      </w:r>
      <w:r>
        <w:rPr>
          <w:color w:val="131313"/>
          <w:spacing w:val="-10"/>
          <w:w w:val="110"/>
          <w:sz w:val="18"/>
        </w:rPr>
        <w:t xml:space="preserve"> </w:t>
      </w:r>
      <w:r>
        <w:rPr>
          <w:color w:val="131313"/>
          <w:w w:val="110"/>
          <w:sz w:val="18"/>
        </w:rPr>
        <w:t>predictability</w:t>
      </w:r>
      <w:r>
        <w:rPr>
          <w:color w:val="131313"/>
          <w:spacing w:val="-18"/>
          <w:w w:val="110"/>
          <w:sz w:val="18"/>
        </w:rPr>
        <w:t xml:space="preserve"> </w:t>
      </w:r>
      <w:r>
        <w:rPr>
          <w:color w:val="131313"/>
          <w:w w:val="110"/>
          <w:sz w:val="18"/>
        </w:rPr>
        <w:t>of</w:t>
      </w:r>
      <w:r>
        <w:rPr>
          <w:color w:val="131313"/>
          <w:spacing w:val="-12"/>
          <w:w w:val="110"/>
          <w:sz w:val="18"/>
        </w:rPr>
        <w:t xml:space="preserve"> </w:t>
      </w:r>
      <w:r>
        <w:rPr>
          <w:color w:val="131313"/>
          <w:w w:val="110"/>
          <w:sz w:val="18"/>
        </w:rPr>
        <w:t>the</w:t>
      </w:r>
      <w:r>
        <w:rPr>
          <w:color w:val="131313"/>
          <w:spacing w:val="-12"/>
          <w:w w:val="110"/>
          <w:sz w:val="18"/>
        </w:rPr>
        <w:t xml:space="preserve"> </w:t>
      </w:r>
      <w:r>
        <w:rPr>
          <w:color w:val="131313"/>
          <w:w w:val="110"/>
          <w:sz w:val="18"/>
        </w:rPr>
        <w:t>annual</w:t>
      </w:r>
      <w:r>
        <w:rPr>
          <w:color w:val="131313"/>
          <w:spacing w:val="-1"/>
          <w:w w:val="110"/>
          <w:sz w:val="18"/>
        </w:rPr>
        <w:t xml:space="preserve"> </w:t>
      </w:r>
      <w:r>
        <w:rPr>
          <w:color w:val="131313"/>
          <w:w w:val="110"/>
          <w:sz w:val="18"/>
        </w:rPr>
        <w:t>levy</w:t>
      </w:r>
    </w:p>
    <w:p w:rsidR="004E6266" w:rsidRDefault="00D036C4">
      <w:pPr>
        <w:pStyle w:val="ListParagraph"/>
        <w:numPr>
          <w:ilvl w:val="0"/>
          <w:numId w:val="1"/>
        </w:numPr>
        <w:tabs>
          <w:tab w:val="left" w:pos="870"/>
          <w:tab w:val="left" w:pos="872"/>
        </w:tabs>
        <w:spacing w:before="95"/>
        <w:ind w:left="871" w:hanging="337"/>
        <w:rPr>
          <w:color w:val="282828"/>
          <w:sz w:val="18"/>
        </w:rPr>
      </w:pPr>
      <w:r>
        <w:rPr>
          <w:color w:val="131313"/>
          <w:w w:val="105"/>
          <w:sz w:val="18"/>
        </w:rPr>
        <w:t>The classification of regulatory</w:t>
      </w:r>
      <w:r>
        <w:rPr>
          <w:color w:val="131313"/>
          <w:spacing w:val="33"/>
          <w:w w:val="105"/>
          <w:sz w:val="18"/>
        </w:rPr>
        <w:t xml:space="preserve"> </w:t>
      </w:r>
      <w:r>
        <w:rPr>
          <w:color w:val="131313"/>
          <w:w w:val="105"/>
          <w:sz w:val="18"/>
        </w:rPr>
        <w:t>costs</w:t>
      </w:r>
    </w:p>
    <w:p w:rsidR="004E6266" w:rsidRDefault="00D535B3">
      <w:pPr>
        <w:pStyle w:val="ListParagraph"/>
        <w:numPr>
          <w:ilvl w:val="0"/>
          <w:numId w:val="1"/>
        </w:numPr>
        <w:tabs>
          <w:tab w:val="left" w:pos="866"/>
          <w:tab w:val="left" w:pos="867"/>
        </w:tabs>
        <w:spacing w:before="105"/>
        <w:ind w:left="866" w:hanging="337"/>
        <w:rPr>
          <w:color w:val="131313"/>
          <w:sz w:val="18"/>
        </w:rPr>
      </w:pPr>
      <w:r>
        <w:rPr>
          <w:color w:val="131313"/>
          <w:w w:val="105"/>
          <w:sz w:val="18"/>
        </w:rPr>
        <w:t xml:space="preserve">The levy's retrospective </w:t>
      </w:r>
      <w:r w:rsidR="00D036C4">
        <w:rPr>
          <w:color w:val="131313"/>
          <w:w w:val="105"/>
          <w:sz w:val="18"/>
        </w:rPr>
        <w:t>adjustment</w:t>
      </w:r>
      <w:r w:rsidR="00D036C4">
        <w:rPr>
          <w:color w:val="131313"/>
          <w:spacing w:val="36"/>
          <w:w w:val="105"/>
          <w:sz w:val="18"/>
        </w:rPr>
        <w:t xml:space="preserve"> </w:t>
      </w:r>
      <w:r w:rsidR="00D036C4">
        <w:rPr>
          <w:color w:val="131313"/>
          <w:w w:val="105"/>
          <w:sz w:val="18"/>
        </w:rPr>
        <w:t>mechanism.</w:t>
      </w:r>
    </w:p>
    <w:p w:rsidR="004E6266" w:rsidRDefault="004E6266">
      <w:pPr>
        <w:pStyle w:val="BodyText"/>
        <w:spacing w:before="6"/>
        <w:rPr>
          <w:sz w:val="24"/>
        </w:rPr>
      </w:pPr>
    </w:p>
    <w:p w:rsidR="004E6266" w:rsidRDefault="00D036C4">
      <w:pPr>
        <w:pStyle w:val="BodyText"/>
        <w:spacing w:line="345" w:lineRule="auto"/>
        <w:ind w:left="181" w:right="356"/>
      </w:pPr>
      <w:r>
        <w:rPr>
          <w:color w:val="131313"/>
          <w:w w:val="105"/>
        </w:rPr>
        <w:t>In addition the discussion paper sets out alternative methodologies to distribute total regulatory costs amongst energy operators and seeks feedback on these alternative methodologies</w:t>
      </w:r>
      <w:r>
        <w:rPr>
          <w:color w:val="484848"/>
          <w:w w:val="105"/>
        </w:rPr>
        <w:t>.</w:t>
      </w:r>
    </w:p>
    <w:p w:rsidR="004E6266" w:rsidRDefault="004E6266">
      <w:pPr>
        <w:pStyle w:val="BodyText"/>
        <w:spacing w:before="4"/>
        <w:rPr>
          <w:sz w:val="16"/>
        </w:rPr>
      </w:pPr>
    </w:p>
    <w:p w:rsidR="004E6266" w:rsidRDefault="00D036C4">
      <w:pPr>
        <w:pStyle w:val="BodyText"/>
        <w:spacing w:line="345" w:lineRule="auto"/>
        <w:ind w:left="173" w:firstLine="1"/>
      </w:pPr>
      <w:r>
        <w:rPr>
          <w:color w:val="131313"/>
          <w:w w:val="110"/>
        </w:rPr>
        <w:t>The</w:t>
      </w:r>
      <w:r>
        <w:rPr>
          <w:color w:val="131313"/>
          <w:spacing w:val="-21"/>
          <w:w w:val="110"/>
        </w:rPr>
        <w:t xml:space="preserve"> </w:t>
      </w:r>
      <w:r>
        <w:rPr>
          <w:color w:val="131313"/>
          <w:w w:val="110"/>
        </w:rPr>
        <w:t>Commission</w:t>
      </w:r>
      <w:r>
        <w:rPr>
          <w:color w:val="131313"/>
          <w:spacing w:val="-10"/>
          <w:w w:val="110"/>
        </w:rPr>
        <w:t xml:space="preserve"> </w:t>
      </w:r>
      <w:r>
        <w:rPr>
          <w:color w:val="131313"/>
          <w:w w:val="110"/>
        </w:rPr>
        <w:t>has</w:t>
      </w:r>
      <w:r>
        <w:rPr>
          <w:color w:val="131313"/>
          <w:spacing w:val="-16"/>
          <w:w w:val="110"/>
        </w:rPr>
        <w:t xml:space="preserve"> </w:t>
      </w:r>
      <w:r>
        <w:rPr>
          <w:color w:val="131313"/>
          <w:w w:val="110"/>
        </w:rPr>
        <w:t>relevant</w:t>
      </w:r>
      <w:r>
        <w:rPr>
          <w:color w:val="131313"/>
          <w:spacing w:val="-15"/>
          <w:w w:val="110"/>
        </w:rPr>
        <w:t xml:space="preserve"> </w:t>
      </w:r>
      <w:r>
        <w:rPr>
          <w:color w:val="131313"/>
          <w:w w:val="110"/>
        </w:rPr>
        <w:t>experience</w:t>
      </w:r>
      <w:r>
        <w:rPr>
          <w:color w:val="131313"/>
          <w:spacing w:val="-15"/>
          <w:w w:val="110"/>
        </w:rPr>
        <w:t xml:space="preserve"> </w:t>
      </w:r>
      <w:r>
        <w:rPr>
          <w:color w:val="131313"/>
          <w:w w:val="110"/>
        </w:rPr>
        <w:t>with</w:t>
      </w:r>
      <w:r>
        <w:rPr>
          <w:color w:val="131313"/>
          <w:spacing w:val="-24"/>
          <w:w w:val="110"/>
        </w:rPr>
        <w:t xml:space="preserve"> </w:t>
      </w:r>
      <w:r>
        <w:rPr>
          <w:color w:val="131313"/>
          <w:w w:val="110"/>
        </w:rPr>
        <w:t>the</w:t>
      </w:r>
      <w:r>
        <w:rPr>
          <w:color w:val="131313"/>
          <w:spacing w:val="-21"/>
          <w:w w:val="110"/>
        </w:rPr>
        <w:t xml:space="preserve"> </w:t>
      </w:r>
      <w:r>
        <w:rPr>
          <w:color w:val="131313"/>
          <w:w w:val="110"/>
        </w:rPr>
        <w:t>determination</w:t>
      </w:r>
      <w:r>
        <w:rPr>
          <w:color w:val="131313"/>
          <w:spacing w:val="-10"/>
          <w:w w:val="110"/>
        </w:rPr>
        <w:t xml:space="preserve"> </w:t>
      </w:r>
      <w:r>
        <w:rPr>
          <w:color w:val="131313"/>
          <w:w w:val="110"/>
        </w:rPr>
        <w:t>of</w:t>
      </w:r>
      <w:r>
        <w:rPr>
          <w:color w:val="131313"/>
          <w:spacing w:val="-16"/>
          <w:w w:val="110"/>
        </w:rPr>
        <w:t xml:space="preserve"> </w:t>
      </w:r>
      <w:r>
        <w:rPr>
          <w:color w:val="131313"/>
          <w:w w:val="110"/>
        </w:rPr>
        <w:t>regulatory</w:t>
      </w:r>
      <w:r>
        <w:rPr>
          <w:color w:val="131313"/>
          <w:spacing w:val="-13"/>
          <w:w w:val="110"/>
        </w:rPr>
        <w:t xml:space="preserve"> </w:t>
      </w:r>
      <w:r>
        <w:rPr>
          <w:color w:val="131313"/>
          <w:w w:val="110"/>
        </w:rPr>
        <w:t>costs</w:t>
      </w:r>
      <w:r>
        <w:rPr>
          <w:color w:val="131313"/>
          <w:spacing w:val="-17"/>
          <w:w w:val="110"/>
        </w:rPr>
        <w:t xml:space="preserve"> </w:t>
      </w:r>
      <w:r>
        <w:rPr>
          <w:color w:val="131313"/>
          <w:w w:val="110"/>
        </w:rPr>
        <w:t>in</w:t>
      </w:r>
      <w:r>
        <w:rPr>
          <w:color w:val="131313"/>
          <w:spacing w:val="-13"/>
          <w:w w:val="110"/>
        </w:rPr>
        <w:t xml:space="preserve"> </w:t>
      </w:r>
      <w:r>
        <w:rPr>
          <w:color w:val="131313"/>
          <w:w w:val="110"/>
        </w:rPr>
        <w:t>the</w:t>
      </w:r>
      <w:r>
        <w:rPr>
          <w:color w:val="131313"/>
          <w:spacing w:val="-4"/>
          <w:w w:val="110"/>
        </w:rPr>
        <w:t xml:space="preserve"> </w:t>
      </w:r>
      <w:r>
        <w:rPr>
          <w:color w:val="131313"/>
          <w:w w:val="110"/>
        </w:rPr>
        <w:t>energy sector</w:t>
      </w:r>
      <w:r>
        <w:rPr>
          <w:color w:val="131313"/>
          <w:spacing w:val="-9"/>
          <w:w w:val="110"/>
        </w:rPr>
        <w:t xml:space="preserve"> </w:t>
      </w:r>
      <w:r>
        <w:rPr>
          <w:color w:val="131313"/>
          <w:w w:val="110"/>
        </w:rPr>
        <w:t>and</w:t>
      </w:r>
      <w:r>
        <w:rPr>
          <w:color w:val="131313"/>
          <w:spacing w:val="-17"/>
          <w:w w:val="110"/>
        </w:rPr>
        <w:t xml:space="preserve"> </w:t>
      </w:r>
      <w:r>
        <w:rPr>
          <w:color w:val="131313"/>
          <w:w w:val="110"/>
        </w:rPr>
        <w:t>is</w:t>
      </w:r>
      <w:r>
        <w:rPr>
          <w:color w:val="131313"/>
          <w:spacing w:val="-18"/>
          <w:w w:val="110"/>
        </w:rPr>
        <w:t xml:space="preserve"> </w:t>
      </w:r>
      <w:r>
        <w:rPr>
          <w:color w:val="131313"/>
          <w:w w:val="110"/>
        </w:rPr>
        <w:t>well</w:t>
      </w:r>
      <w:r>
        <w:rPr>
          <w:color w:val="131313"/>
          <w:spacing w:val="-16"/>
          <w:w w:val="110"/>
        </w:rPr>
        <w:t xml:space="preserve"> </w:t>
      </w:r>
      <w:r>
        <w:rPr>
          <w:color w:val="131313"/>
          <w:w w:val="110"/>
        </w:rPr>
        <w:t>placed</w:t>
      </w:r>
      <w:r>
        <w:rPr>
          <w:color w:val="131313"/>
          <w:spacing w:val="-11"/>
          <w:w w:val="110"/>
        </w:rPr>
        <w:t xml:space="preserve"> </w:t>
      </w:r>
      <w:r>
        <w:rPr>
          <w:color w:val="131313"/>
          <w:w w:val="110"/>
        </w:rPr>
        <w:t>to</w:t>
      </w:r>
      <w:r>
        <w:rPr>
          <w:color w:val="131313"/>
          <w:spacing w:val="-4"/>
          <w:w w:val="110"/>
        </w:rPr>
        <w:t xml:space="preserve"> </w:t>
      </w:r>
      <w:r>
        <w:rPr>
          <w:color w:val="131313"/>
          <w:w w:val="110"/>
        </w:rPr>
        <w:t>comment</w:t>
      </w:r>
      <w:r>
        <w:rPr>
          <w:color w:val="131313"/>
          <w:spacing w:val="-7"/>
          <w:w w:val="110"/>
        </w:rPr>
        <w:t xml:space="preserve"> </w:t>
      </w:r>
      <w:r>
        <w:rPr>
          <w:color w:val="131313"/>
          <w:w w:val="110"/>
        </w:rPr>
        <w:t>on</w:t>
      </w:r>
      <w:r>
        <w:rPr>
          <w:color w:val="131313"/>
          <w:spacing w:val="-13"/>
          <w:w w:val="110"/>
        </w:rPr>
        <w:t xml:space="preserve"> </w:t>
      </w:r>
      <w:r>
        <w:rPr>
          <w:color w:val="131313"/>
          <w:w w:val="110"/>
        </w:rPr>
        <w:t>each</w:t>
      </w:r>
      <w:r>
        <w:rPr>
          <w:color w:val="131313"/>
          <w:spacing w:val="-7"/>
          <w:w w:val="110"/>
        </w:rPr>
        <w:t xml:space="preserve"> </w:t>
      </w:r>
      <w:r>
        <w:rPr>
          <w:color w:val="131313"/>
          <w:w w:val="110"/>
        </w:rPr>
        <w:t>of</w:t>
      </w:r>
      <w:r>
        <w:rPr>
          <w:color w:val="131313"/>
          <w:spacing w:val="-7"/>
          <w:w w:val="110"/>
        </w:rPr>
        <w:t xml:space="preserve"> </w:t>
      </w:r>
      <w:r>
        <w:rPr>
          <w:color w:val="131313"/>
          <w:w w:val="110"/>
        </w:rPr>
        <w:t>the</w:t>
      </w:r>
      <w:r>
        <w:rPr>
          <w:color w:val="131313"/>
          <w:spacing w:val="4"/>
          <w:w w:val="110"/>
        </w:rPr>
        <w:t xml:space="preserve"> </w:t>
      </w:r>
      <w:r>
        <w:rPr>
          <w:color w:val="131313"/>
          <w:w w:val="110"/>
        </w:rPr>
        <w:t>matters</w:t>
      </w:r>
      <w:r>
        <w:rPr>
          <w:color w:val="131313"/>
          <w:spacing w:val="-10"/>
          <w:w w:val="110"/>
        </w:rPr>
        <w:t xml:space="preserve"> </w:t>
      </w:r>
      <w:r>
        <w:rPr>
          <w:color w:val="131313"/>
          <w:w w:val="110"/>
        </w:rPr>
        <w:t>referred</w:t>
      </w:r>
      <w:r>
        <w:rPr>
          <w:color w:val="131313"/>
          <w:spacing w:val="-14"/>
          <w:w w:val="110"/>
        </w:rPr>
        <w:t xml:space="preserve"> </w:t>
      </w:r>
      <w:r>
        <w:rPr>
          <w:color w:val="131313"/>
          <w:w w:val="110"/>
        </w:rPr>
        <w:t>to.</w:t>
      </w:r>
    </w:p>
    <w:p w:rsidR="004E6266" w:rsidRDefault="00D036C4">
      <w:pPr>
        <w:pStyle w:val="Heading1"/>
        <w:ind w:left="173"/>
      </w:pPr>
      <w:r>
        <w:rPr>
          <w:color w:val="1A80B8"/>
          <w:w w:val="105"/>
        </w:rPr>
        <w:t>Purpose of the Energy Industry Levy</w:t>
      </w:r>
    </w:p>
    <w:p w:rsidR="004E6266" w:rsidRDefault="00D036C4">
      <w:pPr>
        <w:pStyle w:val="BodyText"/>
        <w:spacing w:before="64" w:line="338" w:lineRule="auto"/>
        <w:ind w:left="147" w:right="280" w:firstLine="13"/>
      </w:pPr>
      <w:r>
        <w:rPr>
          <w:color w:val="131313"/>
          <w:w w:val="105"/>
        </w:rPr>
        <w:t>The discussion p</w:t>
      </w:r>
      <w:r w:rsidR="00D535B3">
        <w:rPr>
          <w:color w:val="131313"/>
          <w:w w:val="105"/>
        </w:rPr>
        <w:t>aper notes (page 5) that the EIL</w:t>
      </w:r>
      <w:r>
        <w:rPr>
          <w:color w:val="131313"/>
          <w:w w:val="105"/>
        </w:rPr>
        <w:t xml:space="preserve"> is intended to fully recover regulatory costs. </w:t>
      </w:r>
      <w:r w:rsidR="00D535B3">
        <w:rPr>
          <w:color w:val="131313"/>
          <w:w w:val="105"/>
        </w:rPr>
        <w:t xml:space="preserve">While </w:t>
      </w:r>
      <w:r>
        <w:rPr>
          <w:color w:val="131313"/>
          <w:w w:val="105"/>
        </w:rPr>
        <w:t xml:space="preserve">the relevant legislation only refers to recovering 'reasonable costs' the Explanatory Statement to the </w:t>
      </w:r>
      <w:r>
        <w:rPr>
          <w:i/>
          <w:color w:val="131313"/>
          <w:w w:val="105"/>
        </w:rPr>
        <w:t>Utilities (Ener</w:t>
      </w:r>
      <w:r w:rsidR="00D535B3">
        <w:rPr>
          <w:i/>
          <w:color w:val="131313"/>
          <w:w w:val="105"/>
        </w:rPr>
        <w:t xml:space="preserve">gy Industry Levy) Amendment Bill </w:t>
      </w:r>
      <w:r>
        <w:rPr>
          <w:i/>
          <w:color w:val="131313"/>
          <w:w w:val="105"/>
        </w:rPr>
        <w:t xml:space="preserve">2007 </w:t>
      </w:r>
      <w:r>
        <w:rPr>
          <w:color w:val="131313"/>
          <w:w w:val="105"/>
        </w:rPr>
        <w:t xml:space="preserve">states that the purpose of the levy is to provide "funds to cover the ACT's financial obligations in relation to </w:t>
      </w:r>
      <w:r>
        <w:rPr>
          <w:color w:val="131313"/>
          <w:spacing w:val="3"/>
          <w:w w:val="105"/>
        </w:rPr>
        <w:t xml:space="preserve">national </w:t>
      </w:r>
      <w:r>
        <w:rPr>
          <w:color w:val="131313"/>
          <w:w w:val="105"/>
        </w:rPr>
        <w:t xml:space="preserve">and local regulatory activities". With full cost recovery being implicit in the operation of the methodology specified in Section 54 </w:t>
      </w:r>
      <w:r>
        <w:rPr>
          <w:rFonts w:ascii="Times New Roman"/>
          <w:color w:val="131313"/>
          <w:w w:val="105"/>
          <w:sz w:val="20"/>
        </w:rPr>
        <w:t xml:space="preserve">(C)    </w:t>
      </w:r>
      <w:r w:rsidR="00D535B3">
        <w:rPr>
          <w:color w:val="131313"/>
          <w:w w:val="105"/>
        </w:rPr>
        <w:t>of the Utilities Act, the statement made in the</w:t>
      </w:r>
      <w:r>
        <w:rPr>
          <w:color w:val="131313"/>
          <w:w w:val="105"/>
        </w:rPr>
        <w:t xml:space="preserve"> Discussion Paper is an appropriate i</w:t>
      </w:r>
      <w:r w:rsidR="00D535B3">
        <w:rPr>
          <w:color w:val="131313"/>
          <w:w w:val="105"/>
        </w:rPr>
        <w:t xml:space="preserve">nterpretation of </w:t>
      </w:r>
      <w:r>
        <w:rPr>
          <w:color w:val="131313"/>
          <w:w w:val="105"/>
        </w:rPr>
        <w:t>the</w:t>
      </w:r>
      <w:r>
        <w:rPr>
          <w:color w:val="131313"/>
          <w:spacing w:val="46"/>
          <w:w w:val="105"/>
        </w:rPr>
        <w:t xml:space="preserve"> </w:t>
      </w:r>
      <w:r>
        <w:rPr>
          <w:color w:val="131313"/>
          <w:w w:val="105"/>
        </w:rPr>
        <w:t>legislation.</w:t>
      </w:r>
    </w:p>
    <w:p w:rsidR="004E6266" w:rsidRDefault="004E6266">
      <w:pPr>
        <w:pStyle w:val="BodyText"/>
        <w:spacing w:before="11"/>
        <w:rPr>
          <w:sz w:val="16"/>
        </w:rPr>
      </w:pPr>
    </w:p>
    <w:p w:rsidR="004E6266" w:rsidRDefault="00D036C4">
      <w:pPr>
        <w:pStyle w:val="BodyText"/>
        <w:spacing w:line="343" w:lineRule="auto"/>
        <w:ind w:left="137" w:firstLine="4"/>
      </w:pPr>
      <w:r>
        <w:rPr>
          <w:color w:val="131313"/>
          <w:w w:val="110"/>
        </w:rPr>
        <w:t>The methodology specified in the legislation is designed to recover reasonable regulatory costs through a two step process. First the net regulatory costs for the coming levy year are estimated. Second,</w:t>
      </w:r>
      <w:r>
        <w:rPr>
          <w:color w:val="131313"/>
          <w:spacing w:val="-21"/>
          <w:w w:val="110"/>
        </w:rPr>
        <w:t xml:space="preserve"> </w:t>
      </w:r>
      <w:r>
        <w:rPr>
          <w:color w:val="131313"/>
          <w:w w:val="110"/>
        </w:rPr>
        <w:t>the</w:t>
      </w:r>
      <w:r>
        <w:rPr>
          <w:color w:val="131313"/>
          <w:spacing w:val="-5"/>
          <w:w w:val="110"/>
        </w:rPr>
        <w:t xml:space="preserve"> </w:t>
      </w:r>
      <w:r>
        <w:rPr>
          <w:color w:val="131313"/>
          <w:w w:val="110"/>
        </w:rPr>
        <w:t>estimate</w:t>
      </w:r>
      <w:r>
        <w:rPr>
          <w:color w:val="131313"/>
          <w:spacing w:val="-17"/>
          <w:w w:val="110"/>
        </w:rPr>
        <w:t xml:space="preserve"> </w:t>
      </w:r>
      <w:r>
        <w:rPr>
          <w:color w:val="131313"/>
          <w:w w:val="110"/>
        </w:rPr>
        <w:t>of</w:t>
      </w:r>
      <w:r>
        <w:rPr>
          <w:color w:val="131313"/>
          <w:spacing w:val="-23"/>
          <w:w w:val="110"/>
        </w:rPr>
        <w:t xml:space="preserve"> </w:t>
      </w:r>
      <w:r>
        <w:rPr>
          <w:color w:val="131313"/>
          <w:w w:val="110"/>
        </w:rPr>
        <w:t>the</w:t>
      </w:r>
      <w:r>
        <w:rPr>
          <w:color w:val="131313"/>
          <w:spacing w:val="-15"/>
          <w:w w:val="110"/>
        </w:rPr>
        <w:t xml:space="preserve"> </w:t>
      </w:r>
      <w:r>
        <w:rPr>
          <w:color w:val="131313"/>
          <w:w w:val="110"/>
        </w:rPr>
        <w:t>previous</w:t>
      </w:r>
      <w:r>
        <w:rPr>
          <w:color w:val="131313"/>
          <w:spacing w:val="-11"/>
          <w:w w:val="110"/>
        </w:rPr>
        <w:t xml:space="preserve"> </w:t>
      </w:r>
      <w:r>
        <w:rPr>
          <w:color w:val="131313"/>
          <w:w w:val="110"/>
        </w:rPr>
        <w:t>year's</w:t>
      </w:r>
      <w:r>
        <w:rPr>
          <w:color w:val="131313"/>
          <w:spacing w:val="-13"/>
          <w:w w:val="110"/>
        </w:rPr>
        <w:t xml:space="preserve"> </w:t>
      </w:r>
      <w:r>
        <w:rPr>
          <w:color w:val="131313"/>
          <w:w w:val="110"/>
        </w:rPr>
        <w:t>net</w:t>
      </w:r>
      <w:r>
        <w:rPr>
          <w:color w:val="131313"/>
          <w:spacing w:val="-7"/>
          <w:w w:val="110"/>
        </w:rPr>
        <w:t xml:space="preserve"> </w:t>
      </w:r>
      <w:r>
        <w:rPr>
          <w:color w:val="131313"/>
          <w:w w:val="110"/>
        </w:rPr>
        <w:t>regulatory</w:t>
      </w:r>
      <w:r>
        <w:rPr>
          <w:color w:val="131313"/>
          <w:spacing w:val="-12"/>
          <w:w w:val="110"/>
        </w:rPr>
        <w:t xml:space="preserve"> </w:t>
      </w:r>
      <w:r>
        <w:rPr>
          <w:color w:val="131313"/>
          <w:w w:val="110"/>
        </w:rPr>
        <w:t>costs</w:t>
      </w:r>
      <w:r>
        <w:rPr>
          <w:color w:val="131313"/>
          <w:spacing w:val="-19"/>
          <w:w w:val="110"/>
        </w:rPr>
        <w:t xml:space="preserve"> </w:t>
      </w:r>
      <w:r>
        <w:rPr>
          <w:color w:val="131313"/>
          <w:w w:val="110"/>
        </w:rPr>
        <w:t>is</w:t>
      </w:r>
      <w:r>
        <w:rPr>
          <w:color w:val="131313"/>
          <w:spacing w:val="-21"/>
          <w:w w:val="110"/>
        </w:rPr>
        <w:t xml:space="preserve"> </w:t>
      </w:r>
      <w:r>
        <w:rPr>
          <w:color w:val="131313"/>
          <w:w w:val="110"/>
        </w:rPr>
        <w:t>reconciled</w:t>
      </w:r>
      <w:r>
        <w:rPr>
          <w:color w:val="131313"/>
          <w:spacing w:val="-9"/>
          <w:w w:val="110"/>
        </w:rPr>
        <w:t xml:space="preserve"> </w:t>
      </w:r>
      <w:r>
        <w:rPr>
          <w:color w:val="131313"/>
          <w:w w:val="110"/>
        </w:rPr>
        <w:t>against</w:t>
      </w:r>
      <w:r>
        <w:rPr>
          <w:color w:val="131313"/>
          <w:spacing w:val="-17"/>
          <w:w w:val="110"/>
        </w:rPr>
        <w:t xml:space="preserve"> </w:t>
      </w:r>
      <w:r>
        <w:rPr>
          <w:color w:val="131313"/>
          <w:w w:val="110"/>
        </w:rPr>
        <w:t>the</w:t>
      </w:r>
      <w:r>
        <w:rPr>
          <w:color w:val="131313"/>
          <w:spacing w:val="-1"/>
          <w:w w:val="110"/>
        </w:rPr>
        <w:t xml:space="preserve"> </w:t>
      </w:r>
      <w:r>
        <w:rPr>
          <w:color w:val="131313"/>
          <w:w w:val="110"/>
        </w:rPr>
        <w:t>levy</w:t>
      </w:r>
      <w:r>
        <w:rPr>
          <w:color w:val="131313"/>
          <w:spacing w:val="-21"/>
          <w:w w:val="110"/>
        </w:rPr>
        <w:t xml:space="preserve"> </w:t>
      </w:r>
      <w:r>
        <w:rPr>
          <w:color w:val="131313"/>
          <w:w w:val="110"/>
        </w:rPr>
        <w:t>paid</w:t>
      </w:r>
      <w:r>
        <w:rPr>
          <w:color w:val="131313"/>
          <w:spacing w:val="-22"/>
          <w:w w:val="110"/>
        </w:rPr>
        <w:t xml:space="preserve"> </w:t>
      </w:r>
      <w:r>
        <w:rPr>
          <w:color w:val="131313"/>
          <w:w w:val="110"/>
        </w:rPr>
        <w:t xml:space="preserve">in the previous year. The net regulatory cost for the coming levy year is then adjusted to reflect any </w:t>
      </w:r>
      <w:r>
        <w:rPr>
          <w:color w:val="9C9C9C"/>
          <w:w w:val="110"/>
        </w:rPr>
        <w:t xml:space="preserve">· </w:t>
      </w:r>
      <w:r>
        <w:rPr>
          <w:color w:val="131313"/>
          <w:w w:val="110"/>
        </w:rPr>
        <w:t>under</w:t>
      </w:r>
      <w:r>
        <w:rPr>
          <w:color w:val="131313"/>
          <w:spacing w:val="-12"/>
          <w:w w:val="110"/>
        </w:rPr>
        <w:t xml:space="preserve"> </w:t>
      </w:r>
      <w:r>
        <w:rPr>
          <w:color w:val="131313"/>
          <w:w w:val="110"/>
        </w:rPr>
        <w:t>or</w:t>
      </w:r>
      <w:r>
        <w:rPr>
          <w:color w:val="131313"/>
          <w:spacing w:val="-11"/>
          <w:w w:val="110"/>
        </w:rPr>
        <w:t xml:space="preserve"> </w:t>
      </w:r>
      <w:r>
        <w:rPr>
          <w:color w:val="131313"/>
          <w:w w:val="110"/>
        </w:rPr>
        <w:t>over</w:t>
      </w:r>
      <w:r>
        <w:rPr>
          <w:color w:val="131313"/>
          <w:spacing w:val="-9"/>
          <w:w w:val="110"/>
        </w:rPr>
        <w:t xml:space="preserve"> </w:t>
      </w:r>
      <w:r>
        <w:rPr>
          <w:color w:val="131313"/>
          <w:w w:val="110"/>
        </w:rPr>
        <w:t>recovery</w:t>
      </w:r>
      <w:r>
        <w:rPr>
          <w:color w:val="131313"/>
          <w:spacing w:val="-14"/>
          <w:w w:val="110"/>
        </w:rPr>
        <w:t xml:space="preserve"> </w:t>
      </w:r>
      <w:r>
        <w:rPr>
          <w:color w:val="131313"/>
          <w:w w:val="110"/>
        </w:rPr>
        <w:t>in</w:t>
      </w:r>
      <w:r>
        <w:rPr>
          <w:color w:val="131313"/>
          <w:spacing w:val="-15"/>
          <w:w w:val="110"/>
        </w:rPr>
        <w:t xml:space="preserve"> </w:t>
      </w:r>
      <w:r>
        <w:rPr>
          <w:color w:val="131313"/>
          <w:w w:val="110"/>
        </w:rPr>
        <w:t>the</w:t>
      </w:r>
      <w:r>
        <w:rPr>
          <w:color w:val="131313"/>
          <w:spacing w:val="-1"/>
          <w:w w:val="110"/>
        </w:rPr>
        <w:t xml:space="preserve"> </w:t>
      </w:r>
      <w:r>
        <w:rPr>
          <w:color w:val="131313"/>
          <w:w w:val="110"/>
        </w:rPr>
        <w:t>previous</w:t>
      </w:r>
      <w:r>
        <w:rPr>
          <w:color w:val="131313"/>
          <w:spacing w:val="-9"/>
          <w:w w:val="110"/>
        </w:rPr>
        <w:t xml:space="preserve"> </w:t>
      </w:r>
      <w:r>
        <w:rPr>
          <w:color w:val="131313"/>
          <w:w w:val="110"/>
        </w:rPr>
        <w:t>levy</w:t>
      </w:r>
      <w:r>
        <w:rPr>
          <w:color w:val="131313"/>
          <w:spacing w:val="-14"/>
          <w:w w:val="110"/>
        </w:rPr>
        <w:t xml:space="preserve"> </w:t>
      </w:r>
      <w:r>
        <w:rPr>
          <w:color w:val="131313"/>
          <w:w w:val="110"/>
        </w:rPr>
        <w:t>year.</w:t>
      </w:r>
      <w:r>
        <w:rPr>
          <w:color w:val="131313"/>
          <w:spacing w:val="-17"/>
          <w:w w:val="110"/>
        </w:rPr>
        <w:t xml:space="preserve"> </w:t>
      </w:r>
      <w:r>
        <w:rPr>
          <w:color w:val="131313"/>
          <w:w w:val="110"/>
        </w:rPr>
        <w:t>The</w:t>
      </w:r>
      <w:r>
        <w:rPr>
          <w:color w:val="131313"/>
          <w:spacing w:val="-13"/>
          <w:w w:val="110"/>
        </w:rPr>
        <w:t xml:space="preserve"> </w:t>
      </w:r>
      <w:r>
        <w:rPr>
          <w:color w:val="131313"/>
          <w:w w:val="110"/>
        </w:rPr>
        <w:t>methodology</w:t>
      </w:r>
      <w:r>
        <w:rPr>
          <w:color w:val="131313"/>
          <w:spacing w:val="2"/>
          <w:w w:val="110"/>
        </w:rPr>
        <w:t xml:space="preserve"> </w:t>
      </w:r>
      <w:r>
        <w:rPr>
          <w:color w:val="131313"/>
          <w:w w:val="110"/>
        </w:rPr>
        <w:t>ensures</w:t>
      </w:r>
      <w:r>
        <w:rPr>
          <w:color w:val="131313"/>
          <w:spacing w:val="-17"/>
          <w:w w:val="110"/>
        </w:rPr>
        <w:t xml:space="preserve"> </w:t>
      </w:r>
      <w:r>
        <w:rPr>
          <w:color w:val="131313"/>
          <w:w w:val="110"/>
        </w:rPr>
        <w:t>that</w:t>
      </w:r>
      <w:r>
        <w:rPr>
          <w:color w:val="131313"/>
          <w:spacing w:val="-17"/>
          <w:w w:val="110"/>
        </w:rPr>
        <w:t xml:space="preserve"> </w:t>
      </w:r>
      <w:r>
        <w:rPr>
          <w:color w:val="131313"/>
          <w:w w:val="110"/>
        </w:rPr>
        <w:t>the</w:t>
      </w:r>
      <w:r>
        <w:rPr>
          <w:color w:val="131313"/>
          <w:spacing w:val="-19"/>
          <w:w w:val="110"/>
        </w:rPr>
        <w:t xml:space="preserve"> </w:t>
      </w:r>
      <w:r>
        <w:rPr>
          <w:color w:val="131313"/>
          <w:w w:val="110"/>
        </w:rPr>
        <w:t>levy</w:t>
      </w:r>
      <w:r>
        <w:rPr>
          <w:color w:val="131313"/>
          <w:spacing w:val="-13"/>
          <w:w w:val="110"/>
        </w:rPr>
        <w:t xml:space="preserve"> </w:t>
      </w:r>
      <w:r>
        <w:rPr>
          <w:color w:val="131313"/>
          <w:w w:val="110"/>
        </w:rPr>
        <w:t>payments (with</w:t>
      </w:r>
      <w:r>
        <w:rPr>
          <w:color w:val="131313"/>
          <w:spacing w:val="-12"/>
          <w:w w:val="110"/>
        </w:rPr>
        <w:t xml:space="preserve"> </w:t>
      </w:r>
      <w:r>
        <w:rPr>
          <w:color w:val="131313"/>
          <w:w w:val="110"/>
        </w:rPr>
        <w:t>a</w:t>
      </w:r>
      <w:r>
        <w:rPr>
          <w:color w:val="131313"/>
          <w:spacing w:val="-20"/>
          <w:w w:val="110"/>
        </w:rPr>
        <w:t xml:space="preserve"> </w:t>
      </w:r>
      <w:r>
        <w:rPr>
          <w:color w:val="131313"/>
          <w:w w:val="110"/>
        </w:rPr>
        <w:t>one</w:t>
      </w:r>
      <w:r>
        <w:rPr>
          <w:color w:val="131313"/>
          <w:spacing w:val="-20"/>
          <w:w w:val="110"/>
        </w:rPr>
        <w:t xml:space="preserve"> </w:t>
      </w:r>
      <w:r>
        <w:rPr>
          <w:color w:val="131313"/>
          <w:w w:val="110"/>
        </w:rPr>
        <w:t>year</w:t>
      </w:r>
      <w:r>
        <w:rPr>
          <w:color w:val="131313"/>
          <w:spacing w:val="-13"/>
          <w:w w:val="110"/>
        </w:rPr>
        <w:t xml:space="preserve"> </w:t>
      </w:r>
      <w:r>
        <w:rPr>
          <w:color w:val="131313"/>
          <w:w w:val="110"/>
        </w:rPr>
        <w:t>lag)</w:t>
      </w:r>
      <w:r>
        <w:rPr>
          <w:color w:val="131313"/>
          <w:spacing w:val="-13"/>
          <w:w w:val="110"/>
        </w:rPr>
        <w:t xml:space="preserve"> </w:t>
      </w:r>
      <w:r>
        <w:rPr>
          <w:color w:val="131313"/>
          <w:w w:val="110"/>
        </w:rPr>
        <w:t>match</w:t>
      </w:r>
      <w:r>
        <w:rPr>
          <w:color w:val="131313"/>
          <w:spacing w:val="-16"/>
          <w:w w:val="110"/>
        </w:rPr>
        <w:t xml:space="preserve"> </w:t>
      </w:r>
      <w:r>
        <w:rPr>
          <w:color w:val="131313"/>
          <w:w w:val="110"/>
        </w:rPr>
        <w:t>the actual</w:t>
      </w:r>
      <w:r>
        <w:rPr>
          <w:color w:val="131313"/>
          <w:spacing w:val="-13"/>
          <w:w w:val="110"/>
        </w:rPr>
        <w:t xml:space="preserve"> </w:t>
      </w:r>
      <w:r>
        <w:rPr>
          <w:color w:val="131313"/>
          <w:w w:val="110"/>
        </w:rPr>
        <w:t>regulatory</w:t>
      </w:r>
      <w:r>
        <w:rPr>
          <w:color w:val="131313"/>
          <w:spacing w:val="-9"/>
          <w:w w:val="110"/>
        </w:rPr>
        <w:t xml:space="preserve"> </w:t>
      </w:r>
      <w:r>
        <w:rPr>
          <w:color w:val="131313"/>
          <w:w w:val="110"/>
        </w:rPr>
        <w:t>cost</w:t>
      </w:r>
      <w:r>
        <w:rPr>
          <w:color w:val="131313"/>
          <w:spacing w:val="-13"/>
          <w:w w:val="110"/>
        </w:rPr>
        <w:t xml:space="preserve"> </w:t>
      </w:r>
      <w:r>
        <w:rPr>
          <w:color w:val="131313"/>
          <w:w w:val="110"/>
        </w:rPr>
        <w:t>incurred.</w:t>
      </w:r>
    </w:p>
    <w:p w:rsidR="004E6266" w:rsidRDefault="004E6266">
      <w:pPr>
        <w:pStyle w:val="BodyText"/>
        <w:spacing w:before="7"/>
        <w:rPr>
          <w:sz w:val="16"/>
        </w:rPr>
      </w:pPr>
    </w:p>
    <w:p w:rsidR="004E6266" w:rsidRDefault="00D036C4">
      <w:pPr>
        <w:pStyle w:val="BodyText"/>
        <w:spacing w:line="331" w:lineRule="auto"/>
        <w:ind w:left="123" w:right="85" w:firstLine="3"/>
      </w:pPr>
      <w:r>
        <w:rPr>
          <w:color w:val="131313"/>
          <w:w w:val="105"/>
        </w:rPr>
        <w:t xml:space="preserve">The formula assumes that the levy paid in the previous year matches the estimate of net regulatory </w:t>
      </w:r>
      <w:r>
        <w:rPr>
          <w:color w:val="131313"/>
        </w:rPr>
        <w:t xml:space="preserve">costs for the </w:t>
      </w:r>
      <w:r>
        <w:rPr>
          <w:color w:val="131313"/>
          <w:w w:val="105"/>
        </w:rPr>
        <w:t>previous</w:t>
      </w:r>
      <w:r>
        <w:rPr>
          <w:color w:val="131313"/>
        </w:rPr>
        <w:t xml:space="preserve"> </w:t>
      </w:r>
      <w:r>
        <w:rPr>
          <w:color w:val="131313"/>
          <w:w w:val="104"/>
        </w:rPr>
        <w:t>year.</w:t>
      </w:r>
      <w:r>
        <w:rPr>
          <w:color w:val="131313"/>
        </w:rPr>
        <w:t xml:space="preserve"> </w:t>
      </w:r>
      <w:r>
        <w:rPr>
          <w:color w:val="131313"/>
          <w:w w:val="104"/>
        </w:rPr>
        <w:t>If</w:t>
      </w:r>
      <w:r>
        <w:rPr>
          <w:color w:val="131313"/>
        </w:rPr>
        <w:t xml:space="preserve"> </w:t>
      </w:r>
      <w:r>
        <w:rPr>
          <w:color w:val="131313"/>
          <w:w w:val="106"/>
        </w:rPr>
        <w:t>actual</w:t>
      </w:r>
      <w:r>
        <w:rPr>
          <w:color w:val="131313"/>
        </w:rPr>
        <w:t xml:space="preserve"> </w:t>
      </w:r>
      <w:r>
        <w:rPr>
          <w:color w:val="131313"/>
          <w:w w:val="109"/>
        </w:rPr>
        <w:t>net</w:t>
      </w:r>
      <w:r>
        <w:rPr>
          <w:color w:val="131313"/>
        </w:rPr>
        <w:t xml:space="preserve"> </w:t>
      </w:r>
      <w:r>
        <w:rPr>
          <w:color w:val="131313"/>
          <w:w w:val="109"/>
        </w:rPr>
        <w:t>regulatory</w:t>
      </w:r>
      <w:r>
        <w:rPr>
          <w:color w:val="131313"/>
        </w:rPr>
        <w:t xml:space="preserve"> </w:t>
      </w:r>
      <w:r>
        <w:rPr>
          <w:color w:val="131313"/>
          <w:w w:val="102"/>
        </w:rPr>
        <w:t>cost</w:t>
      </w:r>
      <w:r>
        <w:rPr>
          <w:color w:val="131313"/>
        </w:rPr>
        <w:t xml:space="preserve"> </w:t>
      </w:r>
      <w:r>
        <w:rPr>
          <w:color w:val="131313"/>
          <w:w w:val="102"/>
        </w:rPr>
        <w:t>in</w:t>
      </w:r>
      <w:r>
        <w:rPr>
          <w:color w:val="131313"/>
        </w:rPr>
        <w:t xml:space="preserve"> </w:t>
      </w:r>
      <w:r>
        <w:rPr>
          <w:color w:val="131313"/>
          <w:w w:val="104"/>
        </w:rPr>
        <w:t>year</w:t>
      </w:r>
      <w:r>
        <w:rPr>
          <w:color w:val="131313"/>
        </w:rPr>
        <w:t xml:space="preserve"> </w:t>
      </w:r>
      <w:r w:rsidR="00D535B3">
        <w:rPr>
          <w:color w:val="131313"/>
          <w:w w:val="104"/>
        </w:rPr>
        <w:t>t</w:t>
      </w:r>
      <w:r w:rsidR="00D535B3">
        <w:rPr>
          <w:color w:val="131313"/>
          <w:w w:val="104"/>
          <w:vertAlign w:val="subscript"/>
        </w:rPr>
        <w:t>-2</w:t>
      </w:r>
      <w:r w:rsidR="00D535B3">
        <w:rPr>
          <w:color w:val="131313"/>
          <w:w w:val="96"/>
        </w:rPr>
        <w:t xml:space="preserve"> i</w:t>
      </w:r>
      <w:r>
        <w:rPr>
          <w:color w:val="131313"/>
          <w:w w:val="96"/>
        </w:rPr>
        <w:t>s</w:t>
      </w:r>
      <w:r>
        <w:rPr>
          <w:color w:val="131313"/>
        </w:rPr>
        <w:t xml:space="preserve"> </w:t>
      </w:r>
      <w:r>
        <w:rPr>
          <w:color w:val="131313"/>
          <w:w w:val="96"/>
        </w:rPr>
        <w:t>not</w:t>
      </w:r>
      <w:r>
        <w:rPr>
          <w:color w:val="131313"/>
        </w:rPr>
        <w:t xml:space="preserve"> </w:t>
      </w:r>
      <w:r>
        <w:rPr>
          <w:color w:val="131313"/>
          <w:w w:val="96"/>
        </w:rPr>
        <w:t>the</w:t>
      </w:r>
      <w:r>
        <w:rPr>
          <w:color w:val="131313"/>
        </w:rPr>
        <w:t xml:space="preserve"> </w:t>
      </w:r>
      <w:r>
        <w:rPr>
          <w:color w:val="131313"/>
          <w:w w:val="103"/>
        </w:rPr>
        <w:t>same</w:t>
      </w:r>
      <w:r>
        <w:rPr>
          <w:color w:val="131313"/>
        </w:rPr>
        <w:t xml:space="preserve"> </w:t>
      </w:r>
      <w:r>
        <w:rPr>
          <w:color w:val="131313"/>
          <w:w w:val="89"/>
        </w:rPr>
        <w:t>as</w:t>
      </w:r>
      <w:r>
        <w:rPr>
          <w:color w:val="131313"/>
        </w:rPr>
        <w:t xml:space="preserve"> </w:t>
      </w:r>
      <w:r>
        <w:rPr>
          <w:color w:val="131313"/>
          <w:w w:val="106"/>
        </w:rPr>
        <w:t>forecast</w:t>
      </w:r>
      <w:r>
        <w:rPr>
          <w:color w:val="131313"/>
        </w:rPr>
        <w:t xml:space="preserve"> </w:t>
      </w:r>
      <w:r>
        <w:rPr>
          <w:color w:val="131313"/>
          <w:w w:val="106"/>
        </w:rPr>
        <w:t xml:space="preserve">net </w:t>
      </w:r>
      <w:r>
        <w:rPr>
          <w:color w:val="131313"/>
          <w:w w:val="107"/>
        </w:rPr>
        <w:t>regulatory</w:t>
      </w:r>
      <w:r>
        <w:rPr>
          <w:color w:val="131313"/>
        </w:rPr>
        <w:t xml:space="preserve"> </w:t>
      </w:r>
      <w:r>
        <w:rPr>
          <w:color w:val="131313"/>
          <w:w w:val="105"/>
        </w:rPr>
        <w:t>cost</w:t>
      </w:r>
      <w:r>
        <w:rPr>
          <w:color w:val="131313"/>
        </w:rPr>
        <w:t xml:space="preserve"> </w:t>
      </w:r>
      <w:r>
        <w:rPr>
          <w:color w:val="131313"/>
          <w:w w:val="105"/>
        </w:rPr>
        <w:t>for</w:t>
      </w:r>
      <w:r>
        <w:rPr>
          <w:color w:val="131313"/>
        </w:rPr>
        <w:t xml:space="preserve"> </w:t>
      </w:r>
      <w:r>
        <w:rPr>
          <w:color w:val="131313"/>
          <w:w w:val="104"/>
        </w:rPr>
        <w:t>year</w:t>
      </w:r>
      <w:r>
        <w:rPr>
          <w:color w:val="131313"/>
        </w:rPr>
        <w:t xml:space="preserve"> </w:t>
      </w:r>
      <w:r w:rsidR="00D535B3">
        <w:rPr>
          <w:color w:val="131313"/>
          <w:w w:val="104"/>
        </w:rPr>
        <w:t>t</w:t>
      </w:r>
      <w:r w:rsidR="00D535B3">
        <w:rPr>
          <w:color w:val="131313"/>
          <w:w w:val="104"/>
          <w:vertAlign w:val="subscript"/>
        </w:rPr>
        <w:t>-2</w:t>
      </w:r>
      <w:r w:rsidR="00D535B3">
        <w:rPr>
          <w:color w:val="131313"/>
          <w:w w:val="96"/>
        </w:rPr>
        <w:t xml:space="preserve"> </w:t>
      </w:r>
      <w:r>
        <w:rPr>
          <w:rFonts w:ascii="Times New Roman"/>
          <w:color w:val="131313"/>
          <w:position w:val="-2"/>
          <w:sz w:val="12"/>
        </w:rPr>
        <w:t xml:space="preserve"> </w:t>
      </w:r>
      <w:r>
        <w:rPr>
          <w:color w:val="131313"/>
          <w:w w:val="112"/>
        </w:rPr>
        <w:t>then</w:t>
      </w:r>
      <w:r>
        <w:rPr>
          <w:color w:val="131313"/>
        </w:rPr>
        <w:t xml:space="preserve"> </w:t>
      </w:r>
      <w:r>
        <w:rPr>
          <w:color w:val="131313"/>
          <w:w w:val="112"/>
        </w:rPr>
        <w:t>T</w:t>
      </w:r>
      <w:r w:rsidR="00D535B3">
        <w:rPr>
          <w:color w:val="131313"/>
          <w:w w:val="112"/>
        </w:rPr>
        <w:t xml:space="preserve"> </w:t>
      </w:r>
      <w:r>
        <w:rPr>
          <w:color w:val="131313"/>
          <w:w w:val="112"/>
        </w:rPr>
        <w:t>in</w:t>
      </w:r>
      <w:r>
        <w:rPr>
          <w:color w:val="131313"/>
        </w:rPr>
        <w:t xml:space="preserve">  </w:t>
      </w:r>
      <w:r>
        <w:rPr>
          <w:color w:val="131313"/>
          <w:w w:val="105"/>
        </w:rPr>
        <w:t>year</w:t>
      </w:r>
      <w:r w:rsidRPr="00D535B3">
        <w:rPr>
          <w:color w:val="131313"/>
          <w:w w:val="105"/>
        </w:rPr>
        <w:t xml:space="preserve"> t</w:t>
      </w:r>
      <w:r w:rsidR="00D535B3">
        <w:rPr>
          <w:color w:val="131313"/>
          <w:w w:val="105"/>
          <w:vertAlign w:val="subscript"/>
        </w:rPr>
        <w:t>-</w:t>
      </w:r>
      <w:r w:rsidR="00D535B3" w:rsidRPr="00D535B3">
        <w:rPr>
          <w:color w:val="131313"/>
          <w:w w:val="105"/>
          <w:vertAlign w:val="subscript"/>
        </w:rPr>
        <w:t>1</w:t>
      </w:r>
      <w:r w:rsidR="00D535B3">
        <w:rPr>
          <w:color w:val="131313"/>
          <w:w w:val="105"/>
        </w:rPr>
        <w:t xml:space="preserve"> </w:t>
      </w:r>
      <w:r w:rsidRPr="00D535B3">
        <w:rPr>
          <w:color w:val="131313"/>
          <w:w w:val="105"/>
        </w:rPr>
        <w:t xml:space="preserve">will not </w:t>
      </w:r>
      <w:r>
        <w:rPr>
          <w:color w:val="131313"/>
          <w:w w:val="105"/>
        </w:rPr>
        <w:t>equate</w:t>
      </w:r>
      <w:r w:rsidRPr="00D535B3">
        <w:rPr>
          <w:color w:val="131313"/>
          <w:w w:val="105"/>
        </w:rPr>
        <w:t xml:space="preserve"> with</w:t>
      </w:r>
      <w:r>
        <w:rPr>
          <w:color w:val="131313"/>
        </w:rPr>
        <w:t xml:space="preserve"> </w:t>
      </w:r>
      <w:r>
        <w:rPr>
          <w:color w:val="131313"/>
          <w:w w:val="108"/>
        </w:rPr>
        <w:t>estimated</w:t>
      </w:r>
      <w:r>
        <w:rPr>
          <w:color w:val="131313"/>
        </w:rPr>
        <w:t xml:space="preserve"> </w:t>
      </w:r>
      <w:r>
        <w:rPr>
          <w:color w:val="131313"/>
          <w:w w:val="108"/>
        </w:rPr>
        <w:t>regulatory</w:t>
      </w:r>
      <w:r>
        <w:rPr>
          <w:color w:val="131313"/>
        </w:rPr>
        <w:t xml:space="preserve"> costs for </w:t>
      </w:r>
      <w:r>
        <w:rPr>
          <w:color w:val="131313"/>
          <w:w w:val="104"/>
        </w:rPr>
        <w:t xml:space="preserve">year </w:t>
      </w:r>
      <w:r w:rsidR="00D535B3" w:rsidRPr="00D535B3">
        <w:rPr>
          <w:color w:val="131313"/>
          <w:w w:val="105"/>
        </w:rPr>
        <w:t>t</w:t>
      </w:r>
      <w:r w:rsidR="00D535B3">
        <w:rPr>
          <w:color w:val="131313"/>
          <w:w w:val="105"/>
          <w:vertAlign w:val="subscript"/>
        </w:rPr>
        <w:t>-</w:t>
      </w:r>
      <w:r w:rsidR="00D535B3" w:rsidRPr="00D535B3">
        <w:rPr>
          <w:color w:val="131313"/>
          <w:w w:val="105"/>
          <w:vertAlign w:val="subscript"/>
        </w:rPr>
        <w:t>1</w:t>
      </w:r>
      <w:r w:rsidR="00D535B3">
        <w:rPr>
          <w:color w:val="131313"/>
          <w:w w:val="105"/>
        </w:rPr>
        <w:t xml:space="preserve"> and the over and under adjustment</w:t>
      </w:r>
      <w:r>
        <w:rPr>
          <w:color w:val="131313"/>
          <w:w w:val="105"/>
        </w:rPr>
        <w:t xml:space="preserve"> mechanism will not work as intended.</w:t>
      </w:r>
    </w:p>
    <w:p w:rsidR="004E6266" w:rsidRDefault="00D036C4">
      <w:pPr>
        <w:pStyle w:val="Heading1"/>
        <w:spacing w:before="140"/>
        <w:ind w:left="128"/>
      </w:pPr>
      <w:r>
        <w:rPr>
          <w:color w:val="1A80B8"/>
          <w:w w:val="105"/>
        </w:rPr>
        <w:t>Determination of the Energy Industry Levy</w:t>
      </w:r>
    </w:p>
    <w:p w:rsidR="004E6266" w:rsidRDefault="00D036C4">
      <w:pPr>
        <w:pStyle w:val="BodyText"/>
        <w:spacing w:before="50" w:line="343" w:lineRule="auto"/>
        <w:ind w:left="109" w:right="280" w:firstLine="8"/>
      </w:pPr>
      <w:r>
        <w:rPr>
          <w:color w:val="131313"/>
          <w:w w:val="105"/>
        </w:rPr>
        <w:t xml:space="preserve">The Commission notes that the methodology specified in Section 54 </w:t>
      </w:r>
      <w:r w:rsidRPr="00D535B3">
        <w:rPr>
          <w:color w:val="131313"/>
          <w:w w:val="105"/>
        </w:rPr>
        <w:t xml:space="preserve">(C) </w:t>
      </w:r>
      <w:r>
        <w:rPr>
          <w:color w:val="131313"/>
          <w:w w:val="105"/>
        </w:rPr>
        <w:t>of Part 3A of the Utilities Act is broadly consistent with the a</w:t>
      </w:r>
      <w:r w:rsidR="00D535B3">
        <w:rPr>
          <w:color w:val="131313"/>
          <w:w w:val="105"/>
        </w:rPr>
        <w:t>pproach the Commission takes to</w:t>
      </w:r>
      <w:r>
        <w:rPr>
          <w:color w:val="131313"/>
          <w:w w:val="105"/>
        </w:rPr>
        <w:t xml:space="preserve"> setting the annual utility licence fees under Section 45 of the Utilities Act. The actual recovery process however </w:t>
      </w:r>
      <w:r w:rsidR="00D535B3">
        <w:rPr>
          <w:color w:val="131313"/>
          <w:w w:val="105"/>
        </w:rPr>
        <w:t>is entirely different as the EIL</w:t>
      </w:r>
      <w:r>
        <w:rPr>
          <w:color w:val="131313"/>
          <w:w w:val="105"/>
        </w:rPr>
        <w:t xml:space="preserve"> is recovered by the ACT Revenue Office using the input from the levy administrator. Levy revenue collected by th</w:t>
      </w:r>
      <w:r w:rsidR="00D535B3">
        <w:rPr>
          <w:color w:val="131313"/>
          <w:w w:val="105"/>
        </w:rPr>
        <w:t>e Revenue Office is allocated to</w:t>
      </w:r>
      <w:r>
        <w:rPr>
          <w:color w:val="131313"/>
          <w:w w:val="105"/>
        </w:rPr>
        <w:t xml:space="preserve"> regulat</w:t>
      </w:r>
      <w:r w:rsidR="00D535B3">
        <w:rPr>
          <w:color w:val="131313"/>
          <w:w w:val="105"/>
        </w:rPr>
        <w:t xml:space="preserve">ory bodies via GPO allocations through a </w:t>
      </w:r>
      <w:r>
        <w:rPr>
          <w:color w:val="131313"/>
          <w:w w:val="105"/>
        </w:rPr>
        <w:t>budget</w:t>
      </w:r>
      <w:r>
        <w:rPr>
          <w:color w:val="131313"/>
          <w:spacing w:val="20"/>
          <w:w w:val="105"/>
        </w:rPr>
        <w:t xml:space="preserve"> </w:t>
      </w:r>
      <w:r>
        <w:rPr>
          <w:color w:val="131313"/>
          <w:w w:val="105"/>
        </w:rPr>
        <w:t>appropriation.</w:t>
      </w:r>
    </w:p>
    <w:p w:rsidR="004E6266" w:rsidRDefault="004E6266">
      <w:pPr>
        <w:pStyle w:val="BodyText"/>
        <w:spacing w:before="2"/>
        <w:rPr>
          <w:sz w:val="16"/>
        </w:rPr>
      </w:pPr>
    </w:p>
    <w:p w:rsidR="004E6266" w:rsidRDefault="00D036C4">
      <w:pPr>
        <w:pStyle w:val="BodyText"/>
        <w:spacing w:line="345" w:lineRule="auto"/>
        <w:ind w:left="110" w:right="356" w:hanging="7"/>
      </w:pPr>
      <w:r>
        <w:rPr>
          <w:color w:val="131313"/>
          <w:w w:val="105"/>
        </w:rPr>
        <w:t>The two step process referred to above is applied by the Commission when setting the annual licence fee for Icon Water, EAPL and TransGrid. (EAPL and TransGrid are gas and electricity</w:t>
      </w:r>
    </w:p>
    <w:p w:rsidR="004E6266" w:rsidRDefault="004E6266">
      <w:pPr>
        <w:pStyle w:val="BodyText"/>
        <w:rPr>
          <w:sz w:val="20"/>
        </w:rPr>
      </w:pPr>
    </w:p>
    <w:p w:rsidR="004E6266" w:rsidRDefault="004E6266">
      <w:pPr>
        <w:pStyle w:val="BodyText"/>
        <w:spacing w:before="4"/>
        <w:rPr>
          <w:sz w:val="27"/>
        </w:rPr>
      </w:pPr>
    </w:p>
    <w:p w:rsidR="004E6266" w:rsidRDefault="00D036C4">
      <w:pPr>
        <w:pStyle w:val="BodyText"/>
        <w:ind w:right="155"/>
        <w:jc w:val="right"/>
      </w:pPr>
      <w:proofErr w:type="gramStart"/>
      <w:r>
        <w:rPr>
          <w:color w:val="131313"/>
          <w:w w:val="105"/>
        </w:rPr>
        <w:t>l</w:t>
      </w:r>
      <w:proofErr w:type="gramEnd"/>
      <w:r>
        <w:rPr>
          <w:color w:val="131313"/>
          <w:w w:val="105"/>
        </w:rPr>
        <w:t xml:space="preserve">   </w:t>
      </w:r>
      <w:r>
        <w:rPr>
          <w:color w:val="0F5DAA"/>
          <w:w w:val="105"/>
          <w:u w:val="single" w:color="000000"/>
        </w:rPr>
        <w:t>P a g e</w:t>
      </w:r>
    </w:p>
    <w:p w:rsidR="004E6266" w:rsidRDefault="004E6266">
      <w:pPr>
        <w:jc w:val="right"/>
        <w:sectPr w:rsidR="004E6266">
          <w:pgSz w:w="11910" w:h="16840"/>
          <w:pgMar w:top="1580" w:right="1640" w:bottom="280" w:left="1400" w:header="720" w:footer="720" w:gutter="0"/>
          <w:cols w:space="720"/>
        </w:sectPr>
      </w:pPr>
    </w:p>
    <w:p w:rsidR="004E6266" w:rsidRDefault="004E6266">
      <w:pPr>
        <w:pStyle w:val="BodyText"/>
        <w:spacing w:before="3"/>
        <w:rPr>
          <w:sz w:val="9"/>
        </w:rPr>
      </w:pPr>
    </w:p>
    <w:p w:rsidR="004E6266" w:rsidRDefault="00D036C4">
      <w:pPr>
        <w:pStyle w:val="BodyText"/>
        <w:spacing w:before="94" w:line="345" w:lineRule="auto"/>
        <w:ind w:left="153" w:right="334" w:firstLine="6"/>
      </w:pPr>
      <w:proofErr w:type="gramStart"/>
      <w:r>
        <w:rPr>
          <w:color w:val="131313"/>
          <w:w w:val="105"/>
        </w:rPr>
        <w:t>transmission</w:t>
      </w:r>
      <w:proofErr w:type="gramEnd"/>
      <w:r>
        <w:rPr>
          <w:color w:val="131313"/>
          <w:w w:val="105"/>
        </w:rPr>
        <w:t xml:space="preserve"> infrastructure providers.) The Commission's approach to determining the annual licence fee does not require it to separately categorise parti</w:t>
      </w:r>
      <w:r w:rsidR="00D535B3">
        <w:rPr>
          <w:color w:val="131313"/>
          <w:w w:val="105"/>
        </w:rPr>
        <w:t>cular regulatory costs as being</w:t>
      </w:r>
      <w:r>
        <w:rPr>
          <w:color w:val="131313"/>
          <w:w w:val="105"/>
        </w:rPr>
        <w:t xml:space="preserve"> fixed.</w:t>
      </w:r>
    </w:p>
    <w:p w:rsidR="004E6266" w:rsidRDefault="004E6266">
      <w:pPr>
        <w:pStyle w:val="BodyText"/>
        <w:spacing w:before="9"/>
        <w:rPr>
          <w:sz w:val="16"/>
        </w:rPr>
      </w:pPr>
    </w:p>
    <w:p w:rsidR="004E6266" w:rsidRDefault="00D036C4">
      <w:pPr>
        <w:pStyle w:val="BodyText"/>
        <w:spacing w:before="1" w:line="343" w:lineRule="auto"/>
        <w:ind w:left="152" w:right="334"/>
      </w:pPr>
      <w:r>
        <w:rPr>
          <w:color w:val="131313"/>
          <w:w w:val="105"/>
        </w:rPr>
        <w:t>The Commission has the capacity to determine a licence fee for both ActewAGL gas and electricity distribution. Were the Commission to set an annual licence fee of ActewAGL gas or electricity distribution that amount would be deducted from the regul</w:t>
      </w:r>
      <w:r w:rsidR="00D535B3">
        <w:rPr>
          <w:color w:val="131313"/>
          <w:w w:val="105"/>
        </w:rPr>
        <w:t xml:space="preserve">atory costs to be recovered through the </w:t>
      </w:r>
      <w:r>
        <w:rPr>
          <w:color w:val="131313"/>
          <w:w w:val="105"/>
        </w:rPr>
        <w:t>E</w:t>
      </w:r>
      <w:r w:rsidR="00D535B3">
        <w:rPr>
          <w:color w:val="131313"/>
          <w:w w:val="105"/>
        </w:rPr>
        <w:t>IL</w:t>
      </w:r>
      <w:r>
        <w:rPr>
          <w:color w:val="131313"/>
          <w:w w:val="105"/>
        </w:rPr>
        <w:t xml:space="preserve"> in the process of determining the net regulatory cost (section 54G(2)).</w:t>
      </w:r>
    </w:p>
    <w:p w:rsidR="004E6266" w:rsidRDefault="004E6266">
      <w:pPr>
        <w:pStyle w:val="BodyText"/>
        <w:spacing w:before="7"/>
        <w:rPr>
          <w:sz w:val="16"/>
        </w:rPr>
      </w:pPr>
    </w:p>
    <w:p w:rsidR="004E6266" w:rsidRDefault="00D036C4">
      <w:pPr>
        <w:pStyle w:val="BodyText"/>
        <w:spacing w:line="348" w:lineRule="auto"/>
        <w:ind w:left="146" w:right="159" w:firstLine="4"/>
      </w:pPr>
      <w:r>
        <w:rPr>
          <w:color w:val="131313"/>
          <w:w w:val="105"/>
        </w:rPr>
        <w:t>When determining ne</w:t>
      </w:r>
      <w:r w:rsidR="00D535B3">
        <w:rPr>
          <w:color w:val="131313"/>
          <w:w w:val="105"/>
        </w:rPr>
        <w:t>t regulatory costs under the EIL</w:t>
      </w:r>
      <w:r>
        <w:rPr>
          <w:color w:val="131313"/>
          <w:w w:val="105"/>
        </w:rPr>
        <w:t xml:space="preserve"> the levy administrator has </w:t>
      </w:r>
      <w:proofErr w:type="gramStart"/>
      <w:r>
        <w:rPr>
          <w:color w:val="131313"/>
          <w:w w:val="105"/>
        </w:rPr>
        <w:t>to  take</w:t>
      </w:r>
      <w:proofErr w:type="gramEnd"/>
      <w:r>
        <w:rPr>
          <w:color w:val="131313"/>
          <w:w w:val="105"/>
        </w:rPr>
        <w:t xml:space="preserve"> account of  both national and local costs. The national costs reflect the contributions the ACT makes to the operation of the AEMC and the MCE. Local costs represent the costs of ACAT, the technical regulator and the</w:t>
      </w:r>
      <w:r>
        <w:rPr>
          <w:color w:val="131313"/>
          <w:spacing w:val="-7"/>
          <w:w w:val="105"/>
        </w:rPr>
        <w:t xml:space="preserve"> </w:t>
      </w:r>
      <w:r>
        <w:rPr>
          <w:color w:val="131313"/>
          <w:w w:val="105"/>
        </w:rPr>
        <w:t>Commission.</w:t>
      </w:r>
    </w:p>
    <w:p w:rsidR="004E6266" w:rsidRDefault="004E6266">
      <w:pPr>
        <w:pStyle w:val="BodyText"/>
        <w:spacing w:before="9"/>
        <w:rPr>
          <w:sz w:val="15"/>
        </w:rPr>
      </w:pPr>
    </w:p>
    <w:p w:rsidR="004E6266" w:rsidRDefault="00D036C4">
      <w:pPr>
        <w:pStyle w:val="BodyText"/>
        <w:spacing w:line="345" w:lineRule="auto"/>
        <w:ind w:left="140" w:right="334" w:firstLine="7"/>
      </w:pPr>
      <w:r>
        <w:rPr>
          <w:color w:val="131313"/>
          <w:w w:val="105"/>
        </w:rPr>
        <w:t>ACAT adjudicates on matters relating to both energy supply and distribution services in both the electricity and gas sectors</w:t>
      </w:r>
      <w:r>
        <w:rPr>
          <w:color w:val="424242"/>
          <w:w w:val="105"/>
        </w:rPr>
        <w:t xml:space="preserve">. </w:t>
      </w:r>
      <w:r>
        <w:rPr>
          <w:color w:val="131313"/>
          <w:w w:val="105"/>
        </w:rPr>
        <w:t>The Technical Regulator incurs regulatory costs in respect of infrastructure distribution services and can segregat</w:t>
      </w:r>
      <w:r w:rsidR="00D535B3">
        <w:rPr>
          <w:color w:val="131313"/>
          <w:w w:val="105"/>
        </w:rPr>
        <w:t xml:space="preserve">e his costs between these two </w:t>
      </w:r>
      <w:r>
        <w:rPr>
          <w:color w:val="131313"/>
          <w:w w:val="105"/>
        </w:rPr>
        <w:t>sectors.</w:t>
      </w:r>
    </w:p>
    <w:p w:rsidR="004E6266" w:rsidRDefault="004E6266">
      <w:pPr>
        <w:pStyle w:val="BodyText"/>
        <w:spacing w:before="4"/>
        <w:rPr>
          <w:sz w:val="16"/>
        </w:rPr>
      </w:pPr>
    </w:p>
    <w:p w:rsidR="004E6266" w:rsidRDefault="00D036C4">
      <w:pPr>
        <w:pStyle w:val="BodyText"/>
        <w:spacing w:line="343" w:lineRule="auto"/>
        <w:ind w:left="127" w:right="112" w:firstLine="7"/>
      </w:pPr>
      <w:r>
        <w:rPr>
          <w:color w:val="131313"/>
          <w:w w:val="105"/>
        </w:rPr>
        <w:t xml:space="preserve">The Commission incurs costs in respect of all four energy sectors. These regulatory costs relate to production of the Utility </w:t>
      </w:r>
      <w:proofErr w:type="spellStart"/>
      <w:r>
        <w:rPr>
          <w:color w:val="131313"/>
          <w:w w:val="105"/>
        </w:rPr>
        <w:t>Licences</w:t>
      </w:r>
      <w:proofErr w:type="spellEnd"/>
      <w:r>
        <w:rPr>
          <w:color w:val="131313"/>
          <w:w w:val="105"/>
        </w:rPr>
        <w:t xml:space="preserve"> Annual Report and the administration of the E</w:t>
      </w:r>
      <w:r w:rsidR="00D535B3">
        <w:rPr>
          <w:color w:val="131313"/>
          <w:w w:val="105"/>
        </w:rPr>
        <w:t>IL</w:t>
      </w:r>
      <w:r>
        <w:rPr>
          <w:color w:val="131313"/>
          <w:w w:val="105"/>
        </w:rPr>
        <w:t xml:space="preserve"> on behalf of the </w:t>
      </w:r>
      <w:r>
        <w:rPr>
          <w:color w:val="131313"/>
          <w:w w:val="105"/>
        </w:rPr>
        <w:br/>
        <w:t>ACT Revenue Office. The levy determination formula requires the administrator to separately identify regulatory costs which are fi</w:t>
      </w:r>
      <w:r>
        <w:rPr>
          <w:color w:val="131313"/>
          <w:spacing w:val="4"/>
          <w:w w:val="105"/>
        </w:rPr>
        <w:t>xed</w:t>
      </w:r>
      <w:r>
        <w:rPr>
          <w:color w:val="424242"/>
          <w:spacing w:val="4"/>
          <w:w w:val="105"/>
        </w:rPr>
        <w:t xml:space="preserve">. </w:t>
      </w:r>
      <w:r>
        <w:rPr>
          <w:color w:val="131313"/>
          <w:w w:val="105"/>
        </w:rPr>
        <w:t>The regime defines a fixed regulatory cost as a cost which is unrelated to market share. Fixed net regulatory costs are recovered equally from all operators in a sector. As the distribution networks are monopolists, it means that the requirement to determine fixed regulatory costs is only operative in respect of the electricity and gas supply sectors as there is more than one operator in these</w:t>
      </w:r>
      <w:r>
        <w:rPr>
          <w:color w:val="131313"/>
          <w:spacing w:val="32"/>
          <w:w w:val="105"/>
        </w:rPr>
        <w:t xml:space="preserve"> </w:t>
      </w:r>
      <w:r>
        <w:rPr>
          <w:color w:val="131313"/>
          <w:w w:val="105"/>
        </w:rPr>
        <w:t>sectors.</w:t>
      </w:r>
    </w:p>
    <w:p w:rsidR="004E6266" w:rsidRDefault="004E6266">
      <w:pPr>
        <w:pStyle w:val="BodyText"/>
        <w:spacing w:before="1"/>
        <w:rPr>
          <w:sz w:val="16"/>
        </w:rPr>
      </w:pPr>
    </w:p>
    <w:p w:rsidR="004E6266" w:rsidRDefault="00D036C4">
      <w:pPr>
        <w:pStyle w:val="BodyText"/>
        <w:spacing w:line="350" w:lineRule="auto"/>
        <w:ind w:left="126" w:right="334" w:hanging="2"/>
      </w:pPr>
      <w:r>
        <w:rPr>
          <w:color w:val="131313"/>
          <w:w w:val="105"/>
        </w:rPr>
        <w:t>The residual net regulatory cost, i.e. those costs which are not fixed, are allocated to market participants according to their market share in the previous levy year.</w:t>
      </w:r>
    </w:p>
    <w:p w:rsidR="004E6266" w:rsidRDefault="004E6266">
      <w:pPr>
        <w:pStyle w:val="BodyText"/>
        <w:rPr>
          <w:sz w:val="16"/>
        </w:rPr>
      </w:pPr>
    </w:p>
    <w:p w:rsidR="004E6266" w:rsidRDefault="00D036C4">
      <w:pPr>
        <w:pStyle w:val="BodyText"/>
        <w:spacing w:line="331" w:lineRule="auto"/>
        <w:ind w:left="116" w:right="334" w:firstLine="3"/>
      </w:pPr>
      <w:r>
        <w:rPr>
          <w:color w:val="131313"/>
          <w:w w:val="105"/>
        </w:rPr>
        <w:t>The definition of a fixed regulatory cost is problematic. It could be argued that most regulatory costs incurred by the Technical Regulator and the Commission are unrelated to an operators' market</w:t>
      </w:r>
      <w:r w:rsidR="00D535B3">
        <w:rPr>
          <w:color w:val="131313"/>
          <w:w w:val="105"/>
        </w:rPr>
        <w:t xml:space="preserve"> </w:t>
      </w:r>
      <w:r>
        <w:rPr>
          <w:color w:val="131313"/>
          <w:w w:val="105"/>
        </w:rPr>
        <w:t xml:space="preserve">share. In respect of ACAT its adjudications are likely to be in response to the actions of a specific provider though that will only be </w:t>
      </w:r>
      <w:r w:rsidRPr="000D570E">
        <w:rPr>
          <w:color w:val="131313"/>
          <w:w w:val="105"/>
        </w:rPr>
        <w:t xml:space="preserve">known </w:t>
      </w:r>
      <w:r w:rsidRPr="000D570E">
        <w:rPr>
          <w:i/>
          <w:color w:val="131313"/>
          <w:w w:val="105"/>
        </w:rPr>
        <w:t>ex-post</w:t>
      </w:r>
      <w:r>
        <w:rPr>
          <w:rFonts w:ascii="Times New Roman"/>
          <w:i/>
          <w:color w:val="131313"/>
          <w:w w:val="105"/>
          <w:sz w:val="21"/>
        </w:rPr>
        <w:t xml:space="preserve">. </w:t>
      </w:r>
      <w:r>
        <w:rPr>
          <w:color w:val="131313"/>
          <w:w w:val="105"/>
        </w:rPr>
        <w:t>These costs, however, need not be directly related to an operator's market</w:t>
      </w:r>
      <w:r>
        <w:rPr>
          <w:color w:val="131313"/>
          <w:spacing w:val="25"/>
          <w:w w:val="105"/>
        </w:rPr>
        <w:t xml:space="preserve"> </w:t>
      </w:r>
      <w:r>
        <w:rPr>
          <w:color w:val="131313"/>
          <w:w w:val="105"/>
        </w:rPr>
        <w:t>share.</w:t>
      </w:r>
    </w:p>
    <w:p w:rsidR="004E6266" w:rsidRDefault="004E6266">
      <w:pPr>
        <w:pStyle w:val="BodyText"/>
        <w:rPr>
          <w:sz w:val="17"/>
        </w:rPr>
      </w:pPr>
    </w:p>
    <w:p w:rsidR="004E6266" w:rsidRDefault="00D036C4">
      <w:pPr>
        <w:pStyle w:val="BodyText"/>
        <w:spacing w:line="348" w:lineRule="auto"/>
        <w:ind w:left="117" w:right="162" w:hanging="3"/>
        <w:jc w:val="both"/>
      </w:pPr>
      <w:r>
        <w:rPr>
          <w:color w:val="131313"/>
          <w:w w:val="105"/>
        </w:rPr>
        <w:t>The Commission's view is that it is not necessary to separately identify fixed regulatory cost and that all regulatory costs, other than costs directly attributable to a specific operator, should be recovered from the operators in a sector on the basis of their market share.</w:t>
      </w:r>
    </w:p>
    <w:p w:rsidR="004E6266" w:rsidRDefault="004E6266">
      <w:pPr>
        <w:pStyle w:val="BodyText"/>
        <w:spacing w:before="2"/>
        <w:rPr>
          <w:sz w:val="16"/>
        </w:rPr>
      </w:pPr>
    </w:p>
    <w:p w:rsidR="004E6266" w:rsidRDefault="00D036C4">
      <w:pPr>
        <w:pStyle w:val="BodyText"/>
        <w:spacing w:line="345" w:lineRule="auto"/>
        <w:ind w:left="118" w:right="112" w:hanging="2"/>
      </w:pPr>
      <w:r>
        <w:rPr>
          <w:color w:val="131313"/>
          <w:w w:val="105"/>
        </w:rPr>
        <w:t xml:space="preserve">In the energy supply sectors recovering fixed regulatory costs through a common charge on each operator is likely to act as a barrier to entry as the levy will fall disproportionately on small </w:t>
      </w:r>
      <w:r w:rsidR="000D570E">
        <w:rPr>
          <w:color w:val="131313"/>
          <w:w w:val="105"/>
        </w:rPr>
        <w:t>p</w:t>
      </w:r>
      <w:r>
        <w:rPr>
          <w:color w:val="131313"/>
          <w:w w:val="105"/>
        </w:rPr>
        <w:t>roviders.</w:t>
      </w:r>
    </w:p>
    <w:p w:rsidR="004E6266" w:rsidRDefault="00D036C4">
      <w:pPr>
        <w:pStyle w:val="Heading1"/>
      </w:pPr>
      <w:r>
        <w:rPr>
          <w:color w:val="1877B3"/>
          <w:w w:val="105"/>
        </w:rPr>
        <w:t>Predictability of the annual</w:t>
      </w:r>
      <w:r>
        <w:rPr>
          <w:color w:val="1877B3"/>
          <w:spacing w:val="52"/>
          <w:w w:val="105"/>
        </w:rPr>
        <w:t xml:space="preserve"> </w:t>
      </w:r>
      <w:r>
        <w:rPr>
          <w:color w:val="1877B3"/>
          <w:w w:val="105"/>
        </w:rPr>
        <w:t>levy</w:t>
      </w:r>
    </w:p>
    <w:p w:rsidR="004E6266" w:rsidRDefault="00D036C4">
      <w:pPr>
        <w:pStyle w:val="BodyText"/>
        <w:spacing w:before="64" w:line="345" w:lineRule="auto"/>
        <w:ind w:left="111" w:right="112" w:firstLine="5"/>
      </w:pPr>
      <w:r>
        <w:rPr>
          <w:color w:val="131313"/>
          <w:w w:val="110"/>
        </w:rPr>
        <w:t>Whether</w:t>
      </w:r>
      <w:r>
        <w:rPr>
          <w:color w:val="131313"/>
          <w:spacing w:val="-7"/>
          <w:w w:val="110"/>
        </w:rPr>
        <w:t xml:space="preserve"> </w:t>
      </w:r>
      <w:r>
        <w:rPr>
          <w:color w:val="131313"/>
          <w:w w:val="110"/>
        </w:rPr>
        <w:t>operators</w:t>
      </w:r>
      <w:r>
        <w:rPr>
          <w:color w:val="131313"/>
          <w:spacing w:val="-11"/>
          <w:w w:val="110"/>
        </w:rPr>
        <w:t xml:space="preserve"> </w:t>
      </w:r>
      <w:r>
        <w:rPr>
          <w:color w:val="131313"/>
          <w:w w:val="110"/>
        </w:rPr>
        <w:t>can</w:t>
      </w:r>
      <w:r>
        <w:rPr>
          <w:color w:val="131313"/>
          <w:spacing w:val="-20"/>
          <w:w w:val="110"/>
        </w:rPr>
        <w:t xml:space="preserve"> </w:t>
      </w:r>
      <w:r>
        <w:rPr>
          <w:color w:val="131313"/>
          <w:w w:val="110"/>
        </w:rPr>
        <w:t>predict</w:t>
      </w:r>
      <w:r>
        <w:rPr>
          <w:color w:val="131313"/>
          <w:spacing w:val="-15"/>
          <w:w w:val="110"/>
        </w:rPr>
        <w:t xml:space="preserve"> </w:t>
      </w:r>
      <w:r>
        <w:rPr>
          <w:color w:val="131313"/>
          <w:w w:val="110"/>
        </w:rPr>
        <w:t>their</w:t>
      </w:r>
      <w:r>
        <w:rPr>
          <w:color w:val="131313"/>
          <w:spacing w:val="-12"/>
          <w:w w:val="110"/>
        </w:rPr>
        <w:t xml:space="preserve"> </w:t>
      </w:r>
      <w:r>
        <w:rPr>
          <w:color w:val="131313"/>
          <w:w w:val="110"/>
        </w:rPr>
        <w:t>annual</w:t>
      </w:r>
      <w:r>
        <w:rPr>
          <w:color w:val="131313"/>
          <w:spacing w:val="-15"/>
          <w:w w:val="110"/>
        </w:rPr>
        <w:t xml:space="preserve"> </w:t>
      </w:r>
      <w:r>
        <w:rPr>
          <w:color w:val="131313"/>
          <w:w w:val="110"/>
        </w:rPr>
        <w:t>levy</w:t>
      </w:r>
      <w:r>
        <w:rPr>
          <w:color w:val="131313"/>
          <w:spacing w:val="-13"/>
          <w:w w:val="110"/>
        </w:rPr>
        <w:t xml:space="preserve"> </w:t>
      </w:r>
      <w:r>
        <w:rPr>
          <w:color w:val="131313"/>
          <w:w w:val="110"/>
        </w:rPr>
        <w:t>charge</w:t>
      </w:r>
      <w:r>
        <w:rPr>
          <w:color w:val="131313"/>
          <w:spacing w:val="-11"/>
          <w:w w:val="110"/>
        </w:rPr>
        <w:t xml:space="preserve"> </w:t>
      </w:r>
      <w:r>
        <w:rPr>
          <w:color w:val="131313"/>
          <w:w w:val="110"/>
        </w:rPr>
        <w:t>largely</w:t>
      </w:r>
      <w:r>
        <w:rPr>
          <w:color w:val="131313"/>
          <w:spacing w:val="-13"/>
          <w:w w:val="110"/>
        </w:rPr>
        <w:t xml:space="preserve"> </w:t>
      </w:r>
      <w:r>
        <w:rPr>
          <w:color w:val="131313"/>
          <w:w w:val="110"/>
        </w:rPr>
        <w:t>depends</w:t>
      </w:r>
      <w:r>
        <w:rPr>
          <w:color w:val="131313"/>
          <w:spacing w:val="-13"/>
          <w:w w:val="110"/>
        </w:rPr>
        <w:t xml:space="preserve"> </w:t>
      </w:r>
      <w:r>
        <w:rPr>
          <w:color w:val="131313"/>
          <w:w w:val="110"/>
        </w:rPr>
        <w:t>on</w:t>
      </w:r>
      <w:r>
        <w:rPr>
          <w:color w:val="131313"/>
          <w:spacing w:val="-20"/>
          <w:w w:val="110"/>
        </w:rPr>
        <w:t xml:space="preserve"> </w:t>
      </w:r>
      <w:r>
        <w:rPr>
          <w:color w:val="131313"/>
          <w:w w:val="110"/>
        </w:rPr>
        <w:t>the</w:t>
      </w:r>
      <w:r>
        <w:rPr>
          <w:color w:val="131313"/>
          <w:spacing w:val="-13"/>
          <w:w w:val="110"/>
        </w:rPr>
        <w:t xml:space="preserve"> </w:t>
      </w:r>
      <w:r>
        <w:rPr>
          <w:color w:val="131313"/>
          <w:w w:val="110"/>
        </w:rPr>
        <w:t>Levy</w:t>
      </w:r>
      <w:r>
        <w:rPr>
          <w:color w:val="131313"/>
          <w:spacing w:val="-17"/>
          <w:w w:val="110"/>
        </w:rPr>
        <w:t xml:space="preserve"> </w:t>
      </w:r>
      <w:r>
        <w:rPr>
          <w:color w:val="131313"/>
          <w:w w:val="110"/>
        </w:rPr>
        <w:t>Administrator's capacity to estimate the net regulatory costs in the upcoming levy year. If planned or budgeted for activities</w:t>
      </w:r>
      <w:r>
        <w:rPr>
          <w:color w:val="131313"/>
          <w:spacing w:val="-4"/>
          <w:w w:val="110"/>
        </w:rPr>
        <w:t xml:space="preserve"> </w:t>
      </w:r>
      <w:r>
        <w:rPr>
          <w:color w:val="131313"/>
          <w:w w:val="110"/>
        </w:rPr>
        <w:t>are</w:t>
      </w:r>
      <w:r>
        <w:rPr>
          <w:color w:val="131313"/>
          <w:spacing w:val="-9"/>
          <w:w w:val="110"/>
        </w:rPr>
        <w:t xml:space="preserve"> </w:t>
      </w:r>
      <w:r>
        <w:rPr>
          <w:color w:val="131313"/>
          <w:w w:val="110"/>
        </w:rPr>
        <w:t>not</w:t>
      </w:r>
      <w:r>
        <w:rPr>
          <w:color w:val="131313"/>
          <w:spacing w:val="2"/>
          <w:w w:val="110"/>
        </w:rPr>
        <w:t xml:space="preserve"> </w:t>
      </w:r>
      <w:r>
        <w:rPr>
          <w:color w:val="131313"/>
          <w:w w:val="110"/>
        </w:rPr>
        <w:t>performed</w:t>
      </w:r>
      <w:r>
        <w:rPr>
          <w:color w:val="131313"/>
          <w:spacing w:val="-14"/>
          <w:w w:val="110"/>
        </w:rPr>
        <w:t xml:space="preserve"> </w:t>
      </w:r>
      <w:r>
        <w:rPr>
          <w:color w:val="131313"/>
          <w:w w:val="110"/>
        </w:rPr>
        <w:t>then</w:t>
      </w:r>
      <w:r>
        <w:rPr>
          <w:color w:val="131313"/>
          <w:spacing w:val="-10"/>
          <w:w w:val="110"/>
        </w:rPr>
        <w:t xml:space="preserve"> </w:t>
      </w:r>
      <w:r>
        <w:rPr>
          <w:color w:val="131313"/>
          <w:w w:val="110"/>
        </w:rPr>
        <w:t>levy</w:t>
      </w:r>
      <w:r>
        <w:rPr>
          <w:color w:val="131313"/>
          <w:spacing w:val="-15"/>
          <w:w w:val="110"/>
        </w:rPr>
        <w:t xml:space="preserve"> </w:t>
      </w:r>
      <w:r>
        <w:rPr>
          <w:color w:val="131313"/>
          <w:w w:val="110"/>
        </w:rPr>
        <w:t>charges</w:t>
      </w:r>
      <w:r>
        <w:rPr>
          <w:color w:val="131313"/>
          <w:spacing w:val="-6"/>
          <w:w w:val="110"/>
        </w:rPr>
        <w:t xml:space="preserve"> </w:t>
      </w:r>
      <w:r>
        <w:rPr>
          <w:color w:val="131313"/>
          <w:w w:val="110"/>
        </w:rPr>
        <w:t>will</w:t>
      </w:r>
      <w:r>
        <w:rPr>
          <w:color w:val="131313"/>
          <w:spacing w:val="-15"/>
          <w:w w:val="110"/>
        </w:rPr>
        <w:t xml:space="preserve"> </w:t>
      </w:r>
      <w:r>
        <w:rPr>
          <w:color w:val="131313"/>
          <w:w w:val="110"/>
        </w:rPr>
        <w:t>display</w:t>
      </w:r>
      <w:r>
        <w:rPr>
          <w:color w:val="131313"/>
          <w:spacing w:val="-8"/>
          <w:w w:val="110"/>
        </w:rPr>
        <w:t xml:space="preserve"> </w:t>
      </w:r>
      <w:r>
        <w:rPr>
          <w:color w:val="131313"/>
          <w:w w:val="110"/>
        </w:rPr>
        <w:t>year</w:t>
      </w:r>
      <w:r>
        <w:rPr>
          <w:color w:val="131313"/>
          <w:spacing w:val="-13"/>
          <w:w w:val="110"/>
        </w:rPr>
        <w:t xml:space="preserve"> </w:t>
      </w:r>
      <w:r>
        <w:rPr>
          <w:color w:val="131313"/>
          <w:w w:val="110"/>
        </w:rPr>
        <w:t>on</w:t>
      </w:r>
      <w:r>
        <w:rPr>
          <w:color w:val="131313"/>
          <w:spacing w:val="-16"/>
          <w:w w:val="110"/>
        </w:rPr>
        <w:t xml:space="preserve"> </w:t>
      </w:r>
      <w:r>
        <w:rPr>
          <w:color w:val="131313"/>
          <w:w w:val="110"/>
        </w:rPr>
        <w:t>year</w:t>
      </w:r>
      <w:r>
        <w:rPr>
          <w:color w:val="131313"/>
          <w:spacing w:val="-16"/>
          <w:w w:val="110"/>
        </w:rPr>
        <w:t xml:space="preserve"> </w:t>
      </w:r>
      <w:r>
        <w:rPr>
          <w:color w:val="131313"/>
          <w:w w:val="110"/>
        </w:rPr>
        <w:t>volatility.</w:t>
      </w:r>
      <w:r>
        <w:rPr>
          <w:color w:val="131313"/>
          <w:spacing w:val="-16"/>
          <w:w w:val="110"/>
        </w:rPr>
        <w:t xml:space="preserve"> </w:t>
      </w:r>
      <w:r>
        <w:rPr>
          <w:color w:val="131313"/>
          <w:w w:val="110"/>
        </w:rPr>
        <w:t>The</w:t>
      </w:r>
      <w:r>
        <w:rPr>
          <w:color w:val="131313"/>
          <w:spacing w:val="-16"/>
          <w:w w:val="110"/>
        </w:rPr>
        <w:t xml:space="preserve"> </w:t>
      </w:r>
      <w:r>
        <w:rPr>
          <w:color w:val="131313"/>
          <w:w w:val="110"/>
        </w:rPr>
        <w:t>extent</w:t>
      </w:r>
      <w:r>
        <w:rPr>
          <w:color w:val="131313"/>
          <w:spacing w:val="-15"/>
          <w:w w:val="110"/>
        </w:rPr>
        <w:t xml:space="preserve"> </w:t>
      </w:r>
      <w:r>
        <w:rPr>
          <w:color w:val="131313"/>
          <w:w w:val="110"/>
        </w:rPr>
        <w:t>to</w:t>
      </w:r>
      <w:r>
        <w:rPr>
          <w:color w:val="131313"/>
          <w:spacing w:val="-3"/>
          <w:w w:val="110"/>
        </w:rPr>
        <w:t xml:space="preserve"> </w:t>
      </w:r>
      <w:r>
        <w:rPr>
          <w:color w:val="131313"/>
          <w:w w:val="110"/>
        </w:rPr>
        <w:t>which operators can anticipate this will depend on their knowledge of the work programs of ACAT, the technical</w:t>
      </w:r>
      <w:r>
        <w:rPr>
          <w:color w:val="131313"/>
          <w:spacing w:val="-26"/>
          <w:w w:val="110"/>
        </w:rPr>
        <w:t xml:space="preserve"> </w:t>
      </w:r>
      <w:r>
        <w:rPr>
          <w:color w:val="131313"/>
          <w:w w:val="110"/>
        </w:rPr>
        <w:t>regulator</w:t>
      </w:r>
      <w:r>
        <w:rPr>
          <w:color w:val="131313"/>
          <w:spacing w:val="-29"/>
          <w:w w:val="110"/>
        </w:rPr>
        <w:t xml:space="preserve"> </w:t>
      </w:r>
      <w:r>
        <w:rPr>
          <w:color w:val="131313"/>
          <w:w w:val="110"/>
        </w:rPr>
        <w:t>and</w:t>
      </w:r>
      <w:r>
        <w:rPr>
          <w:color w:val="131313"/>
          <w:spacing w:val="-34"/>
          <w:w w:val="110"/>
        </w:rPr>
        <w:t xml:space="preserve"> </w:t>
      </w:r>
      <w:r>
        <w:rPr>
          <w:color w:val="131313"/>
          <w:w w:val="110"/>
        </w:rPr>
        <w:t>the</w:t>
      </w:r>
      <w:r>
        <w:rPr>
          <w:color w:val="131313"/>
          <w:spacing w:val="-22"/>
          <w:w w:val="110"/>
        </w:rPr>
        <w:t xml:space="preserve"> </w:t>
      </w:r>
      <w:r>
        <w:rPr>
          <w:color w:val="131313"/>
          <w:w w:val="110"/>
        </w:rPr>
        <w:t>Commission.</w:t>
      </w:r>
    </w:p>
    <w:p w:rsidR="004E6266" w:rsidRDefault="004E6266">
      <w:pPr>
        <w:pStyle w:val="BodyText"/>
        <w:spacing w:before="10"/>
        <w:rPr>
          <w:sz w:val="26"/>
        </w:rPr>
      </w:pPr>
    </w:p>
    <w:p w:rsidR="004E6266" w:rsidRDefault="00D036C4">
      <w:pPr>
        <w:pStyle w:val="BodyText"/>
        <w:ind w:right="167"/>
        <w:jc w:val="right"/>
      </w:pPr>
      <w:proofErr w:type="gramStart"/>
      <w:r>
        <w:rPr>
          <w:color w:val="131313"/>
        </w:rPr>
        <w:t xml:space="preserve">2  </w:t>
      </w:r>
      <w:r>
        <w:rPr>
          <w:color w:val="184693"/>
          <w:u w:val="single" w:color="000000"/>
        </w:rPr>
        <w:t>P</w:t>
      </w:r>
      <w:proofErr w:type="gramEnd"/>
      <w:r>
        <w:rPr>
          <w:color w:val="184693"/>
          <w:u w:val="single" w:color="000000"/>
        </w:rPr>
        <w:t xml:space="preserve"> a g e</w:t>
      </w:r>
    </w:p>
    <w:p w:rsidR="004E6266" w:rsidRDefault="004E6266">
      <w:pPr>
        <w:jc w:val="right"/>
        <w:sectPr w:rsidR="004E6266">
          <w:pgSz w:w="11910" w:h="16840"/>
          <w:pgMar w:top="1580" w:right="1600" w:bottom="280" w:left="1460" w:header="720" w:footer="720" w:gutter="0"/>
          <w:cols w:space="720"/>
        </w:sectPr>
      </w:pPr>
    </w:p>
    <w:p w:rsidR="004E6266" w:rsidRDefault="004E6266">
      <w:pPr>
        <w:pStyle w:val="BodyText"/>
        <w:spacing w:before="10"/>
        <w:rPr>
          <w:sz w:val="10"/>
        </w:rPr>
      </w:pPr>
    </w:p>
    <w:p w:rsidR="000D570E" w:rsidRDefault="000D570E" w:rsidP="00D036C4">
      <w:pPr>
        <w:pStyle w:val="BodyText"/>
        <w:spacing w:before="64" w:line="345" w:lineRule="auto"/>
        <w:ind w:left="1560" w:right="1704" w:firstLine="5"/>
        <w:rPr>
          <w:color w:val="131313"/>
          <w:w w:val="110"/>
        </w:rPr>
      </w:pPr>
    </w:p>
    <w:p w:rsidR="000D570E" w:rsidRDefault="000D570E" w:rsidP="00D036C4">
      <w:pPr>
        <w:pStyle w:val="BodyText"/>
        <w:spacing w:before="64" w:line="345" w:lineRule="auto"/>
        <w:ind w:left="1560" w:right="1704" w:firstLine="5"/>
        <w:rPr>
          <w:color w:val="131313"/>
          <w:w w:val="110"/>
        </w:rPr>
      </w:pPr>
    </w:p>
    <w:p w:rsidR="000D570E" w:rsidRDefault="000D570E" w:rsidP="00D036C4">
      <w:pPr>
        <w:pStyle w:val="BodyText"/>
        <w:spacing w:before="64" w:line="345" w:lineRule="auto"/>
        <w:ind w:left="1560" w:right="1704" w:firstLine="5"/>
        <w:rPr>
          <w:color w:val="131313"/>
          <w:w w:val="110"/>
        </w:rPr>
      </w:pPr>
    </w:p>
    <w:p w:rsidR="000D570E" w:rsidRDefault="000D570E" w:rsidP="00D036C4">
      <w:pPr>
        <w:pStyle w:val="BodyText"/>
        <w:spacing w:before="64" w:line="345" w:lineRule="auto"/>
        <w:ind w:left="1560" w:right="1704" w:firstLine="5"/>
        <w:rPr>
          <w:color w:val="131313"/>
          <w:w w:val="110"/>
        </w:rPr>
      </w:pPr>
    </w:p>
    <w:p w:rsidR="004E6266" w:rsidRPr="00D036C4" w:rsidRDefault="00D036C4" w:rsidP="00D036C4">
      <w:pPr>
        <w:pStyle w:val="BodyText"/>
        <w:spacing w:before="64" w:line="345" w:lineRule="auto"/>
        <w:ind w:left="1560" w:right="1704" w:firstLine="5"/>
        <w:rPr>
          <w:color w:val="131313"/>
          <w:w w:val="110"/>
        </w:rPr>
      </w:pPr>
      <w:r w:rsidRPr="00D036C4">
        <w:rPr>
          <w:color w:val="131313"/>
          <w:w w:val="110"/>
        </w:rPr>
        <w:t>The predictability of the annual levy will be improved by greater transparency in the process by which the levy is established and the quality o</w:t>
      </w:r>
      <w:r w:rsidR="000D570E">
        <w:rPr>
          <w:color w:val="131313"/>
          <w:w w:val="110"/>
        </w:rPr>
        <w:t>f the data on which it is based</w:t>
      </w:r>
      <w:r w:rsidRPr="00D036C4">
        <w:rPr>
          <w:color w:val="131313"/>
          <w:w w:val="110"/>
        </w:rPr>
        <w:t>. For this reason, removing the retrospective adjustment mechanism will only superficially address concerns about vol</w:t>
      </w:r>
      <w:r w:rsidR="000D570E">
        <w:rPr>
          <w:color w:val="131313"/>
          <w:w w:val="110"/>
        </w:rPr>
        <w:t>atility and</w:t>
      </w:r>
      <w:r w:rsidRPr="00D036C4">
        <w:rPr>
          <w:color w:val="131313"/>
          <w:w w:val="110"/>
        </w:rPr>
        <w:t xml:space="preserve"> predictability.</w:t>
      </w: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rPr>
          <w:sz w:val="20"/>
        </w:rPr>
      </w:pPr>
    </w:p>
    <w:p w:rsidR="004E6266" w:rsidRDefault="004E6266">
      <w:pPr>
        <w:pStyle w:val="BodyText"/>
        <w:ind w:right="-40"/>
        <w:rPr>
          <w:sz w:val="20"/>
        </w:rPr>
      </w:pPr>
    </w:p>
    <w:sectPr w:rsidR="004E6266" w:rsidSect="004E6266">
      <w:pgSz w:w="11910" w:h="16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6F04"/>
    <w:multiLevelType w:val="hybridMultilevel"/>
    <w:tmpl w:val="7A081802"/>
    <w:lvl w:ilvl="0" w:tplc="7354C126">
      <w:numFmt w:val="bullet"/>
      <w:lvlText w:val="•"/>
      <w:lvlJc w:val="left"/>
      <w:pPr>
        <w:ind w:left="882" w:hanging="349"/>
      </w:pPr>
      <w:rPr>
        <w:rFonts w:hint="default"/>
        <w:w w:val="106"/>
      </w:rPr>
    </w:lvl>
    <w:lvl w:ilvl="1" w:tplc="69D2F920">
      <w:numFmt w:val="bullet"/>
      <w:lvlText w:val="•"/>
      <w:lvlJc w:val="left"/>
      <w:pPr>
        <w:ind w:left="7780" w:hanging="349"/>
      </w:pPr>
      <w:rPr>
        <w:rFonts w:hint="default"/>
      </w:rPr>
    </w:lvl>
    <w:lvl w:ilvl="2" w:tplc="0CE4F0E4">
      <w:numFmt w:val="bullet"/>
      <w:lvlText w:val="•"/>
      <w:lvlJc w:val="left"/>
      <w:pPr>
        <w:ind w:left="7900" w:hanging="349"/>
      </w:pPr>
      <w:rPr>
        <w:rFonts w:hint="default"/>
      </w:rPr>
    </w:lvl>
    <w:lvl w:ilvl="3" w:tplc="146254BA">
      <w:numFmt w:val="bullet"/>
      <w:lvlText w:val="•"/>
      <w:lvlJc w:val="left"/>
      <w:pPr>
        <w:ind w:left="7995" w:hanging="349"/>
      </w:pPr>
      <w:rPr>
        <w:rFonts w:hint="default"/>
      </w:rPr>
    </w:lvl>
    <w:lvl w:ilvl="4" w:tplc="F3AE05D4">
      <w:numFmt w:val="bullet"/>
      <w:lvlText w:val="•"/>
      <w:lvlJc w:val="left"/>
      <w:pPr>
        <w:ind w:left="8091" w:hanging="349"/>
      </w:pPr>
      <w:rPr>
        <w:rFonts w:hint="default"/>
      </w:rPr>
    </w:lvl>
    <w:lvl w:ilvl="5" w:tplc="EAF8C1E4">
      <w:numFmt w:val="bullet"/>
      <w:lvlText w:val="•"/>
      <w:lvlJc w:val="left"/>
      <w:pPr>
        <w:ind w:left="8186" w:hanging="349"/>
      </w:pPr>
      <w:rPr>
        <w:rFonts w:hint="default"/>
      </w:rPr>
    </w:lvl>
    <w:lvl w:ilvl="6" w:tplc="04884B72">
      <w:numFmt w:val="bullet"/>
      <w:lvlText w:val="•"/>
      <w:lvlJc w:val="left"/>
      <w:pPr>
        <w:ind w:left="8282" w:hanging="349"/>
      </w:pPr>
      <w:rPr>
        <w:rFonts w:hint="default"/>
      </w:rPr>
    </w:lvl>
    <w:lvl w:ilvl="7" w:tplc="B0F6694A">
      <w:numFmt w:val="bullet"/>
      <w:lvlText w:val="•"/>
      <w:lvlJc w:val="left"/>
      <w:pPr>
        <w:ind w:left="8377" w:hanging="349"/>
      </w:pPr>
      <w:rPr>
        <w:rFonts w:hint="default"/>
      </w:rPr>
    </w:lvl>
    <w:lvl w:ilvl="8" w:tplc="C1B4B99E">
      <w:numFmt w:val="bullet"/>
      <w:lvlText w:val="•"/>
      <w:lvlJc w:val="left"/>
      <w:pPr>
        <w:ind w:left="8473" w:hanging="34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useFELayout/>
  </w:compat>
  <w:rsids>
    <w:rsidRoot w:val="004E6266"/>
    <w:rsid w:val="000D570E"/>
    <w:rsid w:val="001F02FA"/>
    <w:rsid w:val="004B6EF7"/>
    <w:rsid w:val="004E6266"/>
    <w:rsid w:val="00655C62"/>
    <w:rsid w:val="006D5AF3"/>
    <w:rsid w:val="007337CB"/>
    <w:rsid w:val="00D036C4"/>
    <w:rsid w:val="00D535B3"/>
    <w:rsid w:val="00EB3DC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266"/>
    <w:rPr>
      <w:rFonts w:ascii="Arial" w:eastAsia="Arial" w:hAnsi="Arial" w:cs="Arial"/>
    </w:rPr>
  </w:style>
  <w:style w:type="paragraph" w:styleId="Heading1">
    <w:name w:val="heading 1"/>
    <w:basedOn w:val="Normal"/>
    <w:uiPriority w:val="1"/>
    <w:qFormat/>
    <w:rsid w:val="004E6266"/>
    <w:pPr>
      <w:spacing w:before="171"/>
      <w:ind w:left="118"/>
      <w:outlineLvl w:val="0"/>
    </w:pPr>
    <w:rPr>
      <w:rFonts w:ascii="Times New Roman" w:eastAsia="Times New Roman" w:hAnsi="Times New Roman" w:cs="Times New Roman"/>
      <w:b/>
      <w:bCs/>
      <w:sz w:val="21"/>
      <w:szCs w:val="21"/>
    </w:rPr>
  </w:style>
  <w:style w:type="paragraph" w:styleId="Heading2">
    <w:name w:val="heading 2"/>
    <w:basedOn w:val="Normal"/>
    <w:uiPriority w:val="1"/>
    <w:qFormat/>
    <w:rsid w:val="004E6266"/>
    <w:pPr>
      <w:ind w:left="1711" w:right="976"/>
      <w:outlineLvl w:val="1"/>
    </w:pPr>
    <w:rPr>
      <w:sz w:val="21"/>
      <w:szCs w:val="21"/>
    </w:rPr>
  </w:style>
  <w:style w:type="paragraph" w:styleId="Heading3">
    <w:name w:val="heading 3"/>
    <w:basedOn w:val="Normal"/>
    <w:uiPriority w:val="1"/>
    <w:qFormat/>
    <w:rsid w:val="004E6266"/>
    <w:pPr>
      <w:ind w:left="189"/>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6266"/>
    <w:rPr>
      <w:sz w:val="18"/>
      <w:szCs w:val="18"/>
    </w:rPr>
  </w:style>
  <w:style w:type="paragraph" w:styleId="ListParagraph">
    <w:name w:val="List Paragraph"/>
    <w:basedOn w:val="Normal"/>
    <w:uiPriority w:val="1"/>
    <w:qFormat/>
    <w:rsid w:val="004E6266"/>
    <w:pPr>
      <w:ind w:left="871" w:hanging="337"/>
    </w:pPr>
  </w:style>
  <w:style w:type="paragraph" w:customStyle="1" w:styleId="TableParagraph">
    <w:name w:val="Table Paragraph"/>
    <w:basedOn w:val="Normal"/>
    <w:uiPriority w:val="1"/>
    <w:qFormat/>
    <w:rsid w:val="004E6266"/>
  </w:style>
  <w:style w:type="paragraph" w:styleId="BalloonText">
    <w:name w:val="Balloon Text"/>
    <w:basedOn w:val="Normal"/>
    <w:link w:val="BalloonTextChar"/>
    <w:uiPriority w:val="99"/>
    <w:semiHidden/>
    <w:unhideWhenUsed/>
    <w:rsid w:val="00D036C4"/>
    <w:rPr>
      <w:rFonts w:ascii="Tahoma" w:hAnsi="Tahoma" w:cs="Tahoma"/>
      <w:sz w:val="16"/>
      <w:szCs w:val="16"/>
    </w:rPr>
  </w:style>
  <w:style w:type="character" w:customStyle="1" w:styleId="BalloonTextChar">
    <w:name w:val="Balloon Text Char"/>
    <w:basedOn w:val="DefaultParagraphFont"/>
    <w:link w:val="BalloonText"/>
    <w:uiPriority w:val="99"/>
    <w:semiHidden/>
    <w:rsid w:val="00D036C4"/>
    <w:rPr>
      <w:rFonts w:ascii="Tahoma" w:eastAsia="Arial" w:hAnsi="Tahoma" w:cs="Tahoma"/>
      <w:sz w:val="16"/>
      <w:szCs w:val="16"/>
    </w:rPr>
  </w:style>
  <w:style w:type="character" w:styleId="Hyperlink">
    <w:name w:val="Hyperlink"/>
    <w:basedOn w:val="DefaultParagraphFont"/>
    <w:uiPriority w:val="99"/>
    <w:unhideWhenUsed/>
    <w:rsid w:val="00655C6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nergyindust%20rylevy@act.gov.au" TargetMode="External"/><Relationship Id="rId3" Type="http://schemas.openxmlformats.org/officeDocument/2006/relationships/settings" Target="settings.xml"/><Relationship Id="rId7" Type="http://schemas.openxmlformats.org/officeDocument/2006/relationships/hyperlink" Target="mailto:barr@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rc.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ICRC Submission</dc:title>
  <dc:creator>CMTEDD</dc:creator>
  <cp:lastModifiedBy>Matthew C. Smith</cp:lastModifiedBy>
  <cp:revision>6</cp:revision>
  <dcterms:created xsi:type="dcterms:W3CDTF">2017-03-22T14:34:00Z</dcterms:created>
  <dcterms:modified xsi:type="dcterms:W3CDTF">2017-03-23T22:12:00Z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RICOH MP C3003</vt:lpwstr>
  </property>
  <property fmtid="{D5CDD505-2E9C-101B-9397-08002B2CF9AE}" pid="4" name="LastSaved">
    <vt:filetime>2017-03-22T00:00:00Z</vt:filetime>
  </property>
</Properties>
</file>