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60" w:rsidRDefault="00D736A2" w:rsidP="004A3C60">
      <w:pPr>
        <w:rPr>
          <w:rFonts w:ascii="Arial" w:hAnsi="Arial" w:cs="Arial"/>
          <w:b/>
          <w:color w:val="000000" w:themeColor="text1"/>
          <w:sz w:val="28"/>
          <w:szCs w:val="22"/>
        </w:rPr>
      </w:pPr>
      <w:bookmarkStart w:id="0" w:name="_GoBack"/>
      <w:bookmarkEnd w:id="0"/>
      <w:r w:rsidRPr="004A3C60">
        <w:rPr>
          <w:rFonts w:ascii="Arial" w:hAnsi="Arial" w:cs="Arial"/>
          <w:b/>
          <w:i/>
          <w:color w:val="000000" w:themeColor="text1"/>
          <w:sz w:val="28"/>
          <w:szCs w:val="22"/>
        </w:rPr>
        <w:t>Indu</w:t>
      </w:r>
      <w:r w:rsidR="005409EE" w:rsidRPr="004A3C60">
        <w:rPr>
          <w:rFonts w:ascii="Arial" w:hAnsi="Arial" w:cs="Arial"/>
          <w:b/>
          <w:i/>
          <w:color w:val="000000" w:themeColor="text1"/>
          <w:sz w:val="28"/>
          <w:szCs w:val="22"/>
        </w:rPr>
        <w:t>stry</w:t>
      </w:r>
      <w:r w:rsidR="00243CC5" w:rsidRPr="004A3C60">
        <w:rPr>
          <w:rFonts w:ascii="Arial" w:hAnsi="Arial" w:cs="Arial"/>
          <w:b/>
          <w:i/>
          <w:color w:val="000000" w:themeColor="text1"/>
          <w:sz w:val="28"/>
          <w:szCs w:val="22"/>
        </w:rPr>
        <w:t xml:space="preserve"> P</w:t>
      </w:r>
      <w:r w:rsidRPr="004A3C60">
        <w:rPr>
          <w:rFonts w:ascii="Arial" w:hAnsi="Arial" w:cs="Arial"/>
          <w:b/>
          <w:i/>
          <w:color w:val="000000" w:themeColor="text1"/>
          <w:sz w:val="28"/>
          <w:szCs w:val="22"/>
        </w:rPr>
        <w:t xml:space="preserve">anel Review of the </w:t>
      </w:r>
      <w:r w:rsidR="004A3C60" w:rsidRPr="004A3C60">
        <w:rPr>
          <w:rFonts w:ascii="Arial" w:hAnsi="Arial" w:cs="Arial"/>
          <w:b/>
          <w:i/>
          <w:color w:val="000000" w:themeColor="text1"/>
          <w:sz w:val="28"/>
          <w:szCs w:val="22"/>
        </w:rPr>
        <w:t xml:space="preserve">Independent Competition and Regulatory Commission’s </w:t>
      </w:r>
      <w:r w:rsidR="00343BA8" w:rsidRPr="004A3C60">
        <w:rPr>
          <w:rFonts w:ascii="Arial" w:hAnsi="Arial" w:cs="Arial"/>
          <w:b/>
          <w:i/>
          <w:color w:val="000000" w:themeColor="text1"/>
          <w:sz w:val="28"/>
          <w:szCs w:val="22"/>
        </w:rPr>
        <w:t>2013</w:t>
      </w:r>
      <w:r w:rsidR="00185436" w:rsidRPr="004A3C60">
        <w:rPr>
          <w:rFonts w:ascii="Arial" w:hAnsi="Arial" w:cs="Arial"/>
          <w:b/>
          <w:i/>
          <w:color w:val="000000" w:themeColor="text1"/>
          <w:sz w:val="28"/>
          <w:szCs w:val="22"/>
        </w:rPr>
        <w:t xml:space="preserve"> </w:t>
      </w:r>
      <w:r w:rsidRPr="004A3C60">
        <w:rPr>
          <w:rFonts w:ascii="Arial" w:hAnsi="Arial" w:cs="Arial"/>
          <w:b/>
          <w:i/>
          <w:color w:val="000000" w:themeColor="text1"/>
          <w:sz w:val="28"/>
          <w:szCs w:val="22"/>
        </w:rPr>
        <w:t xml:space="preserve">Price </w:t>
      </w:r>
      <w:r w:rsidR="00343BA8" w:rsidRPr="004A3C60">
        <w:rPr>
          <w:rFonts w:ascii="Arial" w:hAnsi="Arial" w:cs="Arial"/>
          <w:b/>
          <w:i/>
          <w:color w:val="000000" w:themeColor="text1"/>
          <w:sz w:val="28"/>
          <w:szCs w:val="22"/>
        </w:rPr>
        <w:t>Direction</w:t>
      </w:r>
      <w:r w:rsidR="00343BA8" w:rsidRPr="004A3C60">
        <w:rPr>
          <w:rFonts w:ascii="Arial" w:hAnsi="Arial" w:cs="Arial"/>
          <w:b/>
          <w:color w:val="000000" w:themeColor="text1"/>
          <w:sz w:val="28"/>
          <w:szCs w:val="22"/>
        </w:rPr>
        <w:t xml:space="preserve">: </w:t>
      </w:r>
      <w:r w:rsidR="004A3C60" w:rsidRPr="004A3C60">
        <w:rPr>
          <w:rFonts w:ascii="Arial" w:hAnsi="Arial" w:cs="Arial"/>
          <w:b/>
          <w:color w:val="000000" w:themeColor="text1"/>
          <w:sz w:val="28"/>
          <w:szCs w:val="22"/>
        </w:rPr>
        <w:t xml:space="preserve"> </w:t>
      </w:r>
    </w:p>
    <w:p w:rsidR="00343BA8" w:rsidRPr="004A3C60" w:rsidRDefault="004A3C60" w:rsidP="004A3C60">
      <w:pPr>
        <w:rPr>
          <w:rFonts w:ascii="Arial" w:hAnsi="Arial" w:cs="Arial"/>
          <w:b/>
          <w:color w:val="000000" w:themeColor="text1"/>
          <w:sz w:val="28"/>
          <w:szCs w:val="22"/>
        </w:rPr>
      </w:pPr>
      <w:r w:rsidRPr="004A3C60">
        <w:rPr>
          <w:rFonts w:ascii="Arial" w:hAnsi="Arial" w:cs="Arial"/>
          <w:b/>
          <w:color w:val="000000" w:themeColor="text1"/>
          <w:sz w:val="28"/>
          <w:szCs w:val="22"/>
        </w:rPr>
        <w:t xml:space="preserve">Overview of </w:t>
      </w:r>
      <w:r w:rsidR="00343BA8" w:rsidRPr="004A3C60">
        <w:rPr>
          <w:rFonts w:ascii="Arial" w:hAnsi="Arial" w:cs="Arial"/>
          <w:b/>
          <w:color w:val="000000" w:themeColor="text1"/>
          <w:sz w:val="28"/>
          <w:szCs w:val="22"/>
        </w:rPr>
        <w:t>Draft Report</w:t>
      </w:r>
    </w:p>
    <w:p w:rsidR="007D6691" w:rsidRPr="007328A6" w:rsidRDefault="007D6691" w:rsidP="00510A87">
      <w:pPr>
        <w:rPr>
          <w:rFonts w:ascii="Arial" w:hAnsi="Arial" w:cs="Arial"/>
          <w:color w:val="000000" w:themeColor="text1"/>
          <w:sz w:val="22"/>
          <w:szCs w:val="22"/>
        </w:rPr>
      </w:pPr>
    </w:p>
    <w:p w:rsidR="00196D08" w:rsidRPr="00A00549" w:rsidRDefault="00196D08" w:rsidP="00510A87">
      <w:pPr>
        <w:rPr>
          <w:rFonts w:ascii="Arial" w:hAnsi="Arial" w:cs="Arial"/>
          <w:b/>
          <w:color w:val="1F497D" w:themeColor="text2"/>
          <w:szCs w:val="22"/>
        </w:rPr>
      </w:pPr>
      <w:r w:rsidRPr="00A00549">
        <w:rPr>
          <w:rFonts w:ascii="Arial" w:hAnsi="Arial" w:cs="Arial"/>
          <w:b/>
          <w:color w:val="1F497D" w:themeColor="text2"/>
          <w:szCs w:val="22"/>
        </w:rPr>
        <w:t>Why was a review required?</w:t>
      </w:r>
    </w:p>
    <w:p w:rsidR="00196D08" w:rsidRDefault="00196D08" w:rsidP="00510A87">
      <w:pPr>
        <w:rPr>
          <w:rFonts w:ascii="Arial" w:hAnsi="Arial" w:cs="Arial"/>
          <w:sz w:val="22"/>
          <w:szCs w:val="22"/>
        </w:rPr>
      </w:pPr>
    </w:p>
    <w:p w:rsidR="00196D08" w:rsidRDefault="00E75846" w:rsidP="00510A87">
      <w:pPr>
        <w:rPr>
          <w:rFonts w:ascii="Arial" w:hAnsi="Arial" w:cs="Arial"/>
          <w:sz w:val="22"/>
          <w:szCs w:val="22"/>
        </w:rPr>
      </w:pPr>
      <w:r>
        <w:rPr>
          <w:rFonts w:ascii="Arial" w:hAnsi="Arial" w:cs="Arial"/>
          <w:sz w:val="22"/>
          <w:szCs w:val="22"/>
        </w:rPr>
        <w:t>An</w:t>
      </w:r>
      <w:r w:rsidR="00CF1C81" w:rsidRPr="007328A6">
        <w:rPr>
          <w:rFonts w:ascii="Arial" w:hAnsi="Arial" w:cs="Arial"/>
          <w:sz w:val="22"/>
          <w:szCs w:val="22"/>
        </w:rPr>
        <w:t xml:space="preserve"> </w:t>
      </w:r>
      <w:r>
        <w:rPr>
          <w:rFonts w:ascii="Arial" w:hAnsi="Arial" w:cs="Arial"/>
          <w:sz w:val="22"/>
          <w:szCs w:val="22"/>
        </w:rPr>
        <w:t>I</w:t>
      </w:r>
      <w:r w:rsidR="00CF1C81" w:rsidRPr="007328A6">
        <w:rPr>
          <w:rFonts w:ascii="Arial" w:hAnsi="Arial" w:cs="Arial"/>
          <w:sz w:val="22"/>
          <w:szCs w:val="22"/>
        </w:rPr>
        <w:t xml:space="preserve">ndustry </w:t>
      </w:r>
      <w:r>
        <w:rPr>
          <w:rFonts w:ascii="Arial" w:hAnsi="Arial" w:cs="Arial"/>
          <w:sz w:val="22"/>
          <w:szCs w:val="22"/>
        </w:rPr>
        <w:t>P</w:t>
      </w:r>
      <w:r w:rsidR="00CF1C81" w:rsidRPr="007328A6">
        <w:rPr>
          <w:rFonts w:ascii="Arial" w:hAnsi="Arial" w:cs="Arial"/>
          <w:sz w:val="22"/>
          <w:szCs w:val="22"/>
        </w:rPr>
        <w:t xml:space="preserve">anel </w:t>
      </w:r>
      <w:r w:rsidR="00D736A2" w:rsidRPr="007328A6">
        <w:rPr>
          <w:rFonts w:ascii="Arial" w:hAnsi="Arial" w:cs="Arial"/>
          <w:sz w:val="22"/>
          <w:szCs w:val="22"/>
        </w:rPr>
        <w:t xml:space="preserve">was appointed </w:t>
      </w:r>
      <w:r>
        <w:rPr>
          <w:rFonts w:ascii="Arial" w:hAnsi="Arial" w:cs="Arial"/>
          <w:sz w:val="22"/>
          <w:szCs w:val="22"/>
        </w:rPr>
        <w:t xml:space="preserve">by the ACT Treasurer </w:t>
      </w:r>
      <w:r w:rsidR="00CF1C81" w:rsidRPr="007328A6">
        <w:rPr>
          <w:rFonts w:ascii="Arial" w:hAnsi="Arial" w:cs="Arial"/>
          <w:sz w:val="22"/>
          <w:szCs w:val="22"/>
        </w:rPr>
        <w:t xml:space="preserve">to </w:t>
      </w:r>
      <w:r w:rsidR="00E73CDB">
        <w:rPr>
          <w:rFonts w:ascii="Arial" w:hAnsi="Arial" w:cs="Arial"/>
          <w:sz w:val="22"/>
          <w:szCs w:val="22"/>
        </w:rPr>
        <w:t xml:space="preserve">review </w:t>
      </w:r>
      <w:r w:rsidRPr="00196D08">
        <w:rPr>
          <w:rFonts w:ascii="Arial" w:hAnsi="Arial" w:cs="Arial"/>
          <w:sz w:val="22"/>
          <w:szCs w:val="22"/>
        </w:rPr>
        <w:t xml:space="preserve">the </w:t>
      </w:r>
      <w:r w:rsidR="00E73CDB" w:rsidRPr="00196D08">
        <w:rPr>
          <w:rFonts w:ascii="Arial" w:hAnsi="Arial" w:cs="Arial"/>
          <w:sz w:val="22"/>
          <w:szCs w:val="22"/>
        </w:rPr>
        <w:t>price direction for water and sewerage services</w:t>
      </w:r>
      <w:r w:rsidR="00E73CDB">
        <w:rPr>
          <w:rFonts w:ascii="Arial" w:hAnsi="Arial" w:cs="Arial"/>
          <w:sz w:val="22"/>
          <w:szCs w:val="22"/>
        </w:rPr>
        <w:t xml:space="preserve"> set by the </w:t>
      </w:r>
      <w:r w:rsidRPr="00196D08">
        <w:rPr>
          <w:rFonts w:ascii="Arial" w:hAnsi="Arial" w:cs="Arial"/>
          <w:sz w:val="22"/>
          <w:szCs w:val="22"/>
        </w:rPr>
        <w:t>Independent Competition and Regulatory Commission</w:t>
      </w:r>
      <w:r w:rsidR="00196D08">
        <w:rPr>
          <w:rFonts w:ascii="Arial" w:hAnsi="Arial" w:cs="Arial"/>
          <w:sz w:val="22"/>
          <w:szCs w:val="22"/>
        </w:rPr>
        <w:t xml:space="preserve"> (ICRC) </w:t>
      </w:r>
      <w:r w:rsidR="00E73CDB">
        <w:rPr>
          <w:rFonts w:ascii="Arial" w:hAnsi="Arial" w:cs="Arial"/>
          <w:sz w:val="22"/>
          <w:szCs w:val="22"/>
        </w:rPr>
        <w:t xml:space="preserve">in 2013. </w:t>
      </w:r>
    </w:p>
    <w:p w:rsidR="00E73CDB" w:rsidRDefault="00E73CDB" w:rsidP="00510A87">
      <w:pPr>
        <w:rPr>
          <w:rFonts w:ascii="Arial" w:hAnsi="Arial" w:cs="Arial"/>
          <w:sz w:val="22"/>
          <w:szCs w:val="22"/>
        </w:rPr>
      </w:pPr>
    </w:p>
    <w:p w:rsidR="00CF1C81" w:rsidRPr="007328A6" w:rsidRDefault="00E75846" w:rsidP="00510A87">
      <w:pPr>
        <w:rPr>
          <w:rFonts w:ascii="Arial" w:hAnsi="Arial" w:cs="Arial"/>
          <w:b/>
          <w:color w:val="000000" w:themeColor="text1"/>
          <w:sz w:val="22"/>
          <w:szCs w:val="22"/>
        </w:rPr>
      </w:pPr>
      <w:r w:rsidRPr="00196D08">
        <w:rPr>
          <w:rFonts w:ascii="Arial" w:hAnsi="Arial" w:cs="Arial"/>
          <w:sz w:val="22"/>
          <w:szCs w:val="22"/>
        </w:rPr>
        <w:t>Th</w:t>
      </w:r>
      <w:r w:rsidR="00E73CDB">
        <w:rPr>
          <w:rFonts w:ascii="Arial" w:hAnsi="Arial" w:cs="Arial"/>
          <w:sz w:val="22"/>
          <w:szCs w:val="22"/>
        </w:rPr>
        <w:t>e</w:t>
      </w:r>
      <w:r w:rsidRPr="00196D08">
        <w:rPr>
          <w:rFonts w:ascii="Arial" w:hAnsi="Arial" w:cs="Arial"/>
          <w:sz w:val="22"/>
          <w:szCs w:val="22"/>
        </w:rPr>
        <w:t xml:space="preserve"> </w:t>
      </w:r>
      <w:r w:rsidR="00E73CDB">
        <w:rPr>
          <w:rFonts w:ascii="Arial" w:hAnsi="Arial" w:cs="Arial"/>
          <w:sz w:val="22"/>
          <w:szCs w:val="22"/>
        </w:rPr>
        <w:t>review was triggered by</w:t>
      </w:r>
      <w:r w:rsidRPr="00196D08">
        <w:rPr>
          <w:rFonts w:ascii="Arial" w:hAnsi="Arial" w:cs="Arial"/>
          <w:sz w:val="22"/>
          <w:szCs w:val="22"/>
        </w:rPr>
        <w:t xml:space="preserve"> </w:t>
      </w:r>
      <w:r>
        <w:rPr>
          <w:rFonts w:ascii="Arial" w:hAnsi="Arial" w:cs="Arial"/>
          <w:sz w:val="22"/>
          <w:szCs w:val="22"/>
        </w:rPr>
        <w:t>ACTEW</w:t>
      </w:r>
      <w:r w:rsidRPr="007328A6">
        <w:rPr>
          <w:rFonts w:ascii="Arial" w:hAnsi="Arial" w:cs="Arial"/>
          <w:sz w:val="22"/>
          <w:szCs w:val="22"/>
        </w:rPr>
        <w:t xml:space="preserve"> under the </w:t>
      </w:r>
      <w:r w:rsidR="00E73CDB">
        <w:rPr>
          <w:rFonts w:ascii="Arial" w:hAnsi="Arial" w:cs="Arial"/>
          <w:sz w:val="22"/>
          <w:szCs w:val="22"/>
        </w:rPr>
        <w:t xml:space="preserve">appeal process provided for in the </w:t>
      </w:r>
      <w:r w:rsidRPr="007328A6">
        <w:rPr>
          <w:rFonts w:ascii="Arial" w:hAnsi="Arial" w:cs="Arial"/>
          <w:i/>
          <w:sz w:val="22"/>
          <w:szCs w:val="22"/>
        </w:rPr>
        <w:t>Independent Competition and Regulatory Commission Act 1997</w:t>
      </w:r>
      <w:r>
        <w:rPr>
          <w:rFonts w:ascii="Arial" w:hAnsi="Arial" w:cs="Arial"/>
          <w:i/>
          <w:sz w:val="22"/>
          <w:szCs w:val="22"/>
        </w:rPr>
        <w:t>.</w:t>
      </w:r>
    </w:p>
    <w:p w:rsidR="00CF1C81" w:rsidRPr="007328A6" w:rsidRDefault="00CF1C81" w:rsidP="00510A87">
      <w:pPr>
        <w:rPr>
          <w:rFonts w:ascii="Arial" w:hAnsi="Arial" w:cs="Arial"/>
          <w:b/>
          <w:color w:val="000000" w:themeColor="text1"/>
          <w:sz w:val="22"/>
          <w:szCs w:val="22"/>
        </w:rPr>
      </w:pPr>
    </w:p>
    <w:p w:rsidR="009845AD" w:rsidRPr="007328A6" w:rsidRDefault="00E73CDB" w:rsidP="009845AD">
      <w:pPr>
        <w:rPr>
          <w:rFonts w:ascii="Arial" w:hAnsi="Arial" w:cs="Arial"/>
          <w:sz w:val="22"/>
          <w:szCs w:val="22"/>
        </w:rPr>
      </w:pPr>
      <w:r>
        <w:rPr>
          <w:rFonts w:ascii="Arial" w:hAnsi="Arial" w:cs="Arial"/>
          <w:sz w:val="22"/>
          <w:szCs w:val="22"/>
        </w:rPr>
        <w:t xml:space="preserve">Having </w:t>
      </w:r>
      <w:r w:rsidR="009845AD" w:rsidRPr="007328A6">
        <w:rPr>
          <w:rFonts w:ascii="Arial" w:hAnsi="Arial" w:cs="Arial"/>
          <w:sz w:val="22"/>
          <w:szCs w:val="22"/>
        </w:rPr>
        <w:t>completed the first phase of its review</w:t>
      </w:r>
      <w:r>
        <w:rPr>
          <w:rFonts w:ascii="Arial" w:hAnsi="Arial" w:cs="Arial"/>
          <w:sz w:val="22"/>
          <w:szCs w:val="22"/>
        </w:rPr>
        <w:t xml:space="preserve">, the Panel </w:t>
      </w:r>
      <w:r w:rsidR="009845AD" w:rsidRPr="007328A6">
        <w:rPr>
          <w:rFonts w:ascii="Arial" w:hAnsi="Arial" w:cs="Arial"/>
          <w:sz w:val="22"/>
          <w:szCs w:val="22"/>
        </w:rPr>
        <w:t xml:space="preserve">has </w:t>
      </w:r>
      <w:r w:rsidR="009845AD">
        <w:rPr>
          <w:rFonts w:ascii="Arial" w:hAnsi="Arial" w:cs="Arial"/>
          <w:sz w:val="22"/>
          <w:szCs w:val="22"/>
        </w:rPr>
        <w:t xml:space="preserve">released </w:t>
      </w:r>
      <w:r w:rsidR="00185436">
        <w:rPr>
          <w:rFonts w:ascii="Arial" w:hAnsi="Arial" w:cs="Arial"/>
          <w:sz w:val="22"/>
          <w:szCs w:val="22"/>
        </w:rPr>
        <w:t>a</w:t>
      </w:r>
      <w:r w:rsidR="009845AD">
        <w:rPr>
          <w:rFonts w:ascii="Arial" w:hAnsi="Arial" w:cs="Arial"/>
          <w:sz w:val="22"/>
          <w:szCs w:val="22"/>
        </w:rPr>
        <w:t xml:space="preserve"> draft report </w:t>
      </w:r>
      <w:r w:rsidR="009845AD" w:rsidRPr="007328A6">
        <w:rPr>
          <w:rFonts w:ascii="Arial" w:hAnsi="Arial" w:cs="Arial"/>
          <w:sz w:val="22"/>
          <w:szCs w:val="22"/>
        </w:rPr>
        <w:t>set</w:t>
      </w:r>
      <w:r w:rsidR="009845AD">
        <w:rPr>
          <w:rFonts w:ascii="Arial" w:hAnsi="Arial" w:cs="Arial"/>
          <w:sz w:val="22"/>
          <w:szCs w:val="22"/>
        </w:rPr>
        <w:t>ting</w:t>
      </w:r>
      <w:r w:rsidR="009845AD" w:rsidRPr="007328A6">
        <w:rPr>
          <w:rFonts w:ascii="Arial" w:hAnsi="Arial" w:cs="Arial"/>
          <w:sz w:val="22"/>
          <w:szCs w:val="22"/>
        </w:rPr>
        <w:t xml:space="preserve"> out </w:t>
      </w:r>
      <w:r w:rsidR="009845AD">
        <w:rPr>
          <w:rFonts w:ascii="Arial" w:hAnsi="Arial" w:cs="Arial"/>
          <w:sz w:val="22"/>
          <w:szCs w:val="22"/>
        </w:rPr>
        <w:t>its proposed</w:t>
      </w:r>
      <w:r w:rsidR="009845AD" w:rsidRPr="007328A6">
        <w:rPr>
          <w:rFonts w:ascii="Arial" w:hAnsi="Arial" w:cs="Arial"/>
          <w:sz w:val="22"/>
          <w:szCs w:val="22"/>
        </w:rPr>
        <w:t xml:space="preserve"> </w:t>
      </w:r>
      <w:r w:rsidR="00D0788A">
        <w:rPr>
          <w:rFonts w:ascii="Arial" w:hAnsi="Arial" w:cs="Arial"/>
          <w:sz w:val="22"/>
          <w:szCs w:val="22"/>
        </w:rPr>
        <w:t xml:space="preserve">pricing </w:t>
      </w:r>
      <w:r w:rsidR="009845AD" w:rsidRPr="007328A6">
        <w:rPr>
          <w:rFonts w:ascii="Arial" w:hAnsi="Arial" w:cs="Arial"/>
          <w:sz w:val="22"/>
          <w:szCs w:val="22"/>
        </w:rPr>
        <w:t xml:space="preserve">decision. </w:t>
      </w:r>
    </w:p>
    <w:p w:rsidR="00E75846" w:rsidRDefault="00E75846" w:rsidP="00510A87">
      <w:pPr>
        <w:rPr>
          <w:rFonts w:ascii="Arial" w:hAnsi="Arial" w:cs="Arial"/>
          <w:b/>
          <w:color w:val="000000" w:themeColor="text1"/>
          <w:sz w:val="22"/>
          <w:szCs w:val="22"/>
        </w:rPr>
      </w:pPr>
    </w:p>
    <w:p w:rsidR="004759F0" w:rsidRPr="00A00549" w:rsidRDefault="004759F0" w:rsidP="004759F0">
      <w:pPr>
        <w:shd w:val="clear" w:color="auto" w:fill="D9D9D9" w:themeFill="background1" w:themeFillShade="D9"/>
        <w:rPr>
          <w:rFonts w:ascii="Arial" w:hAnsi="Arial" w:cs="Arial"/>
          <w:b/>
          <w:color w:val="1F497D" w:themeColor="text2"/>
          <w:szCs w:val="22"/>
        </w:rPr>
      </w:pPr>
      <w:r>
        <w:rPr>
          <w:rFonts w:ascii="Arial" w:hAnsi="Arial" w:cs="Arial"/>
          <w:b/>
          <w:color w:val="1F497D" w:themeColor="text2"/>
          <w:szCs w:val="22"/>
        </w:rPr>
        <w:t>B</w:t>
      </w:r>
      <w:r w:rsidRPr="00A00549">
        <w:rPr>
          <w:rFonts w:ascii="Arial" w:hAnsi="Arial" w:cs="Arial"/>
          <w:b/>
          <w:color w:val="1F497D" w:themeColor="text2"/>
          <w:szCs w:val="22"/>
        </w:rPr>
        <w:t xml:space="preserve">ackground </w:t>
      </w:r>
      <w:r>
        <w:rPr>
          <w:rFonts w:ascii="Arial" w:hAnsi="Arial" w:cs="Arial"/>
          <w:b/>
          <w:color w:val="1F497D" w:themeColor="text2"/>
          <w:szCs w:val="22"/>
        </w:rPr>
        <w:t>to the review</w:t>
      </w:r>
    </w:p>
    <w:p w:rsidR="004759F0" w:rsidRPr="00F734C9" w:rsidRDefault="004759F0" w:rsidP="004759F0">
      <w:pPr>
        <w:shd w:val="clear" w:color="auto" w:fill="D9D9D9" w:themeFill="background1" w:themeFillShade="D9"/>
        <w:rPr>
          <w:rFonts w:ascii="Arial" w:hAnsi="Arial" w:cs="Arial"/>
          <w:b/>
          <w:color w:val="000000" w:themeColor="text1"/>
          <w:sz w:val="10"/>
          <w:szCs w:val="22"/>
        </w:rPr>
      </w:pPr>
    </w:p>
    <w:p w:rsidR="004759F0" w:rsidRPr="007328A6" w:rsidRDefault="004759F0" w:rsidP="004759F0">
      <w:pPr>
        <w:shd w:val="clear" w:color="auto" w:fill="D9D9D9" w:themeFill="background1" w:themeFillShade="D9"/>
        <w:rPr>
          <w:rFonts w:ascii="Arial" w:hAnsi="Arial" w:cs="Arial"/>
          <w:sz w:val="22"/>
          <w:szCs w:val="22"/>
        </w:rPr>
      </w:pPr>
      <w:r w:rsidRPr="007328A6">
        <w:rPr>
          <w:rFonts w:ascii="Arial" w:hAnsi="Arial" w:cs="Arial"/>
          <w:sz w:val="22"/>
          <w:szCs w:val="22"/>
        </w:rPr>
        <w:t xml:space="preserve">The </w:t>
      </w:r>
      <w:r>
        <w:rPr>
          <w:rFonts w:ascii="Arial" w:hAnsi="Arial" w:cs="Arial"/>
          <w:sz w:val="22"/>
          <w:szCs w:val="22"/>
        </w:rPr>
        <w:t>ICRC</w:t>
      </w:r>
      <w:r w:rsidRPr="007328A6">
        <w:rPr>
          <w:rFonts w:ascii="Arial" w:hAnsi="Arial" w:cs="Arial"/>
          <w:sz w:val="22"/>
          <w:szCs w:val="22"/>
        </w:rPr>
        <w:t xml:space="preserve"> is responsible for regulating the prices </w:t>
      </w:r>
      <w:r>
        <w:rPr>
          <w:rFonts w:ascii="Arial" w:hAnsi="Arial" w:cs="Arial"/>
          <w:sz w:val="22"/>
          <w:szCs w:val="22"/>
        </w:rPr>
        <w:t>ACTEW</w:t>
      </w:r>
      <w:r w:rsidRPr="007328A6">
        <w:rPr>
          <w:rFonts w:ascii="Arial" w:hAnsi="Arial" w:cs="Arial"/>
          <w:sz w:val="22"/>
          <w:szCs w:val="22"/>
        </w:rPr>
        <w:t xml:space="preserve"> charges for water and sewerage services in the ACT.  </w:t>
      </w:r>
      <w:r>
        <w:rPr>
          <w:rFonts w:ascii="Arial" w:hAnsi="Arial" w:cs="Arial"/>
          <w:sz w:val="22"/>
          <w:szCs w:val="22"/>
        </w:rPr>
        <w:t>Its</w:t>
      </w:r>
      <w:r w:rsidRPr="007328A6">
        <w:rPr>
          <w:rFonts w:ascii="Arial" w:hAnsi="Arial" w:cs="Arial"/>
          <w:sz w:val="22"/>
          <w:szCs w:val="22"/>
        </w:rPr>
        <w:t xml:space="preserve"> </w:t>
      </w:r>
      <w:r>
        <w:rPr>
          <w:rFonts w:ascii="Arial" w:hAnsi="Arial" w:cs="Arial"/>
          <w:sz w:val="22"/>
          <w:szCs w:val="22"/>
        </w:rPr>
        <w:t>price direction released in 2013</w:t>
      </w:r>
      <w:r w:rsidRPr="007328A6">
        <w:rPr>
          <w:rFonts w:ascii="Arial" w:hAnsi="Arial" w:cs="Arial"/>
          <w:sz w:val="22"/>
          <w:szCs w:val="22"/>
        </w:rPr>
        <w:t xml:space="preserve"> determin</w:t>
      </w:r>
      <w:r>
        <w:rPr>
          <w:rFonts w:ascii="Arial" w:hAnsi="Arial" w:cs="Arial"/>
          <w:sz w:val="22"/>
          <w:szCs w:val="22"/>
        </w:rPr>
        <w:t>ed</w:t>
      </w:r>
      <w:r w:rsidRPr="007328A6">
        <w:rPr>
          <w:rFonts w:ascii="Arial" w:hAnsi="Arial" w:cs="Arial"/>
          <w:sz w:val="22"/>
          <w:szCs w:val="22"/>
        </w:rPr>
        <w:t xml:space="preserve"> that ACTEW’s maximum prices for water services sh</w:t>
      </w:r>
      <w:r>
        <w:rPr>
          <w:rFonts w:ascii="Arial" w:hAnsi="Arial" w:cs="Arial"/>
          <w:sz w:val="22"/>
          <w:szCs w:val="22"/>
        </w:rPr>
        <w:t>ould increase by 4.9% in 2013</w:t>
      </w:r>
      <w:r>
        <w:rPr>
          <w:rFonts w:ascii="Arial" w:hAnsi="Arial" w:cs="Arial"/>
          <w:color w:val="000000" w:themeColor="text1"/>
          <w:sz w:val="22"/>
          <w:szCs w:val="22"/>
        </w:rPr>
        <w:t>–</w:t>
      </w:r>
      <w:r>
        <w:rPr>
          <w:rFonts w:ascii="Arial" w:hAnsi="Arial" w:cs="Arial"/>
          <w:sz w:val="22"/>
          <w:szCs w:val="22"/>
        </w:rPr>
        <w:t xml:space="preserve">14, while </w:t>
      </w:r>
      <w:r w:rsidRPr="007328A6">
        <w:rPr>
          <w:rFonts w:ascii="Arial" w:hAnsi="Arial" w:cs="Arial"/>
          <w:sz w:val="22"/>
          <w:szCs w:val="22"/>
        </w:rPr>
        <w:t xml:space="preserve">maximum price for sewerage services should fall by 18.1%. To deal with uncertainties about costs and demand over the </w:t>
      </w:r>
      <w:r>
        <w:rPr>
          <w:rFonts w:ascii="Arial" w:hAnsi="Arial" w:cs="Arial"/>
          <w:sz w:val="22"/>
          <w:szCs w:val="22"/>
        </w:rPr>
        <w:t xml:space="preserve">five-year </w:t>
      </w:r>
      <w:r w:rsidRPr="007328A6">
        <w:rPr>
          <w:rFonts w:ascii="Arial" w:hAnsi="Arial" w:cs="Arial"/>
          <w:sz w:val="22"/>
          <w:szCs w:val="22"/>
        </w:rPr>
        <w:t>regulatory period, the ICRC made provision for prices in later years to be established through two ‘biennial recalibra</w:t>
      </w:r>
      <w:r>
        <w:rPr>
          <w:rFonts w:ascii="Arial" w:hAnsi="Arial" w:cs="Arial"/>
          <w:sz w:val="22"/>
          <w:szCs w:val="22"/>
        </w:rPr>
        <w:t>tions’, to be conducted in 2015</w:t>
      </w:r>
      <w:r>
        <w:rPr>
          <w:rFonts w:ascii="Arial" w:hAnsi="Arial" w:cs="Arial"/>
          <w:color w:val="000000" w:themeColor="text1"/>
          <w:sz w:val="22"/>
          <w:szCs w:val="22"/>
        </w:rPr>
        <w:t>–</w:t>
      </w:r>
      <w:r>
        <w:rPr>
          <w:rFonts w:ascii="Arial" w:hAnsi="Arial" w:cs="Arial"/>
          <w:sz w:val="22"/>
          <w:szCs w:val="22"/>
        </w:rPr>
        <w:t>16 and 2017</w:t>
      </w:r>
      <w:r>
        <w:rPr>
          <w:rFonts w:ascii="Arial" w:hAnsi="Arial" w:cs="Arial"/>
          <w:color w:val="000000" w:themeColor="text1"/>
          <w:sz w:val="22"/>
          <w:szCs w:val="22"/>
        </w:rPr>
        <w:t>–</w:t>
      </w:r>
      <w:r w:rsidRPr="007328A6">
        <w:rPr>
          <w:rFonts w:ascii="Arial" w:hAnsi="Arial" w:cs="Arial"/>
          <w:sz w:val="22"/>
          <w:szCs w:val="22"/>
        </w:rPr>
        <w:t xml:space="preserve">18. </w:t>
      </w:r>
    </w:p>
    <w:p w:rsidR="004759F0" w:rsidRPr="007328A6" w:rsidRDefault="004759F0" w:rsidP="004759F0">
      <w:pPr>
        <w:shd w:val="clear" w:color="auto" w:fill="D9D9D9" w:themeFill="background1" w:themeFillShade="D9"/>
        <w:rPr>
          <w:rFonts w:ascii="Arial" w:hAnsi="Arial" w:cs="Arial"/>
          <w:i/>
          <w:sz w:val="22"/>
          <w:szCs w:val="22"/>
        </w:rPr>
      </w:pPr>
    </w:p>
    <w:p w:rsidR="004759F0" w:rsidRDefault="004759F0" w:rsidP="004759F0">
      <w:pPr>
        <w:shd w:val="clear" w:color="auto" w:fill="D9D9D9" w:themeFill="background1" w:themeFillShade="D9"/>
        <w:rPr>
          <w:rFonts w:ascii="Arial" w:hAnsi="Arial" w:cs="Arial"/>
          <w:sz w:val="22"/>
          <w:szCs w:val="22"/>
        </w:rPr>
      </w:pPr>
      <w:r w:rsidRPr="007328A6">
        <w:rPr>
          <w:rFonts w:ascii="Arial" w:hAnsi="Arial" w:cs="Arial"/>
          <w:sz w:val="22"/>
          <w:szCs w:val="22"/>
        </w:rPr>
        <w:t xml:space="preserve">ACTEW </w:t>
      </w:r>
      <w:r w:rsidR="00834EDB" w:rsidRPr="001418A2">
        <w:rPr>
          <w:rFonts w:ascii="Arial" w:hAnsi="Arial" w:cs="Arial"/>
          <w:sz w:val="22"/>
          <w:szCs w:val="22"/>
        </w:rPr>
        <w:t xml:space="preserve">(which will be rebranded as Icon Water from 2015) </w:t>
      </w:r>
      <w:r w:rsidRPr="001418A2">
        <w:rPr>
          <w:rFonts w:ascii="Arial" w:hAnsi="Arial" w:cs="Arial"/>
          <w:sz w:val="22"/>
          <w:szCs w:val="22"/>
        </w:rPr>
        <w:t>applied</w:t>
      </w:r>
      <w:r w:rsidRPr="007328A6">
        <w:rPr>
          <w:rFonts w:ascii="Arial" w:hAnsi="Arial" w:cs="Arial"/>
          <w:sz w:val="22"/>
          <w:szCs w:val="22"/>
        </w:rPr>
        <w:t xml:space="preserve"> for a review of the price direction </w:t>
      </w:r>
      <w:r>
        <w:rPr>
          <w:rFonts w:ascii="Arial" w:hAnsi="Arial" w:cs="Arial"/>
          <w:sz w:val="22"/>
          <w:szCs w:val="22"/>
        </w:rPr>
        <w:t xml:space="preserve">in September 2013 </w:t>
      </w:r>
      <w:r w:rsidRPr="007328A6">
        <w:rPr>
          <w:rFonts w:ascii="Arial" w:hAnsi="Arial" w:cs="Arial"/>
          <w:sz w:val="22"/>
          <w:szCs w:val="22"/>
        </w:rPr>
        <w:t xml:space="preserve">under the </w:t>
      </w:r>
      <w:r w:rsidRPr="007328A6">
        <w:rPr>
          <w:rFonts w:ascii="Arial" w:hAnsi="Arial" w:cs="Arial"/>
          <w:i/>
          <w:sz w:val="22"/>
          <w:szCs w:val="22"/>
        </w:rPr>
        <w:t xml:space="preserve">Independent Competition and Regulatory Commission Act 1997 </w:t>
      </w:r>
      <w:r w:rsidRPr="007328A6">
        <w:rPr>
          <w:rFonts w:ascii="Arial" w:hAnsi="Arial" w:cs="Arial"/>
          <w:sz w:val="22"/>
          <w:szCs w:val="22"/>
        </w:rPr>
        <w:t xml:space="preserve">on a range of grounds.  </w:t>
      </w:r>
    </w:p>
    <w:p w:rsidR="004759F0" w:rsidRDefault="004759F0" w:rsidP="004759F0">
      <w:pPr>
        <w:shd w:val="clear" w:color="auto" w:fill="D9D9D9" w:themeFill="background1" w:themeFillShade="D9"/>
        <w:rPr>
          <w:rFonts w:ascii="Arial" w:hAnsi="Arial" w:cs="Arial"/>
          <w:sz w:val="22"/>
          <w:szCs w:val="22"/>
        </w:rPr>
      </w:pPr>
    </w:p>
    <w:p w:rsidR="004759F0" w:rsidRDefault="004759F0" w:rsidP="004759F0">
      <w:pPr>
        <w:shd w:val="clear" w:color="auto" w:fill="D9D9D9" w:themeFill="background1" w:themeFillShade="D9"/>
        <w:rPr>
          <w:rFonts w:ascii="Arial" w:hAnsi="Arial" w:cs="Arial"/>
          <w:sz w:val="22"/>
          <w:szCs w:val="22"/>
        </w:rPr>
      </w:pPr>
      <w:r w:rsidRPr="007328A6">
        <w:rPr>
          <w:rFonts w:ascii="Arial" w:hAnsi="Arial" w:cs="Arial"/>
          <w:sz w:val="22"/>
          <w:szCs w:val="22"/>
        </w:rPr>
        <w:t>In response, the ACT Trea</w:t>
      </w:r>
      <w:r>
        <w:rPr>
          <w:rFonts w:ascii="Arial" w:hAnsi="Arial" w:cs="Arial"/>
          <w:sz w:val="22"/>
          <w:szCs w:val="22"/>
        </w:rPr>
        <w:t>surer appointed an independent Industry Panel</w:t>
      </w:r>
      <w:r w:rsidRPr="007328A6">
        <w:rPr>
          <w:rFonts w:ascii="Arial" w:hAnsi="Arial" w:cs="Arial"/>
          <w:sz w:val="22"/>
          <w:szCs w:val="22"/>
        </w:rPr>
        <w:t xml:space="preserve"> to conduct the review.  Under the Act, the Panel must:</w:t>
      </w:r>
    </w:p>
    <w:p w:rsidR="004759F0" w:rsidRPr="00F734C9" w:rsidRDefault="004759F0" w:rsidP="004759F0">
      <w:pPr>
        <w:shd w:val="clear" w:color="auto" w:fill="D9D9D9" w:themeFill="background1" w:themeFillShade="D9"/>
        <w:rPr>
          <w:rFonts w:ascii="Arial" w:hAnsi="Arial" w:cs="Arial"/>
          <w:sz w:val="8"/>
          <w:szCs w:val="22"/>
        </w:rPr>
      </w:pPr>
    </w:p>
    <w:p w:rsidR="004759F0" w:rsidRPr="007328AB" w:rsidRDefault="004759F0" w:rsidP="002041D4">
      <w:pPr>
        <w:pStyle w:val="Bullet1"/>
        <w:numPr>
          <w:ilvl w:val="0"/>
          <w:numId w:val="27"/>
        </w:numPr>
        <w:shd w:val="clear" w:color="auto" w:fill="D9D9D9" w:themeFill="background1" w:themeFillShade="D9"/>
        <w:jc w:val="left"/>
        <w:rPr>
          <w:rFonts w:ascii="Arial" w:hAnsi="Arial" w:cs="Arial"/>
          <w:sz w:val="22"/>
          <w:szCs w:val="22"/>
        </w:rPr>
      </w:pPr>
      <w:r w:rsidRPr="007328AB">
        <w:rPr>
          <w:rFonts w:ascii="Arial" w:hAnsi="Arial" w:cs="Arial"/>
          <w:sz w:val="22"/>
          <w:szCs w:val="22"/>
        </w:rPr>
        <w:t xml:space="preserve">either substitute a new price direction for the original price direction, or confirm the original price direction, and </w:t>
      </w:r>
    </w:p>
    <w:p w:rsidR="004759F0" w:rsidRPr="007328AB" w:rsidRDefault="004759F0" w:rsidP="002041D4">
      <w:pPr>
        <w:pStyle w:val="Bullet1"/>
        <w:numPr>
          <w:ilvl w:val="0"/>
          <w:numId w:val="27"/>
        </w:numPr>
        <w:shd w:val="clear" w:color="auto" w:fill="D9D9D9" w:themeFill="background1" w:themeFillShade="D9"/>
        <w:jc w:val="left"/>
        <w:rPr>
          <w:rFonts w:ascii="Arial" w:hAnsi="Arial" w:cs="Arial"/>
          <w:sz w:val="22"/>
          <w:szCs w:val="22"/>
        </w:rPr>
      </w:pPr>
      <w:r w:rsidRPr="007328AB">
        <w:rPr>
          <w:rFonts w:ascii="Arial" w:hAnsi="Arial" w:cs="Arial"/>
          <w:sz w:val="22"/>
          <w:szCs w:val="22"/>
        </w:rPr>
        <w:t>make its decision on the merits of the case, having regard to the legislation that governs the price direction.</w:t>
      </w:r>
    </w:p>
    <w:p w:rsidR="004759F0" w:rsidRDefault="004759F0" w:rsidP="00510A87">
      <w:pPr>
        <w:rPr>
          <w:rFonts w:ascii="Arial" w:hAnsi="Arial" w:cs="Arial"/>
          <w:b/>
          <w:color w:val="1F497D" w:themeColor="text2"/>
          <w:szCs w:val="22"/>
        </w:rPr>
      </w:pPr>
    </w:p>
    <w:p w:rsidR="00144F79" w:rsidRPr="00A00549" w:rsidRDefault="00144F79" w:rsidP="00510A87">
      <w:pPr>
        <w:rPr>
          <w:rFonts w:ascii="Arial" w:hAnsi="Arial" w:cs="Arial"/>
          <w:b/>
          <w:color w:val="1F497D" w:themeColor="text2"/>
          <w:szCs w:val="22"/>
        </w:rPr>
      </w:pPr>
      <w:r w:rsidRPr="00A00549">
        <w:rPr>
          <w:rFonts w:ascii="Arial" w:hAnsi="Arial" w:cs="Arial"/>
          <w:b/>
          <w:color w:val="1F497D" w:themeColor="text2"/>
          <w:szCs w:val="22"/>
        </w:rPr>
        <w:t>What did</w:t>
      </w:r>
      <w:r w:rsidR="009F3EBC" w:rsidRPr="00A00549">
        <w:rPr>
          <w:rFonts w:ascii="Arial" w:hAnsi="Arial" w:cs="Arial"/>
          <w:b/>
          <w:color w:val="1F497D" w:themeColor="text2"/>
          <w:szCs w:val="22"/>
        </w:rPr>
        <w:t xml:space="preserve"> the </w:t>
      </w:r>
      <w:r w:rsidR="00CE0696" w:rsidRPr="00A00549">
        <w:rPr>
          <w:rFonts w:ascii="Arial" w:hAnsi="Arial" w:cs="Arial"/>
          <w:b/>
          <w:color w:val="1F497D" w:themeColor="text2"/>
          <w:szCs w:val="22"/>
        </w:rPr>
        <w:t xml:space="preserve">Industry </w:t>
      </w:r>
      <w:r w:rsidR="009F3EBC" w:rsidRPr="00A00549">
        <w:rPr>
          <w:rFonts w:ascii="Arial" w:hAnsi="Arial" w:cs="Arial"/>
          <w:b/>
          <w:color w:val="1F497D" w:themeColor="text2"/>
          <w:szCs w:val="22"/>
        </w:rPr>
        <w:t>Panel decide?</w:t>
      </w:r>
    </w:p>
    <w:p w:rsidR="00144F79" w:rsidRPr="007328A6" w:rsidRDefault="00144F79" w:rsidP="00510A87">
      <w:pPr>
        <w:rPr>
          <w:rFonts w:ascii="Arial" w:hAnsi="Arial" w:cs="Arial"/>
          <w:color w:val="000000" w:themeColor="text1"/>
          <w:sz w:val="22"/>
          <w:szCs w:val="22"/>
        </w:rPr>
      </w:pPr>
    </w:p>
    <w:p w:rsidR="004A3C60" w:rsidRDefault="00E73CDB" w:rsidP="004A3C60">
      <w:pPr>
        <w:rPr>
          <w:rFonts w:ascii="Arial" w:hAnsi="Arial" w:cs="Arial"/>
          <w:sz w:val="22"/>
          <w:szCs w:val="22"/>
        </w:rPr>
      </w:pPr>
      <w:r>
        <w:rPr>
          <w:rFonts w:ascii="Arial" w:hAnsi="Arial" w:cs="Arial"/>
          <w:color w:val="000000" w:themeColor="text1"/>
          <w:sz w:val="22"/>
          <w:szCs w:val="22"/>
        </w:rPr>
        <w:t>T</w:t>
      </w:r>
      <w:r w:rsidR="003F7593" w:rsidRPr="007328A6">
        <w:rPr>
          <w:rFonts w:ascii="Arial" w:hAnsi="Arial" w:cs="Arial"/>
          <w:color w:val="000000" w:themeColor="text1"/>
          <w:sz w:val="22"/>
          <w:szCs w:val="22"/>
        </w:rPr>
        <w:t xml:space="preserve">he Panel’s </w:t>
      </w:r>
      <w:r w:rsidR="003F7593" w:rsidRPr="007328A6">
        <w:rPr>
          <w:rFonts w:ascii="Arial" w:hAnsi="Arial" w:cs="Arial"/>
          <w:sz w:val="22"/>
          <w:szCs w:val="22"/>
        </w:rPr>
        <w:t>draft decision is to substitute a new price direction</w:t>
      </w:r>
      <w:r w:rsidR="002041D4">
        <w:rPr>
          <w:rFonts w:ascii="Arial" w:hAnsi="Arial" w:cs="Arial"/>
          <w:sz w:val="22"/>
          <w:szCs w:val="22"/>
        </w:rPr>
        <w:t xml:space="preserve"> that </w:t>
      </w:r>
      <w:r w:rsidR="004759F0" w:rsidRPr="00196D08">
        <w:rPr>
          <w:rFonts w:ascii="Arial" w:hAnsi="Arial" w:cs="Arial"/>
          <w:sz w:val="22"/>
          <w:szCs w:val="22"/>
        </w:rPr>
        <w:t>covers a five-year regulatory period</w:t>
      </w:r>
      <w:r w:rsidR="004759F0" w:rsidRPr="007328A6">
        <w:rPr>
          <w:rFonts w:ascii="Arial" w:hAnsi="Arial" w:cs="Arial"/>
          <w:sz w:val="22"/>
          <w:szCs w:val="22"/>
        </w:rPr>
        <w:t xml:space="preserve"> without a biennial re</w:t>
      </w:r>
      <w:r w:rsidR="00834EDB">
        <w:rPr>
          <w:rFonts w:ascii="Arial" w:hAnsi="Arial" w:cs="Arial"/>
          <w:sz w:val="22"/>
          <w:szCs w:val="22"/>
        </w:rPr>
        <w:t>view</w:t>
      </w:r>
      <w:r w:rsidR="004759F0" w:rsidRPr="007328A6">
        <w:rPr>
          <w:rFonts w:ascii="Arial" w:hAnsi="Arial" w:cs="Arial"/>
          <w:sz w:val="22"/>
          <w:szCs w:val="22"/>
        </w:rPr>
        <w:t xml:space="preserve"> process. </w:t>
      </w:r>
    </w:p>
    <w:p w:rsidR="004A3C60" w:rsidRPr="004A3C60" w:rsidRDefault="004A3C60" w:rsidP="004A3C60">
      <w:pPr>
        <w:rPr>
          <w:rFonts w:ascii="Arial" w:hAnsi="Arial" w:cs="Arial"/>
          <w:color w:val="000000" w:themeColor="text1"/>
          <w:sz w:val="22"/>
          <w:szCs w:val="22"/>
        </w:rPr>
      </w:pPr>
    </w:p>
    <w:p w:rsidR="00C0133C" w:rsidRDefault="00C0133C" w:rsidP="00C0133C">
      <w:pPr>
        <w:pStyle w:val="Bullet1"/>
        <w:numPr>
          <w:ilvl w:val="0"/>
          <w:numId w:val="0"/>
        </w:numPr>
        <w:jc w:val="left"/>
        <w:rPr>
          <w:rFonts w:ascii="Arial" w:hAnsi="Arial" w:cs="Arial"/>
          <w:color w:val="000000" w:themeColor="text1"/>
          <w:sz w:val="22"/>
          <w:szCs w:val="22"/>
        </w:rPr>
      </w:pPr>
      <w:r w:rsidRPr="00196D08">
        <w:rPr>
          <w:rFonts w:ascii="Arial" w:hAnsi="Arial" w:cs="Arial"/>
          <w:color w:val="000000" w:themeColor="text1"/>
          <w:sz w:val="22"/>
          <w:szCs w:val="22"/>
        </w:rPr>
        <w:t xml:space="preserve">The </w:t>
      </w:r>
      <w:r>
        <w:rPr>
          <w:rFonts w:ascii="Arial" w:hAnsi="Arial" w:cs="Arial"/>
          <w:color w:val="000000" w:themeColor="text1"/>
          <w:sz w:val="22"/>
          <w:szCs w:val="22"/>
        </w:rPr>
        <w:t xml:space="preserve">Panel’s </w:t>
      </w:r>
      <w:r w:rsidRPr="00196D08">
        <w:rPr>
          <w:rFonts w:ascii="Arial" w:hAnsi="Arial" w:cs="Arial"/>
          <w:color w:val="000000" w:themeColor="text1"/>
          <w:sz w:val="22"/>
          <w:szCs w:val="22"/>
        </w:rPr>
        <w:t xml:space="preserve">proposed water charges </w:t>
      </w:r>
      <w:r>
        <w:rPr>
          <w:rFonts w:ascii="Arial" w:hAnsi="Arial" w:cs="Arial"/>
          <w:color w:val="000000" w:themeColor="text1"/>
          <w:sz w:val="22"/>
          <w:szCs w:val="22"/>
        </w:rPr>
        <w:t xml:space="preserve">provide greater certainty and </w:t>
      </w:r>
      <w:r w:rsidR="001418A2">
        <w:rPr>
          <w:rFonts w:ascii="Arial" w:hAnsi="Arial" w:cs="Arial"/>
          <w:color w:val="000000" w:themeColor="text1"/>
          <w:sz w:val="22"/>
          <w:szCs w:val="22"/>
        </w:rPr>
        <w:t xml:space="preserve">longer-term </w:t>
      </w:r>
      <w:r>
        <w:rPr>
          <w:rFonts w:ascii="Arial" w:hAnsi="Arial" w:cs="Arial"/>
          <w:color w:val="000000" w:themeColor="text1"/>
          <w:sz w:val="22"/>
          <w:szCs w:val="22"/>
        </w:rPr>
        <w:t xml:space="preserve">price stability for ACTEW and its customers over the five years to mid-2018. </w:t>
      </w:r>
    </w:p>
    <w:p w:rsidR="009F3EBC" w:rsidRPr="001418A2" w:rsidRDefault="00063DD3" w:rsidP="004A3C60">
      <w:pPr>
        <w:rPr>
          <w:rFonts w:ascii="Arial" w:hAnsi="Arial" w:cs="Arial"/>
          <w:sz w:val="22"/>
          <w:szCs w:val="22"/>
        </w:rPr>
      </w:pPr>
      <w:r w:rsidRPr="001418A2">
        <w:rPr>
          <w:rFonts w:ascii="Arial" w:hAnsi="Arial" w:cs="Arial"/>
          <w:sz w:val="22"/>
          <w:szCs w:val="22"/>
        </w:rPr>
        <w:t xml:space="preserve">Under the draft </w:t>
      </w:r>
      <w:r w:rsidR="00CB4A0B" w:rsidRPr="001418A2">
        <w:rPr>
          <w:rFonts w:ascii="Arial" w:hAnsi="Arial" w:cs="Arial"/>
          <w:sz w:val="22"/>
          <w:szCs w:val="22"/>
        </w:rPr>
        <w:t xml:space="preserve">price </w:t>
      </w:r>
      <w:r w:rsidRPr="001418A2">
        <w:rPr>
          <w:rFonts w:ascii="Arial" w:hAnsi="Arial" w:cs="Arial"/>
          <w:sz w:val="22"/>
          <w:szCs w:val="22"/>
        </w:rPr>
        <w:t xml:space="preserve">direction, </w:t>
      </w:r>
      <w:r w:rsidR="002041D4" w:rsidRPr="001418A2">
        <w:rPr>
          <w:rFonts w:ascii="Arial" w:hAnsi="Arial" w:cs="Arial"/>
          <w:sz w:val="22"/>
          <w:szCs w:val="22"/>
        </w:rPr>
        <w:t xml:space="preserve">residential customers </w:t>
      </w:r>
      <w:r w:rsidR="00C0133C" w:rsidRPr="001418A2">
        <w:rPr>
          <w:rFonts w:ascii="Arial" w:hAnsi="Arial" w:cs="Arial"/>
          <w:sz w:val="22"/>
          <w:szCs w:val="22"/>
        </w:rPr>
        <w:t>would</w:t>
      </w:r>
      <w:r w:rsidR="002041D4" w:rsidRPr="001418A2">
        <w:rPr>
          <w:rFonts w:ascii="Arial" w:hAnsi="Arial" w:cs="Arial"/>
          <w:sz w:val="22"/>
          <w:szCs w:val="22"/>
        </w:rPr>
        <w:t xml:space="preserve"> see little</w:t>
      </w:r>
      <w:r w:rsidR="00834EDB" w:rsidRPr="001418A2">
        <w:rPr>
          <w:rFonts w:ascii="Arial" w:hAnsi="Arial" w:cs="Arial"/>
          <w:sz w:val="22"/>
          <w:szCs w:val="22"/>
        </w:rPr>
        <w:t xml:space="preserve"> change to </w:t>
      </w:r>
      <w:r w:rsidR="002041D4" w:rsidRPr="001418A2">
        <w:rPr>
          <w:rFonts w:ascii="Arial" w:hAnsi="Arial" w:cs="Arial"/>
          <w:sz w:val="22"/>
          <w:szCs w:val="22"/>
        </w:rPr>
        <w:t xml:space="preserve">their </w:t>
      </w:r>
      <w:r w:rsidR="00834EDB" w:rsidRPr="001418A2">
        <w:rPr>
          <w:rFonts w:ascii="Arial" w:hAnsi="Arial" w:cs="Arial"/>
          <w:sz w:val="22"/>
          <w:szCs w:val="22"/>
        </w:rPr>
        <w:t xml:space="preserve">combined </w:t>
      </w:r>
      <w:r w:rsidR="009F3EBC" w:rsidRPr="001418A2">
        <w:rPr>
          <w:rFonts w:ascii="Arial" w:hAnsi="Arial" w:cs="Arial"/>
          <w:sz w:val="22"/>
          <w:szCs w:val="22"/>
        </w:rPr>
        <w:t xml:space="preserve">water and sewerage </w:t>
      </w:r>
      <w:r w:rsidR="00834EDB" w:rsidRPr="001418A2">
        <w:rPr>
          <w:rFonts w:ascii="Arial" w:hAnsi="Arial" w:cs="Arial"/>
          <w:sz w:val="22"/>
          <w:szCs w:val="22"/>
        </w:rPr>
        <w:t xml:space="preserve">bills </w:t>
      </w:r>
      <w:r w:rsidR="009F3EBC" w:rsidRPr="001418A2">
        <w:rPr>
          <w:rFonts w:ascii="Arial" w:hAnsi="Arial" w:cs="Arial"/>
          <w:sz w:val="22"/>
          <w:szCs w:val="22"/>
        </w:rPr>
        <w:t>over the next three years</w:t>
      </w:r>
      <w:r w:rsidR="002041D4" w:rsidRPr="001418A2">
        <w:rPr>
          <w:rFonts w:ascii="Arial" w:hAnsi="Arial" w:cs="Arial"/>
          <w:sz w:val="22"/>
          <w:szCs w:val="22"/>
        </w:rPr>
        <w:t>. For instance:</w:t>
      </w:r>
    </w:p>
    <w:p w:rsidR="002041D4" w:rsidRPr="007A4588" w:rsidRDefault="002041D4" w:rsidP="004A3C60">
      <w:pPr>
        <w:rPr>
          <w:rFonts w:ascii="Arial" w:hAnsi="Arial" w:cs="Arial"/>
          <w:sz w:val="22"/>
          <w:szCs w:val="22"/>
        </w:rPr>
      </w:pPr>
    </w:p>
    <w:p w:rsidR="009F3EBC" w:rsidRPr="007A4588" w:rsidRDefault="009F3EBC" w:rsidP="007A4588">
      <w:pPr>
        <w:pStyle w:val="Bullet1"/>
        <w:rPr>
          <w:rFonts w:ascii="Arial" w:hAnsi="Arial" w:cs="Arial"/>
          <w:sz w:val="22"/>
          <w:szCs w:val="22"/>
        </w:rPr>
      </w:pPr>
      <w:r w:rsidRPr="007A4588">
        <w:rPr>
          <w:rFonts w:ascii="Arial" w:hAnsi="Arial" w:cs="Arial"/>
          <w:sz w:val="22"/>
          <w:szCs w:val="22"/>
        </w:rPr>
        <w:t>The fixed water supply charge and tier 1 and tier 2 charges</w:t>
      </w:r>
      <w:r w:rsidR="00E73CDB">
        <w:rPr>
          <w:rFonts w:ascii="Arial" w:hAnsi="Arial" w:cs="Arial"/>
          <w:sz w:val="22"/>
          <w:szCs w:val="22"/>
        </w:rPr>
        <w:t xml:space="preserve"> would decrease by 5.2% in 2015</w:t>
      </w:r>
      <w:r w:rsidR="00E73CDB" w:rsidRPr="007A4588">
        <w:rPr>
          <w:rFonts w:ascii="Arial" w:hAnsi="Arial" w:cs="Arial"/>
          <w:sz w:val="22"/>
          <w:szCs w:val="22"/>
        </w:rPr>
        <w:t>–</w:t>
      </w:r>
      <w:r w:rsidRPr="007A4588">
        <w:rPr>
          <w:rFonts w:ascii="Arial" w:hAnsi="Arial" w:cs="Arial"/>
          <w:sz w:val="22"/>
          <w:szCs w:val="22"/>
        </w:rPr>
        <w:t>16. In the following two years (2016</w:t>
      </w:r>
      <w:r w:rsidR="00D0788A" w:rsidRPr="007A4588">
        <w:rPr>
          <w:rFonts w:ascii="Arial" w:hAnsi="Arial" w:cs="Arial"/>
          <w:sz w:val="22"/>
          <w:szCs w:val="22"/>
        </w:rPr>
        <w:t>–17 to 2017–</w:t>
      </w:r>
      <w:r w:rsidRPr="007A4588">
        <w:rPr>
          <w:rFonts w:ascii="Arial" w:hAnsi="Arial" w:cs="Arial"/>
          <w:sz w:val="22"/>
          <w:szCs w:val="22"/>
        </w:rPr>
        <w:t>18)</w:t>
      </w:r>
      <w:r w:rsidR="00D0788A" w:rsidRPr="007A4588">
        <w:rPr>
          <w:rFonts w:ascii="Arial" w:hAnsi="Arial" w:cs="Arial"/>
          <w:sz w:val="22"/>
          <w:szCs w:val="22"/>
        </w:rPr>
        <w:t>,</w:t>
      </w:r>
      <w:r w:rsidRPr="007A4588">
        <w:rPr>
          <w:rFonts w:ascii="Arial" w:hAnsi="Arial" w:cs="Arial"/>
          <w:sz w:val="22"/>
          <w:szCs w:val="22"/>
        </w:rPr>
        <w:t xml:space="preserve"> charges would remain constant</w:t>
      </w:r>
      <w:r w:rsidR="0068543A">
        <w:rPr>
          <w:rFonts w:ascii="Arial" w:hAnsi="Arial" w:cs="Arial"/>
          <w:sz w:val="22"/>
          <w:szCs w:val="22"/>
        </w:rPr>
        <w:t xml:space="preserve"> in dollar terms</w:t>
      </w:r>
      <w:r w:rsidRPr="007A4588">
        <w:rPr>
          <w:rFonts w:ascii="Arial" w:hAnsi="Arial" w:cs="Arial"/>
          <w:sz w:val="22"/>
          <w:szCs w:val="22"/>
        </w:rPr>
        <w:t xml:space="preserve">. </w:t>
      </w:r>
    </w:p>
    <w:p w:rsidR="009F3EBC" w:rsidRPr="007A4588" w:rsidRDefault="009F3EBC" w:rsidP="007A4588">
      <w:pPr>
        <w:pStyle w:val="Bullet1"/>
        <w:rPr>
          <w:rFonts w:ascii="Arial" w:hAnsi="Arial" w:cs="Arial"/>
          <w:sz w:val="22"/>
          <w:szCs w:val="22"/>
        </w:rPr>
      </w:pPr>
      <w:r w:rsidRPr="007A4588">
        <w:rPr>
          <w:rFonts w:ascii="Arial" w:hAnsi="Arial" w:cs="Arial"/>
          <w:sz w:val="22"/>
          <w:szCs w:val="22"/>
        </w:rPr>
        <w:t>Sewerage charges</w:t>
      </w:r>
      <w:r w:rsidR="00D0788A" w:rsidRPr="007A4588">
        <w:rPr>
          <w:rFonts w:ascii="Arial" w:hAnsi="Arial" w:cs="Arial"/>
          <w:sz w:val="22"/>
          <w:szCs w:val="22"/>
        </w:rPr>
        <w:t xml:space="preserve"> would increase by </w:t>
      </w:r>
      <w:r w:rsidR="00070D5C">
        <w:rPr>
          <w:rFonts w:ascii="Arial" w:hAnsi="Arial" w:cs="Arial"/>
          <w:sz w:val="22"/>
          <w:szCs w:val="22"/>
        </w:rPr>
        <w:t>4.9</w:t>
      </w:r>
      <w:r w:rsidR="00D0788A" w:rsidRPr="007A4588">
        <w:rPr>
          <w:rFonts w:ascii="Arial" w:hAnsi="Arial" w:cs="Arial"/>
          <w:sz w:val="22"/>
          <w:szCs w:val="22"/>
        </w:rPr>
        <w:t>% in 2015–</w:t>
      </w:r>
      <w:r w:rsidRPr="007A4588">
        <w:rPr>
          <w:rFonts w:ascii="Arial" w:hAnsi="Arial" w:cs="Arial"/>
          <w:sz w:val="22"/>
          <w:szCs w:val="22"/>
        </w:rPr>
        <w:t xml:space="preserve">16, but in the following two years would only </w:t>
      </w:r>
      <w:r w:rsidR="00510A87" w:rsidRPr="007A4588">
        <w:rPr>
          <w:rFonts w:ascii="Arial" w:hAnsi="Arial" w:cs="Arial"/>
          <w:sz w:val="22"/>
          <w:szCs w:val="22"/>
        </w:rPr>
        <w:t xml:space="preserve">rise </w:t>
      </w:r>
      <w:r w:rsidR="003F10A3">
        <w:rPr>
          <w:rFonts w:ascii="Arial" w:hAnsi="Arial" w:cs="Arial"/>
          <w:sz w:val="22"/>
          <w:szCs w:val="22"/>
        </w:rPr>
        <w:t>in line with inflation</w:t>
      </w:r>
      <w:r w:rsidR="00B47FB6">
        <w:rPr>
          <w:rFonts w:ascii="Arial" w:hAnsi="Arial" w:cs="Arial"/>
          <w:sz w:val="22"/>
          <w:szCs w:val="22"/>
        </w:rPr>
        <w:t xml:space="preserve"> </w:t>
      </w:r>
      <w:r w:rsidR="004404D6" w:rsidRPr="007A4588">
        <w:rPr>
          <w:rFonts w:ascii="Arial" w:hAnsi="Arial" w:cs="Arial"/>
          <w:sz w:val="22"/>
          <w:szCs w:val="22"/>
        </w:rPr>
        <w:t xml:space="preserve">(estimated at 2.5% </w:t>
      </w:r>
      <w:r w:rsidR="00B47FB6">
        <w:rPr>
          <w:rFonts w:ascii="Arial" w:hAnsi="Arial" w:cs="Arial"/>
          <w:sz w:val="22"/>
          <w:szCs w:val="22"/>
        </w:rPr>
        <w:t>pa</w:t>
      </w:r>
      <w:r w:rsidR="004404D6" w:rsidRPr="007A4588">
        <w:rPr>
          <w:rFonts w:ascii="Arial" w:hAnsi="Arial" w:cs="Arial"/>
          <w:sz w:val="22"/>
          <w:szCs w:val="22"/>
        </w:rPr>
        <w:t>)</w:t>
      </w:r>
      <w:r w:rsidRPr="007A4588">
        <w:rPr>
          <w:rFonts w:ascii="Arial" w:hAnsi="Arial" w:cs="Arial"/>
          <w:sz w:val="22"/>
          <w:szCs w:val="22"/>
        </w:rPr>
        <w:t xml:space="preserve">.  </w:t>
      </w:r>
    </w:p>
    <w:p w:rsidR="004A3C60" w:rsidRPr="001418A2" w:rsidRDefault="00CB4A0B" w:rsidP="00834EDB">
      <w:pPr>
        <w:pStyle w:val="Bullet1"/>
        <w:numPr>
          <w:ilvl w:val="0"/>
          <w:numId w:val="0"/>
        </w:numPr>
        <w:jc w:val="left"/>
        <w:rPr>
          <w:rFonts w:ascii="Arial" w:hAnsi="Arial" w:cs="Arial"/>
          <w:sz w:val="22"/>
          <w:szCs w:val="22"/>
        </w:rPr>
      </w:pPr>
      <w:r w:rsidRPr="001418A2">
        <w:rPr>
          <w:rFonts w:ascii="Arial" w:hAnsi="Arial" w:cs="Arial"/>
          <w:sz w:val="22"/>
          <w:szCs w:val="22"/>
        </w:rPr>
        <w:lastRenderedPageBreak/>
        <w:t>Although t</w:t>
      </w:r>
      <w:r w:rsidR="00063DD3" w:rsidRPr="001418A2">
        <w:rPr>
          <w:rFonts w:ascii="Arial" w:hAnsi="Arial" w:cs="Arial"/>
          <w:sz w:val="22"/>
          <w:szCs w:val="22"/>
        </w:rPr>
        <w:t>he</w:t>
      </w:r>
      <w:r w:rsidR="00834EDB" w:rsidRPr="001418A2">
        <w:rPr>
          <w:rFonts w:ascii="Arial" w:hAnsi="Arial" w:cs="Arial"/>
          <w:sz w:val="22"/>
          <w:szCs w:val="22"/>
        </w:rPr>
        <w:t xml:space="preserve"> draft decision changes the mix of water and sewerage components to reflect the respective cost of providing these services</w:t>
      </w:r>
      <w:r w:rsidRPr="001418A2">
        <w:rPr>
          <w:rFonts w:ascii="Arial" w:hAnsi="Arial" w:cs="Arial"/>
          <w:sz w:val="22"/>
          <w:szCs w:val="22"/>
        </w:rPr>
        <w:t>, the net effect on the combined household bill</w:t>
      </w:r>
      <w:r w:rsidR="00846116" w:rsidRPr="001418A2">
        <w:rPr>
          <w:rFonts w:ascii="Arial" w:hAnsi="Arial" w:cs="Arial"/>
          <w:sz w:val="22"/>
          <w:szCs w:val="22"/>
        </w:rPr>
        <w:t xml:space="preserve"> would be</w:t>
      </w:r>
      <w:r w:rsidRPr="001418A2">
        <w:rPr>
          <w:rFonts w:ascii="Arial" w:hAnsi="Arial" w:cs="Arial"/>
          <w:sz w:val="22"/>
          <w:szCs w:val="22"/>
        </w:rPr>
        <w:t xml:space="preserve"> minimal. </w:t>
      </w:r>
    </w:p>
    <w:p w:rsidR="002041D4" w:rsidRPr="007328A6" w:rsidRDefault="00C0133C" w:rsidP="002041D4">
      <w:pPr>
        <w:pStyle w:val="Bullet1"/>
        <w:numPr>
          <w:ilvl w:val="0"/>
          <w:numId w:val="0"/>
        </w:numPr>
        <w:jc w:val="left"/>
        <w:rPr>
          <w:rFonts w:ascii="Arial" w:hAnsi="Arial" w:cs="Arial"/>
          <w:color w:val="000000" w:themeColor="text1"/>
          <w:sz w:val="22"/>
          <w:szCs w:val="22"/>
        </w:rPr>
      </w:pPr>
      <w:r>
        <w:rPr>
          <w:rFonts w:ascii="Arial" w:hAnsi="Arial" w:cs="Arial"/>
          <w:color w:val="000000" w:themeColor="text1"/>
          <w:sz w:val="22"/>
          <w:szCs w:val="22"/>
        </w:rPr>
        <w:t>All</w:t>
      </w:r>
      <w:r w:rsidR="00F90169">
        <w:rPr>
          <w:rFonts w:ascii="Arial" w:hAnsi="Arial" w:cs="Arial"/>
          <w:color w:val="000000" w:themeColor="text1"/>
          <w:sz w:val="22"/>
          <w:szCs w:val="22"/>
        </w:rPr>
        <w:t xml:space="preserve"> </w:t>
      </w:r>
      <w:r w:rsidR="002041D4">
        <w:rPr>
          <w:rFonts w:ascii="Arial" w:hAnsi="Arial" w:cs="Arial"/>
          <w:color w:val="000000" w:themeColor="text1"/>
          <w:sz w:val="22"/>
          <w:szCs w:val="22"/>
        </w:rPr>
        <w:t xml:space="preserve">indicative bills </w:t>
      </w:r>
      <w:r w:rsidR="002041D4" w:rsidRPr="0084163A">
        <w:rPr>
          <w:rFonts w:ascii="Arial" w:hAnsi="Arial" w:cs="Arial"/>
          <w:color w:val="000000" w:themeColor="text1"/>
          <w:sz w:val="22"/>
          <w:szCs w:val="22"/>
        </w:rPr>
        <w:t xml:space="preserve">assume </w:t>
      </w:r>
      <w:r w:rsidR="002041D4">
        <w:rPr>
          <w:rFonts w:ascii="Arial" w:hAnsi="Arial" w:cs="Arial"/>
          <w:color w:val="000000" w:themeColor="text1"/>
          <w:sz w:val="22"/>
          <w:szCs w:val="22"/>
        </w:rPr>
        <w:t xml:space="preserve">the </w:t>
      </w:r>
      <w:r w:rsidR="002041D4" w:rsidRPr="0084163A">
        <w:rPr>
          <w:rFonts w:ascii="Arial" w:hAnsi="Arial" w:cs="Arial"/>
          <w:color w:val="000000" w:themeColor="text1"/>
          <w:sz w:val="22"/>
          <w:szCs w:val="22"/>
        </w:rPr>
        <w:t>in</w:t>
      </w:r>
      <w:r w:rsidR="002041D4">
        <w:rPr>
          <w:rFonts w:ascii="Arial" w:hAnsi="Arial" w:cs="Arial"/>
          <w:color w:val="000000" w:themeColor="text1"/>
          <w:sz w:val="22"/>
          <w:szCs w:val="22"/>
        </w:rPr>
        <w:t xml:space="preserve">flation rate (CPI) is 2.5% per annum and that the </w:t>
      </w:r>
      <w:r w:rsidR="002041D4" w:rsidRPr="0084163A">
        <w:rPr>
          <w:rFonts w:ascii="Arial" w:hAnsi="Arial" w:cs="Arial"/>
          <w:color w:val="000000" w:themeColor="text1"/>
          <w:sz w:val="22"/>
          <w:szCs w:val="22"/>
        </w:rPr>
        <w:t xml:space="preserve">cost pass-through </w:t>
      </w:r>
      <w:r w:rsidR="002041D4" w:rsidRPr="00FC16E8">
        <w:rPr>
          <w:rFonts w:ascii="Arial" w:hAnsi="Arial" w:cs="Arial"/>
          <w:color w:val="000000" w:themeColor="text1"/>
          <w:sz w:val="22"/>
          <w:szCs w:val="22"/>
        </w:rPr>
        <w:t>mechanism</w:t>
      </w:r>
      <w:r w:rsidR="002041D4">
        <w:rPr>
          <w:rFonts w:ascii="Arial" w:hAnsi="Arial" w:cs="Arial"/>
          <w:color w:val="000000" w:themeColor="text1"/>
          <w:sz w:val="22"/>
          <w:szCs w:val="22"/>
        </w:rPr>
        <w:t xml:space="preserve"> </w:t>
      </w:r>
      <w:r w:rsidR="002041D4" w:rsidRPr="0084163A">
        <w:rPr>
          <w:rFonts w:ascii="Arial" w:hAnsi="Arial" w:cs="Arial"/>
          <w:color w:val="000000" w:themeColor="text1"/>
          <w:sz w:val="22"/>
          <w:szCs w:val="22"/>
        </w:rPr>
        <w:t xml:space="preserve">is </w:t>
      </w:r>
      <w:r w:rsidR="002041D4">
        <w:rPr>
          <w:rFonts w:ascii="Arial" w:hAnsi="Arial" w:cs="Arial"/>
          <w:color w:val="000000" w:themeColor="text1"/>
          <w:sz w:val="22"/>
          <w:szCs w:val="22"/>
        </w:rPr>
        <w:t xml:space="preserve">not </w:t>
      </w:r>
      <w:r w:rsidR="002041D4" w:rsidRPr="0084163A">
        <w:rPr>
          <w:rFonts w:ascii="Arial" w:hAnsi="Arial" w:cs="Arial"/>
          <w:color w:val="000000" w:themeColor="text1"/>
          <w:sz w:val="22"/>
          <w:szCs w:val="22"/>
        </w:rPr>
        <w:t>triggered</w:t>
      </w:r>
      <w:r w:rsidR="002041D4">
        <w:rPr>
          <w:rFonts w:ascii="Arial" w:hAnsi="Arial" w:cs="Arial"/>
          <w:color w:val="000000" w:themeColor="text1"/>
          <w:sz w:val="22"/>
          <w:szCs w:val="22"/>
        </w:rPr>
        <w:t xml:space="preserve"> by unforeseen events or government decisions </w:t>
      </w:r>
      <w:r w:rsidR="002041D4" w:rsidRPr="00FC16E8">
        <w:rPr>
          <w:rFonts w:ascii="Arial" w:hAnsi="Arial" w:cs="Arial"/>
          <w:color w:val="000000" w:themeColor="text1"/>
          <w:sz w:val="22"/>
          <w:szCs w:val="22"/>
        </w:rPr>
        <w:t>(</w:t>
      </w:r>
      <w:r w:rsidR="002041D4">
        <w:rPr>
          <w:rFonts w:ascii="Arial" w:hAnsi="Arial" w:cs="Arial"/>
          <w:color w:val="000000" w:themeColor="text1"/>
          <w:sz w:val="22"/>
          <w:szCs w:val="22"/>
        </w:rPr>
        <w:t>such as</w:t>
      </w:r>
      <w:r w:rsidR="002041D4" w:rsidRPr="00FC16E8">
        <w:rPr>
          <w:rFonts w:ascii="Arial" w:hAnsi="Arial" w:cs="Arial"/>
          <w:color w:val="000000" w:themeColor="text1"/>
          <w:sz w:val="22"/>
          <w:szCs w:val="22"/>
        </w:rPr>
        <w:t xml:space="preserve"> changes to the Water Abstraction Charge or Utilities Network Facilities Tax). </w:t>
      </w:r>
    </w:p>
    <w:p w:rsidR="00B47FB6" w:rsidRPr="00B47FB6" w:rsidRDefault="00B47FB6" w:rsidP="00FC16E8">
      <w:pPr>
        <w:pStyle w:val="Bullet1"/>
        <w:numPr>
          <w:ilvl w:val="0"/>
          <w:numId w:val="0"/>
        </w:numPr>
        <w:jc w:val="left"/>
        <w:rPr>
          <w:rFonts w:ascii="Arial" w:hAnsi="Arial" w:cs="Arial"/>
          <w:color w:val="000000" w:themeColor="text1"/>
          <w:sz w:val="6"/>
          <w:szCs w:val="22"/>
        </w:rPr>
      </w:pPr>
    </w:p>
    <w:p w:rsidR="004F0123" w:rsidRPr="00A00549" w:rsidRDefault="00D0788A" w:rsidP="00510A87">
      <w:pPr>
        <w:rPr>
          <w:rFonts w:ascii="Arial" w:hAnsi="Arial" w:cs="Arial"/>
          <w:b/>
          <w:color w:val="1F497D" w:themeColor="text2"/>
          <w:szCs w:val="22"/>
        </w:rPr>
      </w:pPr>
      <w:r w:rsidRPr="00A00549">
        <w:rPr>
          <w:rFonts w:ascii="Arial" w:hAnsi="Arial" w:cs="Arial"/>
          <w:b/>
          <w:color w:val="1F497D" w:themeColor="text2"/>
          <w:szCs w:val="22"/>
        </w:rPr>
        <w:t>What are the i</w:t>
      </w:r>
      <w:r w:rsidR="009F3EBC" w:rsidRPr="00A00549">
        <w:rPr>
          <w:rFonts w:ascii="Arial" w:hAnsi="Arial" w:cs="Arial"/>
          <w:b/>
          <w:color w:val="1F497D" w:themeColor="text2"/>
          <w:szCs w:val="22"/>
        </w:rPr>
        <w:t>mpacts</w:t>
      </w:r>
      <w:r w:rsidR="004F0123" w:rsidRPr="00A00549">
        <w:rPr>
          <w:rFonts w:ascii="Arial" w:hAnsi="Arial" w:cs="Arial"/>
          <w:b/>
          <w:color w:val="1F497D" w:themeColor="text2"/>
          <w:szCs w:val="22"/>
        </w:rPr>
        <w:t xml:space="preserve"> of </w:t>
      </w:r>
      <w:r w:rsidR="00E14CD0" w:rsidRPr="00A00549">
        <w:rPr>
          <w:rFonts w:ascii="Arial" w:hAnsi="Arial" w:cs="Arial"/>
          <w:b/>
          <w:color w:val="1F497D" w:themeColor="text2"/>
          <w:szCs w:val="22"/>
        </w:rPr>
        <w:t xml:space="preserve">the Panel’s </w:t>
      </w:r>
      <w:r w:rsidR="001638D6">
        <w:rPr>
          <w:rFonts w:ascii="Arial" w:hAnsi="Arial" w:cs="Arial"/>
          <w:b/>
          <w:color w:val="1F497D" w:themeColor="text2"/>
          <w:szCs w:val="22"/>
        </w:rPr>
        <w:t>draft</w:t>
      </w:r>
      <w:r w:rsidR="001638D6" w:rsidRPr="00A00549">
        <w:rPr>
          <w:rFonts w:ascii="Arial" w:hAnsi="Arial" w:cs="Arial"/>
          <w:b/>
          <w:color w:val="1F497D" w:themeColor="text2"/>
          <w:szCs w:val="22"/>
        </w:rPr>
        <w:t xml:space="preserve"> </w:t>
      </w:r>
      <w:r w:rsidR="004F0123" w:rsidRPr="00A00549">
        <w:rPr>
          <w:rFonts w:ascii="Arial" w:hAnsi="Arial" w:cs="Arial"/>
          <w:b/>
          <w:color w:val="1F497D" w:themeColor="text2"/>
          <w:szCs w:val="22"/>
        </w:rPr>
        <w:t>decision</w:t>
      </w:r>
      <w:r w:rsidRPr="00A00549">
        <w:rPr>
          <w:rFonts w:ascii="Arial" w:hAnsi="Arial" w:cs="Arial"/>
          <w:b/>
          <w:color w:val="1F497D" w:themeColor="text2"/>
          <w:szCs w:val="22"/>
        </w:rPr>
        <w:t>?</w:t>
      </w:r>
    </w:p>
    <w:p w:rsidR="00E14CD0" w:rsidRPr="007328A6" w:rsidRDefault="00E14CD0" w:rsidP="00E14CD0">
      <w:pPr>
        <w:pStyle w:val="Default"/>
        <w:rPr>
          <w:rFonts w:ascii="Arial" w:hAnsi="Arial" w:cs="Arial"/>
          <w:sz w:val="22"/>
          <w:szCs w:val="22"/>
        </w:rPr>
      </w:pPr>
    </w:p>
    <w:p w:rsidR="000C7150" w:rsidRPr="00D40D42" w:rsidRDefault="009D1839" w:rsidP="00E14CD0">
      <w:pPr>
        <w:pStyle w:val="Default"/>
        <w:rPr>
          <w:rFonts w:ascii="Arial" w:hAnsi="Arial" w:cs="Arial"/>
          <w:b/>
          <w:i/>
          <w:sz w:val="22"/>
          <w:szCs w:val="22"/>
        </w:rPr>
      </w:pPr>
      <w:r w:rsidRPr="00D40D42">
        <w:rPr>
          <w:rFonts w:ascii="Arial" w:hAnsi="Arial" w:cs="Arial"/>
          <w:b/>
          <w:i/>
          <w:sz w:val="22"/>
          <w:szCs w:val="22"/>
        </w:rPr>
        <w:t xml:space="preserve">For </w:t>
      </w:r>
      <w:r w:rsidR="001C68EB" w:rsidRPr="00D40D42">
        <w:rPr>
          <w:rFonts w:ascii="Arial" w:hAnsi="Arial" w:cs="Arial"/>
          <w:b/>
          <w:i/>
          <w:sz w:val="22"/>
          <w:szCs w:val="22"/>
        </w:rPr>
        <w:t>households and non-residential cu</w:t>
      </w:r>
      <w:r w:rsidR="00196D08" w:rsidRPr="00D40D42">
        <w:rPr>
          <w:rFonts w:ascii="Arial" w:hAnsi="Arial" w:cs="Arial"/>
          <w:b/>
          <w:i/>
          <w:sz w:val="22"/>
          <w:szCs w:val="22"/>
        </w:rPr>
        <w:t>s</w:t>
      </w:r>
      <w:r w:rsidR="001C68EB" w:rsidRPr="00D40D42">
        <w:rPr>
          <w:rFonts w:ascii="Arial" w:hAnsi="Arial" w:cs="Arial"/>
          <w:b/>
          <w:i/>
          <w:sz w:val="22"/>
          <w:szCs w:val="22"/>
        </w:rPr>
        <w:t>tomers</w:t>
      </w:r>
    </w:p>
    <w:p w:rsidR="000C7150" w:rsidRPr="00854534" w:rsidRDefault="000C7150" w:rsidP="00E14CD0">
      <w:pPr>
        <w:pStyle w:val="Default"/>
        <w:rPr>
          <w:rFonts w:ascii="Arial" w:hAnsi="Arial" w:cs="Arial"/>
          <w:b/>
          <w:sz w:val="14"/>
          <w:szCs w:val="22"/>
        </w:rPr>
      </w:pPr>
    </w:p>
    <w:p w:rsidR="00E14CD0" w:rsidRPr="00196D08" w:rsidRDefault="00C0133C" w:rsidP="007A4588">
      <w:pPr>
        <w:pStyle w:val="Bullet1"/>
        <w:numPr>
          <w:ilvl w:val="0"/>
          <w:numId w:val="0"/>
        </w:numPr>
        <w:jc w:val="left"/>
        <w:rPr>
          <w:rFonts w:ascii="Arial" w:hAnsi="Arial" w:cs="Arial"/>
          <w:color w:val="000000" w:themeColor="text1"/>
          <w:sz w:val="22"/>
          <w:szCs w:val="22"/>
        </w:rPr>
      </w:pPr>
      <w:r>
        <w:rPr>
          <w:rFonts w:ascii="Arial" w:hAnsi="Arial" w:cs="Arial"/>
          <w:color w:val="000000" w:themeColor="text1"/>
          <w:sz w:val="22"/>
          <w:szCs w:val="22"/>
        </w:rPr>
        <w:t>Under the draft determination most</w:t>
      </w:r>
      <w:r w:rsidR="001C68EB" w:rsidRPr="00196D08">
        <w:rPr>
          <w:rFonts w:ascii="Arial" w:hAnsi="Arial" w:cs="Arial"/>
          <w:color w:val="000000" w:themeColor="text1"/>
          <w:sz w:val="22"/>
          <w:szCs w:val="22"/>
        </w:rPr>
        <w:t xml:space="preserve"> residential customers </w:t>
      </w:r>
      <w:r>
        <w:rPr>
          <w:rFonts w:ascii="Arial" w:hAnsi="Arial" w:cs="Arial"/>
          <w:color w:val="000000" w:themeColor="text1"/>
          <w:sz w:val="22"/>
          <w:szCs w:val="22"/>
        </w:rPr>
        <w:t>would</w:t>
      </w:r>
      <w:r w:rsidR="001C68EB" w:rsidRPr="00196D08">
        <w:rPr>
          <w:rFonts w:ascii="Arial" w:hAnsi="Arial" w:cs="Arial"/>
          <w:color w:val="000000" w:themeColor="text1"/>
          <w:sz w:val="22"/>
          <w:szCs w:val="22"/>
        </w:rPr>
        <w:t xml:space="preserve"> see </w:t>
      </w:r>
      <w:r w:rsidR="006953B7">
        <w:rPr>
          <w:rFonts w:ascii="Arial" w:hAnsi="Arial" w:cs="Arial"/>
          <w:color w:val="000000" w:themeColor="text1"/>
          <w:sz w:val="22"/>
          <w:szCs w:val="22"/>
        </w:rPr>
        <w:t>minimal changes to</w:t>
      </w:r>
      <w:r w:rsidR="00E960B7">
        <w:rPr>
          <w:rFonts w:ascii="Arial" w:hAnsi="Arial" w:cs="Arial"/>
          <w:color w:val="000000" w:themeColor="text1"/>
          <w:sz w:val="22"/>
          <w:szCs w:val="22"/>
        </w:rPr>
        <w:t xml:space="preserve"> </w:t>
      </w:r>
      <w:r w:rsidR="006953B7">
        <w:rPr>
          <w:rFonts w:ascii="Arial" w:hAnsi="Arial" w:cs="Arial"/>
          <w:color w:val="000000" w:themeColor="text1"/>
          <w:sz w:val="22"/>
          <w:szCs w:val="22"/>
        </w:rPr>
        <w:t xml:space="preserve">their combined water and sewerage </w:t>
      </w:r>
      <w:r w:rsidR="00E960B7">
        <w:rPr>
          <w:rFonts w:ascii="Arial" w:hAnsi="Arial" w:cs="Arial"/>
          <w:color w:val="000000" w:themeColor="text1"/>
          <w:sz w:val="22"/>
          <w:szCs w:val="22"/>
        </w:rPr>
        <w:t>bills over the next three years</w:t>
      </w:r>
      <w:r w:rsidR="0084163A">
        <w:rPr>
          <w:rFonts w:ascii="Arial" w:hAnsi="Arial" w:cs="Arial"/>
          <w:color w:val="000000" w:themeColor="text1"/>
          <w:sz w:val="22"/>
          <w:szCs w:val="22"/>
        </w:rPr>
        <w:t xml:space="preserve">. </w:t>
      </w:r>
    </w:p>
    <w:p w:rsidR="001C68EB" w:rsidRDefault="001C68EB" w:rsidP="007A4588">
      <w:pPr>
        <w:pStyle w:val="Bullet1"/>
        <w:numPr>
          <w:ilvl w:val="0"/>
          <w:numId w:val="0"/>
        </w:numPr>
        <w:jc w:val="left"/>
        <w:rPr>
          <w:rFonts w:ascii="Arial" w:hAnsi="Arial" w:cs="Arial"/>
          <w:color w:val="000000" w:themeColor="text1"/>
          <w:sz w:val="22"/>
          <w:szCs w:val="22"/>
        </w:rPr>
      </w:pPr>
      <w:r w:rsidRPr="00196D08">
        <w:rPr>
          <w:rFonts w:ascii="Arial" w:hAnsi="Arial" w:cs="Arial"/>
          <w:color w:val="000000" w:themeColor="text1"/>
          <w:sz w:val="22"/>
          <w:szCs w:val="22"/>
        </w:rPr>
        <w:t xml:space="preserve">The modest price changes </w:t>
      </w:r>
      <w:r w:rsidR="00E960B7">
        <w:rPr>
          <w:rFonts w:ascii="Arial" w:hAnsi="Arial" w:cs="Arial"/>
          <w:color w:val="000000" w:themeColor="text1"/>
          <w:sz w:val="22"/>
          <w:szCs w:val="22"/>
        </w:rPr>
        <w:t xml:space="preserve">proposed by the Panel </w:t>
      </w:r>
      <w:r w:rsidRPr="00196D08">
        <w:rPr>
          <w:rFonts w:ascii="Arial" w:hAnsi="Arial" w:cs="Arial"/>
          <w:color w:val="000000" w:themeColor="text1"/>
          <w:sz w:val="22"/>
          <w:szCs w:val="22"/>
        </w:rPr>
        <w:t>are unlikely to have any material impact on the bills of vulnerable customers</w:t>
      </w:r>
      <w:r w:rsidR="00E960B7">
        <w:rPr>
          <w:rFonts w:ascii="Arial" w:hAnsi="Arial" w:cs="Arial"/>
          <w:color w:val="000000" w:themeColor="text1"/>
          <w:sz w:val="22"/>
          <w:szCs w:val="22"/>
        </w:rPr>
        <w:t>.</w:t>
      </w:r>
    </w:p>
    <w:p w:rsidR="001638D6" w:rsidRPr="00196D08" w:rsidRDefault="001638D6" w:rsidP="007A4588">
      <w:pPr>
        <w:pStyle w:val="Bullet1"/>
        <w:numPr>
          <w:ilvl w:val="0"/>
          <w:numId w:val="0"/>
        </w:numPr>
        <w:jc w:val="left"/>
        <w:rPr>
          <w:rFonts w:ascii="Arial" w:hAnsi="Arial" w:cs="Arial"/>
          <w:color w:val="000000" w:themeColor="text1"/>
          <w:sz w:val="22"/>
          <w:szCs w:val="22"/>
        </w:rPr>
      </w:pPr>
      <w:r>
        <w:rPr>
          <w:rFonts w:ascii="Arial" w:hAnsi="Arial" w:cs="Arial"/>
          <w:color w:val="000000" w:themeColor="text1"/>
          <w:sz w:val="22"/>
          <w:szCs w:val="22"/>
        </w:rPr>
        <w:t>The P</w:t>
      </w:r>
      <w:r w:rsidRPr="00196D08">
        <w:rPr>
          <w:rFonts w:ascii="Arial" w:hAnsi="Arial" w:cs="Arial"/>
          <w:color w:val="000000" w:themeColor="text1"/>
          <w:sz w:val="22"/>
          <w:szCs w:val="22"/>
        </w:rPr>
        <w:t xml:space="preserve">anel’s analysis shows that the combined water and sewerage residential bill in the ACT is comparable with that for other major Australian utilities. </w:t>
      </w:r>
    </w:p>
    <w:p w:rsidR="0084163A" w:rsidRPr="00196D08" w:rsidRDefault="0084163A" w:rsidP="007A4588">
      <w:pPr>
        <w:pStyle w:val="Bullet1"/>
        <w:numPr>
          <w:ilvl w:val="0"/>
          <w:numId w:val="0"/>
        </w:numPr>
        <w:jc w:val="left"/>
        <w:rPr>
          <w:rFonts w:ascii="Arial" w:hAnsi="Arial" w:cs="Arial"/>
          <w:color w:val="000000" w:themeColor="text1"/>
          <w:sz w:val="22"/>
          <w:szCs w:val="22"/>
        </w:rPr>
      </w:pPr>
      <w:r w:rsidRPr="00196D08">
        <w:rPr>
          <w:rFonts w:ascii="Arial" w:hAnsi="Arial" w:cs="Arial"/>
          <w:color w:val="000000" w:themeColor="text1"/>
          <w:sz w:val="22"/>
          <w:szCs w:val="22"/>
        </w:rPr>
        <w:t xml:space="preserve">Bills for non-residential customers are also expected to be reasonably stable over </w:t>
      </w:r>
      <w:r w:rsidR="004A3C60">
        <w:rPr>
          <w:rFonts w:ascii="Arial" w:hAnsi="Arial" w:cs="Arial"/>
          <w:color w:val="000000" w:themeColor="text1"/>
          <w:sz w:val="22"/>
          <w:szCs w:val="22"/>
        </w:rPr>
        <w:t>the five-year</w:t>
      </w:r>
      <w:r w:rsidR="00E960B7">
        <w:rPr>
          <w:rFonts w:ascii="Arial" w:hAnsi="Arial" w:cs="Arial"/>
          <w:color w:val="000000" w:themeColor="text1"/>
          <w:sz w:val="22"/>
          <w:szCs w:val="22"/>
        </w:rPr>
        <w:t xml:space="preserve"> </w:t>
      </w:r>
      <w:r w:rsidR="006F2648">
        <w:rPr>
          <w:rFonts w:ascii="Arial" w:hAnsi="Arial" w:cs="Arial"/>
          <w:color w:val="000000" w:themeColor="text1"/>
          <w:sz w:val="22"/>
          <w:szCs w:val="22"/>
        </w:rPr>
        <w:t xml:space="preserve">period (ranging from a </w:t>
      </w:r>
      <w:r w:rsidR="00070D5C">
        <w:rPr>
          <w:rFonts w:ascii="Arial" w:hAnsi="Arial" w:cs="Arial"/>
          <w:color w:val="000000" w:themeColor="text1"/>
          <w:sz w:val="22"/>
          <w:szCs w:val="22"/>
        </w:rPr>
        <w:t>7% decrease to a 2</w:t>
      </w:r>
      <w:r w:rsidR="006F2648">
        <w:rPr>
          <w:rFonts w:ascii="Arial" w:hAnsi="Arial" w:cs="Arial"/>
          <w:color w:val="000000" w:themeColor="text1"/>
          <w:sz w:val="22"/>
          <w:szCs w:val="22"/>
        </w:rPr>
        <w:t>% increase)</w:t>
      </w:r>
      <w:r w:rsidRPr="00196D08">
        <w:rPr>
          <w:rFonts w:ascii="Arial" w:hAnsi="Arial" w:cs="Arial"/>
          <w:color w:val="000000" w:themeColor="text1"/>
          <w:sz w:val="22"/>
          <w:szCs w:val="22"/>
        </w:rPr>
        <w:t>.</w:t>
      </w:r>
    </w:p>
    <w:p w:rsidR="000C7150" w:rsidRPr="00185436" w:rsidRDefault="009D1839" w:rsidP="000C7150">
      <w:pPr>
        <w:pStyle w:val="Default"/>
        <w:rPr>
          <w:rFonts w:ascii="Arial" w:hAnsi="Arial" w:cs="Arial"/>
          <w:b/>
          <w:i/>
          <w:sz w:val="22"/>
          <w:szCs w:val="22"/>
        </w:rPr>
      </w:pPr>
      <w:r w:rsidRPr="00185436">
        <w:rPr>
          <w:rFonts w:ascii="Arial" w:hAnsi="Arial" w:cs="Arial"/>
          <w:b/>
          <w:i/>
          <w:sz w:val="22"/>
          <w:szCs w:val="22"/>
        </w:rPr>
        <w:t xml:space="preserve">For </w:t>
      </w:r>
      <w:r w:rsidR="000C7150" w:rsidRPr="00185436">
        <w:rPr>
          <w:rFonts w:ascii="Arial" w:hAnsi="Arial" w:cs="Arial"/>
          <w:b/>
          <w:i/>
          <w:sz w:val="22"/>
          <w:szCs w:val="22"/>
        </w:rPr>
        <w:t>ACTEW and future regulatory decisions</w:t>
      </w:r>
    </w:p>
    <w:p w:rsidR="000C7150" w:rsidRPr="00854534" w:rsidRDefault="000C7150" w:rsidP="000C7150">
      <w:pPr>
        <w:pStyle w:val="Default"/>
        <w:rPr>
          <w:rFonts w:ascii="Arial" w:hAnsi="Arial" w:cs="Arial"/>
          <w:b/>
          <w:sz w:val="14"/>
          <w:szCs w:val="22"/>
        </w:rPr>
      </w:pPr>
    </w:p>
    <w:p w:rsidR="00082DA1" w:rsidRDefault="000C7150" w:rsidP="007A4588">
      <w:pPr>
        <w:rPr>
          <w:rFonts w:ascii="Arial" w:hAnsi="Arial" w:cs="Arial"/>
          <w:color w:val="000000" w:themeColor="text1"/>
          <w:sz w:val="22"/>
          <w:szCs w:val="22"/>
        </w:rPr>
      </w:pPr>
      <w:r w:rsidRPr="007A4588">
        <w:rPr>
          <w:rFonts w:ascii="Arial" w:hAnsi="Arial" w:cs="Arial"/>
          <w:color w:val="000000" w:themeColor="text1"/>
          <w:sz w:val="22"/>
          <w:szCs w:val="22"/>
        </w:rPr>
        <w:t xml:space="preserve">The Panel </w:t>
      </w:r>
      <w:r w:rsidR="001638D6">
        <w:rPr>
          <w:rFonts w:ascii="Arial" w:hAnsi="Arial" w:cs="Arial"/>
          <w:color w:val="000000" w:themeColor="text1"/>
          <w:sz w:val="22"/>
          <w:szCs w:val="22"/>
        </w:rPr>
        <w:t xml:space="preserve">considers that </w:t>
      </w:r>
      <w:r w:rsidR="00082DA1">
        <w:rPr>
          <w:rFonts w:ascii="Arial" w:hAnsi="Arial" w:cs="Arial"/>
          <w:color w:val="000000" w:themeColor="text1"/>
          <w:sz w:val="22"/>
          <w:szCs w:val="22"/>
        </w:rPr>
        <w:t>its</w:t>
      </w:r>
      <w:r w:rsidR="001638D6">
        <w:rPr>
          <w:rFonts w:ascii="Arial" w:hAnsi="Arial" w:cs="Arial"/>
          <w:color w:val="000000" w:themeColor="text1"/>
          <w:sz w:val="22"/>
          <w:szCs w:val="22"/>
        </w:rPr>
        <w:t xml:space="preserve"> draft decision ensures </w:t>
      </w:r>
      <w:r w:rsidR="00082DA1">
        <w:rPr>
          <w:rFonts w:ascii="Arial" w:hAnsi="Arial" w:cs="Arial"/>
          <w:color w:val="000000" w:themeColor="text1"/>
          <w:sz w:val="22"/>
          <w:szCs w:val="22"/>
        </w:rPr>
        <w:t xml:space="preserve">that </w:t>
      </w:r>
      <w:r w:rsidR="001638D6">
        <w:rPr>
          <w:rFonts w:ascii="Arial" w:hAnsi="Arial" w:cs="Arial"/>
          <w:color w:val="000000" w:themeColor="text1"/>
          <w:sz w:val="22"/>
          <w:szCs w:val="22"/>
        </w:rPr>
        <w:t xml:space="preserve">ACTEW </w:t>
      </w:r>
      <w:r w:rsidR="00082DA1">
        <w:rPr>
          <w:rFonts w:ascii="Arial" w:hAnsi="Arial" w:cs="Arial"/>
          <w:color w:val="000000" w:themeColor="text1"/>
          <w:sz w:val="22"/>
          <w:szCs w:val="22"/>
        </w:rPr>
        <w:t>is able earn</w:t>
      </w:r>
      <w:r w:rsidR="001638D6">
        <w:rPr>
          <w:rFonts w:ascii="Arial" w:hAnsi="Arial" w:cs="Arial"/>
          <w:color w:val="000000" w:themeColor="text1"/>
          <w:sz w:val="22"/>
          <w:szCs w:val="22"/>
        </w:rPr>
        <w:t xml:space="preserve"> sufficient revenue over the period to fund capital works and operating costs. </w:t>
      </w:r>
    </w:p>
    <w:p w:rsidR="00082DA1" w:rsidRDefault="00082DA1" w:rsidP="007A4588">
      <w:pPr>
        <w:rPr>
          <w:rFonts w:ascii="Arial" w:hAnsi="Arial" w:cs="Arial"/>
          <w:color w:val="000000" w:themeColor="text1"/>
          <w:sz w:val="22"/>
          <w:szCs w:val="22"/>
        </w:rPr>
      </w:pPr>
    </w:p>
    <w:p w:rsidR="00CB4A0B" w:rsidRDefault="00082DA1" w:rsidP="00082DA1">
      <w:pPr>
        <w:rPr>
          <w:rFonts w:ascii="Arial" w:hAnsi="Arial" w:cs="Arial"/>
          <w:color w:val="000000" w:themeColor="text1"/>
          <w:sz w:val="22"/>
          <w:szCs w:val="22"/>
        </w:rPr>
      </w:pPr>
      <w:r>
        <w:rPr>
          <w:rFonts w:ascii="Arial" w:hAnsi="Arial" w:cs="Arial"/>
          <w:color w:val="000000" w:themeColor="text1"/>
          <w:sz w:val="22"/>
          <w:szCs w:val="22"/>
        </w:rPr>
        <w:t xml:space="preserve">The draft decision reflects a stronger outlook for water sales than assumed in the original decision. </w:t>
      </w:r>
    </w:p>
    <w:p w:rsidR="00CB4A0B" w:rsidRDefault="00CB4A0B" w:rsidP="00082DA1">
      <w:pPr>
        <w:rPr>
          <w:rFonts w:ascii="Arial" w:hAnsi="Arial" w:cs="Arial"/>
          <w:color w:val="000000" w:themeColor="text1"/>
          <w:sz w:val="22"/>
          <w:szCs w:val="22"/>
        </w:rPr>
      </w:pPr>
    </w:p>
    <w:p w:rsidR="00082DA1" w:rsidRPr="001418A2" w:rsidRDefault="00082DA1" w:rsidP="00082DA1">
      <w:pPr>
        <w:rPr>
          <w:rFonts w:ascii="Arial" w:hAnsi="Arial" w:cs="Arial"/>
          <w:sz w:val="22"/>
          <w:szCs w:val="22"/>
        </w:rPr>
      </w:pPr>
      <w:r w:rsidRPr="001418A2">
        <w:rPr>
          <w:rFonts w:ascii="Arial" w:hAnsi="Arial" w:cs="Arial"/>
          <w:sz w:val="22"/>
          <w:szCs w:val="22"/>
        </w:rPr>
        <w:t xml:space="preserve">The </w:t>
      </w:r>
      <w:r w:rsidR="00C0133C" w:rsidRPr="001418A2">
        <w:rPr>
          <w:rFonts w:ascii="Arial" w:hAnsi="Arial" w:cs="Arial"/>
          <w:sz w:val="22"/>
          <w:szCs w:val="22"/>
        </w:rPr>
        <w:t xml:space="preserve">draft decision </w:t>
      </w:r>
      <w:r w:rsidR="00E94141" w:rsidRPr="001418A2">
        <w:rPr>
          <w:rFonts w:ascii="Arial" w:hAnsi="Arial" w:cs="Arial"/>
          <w:sz w:val="22"/>
          <w:szCs w:val="22"/>
        </w:rPr>
        <w:t>includes</w:t>
      </w:r>
      <w:r w:rsidR="001418A2" w:rsidRPr="001418A2">
        <w:rPr>
          <w:rFonts w:ascii="Arial" w:hAnsi="Arial" w:cs="Arial"/>
          <w:sz w:val="22"/>
          <w:szCs w:val="22"/>
        </w:rPr>
        <w:t xml:space="preserve"> </w:t>
      </w:r>
      <w:r w:rsidR="00CB4A0B" w:rsidRPr="001418A2">
        <w:rPr>
          <w:rFonts w:ascii="Arial" w:hAnsi="Arial" w:cs="Arial"/>
          <w:sz w:val="22"/>
          <w:szCs w:val="22"/>
        </w:rPr>
        <w:t>a number of safeguards to protect ACTEW’s financial viability, and</w:t>
      </w:r>
      <w:r w:rsidR="00E94141" w:rsidRPr="001418A2">
        <w:rPr>
          <w:rFonts w:ascii="Arial" w:hAnsi="Arial" w:cs="Arial"/>
          <w:sz w:val="22"/>
          <w:szCs w:val="22"/>
        </w:rPr>
        <w:t xml:space="preserve"> the Panel</w:t>
      </w:r>
      <w:r w:rsidR="00CB4A0B" w:rsidRPr="001418A2">
        <w:rPr>
          <w:rFonts w:ascii="Arial" w:hAnsi="Arial" w:cs="Arial"/>
          <w:sz w:val="22"/>
          <w:szCs w:val="22"/>
        </w:rPr>
        <w:t xml:space="preserve"> </w:t>
      </w:r>
      <w:r w:rsidRPr="001418A2">
        <w:rPr>
          <w:rFonts w:ascii="Arial" w:hAnsi="Arial" w:cs="Arial"/>
          <w:sz w:val="22"/>
          <w:szCs w:val="22"/>
        </w:rPr>
        <w:t>is satisfied that there are adequate measures in place to manage risks and uncertainties relating to operating costs and forecast demand.</w:t>
      </w:r>
    </w:p>
    <w:p w:rsidR="006F2648" w:rsidRDefault="006F2648" w:rsidP="007A4588">
      <w:pPr>
        <w:rPr>
          <w:rFonts w:ascii="Arial" w:hAnsi="Arial" w:cs="Arial"/>
          <w:color w:val="000000" w:themeColor="text1"/>
          <w:sz w:val="22"/>
          <w:szCs w:val="22"/>
        </w:rPr>
      </w:pPr>
    </w:p>
    <w:p w:rsidR="00FC16E8" w:rsidRDefault="006F2648" w:rsidP="007A4588">
      <w:pPr>
        <w:rPr>
          <w:rFonts w:ascii="Arial" w:hAnsi="Arial" w:cs="Arial"/>
          <w:color w:val="000000" w:themeColor="text1"/>
          <w:sz w:val="22"/>
          <w:szCs w:val="22"/>
        </w:rPr>
      </w:pPr>
      <w:r>
        <w:rPr>
          <w:rFonts w:ascii="Arial" w:hAnsi="Arial" w:cs="Arial"/>
          <w:color w:val="000000" w:themeColor="text1"/>
          <w:sz w:val="22"/>
          <w:szCs w:val="22"/>
        </w:rPr>
        <w:t xml:space="preserve">The </w:t>
      </w:r>
      <w:r w:rsidR="0068543A">
        <w:rPr>
          <w:rFonts w:ascii="Arial" w:hAnsi="Arial" w:cs="Arial"/>
          <w:color w:val="000000" w:themeColor="text1"/>
          <w:sz w:val="22"/>
          <w:szCs w:val="22"/>
        </w:rPr>
        <w:t xml:space="preserve">form of regulation proposed in the </w:t>
      </w:r>
      <w:r w:rsidR="00FC16E8">
        <w:rPr>
          <w:rFonts w:ascii="Arial" w:hAnsi="Arial" w:cs="Arial"/>
          <w:color w:val="000000" w:themeColor="text1"/>
          <w:sz w:val="22"/>
          <w:szCs w:val="22"/>
        </w:rPr>
        <w:t xml:space="preserve">draft </w:t>
      </w:r>
      <w:r>
        <w:rPr>
          <w:rFonts w:ascii="Arial" w:hAnsi="Arial" w:cs="Arial"/>
          <w:color w:val="000000" w:themeColor="text1"/>
          <w:sz w:val="22"/>
          <w:szCs w:val="22"/>
        </w:rPr>
        <w:t xml:space="preserve">decision provides </w:t>
      </w:r>
      <w:r w:rsidR="00E94141">
        <w:rPr>
          <w:rFonts w:ascii="Arial" w:hAnsi="Arial" w:cs="Arial"/>
          <w:color w:val="000000" w:themeColor="text1"/>
          <w:sz w:val="22"/>
          <w:szCs w:val="22"/>
        </w:rPr>
        <w:t>greater</w:t>
      </w:r>
      <w:r w:rsidR="00E94141" w:rsidRPr="007A4588">
        <w:rPr>
          <w:rFonts w:ascii="Arial" w:hAnsi="Arial" w:cs="Arial"/>
          <w:color w:val="000000" w:themeColor="text1"/>
          <w:sz w:val="22"/>
          <w:szCs w:val="22"/>
        </w:rPr>
        <w:t xml:space="preserve"> </w:t>
      </w:r>
      <w:r w:rsidRPr="007A4588">
        <w:rPr>
          <w:rFonts w:ascii="Arial" w:hAnsi="Arial" w:cs="Arial"/>
          <w:color w:val="000000" w:themeColor="text1"/>
          <w:sz w:val="22"/>
          <w:szCs w:val="22"/>
        </w:rPr>
        <w:t>incentive</w:t>
      </w:r>
      <w:r w:rsidR="00E94141">
        <w:rPr>
          <w:rFonts w:ascii="Arial" w:hAnsi="Arial" w:cs="Arial"/>
          <w:color w:val="000000" w:themeColor="text1"/>
          <w:sz w:val="22"/>
          <w:szCs w:val="22"/>
        </w:rPr>
        <w:t>s</w:t>
      </w:r>
      <w:r w:rsidRPr="007A4588">
        <w:rPr>
          <w:rFonts w:ascii="Arial" w:hAnsi="Arial" w:cs="Arial"/>
          <w:color w:val="000000" w:themeColor="text1"/>
          <w:sz w:val="22"/>
          <w:szCs w:val="22"/>
        </w:rPr>
        <w:t xml:space="preserve"> for ACTEW to pursue efficiencies. </w:t>
      </w:r>
    </w:p>
    <w:p w:rsidR="000C7150" w:rsidRDefault="000C7150" w:rsidP="007A4588">
      <w:pPr>
        <w:rPr>
          <w:rFonts w:ascii="Arial" w:hAnsi="Arial" w:cs="Arial"/>
          <w:color w:val="000000" w:themeColor="text1"/>
          <w:sz w:val="22"/>
          <w:szCs w:val="22"/>
        </w:rPr>
      </w:pPr>
    </w:p>
    <w:p w:rsidR="00BE1436" w:rsidRPr="00BE1436" w:rsidRDefault="007328AB" w:rsidP="00BE1436">
      <w:pPr>
        <w:rPr>
          <w:rFonts w:ascii="Arial" w:hAnsi="Arial" w:cs="Arial"/>
          <w:color w:val="000000" w:themeColor="text1"/>
          <w:sz w:val="22"/>
          <w:szCs w:val="22"/>
        </w:rPr>
      </w:pPr>
      <w:r>
        <w:rPr>
          <w:rFonts w:ascii="Arial" w:hAnsi="Arial" w:cs="Arial"/>
          <w:color w:val="000000" w:themeColor="text1"/>
          <w:sz w:val="22"/>
          <w:szCs w:val="22"/>
        </w:rPr>
        <w:t xml:space="preserve">By setting prices </w:t>
      </w:r>
      <w:r w:rsidR="000C7150" w:rsidRPr="007A4588">
        <w:rPr>
          <w:rFonts w:ascii="Arial" w:hAnsi="Arial" w:cs="Arial"/>
          <w:color w:val="000000" w:themeColor="text1"/>
          <w:sz w:val="22"/>
          <w:szCs w:val="22"/>
        </w:rPr>
        <w:t xml:space="preserve">for a </w:t>
      </w:r>
      <w:r w:rsidR="003F7593" w:rsidRPr="007A4588">
        <w:rPr>
          <w:rFonts w:ascii="Arial" w:hAnsi="Arial" w:cs="Arial"/>
          <w:color w:val="000000" w:themeColor="text1"/>
          <w:sz w:val="22"/>
          <w:szCs w:val="22"/>
        </w:rPr>
        <w:t>five</w:t>
      </w:r>
      <w:r w:rsidR="000C7150" w:rsidRPr="007A4588">
        <w:rPr>
          <w:rFonts w:ascii="Arial" w:hAnsi="Arial" w:cs="Arial"/>
          <w:color w:val="000000" w:themeColor="text1"/>
          <w:sz w:val="22"/>
          <w:szCs w:val="22"/>
        </w:rPr>
        <w:t>-yea</w:t>
      </w:r>
      <w:r>
        <w:rPr>
          <w:rFonts w:ascii="Arial" w:hAnsi="Arial" w:cs="Arial"/>
          <w:color w:val="000000" w:themeColor="text1"/>
          <w:sz w:val="22"/>
          <w:szCs w:val="22"/>
        </w:rPr>
        <w:t>r period the Panel has removed</w:t>
      </w:r>
      <w:r w:rsidR="000C7150" w:rsidRPr="007A4588">
        <w:rPr>
          <w:rFonts w:ascii="Arial" w:hAnsi="Arial" w:cs="Arial"/>
          <w:color w:val="000000" w:themeColor="text1"/>
          <w:sz w:val="22"/>
          <w:szCs w:val="22"/>
        </w:rPr>
        <w:t xml:space="preserve"> the need for biennial recalibrations (by the ICRC), </w:t>
      </w:r>
      <w:r w:rsidR="00E960B7">
        <w:rPr>
          <w:rFonts w:ascii="Arial" w:hAnsi="Arial" w:cs="Arial"/>
          <w:color w:val="000000" w:themeColor="text1"/>
          <w:sz w:val="22"/>
          <w:szCs w:val="22"/>
        </w:rPr>
        <w:t>thereby reducing</w:t>
      </w:r>
      <w:r w:rsidR="000C7150" w:rsidRPr="007A4588">
        <w:rPr>
          <w:rFonts w:ascii="Arial" w:hAnsi="Arial" w:cs="Arial"/>
          <w:color w:val="000000" w:themeColor="text1"/>
          <w:sz w:val="22"/>
          <w:szCs w:val="22"/>
        </w:rPr>
        <w:t xml:space="preserve"> </w:t>
      </w:r>
      <w:r w:rsidR="006F2648">
        <w:rPr>
          <w:rFonts w:ascii="Arial" w:hAnsi="Arial" w:cs="Arial"/>
          <w:color w:val="000000" w:themeColor="text1"/>
          <w:sz w:val="22"/>
          <w:szCs w:val="22"/>
        </w:rPr>
        <w:t xml:space="preserve">regulatory </w:t>
      </w:r>
      <w:r w:rsidR="000C7150" w:rsidRPr="007A4588">
        <w:rPr>
          <w:rFonts w:ascii="Arial" w:hAnsi="Arial" w:cs="Arial"/>
          <w:color w:val="000000" w:themeColor="text1"/>
          <w:sz w:val="22"/>
          <w:szCs w:val="22"/>
        </w:rPr>
        <w:t>costs</w:t>
      </w:r>
      <w:r w:rsidR="0070353E" w:rsidRPr="007A4588">
        <w:rPr>
          <w:rFonts w:ascii="Arial" w:hAnsi="Arial" w:cs="Arial"/>
          <w:color w:val="000000" w:themeColor="text1"/>
          <w:sz w:val="22"/>
          <w:szCs w:val="22"/>
        </w:rPr>
        <w:t xml:space="preserve"> </w:t>
      </w:r>
      <w:r w:rsidR="00E960B7">
        <w:rPr>
          <w:rFonts w:ascii="Arial" w:hAnsi="Arial" w:cs="Arial"/>
          <w:color w:val="000000" w:themeColor="text1"/>
          <w:sz w:val="22"/>
          <w:szCs w:val="22"/>
        </w:rPr>
        <w:t>and delivering</w:t>
      </w:r>
      <w:r w:rsidR="000C7150" w:rsidRPr="007A4588">
        <w:rPr>
          <w:rFonts w:ascii="Arial" w:hAnsi="Arial" w:cs="Arial"/>
          <w:color w:val="000000" w:themeColor="text1"/>
          <w:sz w:val="22"/>
          <w:szCs w:val="22"/>
        </w:rPr>
        <w:t xml:space="preserve"> longer-term certainty for all stakeholders</w:t>
      </w:r>
      <w:r>
        <w:rPr>
          <w:rFonts w:ascii="Arial" w:hAnsi="Arial" w:cs="Arial"/>
          <w:color w:val="000000" w:themeColor="text1"/>
          <w:sz w:val="22"/>
          <w:szCs w:val="22"/>
        </w:rPr>
        <w:t>.</w:t>
      </w:r>
    </w:p>
    <w:p w:rsidR="003F7593" w:rsidRPr="007328A6" w:rsidRDefault="003F7593" w:rsidP="00243CC5">
      <w:pPr>
        <w:rPr>
          <w:rFonts w:ascii="Arial" w:hAnsi="Arial" w:cs="Arial"/>
          <w:color w:val="000000" w:themeColor="text1"/>
          <w:sz w:val="22"/>
          <w:szCs w:val="22"/>
        </w:rPr>
      </w:pPr>
    </w:p>
    <w:p w:rsidR="009845AD" w:rsidRPr="00A00549" w:rsidRDefault="009845AD" w:rsidP="009845AD">
      <w:pPr>
        <w:rPr>
          <w:rFonts w:ascii="Arial" w:hAnsi="Arial" w:cs="Arial"/>
          <w:b/>
          <w:color w:val="1F497D" w:themeColor="text2"/>
          <w:szCs w:val="22"/>
        </w:rPr>
      </w:pPr>
      <w:r w:rsidRPr="00A00549">
        <w:rPr>
          <w:rFonts w:ascii="Arial" w:hAnsi="Arial" w:cs="Arial"/>
          <w:b/>
          <w:color w:val="1F497D" w:themeColor="text2"/>
          <w:szCs w:val="22"/>
        </w:rPr>
        <w:t>How did the Panel reach its decision?</w:t>
      </w:r>
    </w:p>
    <w:p w:rsidR="009845AD" w:rsidRPr="00F734C9" w:rsidRDefault="009845AD" w:rsidP="009845AD">
      <w:pPr>
        <w:rPr>
          <w:rFonts w:ascii="Arial" w:hAnsi="Arial" w:cs="Arial"/>
          <w:b/>
          <w:color w:val="000000" w:themeColor="text1"/>
          <w:sz w:val="14"/>
          <w:szCs w:val="22"/>
        </w:rPr>
      </w:pPr>
    </w:p>
    <w:p w:rsidR="004759F0" w:rsidRPr="007A4588" w:rsidRDefault="004759F0" w:rsidP="004759F0">
      <w:pPr>
        <w:rPr>
          <w:rFonts w:ascii="Arial" w:hAnsi="Arial" w:cs="Arial"/>
          <w:color w:val="000000" w:themeColor="text1"/>
          <w:sz w:val="22"/>
          <w:szCs w:val="22"/>
        </w:rPr>
      </w:pPr>
      <w:r>
        <w:rPr>
          <w:rFonts w:ascii="Arial" w:hAnsi="Arial" w:cs="Arial"/>
          <w:color w:val="000000" w:themeColor="text1"/>
          <w:sz w:val="22"/>
          <w:szCs w:val="22"/>
        </w:rPr>
        <w:t>The Panel developed a</w:t>
      </w:r>
      <w:r w:rsidRPr="007A4588">
        <w:rPr>
          <w:rFonts w:ascii="Arial" w:hAnsi="Arial" w:cs="Arial"/>
          <w:color w:val="000000" w:themeColor="text1"/>
          <w:sz w:val="22"/>
          <w:szCs w:val="22"/>
        </w:rPr>
        <w:t xml:space="preserve"> robust and transparent methodology based on tried </w:t>
      </w:r>
      <w:r>
        <w:rPr>
          <w:rFonts w:ascii="Arial" w:hAnsi="Arial" w:cs="Arial"/>
          <w:color w:val="000000" w:themeColor="text1"/>
          <w:sz w:val="22"/>
          <w:szCs w:val="22"/>
        </w:rPr>
        <w:t>a</w:t>
      </w:r>
      <w:r w:rsidR="004A3C60">
        <w:rPr>
          <w:rFonts w:ascii="Arial" w:hAnsi="Arial" w:cs="Arial"/>
          <w:color w:val="000000" w:themeColor="text1"/>
          <w:sz w:val="22"/>
          <w:szCs w:val="22"/>
        </w:rPr>
        <w:t>nd tested regulatory practices.</w:t>
      </w:r>
    </w:p>
    <w:p w:rsidR="004759F0" w:rsidRDefault="004759F0" w:rsidP="009845AD">
      <w:pPr>
        <w:rPr>
          <w:rFonts w:ascii="Arial" w:hAnsi="Arial" w:cs="Arial"/>
          <w:sz w:val="22"/>
          <w:szCs w:val="22"/>
        </w:rPr>
      </w:pPr>
    </w:p>
    <w:p w:rsidR="009845AD" w:rsidRPr="007328A6" w:rsidRDefault="009845AD" w:rsidP="009845AD">
      <w:pPr>
        <w:rPr>
          <w:rFonts w:ascii="Arial" w:hAnsi="Arial" w:cs="Arial"/>
          <w:sz w:val="22"/>
          <w:szCs w:val="22"/>
        </w:rPr>
      </w:pPr>
      <w:r w:rsidRPr="007328A6">
        <w:rPr>
          <w:rFonts w:ascii="Arial" w:hAnsi="Arial" w:cs="Arial"/>
          <w:sz w:val="22"/>
          <w:szCs w:val="22"/>
        </w:rPr>
        <w:t>The Panel examined the ICRC’s original price direction</w:t>
      </w:r>
      <w:r>
        <w:rPr>
          <w:rFonts w:ascii="Arial" w:hAnsi="Arial" w:cs="Arial"/>
          <w:sz w:val="22"/>
          <w:szCs w:val="22"/>
        </w:rPr>
        <w:t xml:space="preserve"> and investigated </w:t>
      </w:r>
      <w:r w:rsidRPr="007328A6">
        <w:rPr>
          <w:rFonts w:ascii="Arial" w:hAnsi="Arial" w:cs="Arial"/>
          <w:sz w:val="22"/>
          <w:szCs w:val="22"/>
        </w:rPr>
        <w:t xml:space="preserve">those matters raised </w:t>
      </w:r>
      <w:r w:rsidR="007328AB">
        <w:rPr>
          <w:rFonts w:ascii="Arial" w:hAnsi="Arial" w:cs="Arial"/>
          <w:sz w:val="22"/>
          <w:szCs w:val="22"/>
        </w:rPr>
        <w:t xml:space="preserve">by </w:t>
      </w:r>
      <w:r w:rsidRPr="007328A6">
        <w:rPr>
          <w:rFonts w:ascii="Arial" w:hAnsi="Arial" w:cs="Arial"/>
          <w:sz w:val="22"/>
          <w:szCs w:val="22"/>
        </w:rPr>
        <w:t>ACTEW</w:t>
      </w:r>
      <w:r w:rsidR="007328AB">
        <w:rPr>
          <w:rFonts w:ascii="Arial" w:hAnsi="Arial" w:cs="Arial"/>
          <w:sz w:val="22"/>
          <w:szCs w:val="22"/>
        </w:rPr>
        <w:t xml:space="preserve"> in its</w:t>
      </w:r>
      <w:r w:rsidRPr="007328A6">
        <w:rPr>
          <w:rFonts w:ascii="Arial" w:hAnsi="Arial" w:cs="Arial"/>
          <w:sz w:val="22"/>
          <w:szCs w:val="22"/>
        </w:rPr>
        <w:t xml:space="preserve"> Statement o</w:t>
      </w:r>
      <w:r>
        <w:rPr>
          <w:rFonts w:ascii="Arial" w:hAnsi="Arial" w:cs="Arial"/>
          <w:sz w:val="22"/>
          <w:szCs w:val="22"/>
        </w:rPr>
        <w:t xml:space="preserve">f Facts and Contentions (SOFC). It also considered </w:t>
      </w:r>
      <w:r w:rsidRPr="007328A6">
        <w:rPr>
          <w:rFonts w:ascii="Arial" w:hAnsi="Arial" w:cs="Arial"/>
          <w:sz w:val="22"/>
          <w:szCs w:val="22"/>
        </w:rPr>
        <w:t xml:space="preserve">submissions </w:t>
      </w:r>
      <w:r>
        <w:rPr>
          <w:rFonts w:ascii="Arial" w:hAnsi="Arial" w:cs="Arial"/>
          <w:sz w:val="22"/>
          <w:szCs w:val="22"/>
        </w:rPr>
        <w:t>from other stakeholders</w:t>
      </w:r>
      <w:r w:rsidRPr="007328A6">
        <w:rPr>
          <w:rFonts w:ascii="Arial" w:hAnsi="Arial" w:cs="Arial"/>
          <w:sz w:val="22"/>
          <w:szCs w:val="22"/>
        </w:rPr>
        <w:t xml:space="preserve"> and </w:t>
      </w:r>
      <w:r w:rsidR="00CB4A0B">
        <w:rPr>
          <w:rFonts w:ascii="Arial" w:hAnsi="Arial" w:cs="Arial"/>
          <w:sz w:val="22"/>
          <w:szCs w:val="22"/>
        </w:rPr>
        <w:t xml:space="preserve">matters raised during </w:t>
      </w:r>
      <w:r w:rsidR="00E6444C">
        <w:rPr>
          <w:rFonts w:ascii="Arial" w:hAnsi="Arial" w:cs="Arial"/>
          <w:sz w:val="22"/>
          <w:szCs w:val="22"/>
        </w:rPr>
        <w:t>its</w:t>
      </w:r>
      <w:r w:rsidR="00E6444C" w:rsidRPr="007328A6">
        <w:rPr>
          <w:rFonts w:ascii="Arial" w:hAnsi="Arial" w:cs="Arial"/>
          <w:sz w:val="22"/>
          <w:szCs w:val="22"/>
        </w:rPr>
        <w:t xml:space="preserve"> </w:t>
      </w:r>
      <w:r w:rsidRPr="007328A6">
        <w:rPr>
          <w:rFonts w:ascii="Arial" w:hAnsi="Arial" w:cs="Arial"/>
          <w:sz w:val="22"/>
          <w:szCs w:val="22"/>
        </w:rPr>
        <w:t xml:space="preserve">hearing of review issues. </w:t>
      </w:r>
    </w:p>
    <w:p w:rsidR="009845AD" w:rsidRPr="007328A6" w:rsidRDefault="009845AD" w:rsidP="009845AD">
      <w:pPr>
        <w:rPr>
          <w:rFonts w:ascii="Arial" w:hAnsi="Arial" w:cs="Arial"/>
          <w:sz w:val="22"/>
          <w:szCs w:val="22"/>
        </w:rPr>
      </w:pPr>
    </w:p>
    <w:p w:rsidR="009845AD" w:rsidRDefault="009845AD" w:rsidP="009845AD">
      <w:pPr>
        <w:rPr>
          <w:rFonts w:ascii="Arial" w:hAnsi="Arial" w:cs="Arial"/>
          <w:sz w:val="22"/>
          <w:szCs w:val="22"/>
        </w:rPr>
      </w:pPr>
      <w:r w:rsidRPr="007328A6">
        <w:rPr>
          <w:rFonts w:ascii="Arial" w:hAnsi="Arial" w:cs="Arial"/>
          <w:sz w:val="22"/>
          <w:szCs w:val="22"/>
        </w:rPr>
        <w:t xml:space="preserve">The Panel </w:t>
      </w:r>
      <w:r w:rsidR="007A4588">
        <w:rPr>
          <w:rFonts w:ascii="Arial" w:hAnsi="Arial" w:cs="Arial"/>
          <w:sz w:val="22"/>
          <w:szCs w:val="22"/>
        </w:rPr>
        <w:t>undertook</w:t>
      </w:r>
      <w:r w:rsidRPr="007328A6">
        <w:rPr>
          <w:rFonts w:ascii="Arial" w:hAnsi="Arial" w:cs="Arial"/>
          <w:sz w:val="22"/>
          <w:szCs w:val="22"/>
        </w:rPr>
        <w:t xml:space="preserve"> additional analysis and modelling, and sought expert advice on the costs of providing water and sewerage services and the forecast demand for these services over the regulatory period.</w:t>
      </w:r>
    </w:p>
    <w:p w:rsidR="009845AD" w:rsidRDefault="009845AD" w:rsidP="009845AD">
      <w:pPr>
        <w:rPr>
          <w:rFonts w:ascii="Arial" w:hAnsi="Arial" w:cs="Arial"/>
          <w:sz w:val="22"/>
          <w:szCs w:val="22"/>
        </w:rPr>
      </w:pPr>
    </w:p>
    <w:p w:rsidR="009845AD" w:rsidRPr="009845AD" w:rsidRDefault="006F2648" w:rsidP="009845AD">
      <w:pPr>
        <w:rPr>
          <w:rFonts w:ascii="Arial" w:hAnsi="Arial" w:cs="Arial"/>
          <w:sz w:val="22"/>
          <w:szCs w:val="22"/>
        </w:rPr>
      </w:pPr>
      <w:r>
        <w:rPr>
          <w:rFonts w:ascii="Arial" w:hAnsi="Arial" w:cs="Arial"/>
          <w:sz w:val="22"/>
          <w:szCs w:val="22"/>
        </w:rPr>
        <w:lastRenderedPageBreak/>
        <w:t xml:space="preserve">In keeping with </w:t>
      </w:r>
      <w:r w:rsidR="009845AD" w:rsidRPr="009845AD">
        <w:rPr>
          <w:rFonts w:ascii="Arial" w:hAnsi="Arial" w:cs="Arial"/>
          <w:sz w:val="22"/>
          <w:szCs w:val="22"/>
        </w:rPr>
        <w:t>the Act and the terms of reference for the ICRC’s original price direction, the Panel took account of a broad range of matters in reaching its decisions</w:t>
      </w:r>
      <w:r w:rsidR="009845AD">
        <w:rPr>
          <w:rFonts w:ascii="Arial" w:hAnsi="Arial" w:cs="Arial"/>
          <w:sz w:val="22"/>
          <w:szCs w:val="22"/>
        </w:rPr>
        <w:t>. These included</w:t>
      </w:r>
      <w:r w:rsidR="009845AD" w:rsidRPr="009845AD">
        <w:rPr>
          <w:rFonts w:ascii="Arial" w:hAnsi="Arial" w:cs="Arial"/>
          <w:sz w:val="22"/>
          <w:szCs w:val="22"/>
        </w:rPr>
        <w:t xml:space="preserve"> objectives related to</w:t>
      </w:r>
      <w:r w:rsidR="009845AD">
        <w:rPr>
          <w:rFonts w:ascii="Arial" w:hAnsi="Arial" w:cs="Arial"/>
          <w:sz w:val="22"/>
          <w:szCs w:val="22"/>
        </w:rPr>
        <w:t xml:space="preserve"> </w:t>
      </w:r>
      <w:r w:rsidR="009845AD" w:rsidRPr="009845AD">
        <w:rPr>
          <w:rFonts w:ascii="Arial" w:hAnsi="Arial" w:cs="Arial"/>
          <w:sz w:val="22"/>
          <w:szCs w:val="22"/>
        </w:rPr>
        <w:t>consumer protection</w:t>
      </w:r>
      <w:r w:rsidR="009845AD">
        <w:rPr>
          <w:rFonts w:ascii="Arial" w:hAnsi="Arial" w:cs="Arial"/>
          <w:sz w:val="22"/>
          <w:szCs w:val="22"/>
        </w:rPr>
        <w:t xml:space="preserve">, </w:t>
      </w:r>
      <w:r w:rsidR="009845AD" w:rsidRPr="009845AD">
        <w:rPr>
          <w:rFonts w:ascii="Arial" w:hAnsi="Arial" w:cs="Arial"/>
          <w:sz w:val="22"/>
          <w:szCs w:val="22"/>
        </w:rPr>
        <w:t>economic efficiency</w:t>
      </w:r>
      <w:r w:rsidR="009845AD">
        <w:rPr>
          <w:rFonts w:ascii="Arial" w:hAnsi="Arial" w:cs="Arial"/>
          <w:sz w:val="22"/>
          <w:szCs w:val="22"/>
        </w:rPr>
        <w:t xml:space="preserve"> and </w:t>
      </w:r>
      <w:r w:rsidR="00E6444C">
        <w:rPr>
          <w:rFonts w:ascii="Arial" w:hAnsi="Arial" w:cs="Arial"/>
          <w:sz w:val="22"/>
          <w:szCs w:val="22"/>
        </w:rPr>
        <w:t xml:space="preserve">ACTEW’s </w:t>
      </w:r>
      <w:r w:rsidR="009845AD" w:rsidRPr="009845AD">
        <w:rPr>
          <w:rFonts w:ascii="Arial" w:hAnsi="Arial" w:cs="Arial"/>
          <w:sz w:val="22"/>
          <w:szCs w:val="22"/>
        </w:rPr>
        <w:t>financial viability.</w:t>
      </w:r>
    </w:p>
    <w:p w:rsidR="009845AD" w:rsidRPr="007328A6" w:rsidRDefault="009845AD" w:rsidP="009845AD">
      <w:pPr>
        <w:rPr>
          <w:rFonts w:ascii="Arial" w:hAnsi="Arial" w:cs="Arial"/>
          <w:b/>
          <w:color w:val="000000" w:themeColor="text1"/>
          <w:sz w:val="22"/>
          <w:szCs w:val="22"/>
        </w:rPr>
      </w:pPr>
    </w:p>
    <w:p w:rsidR="009D1839" w:rsidRPr="00A00549" w:rsidRDefault="009D1839" w:rsidP="009D1839">
      <w:pPr>
        <w:rPr>
          <w:rFonts w:ascii="Arial" w:hAnsi="Arial" w:cs="Arial"/>
          <w:b/>
          <w:color w:val="1F497D" w:themeColor="text2"/>
          <w:szCs w:val="22"/>
        </w:rPr>
      </w:pPr>
      <w:r w:rsidRPr="00A00549">
        <w:rPr>
          <w:rFonts w:ascii="Arial" w:hAnsi="Arial" w:cs="Arial"/>
          <w:b/>
          <w:color w:val="1F497D" w:themeColor="text2"/>
          <w:szCs w:val="22"/>
        </w:rPr>
        <w:t>Next steps</w:t>
      </w:r>
      <w:r w:rsidR="00F05E2C" w:rsidRPr="00A00549">
        <w:rPr>
          <w:rFonts w:ascii="Arial" w:hAnsi="Arial" w:cs="Arial"/>
          <w:b/>
          <w:color w:val="1F497D" w:themeColor="text2"/>
          <w:szCs w:val="22"/>
        </w:rPr>
        <w:t xml:space="preserve"> – comments invited on the draft report</w:t>
      </w:r>
    </w:p>
    <w:p w:rsidR="009D1839" w:rsidRPr="00A00549" w:rsidRDefault="009D1839">
      <w:pPr>
        <w:rPr>
          <w:rFonts w:ascii="Arial" w:hAnsi="Arial" w:cs="Arial"/>
          <w:b/>
          <w:color w:val="1F497D" w:themeColor="text2"/>
          <w:szCs w:val="22"/>
        </w:rPr>
      </w:pPr>
    </w:p>
    <w:p w:rsidR="00466679" w:rsidRPr="007A4588" w:rsidRDefault="009D1839" w:rsidP="007A4588">
      <w:pPr>
        <w:rPr>
          <w:rFonts w:ascii="Arial" w:hAnsi="Arial" w:cs="Arial"/>
          <w:color w:val="000000" w:themeColor="text1"/>
          <w:sz w:val="22"/>
          <w:szCs w:val="22"/>
        </w:rPr>
      </w:pPr>
      <w:r w:rsidRPr="007A4588">
        <w:rPr>
          <w:rFonts w:ascii="Arial" w:hAnsi="Arial" w:cs="Arial"/>
          <w:color w:val="000000" w:themeColor="text1"/>
          <w:sz w:val="22"/>
          <w:szCs w:val="22"/>
        </w:rPr>
        <w:t>Interested parties and the ACT community are now invited to make further submissions and attend the next public hearing</w:t>
      </w:r>
      <w:r w:rsidR="00466679" w:rsidRPr="007A4588">
        <w:rPr>
          <w:rFonts w:ascii="Arial" w:hAnsi="Arial" w:cs="Arial"/>
          <w:color w:val="000000" w:themeColor="text1"/>
          <w:sz w:val="22"/>
          <w:szCs w:val="22"/>
        </w:rPr>
        <w:t>.</w:t>
      </w:r>
    </w:p>
    <w:p w:rsidR="00466679" w:rsidRPr="007A4588" w:rsidRDefault="00466679" w:rsidP="00466679">
      <w:pPr>
        <w:pStyle w:val="ListParagraph"/>
        <w:ind w:left="360"/>
        <w:rPr>
          <w:rFonts w:ascii="Arial" w:hAnsi="Arial" w:cs="Arial"/>
          <w:color w:val="000000" w:themeColor="text1"/>
          <w:sz w:val="22"/>
          <w:szCs w:val="22"/>
        </w:rPr>
      </w:pPr>
    </w:p>
    <w:p w:rsidR="00466679" w:rsidRPr="007A4588" w:rsidRDefault="00466679" w:rsidP="007A4588">
      <w:pPr>
        <w:rPr>
          <w:rFonts w:ascii="Arial" w:hAnsi="Arial" w:cs="Arial"/>
          <w:b/>
          <w:color w:val="000000" w:themeColor="text1"/>
          <w:sz w:val="22"/>
          <w:szCs w:val="22"/>
        </w:rPr>
      </w:pPr>
      <w:r w:rsidRPr="007A4588">
        <w:rPr>
          <w:rFonts w:ascii="Arial" w:hAnsi="Arial" w:cs="Arial"/>
          <w:b/>
          <w:color w:val="000000" w:themeColor="text1"/>
          <w:sz w:val="22"/>
          <w:szCs w:val="22"/>
        </w:rPr>
        <w:t>Written submissions must be received by 23 January 2015</w:t>
      </w:r>
      <w:r w:rsidR="00EE6806" w:rsidRPr="007A4588">
        <w:rPr>
          <w:rFonts w:ascii="Arial" w:hAnsi="Arial" w:cs="Arial"/>
          <w:b/>
          <w:color w:val="000000" w:themeColor="text1"/>
          <w:sz w:val="22"/>
          <w:szCs w:val="22"/>
        </w:rPr>
        <w:t xml:space="preserve">. </w:t>
      </w:r>
      <w:r w:rsidR="00EE6806" w:rsidRPr="007A4588">
        <w:rPr>
          <w:rFonts w:ascii="Arial" w:hAnsi="Arial" w:cs="Arial"/>
          <w:sz w:val="22"/>
          <w:szCs w:val="22"/>
        </w:rPr>
        <w:t xml:space="preserve">Guidance on how to make a written submission and the Panel’s submission policy can be found on the Panel’s website under </w:t>
      </w:r>
      <w:r w:rsidR="00EE6806" w:rsidRPr="007A4588">
        <w:rPr>
          <w:rFonts w:ascii="Arial" w:hAnsi="Arial" w:cs="Arial"/>
          <w:i/>
          <w:sz w:val="22"/>
          <w:szCs w:val="22"/>
        </w:rPr>
        <w:t>How to make a submission.</w:t>
      </w:r>
      <w:r w:rsidRPr="007A4588">
        <w:rPr>
          <w:rFonts w:ascii="Arial" w:hAnsi="Arial" w:cs="Arial"/>
          <w:b/>
          <w:color w:val="000000" w:themeColor="text1"/>
          <w:sz w:val="22"/>
          <w:szCs w:val="22"/>
        </w:rPr>
        <w:t xml:space="preserve">   </w:t>
      </w:r>
    </w:p>
    <w:p w:rsidR="00466679" w:rsidRPr="007328A6" w:rsidRDefault="00466679" w:rsidP="00466679">
      <w:pPr>
        <w:pStyle w:val="ListParagraph"/>
        <w:ind w:left="360"/>
        <w:rPr>
          <w:rFonts w:ascii="Arial" w:hAnsi="Arial" w:cs="Arial"/>
          <w:color w:val="000000" w:themeColor="text1"/>
          <w:sz w:val="22"/>
          <w:szCs w:val="22"/>
        </w:rPr>
      </w:pPr>
    </w:p>
    <w:p w:rsidR="00CE13E3" w:rsidRPr="007A4588" w:rsidRDefault="00466679" w:rsidP="007A4588">
      <w:pPr>
        <w:rPr>
          <w:rFonts w:ascii="Arial" w:hAnsi="Arial" w:cs="Arial"/>
          <w:color w:val="000000" w:themeColor="text1"/>
          <w:sz w:val="22"/>
          <w:szCs w:val="22"/>
        </w:rPr>
      </w:pPr>
      <w:r w:rsidRPr="007A4588">
        <w:rPr>
          <w:rFonts w:ascii="Arial" w:hAnsi="Arial" w:cs="Arial"/>
          <w:color w:val="000000" w:themeColor="text1"/>
          <w:sz w:val="22"/>
          <w:szCs w:val="22"/>
        </w:rPr>
        <w:t>The public hearing is</w:t>
      </w:r>
      <w:r w:rsidR="009D1839" w:rsidRPr="007A4588">
        <w:rPr>
          <w:rFonts w:ascii="Arial" w:hAnsi="Arial" w:cs="Arial"/>
          <w:color w:val="000000" w:themeColor="text1"/>
          <w:sz w:val="22"/>
          <w:szCs w:val="22"/>
        </w:rPr>
        <w:t xml:space="preserve"> likely to be held in early February 2015. </w:t>
      </w:r>
      <w:r w:rsidRPr="007A4588">
        <w:rPr>
          <w:rFonts w:ascii="Arial" w:hAnsi="Arial" w:cs="Arial"/>
          <w:color w:val="000000" w:themeColor="text1"/>
          <w:sz w:val="22"/>
          <w:szCs w:val="22"/>
        </w:rPr>
        <w:t>This will provide an opportunity for ACTEW and other stakeholde</w:t>
      </w:r>
      <w:r w:rsidR="00EE6806" w:rsidRPr="007A4588">
        <w:rPr>
          <w:rFonts w:ascii="Arial" w:hAnsi="Arial" w:cs="Arial"/>
          <w:color w:val="000000" w:themeColor="text1"/>
          <w:sz w:val="22"/>
          <w:szCs w:val="22"/>
        </w:rPr>
        <w:t xml:space="preserve">rs to make verbal submissions. </w:t>
      </w:r>
      <w:r w:rsidR="00CE13E3" w:rsidRPr="007A4588">
        <w:rPr>
          <w:rFonts w:ascii="Arial" w:hAnsi="Arial" w:cs="Arial"/>
          <w:color w:val="000000" w:themeColor="text1"/>
          <w:sz w:val="22"/>
          <w:szCs w:val="22"/>
        </w:rPr>
        <w:t>T</w:t>
      </w:r>
      <w:r w:rsidRPr="007A4588">
        <w:rPr>
          <w:rFonts w:ascii="Arial" w:hAnsi="Arial" w:cs="Arial"/>
          <w:color w:val="000000" w:themeColor="text1"/>
          <w:sz w:val="22"/>
          <w:szCs w:val="22"/>
        </w:rPr>
        <w:t>he t</w:t>
      </w:r>
      <w:r w:rsidR="009D1839" w:rsidRPr="007A4588">
        <w:rPr>
          <w:rFonts w:ascii="Arial" w:hAnsi="Arial" w:cs="Arial"/>
          <w:color w:val="000000" w:themeColor="text1"/>
          <w:sz w:val="22"/>
          <w:szCs w:val="22"/>
        </w:rPr>
        <w:t xml:space="preserve">iming </w:t>
      </w:r>
      <w:r w:rsidR="00CE13E3" w:rsidRPr="007A4588">
        <w:rPr>
          <w:rFonts w:ascii="Arial" w:hAnsi="Arial" w:cs="Arial"/>
          <w:color w:val="000000" w:themeColor="text1"/>
          <w:sz w:val="22"/>
          <w:szCs w:val="22"/>
        </w:rPr>
        <w:t xml:space="preserve">and venue </w:t>
      </w:r>
      <w:r w:rsidR="009D1839" w:rsidRPr="007A4588">
        <w:rPr>
          <w:rFonts w:ascii="Arial" w:hAnsi="Arial" w:cs="Arial"/>
          <w:color w:val="000000" w:themeColor="text1"/>
          <w:sz w:val="22"/>
          <w:szCs w:val="22"/>
        </w:rPr>
        <w:t xml:space="preserve">will be </w:t>
      </w:r>
      <w:r w:rsidR="007328A6" w:rsidRPr="007A4588">
        <w:rPr>
          <w:rFonts w:ascii="Arial" w:hAnsi="Arial" w:cs="Arial"/>
          <w:color w:val="000000" w:themeColor="text1"/>
          <w:sz w:val="22"/>
          <w:szCs w:val="22"/>
        </w:rPr>
        <w:t xml:space="preserve">publicly advertised and </w:t>
      </w:r>
      <w:r w:rsidR="009D1839" w:rsidRPr="007A4588">
        <w:rPr>
          <w:rFonts w:ascii="Arial" w:hAnsi="Arial" w:cs="Arial"/>
          <w:color w:val="000000" w:themeColor="text1"/>
          <w:sz w:val="22"/>
          <w:szCs w:val="22"/>
        </w:rPr>
        <w:t>advised on the Panel's website</w:t>
      </w:r>
      <w:r w:rsidR="00EE6806" w:rsidRPr="007A4588">
        <w:rPr>
          <w:rFonts w:ascii="Arial" w:hAnsi="Arial" w:cs="Arial"/>
          <w:color w:val="000000" w:themeColor="text1"/>
          <w:sz w:val="22"/>
          <w:szCs w:val="22"/>
        </w:rPr>
        <w:t>.</w:t>
      </w:r>
    </w:p>
    <w:p w:rsidR="00CE13E3" w:rsidRPr="007328A6" w:rsidRDefault="00CE13E3" w:rsidP="00466679">
      <w:pPr>
        <w:pStyle w:val="ListParagraph"/>
        <w:ind w:left="360"/>
        <w:rPr>
          <w:rFonts w:ascii="Arial" w:hAnsi="Arial" w:cs="Arial"/>
          <w:color w:val="000000" w:themeColor="text1"/>
          <w:sz w:val="22"/>
          <w:szCs w:val="22"/>
        </w:rPr>
      </w:pPr>
    </w:p>
    <w:p w:rsidR="00466679" w:rsidRPr="007A4588" w:rsidRDefault="00466679" w:rsidP="007A4588">
      <w:pPr>
        <w:rPr>
          <w:rFonts w:ascii="Arial" w:hAnsi="Arial" w:cs="Arial"/>
          <w:color w:val="000000" w:themeColor="text1"/>
          <w:sz w:val="22"/>
          <w:szCs w:val="22"/>
        </w:rPr>
      </w:pPr>
      <w:r w:rsidRPr="007A4588">
        <w:rPr>
          <w:rFonts w:ascii="Arial" w:hAnsi="Arial" w:cs="Arial"/>
          <w:color w:val="000000" w:themeColor="text1"/>
          <w:sz w:val="22"/>
          <w:szCs w:val="22"/>
        </w:rPr>
        <w:t>Having considered all written and verbal submission</w:t>
      </w:r>
      <w:r w:rsidR="0068543A">
        <w:rPr>
          <w:rFonts w:ascii="Arial" w:hAnsi="Arial" w:cs="Arial"/>
          <w:color w:val="000000" w:themeColor="text1"/>
          <w:sz w:val="22"/>
          <w:szCs w:val="22"/>
        </w:rPr>
        <w:t>s</w:t>
      </w:r>
      <w:r w:rsidRPr="007A4588">
        <w:rPr>
          <w:rFonts w:ascii="Arial" w:hAnsi="Arial" w:cs="Arial"/>
          <w:color w:val="000000" w:themeColor="text1"/>
          <w:sz w:val="22"/>
          <w:szCs w:val="22"/>
        </w:rPr>
        <w:t>, t</w:t>
      </w:r>
      <w:r w:rsidR="00CE13E3" w:rsidRPr="007A4588">
        <w:rPr>
          <w:rFonts w:ascii="Arial" w:hAnsi="Arial" w:cs="Arial"/>
          <w:color w:val="000000" w:themeColor="text1"/>
          <w:sz w:val="22"/>
          <w:szCs w:val="22"/>
        </w:rPr>
        <w:t xml:space="preserve">he Panel will then </w:t>
      </w:r>
      <w:r w:rsidRPr="007A4588">
        <w:rPr>
          <w:rFonts w:ascii="Arial" w:hAnsi="Arial" w:cs="Arial"/>
          <w:color w:val="000000" w:themeColor="text1"/>
          <w:sz w:val="22"/>
          <w:szCs w:val="22"/>
        </w:rPr>
        <w:t>deliver its final report and price direction to</w:t>
      </w:r>
      <w:r w:rsidR="00AB1E19">
        <w:rPr>
          <w:rFonts w:ascii="Arial" w:hAnsi="Arial" w:cs="Arial"/>
          <w:color w:val="000000" w:themeColor="text1"/>
          <w:sz w:val="22"/>
          <w:szCs w:val="22"/>
        </w:rPr>
        <w:t xml:space="preserve"> the ACT Treasurer, who is </w:t>
      </w:r>
      <w:r w:rsidRPr="007A4588">
        <w:rPr>
          <w:rFonts w:ascii="Arial" w:hAnsi="Arial" w:cs="Arial"/>
          <w:color w:val="000000" w:themeColor="text1"/>
          <w:sz w:val="22"/>
          <w:szCs w:val="22"/>
        </w:rPr>
        <w:t>responsible for providing the report to the ACT Legislative Assembly.</w:t>
      </w:r>
    </w:p>
    <w:p w:rsidR="00312E33" w:rsidRPr="007328A6" w:rsidRDefault="00312E33" w:rsidP="00312E33">
      <w:pPr>
        <w:pStyle w:val="ListParagraph"/>
        <w:rPr>
          <w:rFonts w:ascii="Arial" w:hAnsi="Arial" w:cs="Arial"/>
          <w:color w:val="000000" w:themeColor="text1"/>
          <w:sz w:val="22"/>
          <w:szCs w:val="22"/>
        </w:rPr>
      </w:pPr>
    </w:p>
    <w:p w:rsidR="00312E33" w:rsidRPr="007A4588" w:rsidRDefault="00EE6806" w:rsidP="007A4588">
      <w:pPr>
        <w:rPr>
          <w:rFonts w:ascii="Arial" w:hAnsi="Arial" w:cs="Arial"/>
          <w:color w:val="000000" w:themeColor="text1"/>
          <w:sz w:val="22"/>
          <w:szCs w:val="22"/>
        </w:rPr>
      </w:pPr>
      <w:r w:rsidRPr="007A4588">
        <w:rPr>
          <w:rFonts w:ascii="Arial" w:hAnsi="Arial" w:cs="Arial"/>
          <w:color w:val="000000" w:themeColor="text1"/>
          <w:sz w:val="22"/>
          <w:szCs w:val="22"/>
        </w:rPr>
        <w:t>The timing for the delivery of</w:t>
      </w:r>
      <w:r w:rsidR="00312E33" w:rsidRPr="007A4588">
        <w:rPr>
          <w:rFonts w:ascii="Arial" w:hAnsi="Arial" w:cs="Arial"/>
          <w:color w:val="000000" w:themeColor="text1"/>
          <w:sz w:val="22"/>
          <w:szCs w:val="22"/>
        </w:rPr>
        <w:t xml:space="preserve"> the final report will depend on the nature of the submissions received, and the extent to which any further analysis is required. </w:t>
      </w:r>
    </w:p>
    <w:p w:rsidR="00EE6806" w:rsidRPr="007328A6" w:rsidRDefault="00EE6806" w:rsidP="00EE6806">
      <w:pPr>
        <w:pStyle w:val="ListParagraph"/>
        <w:rPr>
          <w:rFonts w:ascii="Arial" w:hAnsi="Arial" w:cs="Arial"/>
          <w:color w:val="000000" w:themeColor="text1"/>
          <w:sz w:val="22"/>
          <w:szCs w:val="22"/>
        </w:rPr>
      </w:pPr>
    </w:p>
    <w:p w:rsidR="00EE6806" w:rsidRDefault="00EE6806" w:rsidP="00EE6806">
      <w:pPr>
        <w:rPr>
          <w:rFonts w:ascii="Arial" w:hAnsi="Arial" w:cs="Arial"/>
          <w:sz w:val="22"/>
          <w:szCs w:val="22"/>
        </w:rPr>
      </w:pPr>
      <w:r w:rsidRPr="007328A6">
        <w:rPr>
          <w:rFonts w:ascii="Arial" w:hAnsi="Arial" w:cs="Arial"/>
          <w:sz w:val="22"/>
          <w:szCs w:val="22"/>
        </w:rPr>
        <w:t>Written submissions should be addressed to:</w:t>
      </w:r>
    </w:p>
    <w:p w:rsidR="00AB1E19" w:rsidRPr="007328A6" w:rsidRDefault="00AB1E19" w:rsidP="00EE6806">
      <w:pP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962"/>
      </w:tblGrid>
      <w:tr w:rsidR="00EE6806" w:rsidRPr="007328A6" w:rsidTr="00AB1E19">
        <w:trPr>
          <w:jc w:val="center"/>
        </w:trPr>
        <w:tc>
          <w:tcPr>
            <w:tcW w:w="2376" w:type="dxa"/>
          </w:tcPr>
          <w:p w:rsidR="00EE6806" w:rsidRPr="007328A6" w:rsidRDefault="00EE6806" w:rsidP="004759F0">
            <w:pPr>
              <w:keepNext/>
              <w:keepLines/>
              <w:rPr>
                <w:rFonts w:ascii="Arial" w:hAnsi="Arial" w:cs="Arial"/>
                <w:sz w:val="22"/>
                <w:szCs w:val="22"/>
              </w:rPr>
            </w:pPr>
            <w:r w:rsidRPr="007328A6">
              <w:rPr>
                <w:rFonts w:ascii="Arial" w:hAnsi="Arial" w:cs="Arial"/>
                <w:sz w:val="22"/>
                <w:szCs w:val="22"/>
              </w:rPr>
              <w:t>By email (preferred):</w:t>
            </w:r>
          </w:p>
        </w:tc>
        <w:tc>
          <w:tcPr>
            <w:tcW w:w="2962" w:type="dxa"/>
          </w:tcPr>
          <w:p w:rsidR="00EE6806" w:rsidRPr="007328A6" w:rsidRDefault="00053963" w:rsidP="004759F0">
            <w:pPr>
              <w:keepNext/>
              <w:keepLines/>
              <w:rPr>
                <w:rFonts w:ascii="Arial" w:hAnsi="Arial" w:cs="Arial"/>
                <w:sz w:val="22"/>
                <w:szCs w:val="22"/>
                <w:lang w:val="en-AU"/>
              </w:rPr>
            </w:pPr>
            <w:hyperlink r:id="rId9" w:history="1">
              <w:r w:rsidR="00EE6806" w:rsidRPr="007328A6">
                <w:rPr>
                  <w:rStyle w:val="Hyperlink"/>
                  <w:rFonts w:ascii="Arial" w:hAnsi="Arial" w:cs="Arial"/>
                  <w:b/>
                  <w:sz w:val="22"/>
                  <w:szCs w:val="22"/>
                  <w:lang w:val="en-AU"/>
                </w:rPr>
                <w:t>industrypanel@act.gov.au</w:t>
              </w:r>
            </w:hyperlink>
          </w:p>
        </w:tc>
      </w:tr>
      <w:tr w:rsidR="00EE6806" w:rsidRPr="007328A6" w:rsidTr="00AB1E19">
        <w:trPr>
          <w:jc w:val="center"/>
        </w:trPr>
        <w:tc>
          <w:tcPr>
            <w:tcW w:w="2376" w:type="dxa"/>
          </w:tcPr>
          <w:p w:rsidR="00EE6806" w:rsidRPr="007328A6" w:rsidRDefault="00EE6806" w:rsidP="004759F0">
            <w:pPr>
              <w:keepNext/>
              <w:keepLines/>
              <w:rPr>
                <w:rFonts w:ascii="Arial" w:hAnsi="Arial" w:cs="Arial"/>
                <w:sz w:val="22"/>
                <w:szCs w:val="22"/>
              </w:rPr>
            </w:pPr>
            <w:r w:rsidRPr="007328A6">
              <w:rPr>
                <w:rFonts w:ascii="Arial" w:hAnsi="Arial" w:cs="Arial"/>
                <w:sz w:val="22"/>
                <w:szCs w:val="22"/>
              </w:rPr>
              <w:t>By post:</w:t>
            </w:r>
          </w:p>
        </w:tc>
        <w:tc>
          <w:tcPr>
            <w:tcW w:w="2962" w:type="dxa"/>
          </w:tcPr>
          <w:p w:rsidR="00EE6806" w:rsidRPr="007328A6" w:rsidRDefault="00EE6806" w:rsidP="004759F0">
            <w:pPr>
              <w:pStyle w:val="Equation"/>
              <w:keepNext/>
              <w:keepLines/>
              <w:ind w:left="0"/>
              <w:jc w:val="left"/>
              <w:rPr>
                <w:rFonts w:ascii="Arial" w:hAnsi="Arial" w:cs="Arial"/>
                <w:b/>
                <w:sz w:val="22"/>
                <w:szCs w:val="22"/>
                <w:lang w:val="en-AU"/>
              </w:rPr>
            </w:pPr>
            <w:r w:rsidRPr="007328A6">
              <w:rPr>
                <w:rFonts w:ascii="Arial" w:hAnsi="Arial" w:cs="Arial"/>
                <w:b/>
                <w:sz w:val="22"/>
                <w:szCs w:val="22"/>
                <w:lang w:val="en-AU"/>
              </w:rPr>
              <w:t>Industry Panel</w:t>
            </w:r>
            <w:r w:rsidRPr="007328A6">
              <w:rPr>
                <w:rFonts w:ascii="Arial" w:hAnsi="Arial" w:cs="Arial"/>
                <w:b/>
                <w:sz w:val="22"/>
                <w:szCs w:val="22"/>
                <w:lang w:val="en-AU"/>
              </w:rPr>
              <w:br/>
              <w:t>GPO Box 158</w:t>
            </w:r>
            <w:r w:rsidRPr="007328A6">
              <w:rPr>
                <w:rFonts w:ascii="Arial" w:hAnsi="Arial" w:cs="Arial"/>
                <w:b/>
                <w:sz w:val="22"/>
                <w:szCs w:val="22"/>
                <w:lang w:val="en-AU"/>
              </w:rPr>
              <w:br/>
            </w:r>
            <w:r w:rsidRPr="007328A6">
              <w:rPr>
                <w:rFonts w:ascii="Arial" w:hAnsi="Arial" w:cs="Arial"/>
                <w:b/>
                <w:sz w:val="22"/>
                <w:szCs w:val="22"/>
              </w:rPr>
              <w:t>Canberra ACT 2601</w:t>
            </w:r>
          </w:p>
        </w:tc>
      </w:tr>
      <w:tr w:rsidR="00EE6806" w:rsidRPr="007328A6" w:rsidTr="00AB1E19">
        <w:trPr>
          <w:jc w:val="center"/>
        </w:trPr>
        <w:tc>
          <w:tcPr>
            <w:tcW w:w="2376" w:type="dxa"/>
          </w:tcPr>
          <w:p w:rsidR="00EE6806" w:rsidRPr="007328A6" w:rsidRDefault="00EE6806" w:rsidP="004759F0">
            <w:pPr>
              <w:keepNext/>
              <w:keepLines/>
              <w:rPr>
                <w:rFonts w:ascii="Arial" w:hAnsi="Arial" w:cs="Arial"/>
                <w:sz w:val="22"/>
                <w:szCs w:val="22"/>
              </w:rPr>
            </w:pPr>
            <w:r w:rsidRPr="007328A6">
              <w:rPr>
                <w:rFonts w:ascii="Arial" w:hAnsi="Arial" w:cs="Arial"/>
                <w:sz w:val="22"/>
                <w:szCs w:val="22"/>
              </w:rPr>
              <w:t>By fax:</w:t>
            </w:r>
          </w:p>
        </w:tc>
        <w:tc>
          <w:tcPr>
            <w:tcW w:w="2962" w:type="dxa"/>
          </w:tcPr>
          <w:p w:rsidR="00EE6806" w:rsidRPr="007328A6" w:rsidRDefault="00EE6806" w:rsidP="004759F0">
            <w:pPr>
              <w:keepNext/>
              <w:keepLines/>
              <w:rPr>
                <w:rFonts w:ascii="Arial" w:hAnsi="Arial" w:cs="Arial"/>
                <w:sz w:val="22"/>
                <w:szCs w:val="22"/>
              </w:rPr>
            </w:pPr>
            <w:r w:rsidRPr="007328A6">
              <w:rPr>
                <w:rFonts w:ascii="Arial" w:hAnsi="Arial" w:cs="Arial"/>
                <w:b/>
                <w:sz w:val="22"/>
                <w:szCs w:val="22"/>
                <w:lang w:val="en-AU"/>
              </w:rPr>
              <w:t>(02) 6207 0267</w:t>
            </w:r>
          </w:p>
        </w:tc>
      </w:tr>
    </w:tbl>
    <w:p w:rsidR="00C43448" w:rsidRDefault="00C43448" w:rsidP="004A3C60">
      <w:pPr>
        <w:tabs>
          <w:tab w:val="left" w:pos="1267"/>
        </w:tabs>
        <w:rPr>
          <w:rFonts w:ascii="Arial" w:eastAsia="Times New Roman" w:hAnsi="Arial" w:cs="Arial"/>
          <w:color w:val="000000" w:themeColor="text1"/>
          <w:sz w:val="22"/>
          <w:szCs w:val="22"/>
        </w:rPr>
      </w:pPr>
    </w:p>
    <w:p w:rsidR="00312E33" w:rsidRPr="007328A6" w:rsidRDefault="00312E33" w:rsidP="00510A87">
      <w:pPr>
        <w:tabs>
          <w:tab w:val="left" w:pos="1267"/>
        </w:tabs>
        <w:rPr>
          <w:rFonts w:ascii="Arial" w:eastAsia="Times New Roman" w:hAnsi="Arial" w:cs="Arial"/>
          <w:color w:val="000000" w:themeColor="text1"/>
          <w:sz w:val="22"/>
          <w:szCs w:val="22"/>
        </w:rPr>
      </w:pPr>
    </w:p>
    <w:sectPr w:rsidR="00312E33" w:rsidRPr="007328A6" w:rsidSect="005C3AC8">
      <w:headerReference w:type="default" r:id="rId10"/>
      <w:footerReference w:type="even" r:id="rId11"/>
      <w:footerReference w:type="default" r:id="rId12"/>
      <w:pgSz w:w="11900" w:h="16840"/>
      <w:pgMar w:top="1276" w:right="2119" w:bottom="1134" w:left="184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09" w:rsidRDefault="00AC2609" w:rsidP="00AE16F0">
      <w:r>
        <w:separator/>
      </w:r>
    </w:p>
  </w:endnote>
  <w:endnote w:type="continuationSeparator" w:id="0">
    <w:p w:rsidR="00AC2609" w:rsidRDefault="00AC2609" w:rsidP="00A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D6" w:rsidRDefault="0009185C" w:rsidP="004F0BFD">
    <w:pPr>
      <w:pStyle w:val="Footer"/>
      <w:framePr w:wrap="around" w:vAnchor="text" w:hAnchor="margin" w:xAlign="right" w:y="1"/>
      <w:rPr>
        <w:rStyle w:val="PageNumber"/>
      </w:rPr>
    </w:pPr>
    <w:r>
      <w:rPr>
        <w:rStyle w:val="PageNumber"/>
      </w:rPr>
      <w:fldChar w:fldCharType="begin"/>
    </w:r>
    <w:r w:rsidR="001638D6">
      <w:rPr>
        <w:rStyle w:val="PageNumber"/>
      </w:rPr>
      <w:instrText xml:space="preserve">PAGE  </w:instrText>
    </w:r>
    <w:r>
      <w:rPr>
        <w:rStyle w:val="PageNumber"/>
      </w:rPr>
      <w:fldChar w:fldCharType="end"/>
    </w:r>
  </w:p>
  <w:p w:rsidR="001638D6" w:rsidRDefault="001638D6" w:rsidP="00AE16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D6" w:rsidRDefault="0009185C" w:rsidP="004F0BFD">
    <w:pPr>
      <w:pStyle w:val="Footer"/>
      <w:framePr w:wrap="around" w:vAnchor="text" w:hAnchor="margin" w:xAlign="right" w:y="1"/>
      <w:rPr>
        <w:rStyle w:val="PageNumber"/>
      </w:rPr>
    </w:pPr>
    <w:r>
      <w:rPr>
        <w:rStyle w:val="PageNumber"/>
      </w:rPr>
      <w:fldChar w:fldCharType="begin"/>
    </w:r>
    <w:r w:rsidR="001638D6">
      <w:rPr>
        <w:rStyle w:val="PageNumber"/>
      </w:rPr>
      <w:instrText xml:space="preserve">PAGE  </w:instrText>
    </w:r>
    <w:r>
      <w:rPr>
        <w:rStyle w:val="PageNumber"/>
      </w:rPr>
      <w:fldChar w:fldCharType="separate"/>
    </w:r>
    <w:r w:rsidR="00053963">
      <w:rPr>
        <w:rStyle w:val="PageNumber"/>
        <w:noProof/>
      </w:rPr>
      <w:t>1</w:t>
    </w:r>
    <w:r>
      <w:rPr>
        <w:rStyle w:val="PageNumber"/>
      </w:rPr>
      <w:fldChar w:fldCharType="end"/>
    </w:r>
  </w:p>
  <w:p w:rsidR="001638D6" w:rsidRDefault="001638D6" w:rsidP="00AE16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09" w:rsidRDefault="00AC2609" w:rsidP="00AE16F0">
      <w:r>
        <w:separator/>
      </w:r>
    </w:p>
  </w:footnote>
  <w:footnote w:type="continuationSeparator" w:id="0">
    <w:p w:rsidR="00AC2609" w:rsidRDefault="00AC2609" w:rsidP="00AE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D6" w:rsidRPr="00AE16F0" w:rsidRDefault="007772F9">
    <w:pPr>
      <w:pStyle w:val="Header"/>
      <w:rPr>
        <w:rFonts w:asciiTheme="majorHAnsi" w:hAnsiTheme="majorHAnsi"/>
        <w:sz w:val="20"/>
        <w:szCs w:val="20"/>
      </w:rPr>
    </w:pPr>
    <w:r>
      <w:rPr>
        <w:rFonts w:asciiTheme="majorHAnsi" w:hAnsiTheme="majorHAnsi"/>
        <w:sz w:val="20"/>
        <w:szCs w:val="20"/>
      </w:rPr>
      <w:t xml:space="preserve">Industry Panel’s Draft Report – Factsheet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F2E2F6"/>
    <w:lvl w:ilvl="0">
      <w:start w:val="1"/>
      <w:numFmt w:val="bullet"/>
      <w:pStyle w:val="ListBullet"/>
      <w:lvlText w:val=""/>
      <w:lvlJc w:val="left"/>
      <w:pPr>
        <w:tabs>
          <w:tab w:val="num" w:pos="360"/>
        </w:tabs>
        <w:ind w:left="360" w:hanging="360"/>
      </w:pPr>
      <w:rPr>
        <w:rFonts w:ascii="Wingdings" w:hAnsi="Wingdings" w:hint="default"/>
        <w:color w:val="auto"/>
      </w:rPr>
    </w:lvl>
  </w:abstractNum>
  <w:abstractNum w:abstractNumId="1">
    <w:nsid w:val="08C52264"/>
    <w:multiLevelType w:val="hybridMultilevel"/>
    <w:tmpl w:val="3D381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2419BB"/>
    <w:multiLevelType w:val="hybridMultilevel"/>
    <w:tmpl w:val="9B6CE59A"/>
    <w:lvl w:ilvl="0" w:tplc="CC4891EE">
      <w:start w:val="1"/>
      <w:numFmt w:val="bullet"/>
      <w:lvlText w:val="•"/>
      <w:lvlJc w:val="left"/>
      <w:pPr>
        <w:tabs>
          <w:tab w:val="num" w:pos="720"/>
        </w:tabs>
        <w:ind w:left="720" w:hanging="360"/>
      </w:pPr>
      <w:rPr>
        <w:rFonts w:ascii="Arial" w:hAnsi="Arial" w:hint="default"/>
      </w:rPr>
    </w:lvl>
    <w:lvl w:ilvl="1" w:tplc="DF649B80" w:tentative="1">
      <w:start w:val="1"/>
      <w:numFmt w:val="bullet"/>
      <w:lvlText w:val="•"/>
      <w:lvlJc w:val="left"/>
      <w:pPr>
        <w:tabs>
          <w:tab w:val="num" w:pos="1440"/>
        </w:tabs>
        <w:ind w:left="1440" w:hanging="360"/>
      </w:pPr>
      <w:rPr>
        <w:rFonts w:ascii="Arial" w:hAnsi="Arial" w:hint="default"/>
      </w:rPr>
    </w:lvl>
    <w:lvl w:ilvl="2" w:tplc="1C74E10E" w:tentative="1">
      <w:start w:val="1"/>
      <w:numFmt w:val="bullet"/>
      <w:lvlText w:val="•"/>
      <w:lvlJc w:val="left"/>
      <w:pPr>
        <w:tabs>
          <w:tab w:val="num" w:pos="2160"/>
        </w:tabs>
        <w:ind w:left="2160" w:hanging="360"/>
      </w:pPr>
      <w:rPr>
        <w:rFonts w:ascii="Arial" w:hAnsi="Arial" w:hint="default"/>
      </w:rPr>
    </w:lvl>
    <w:lvl w:ilvl="3" w:tplc="62FE0BAC" w:tentative="1">
      <w:start w:val="1"/>
      <w:numFmt w:val="bullet"/>
      <w:lvlText w:val="•"/>
      <w:lvlJc w:val="left"/>
      <w:pPr>
        <w:tabs>
          <w:tab w:val="num" w:pos="2880"/>
        </w:tabs>
        <w:ind w:left="2880" w:hanging="360"/>
      </w:pPr>
      <w:rPr>
        <w:rFonts w:ascii="Arial" w:hAnsi="Arial" w:hint="default"/>
      </w:rPr>
    </w:lvl>
    <w:lvl w:ilvl="4" w:tplc="2A021968" w:tentative="1">
      <w:start w:val="1"/>
      <w:numFmt w:val="bullet"/>
      <w:lvlText w:val="•"/>
      <w:lvlJc w:val="left"/>
      <w:pPr>
        <w:tabs>
          <w:tab w:val="num" w:pos="3600"/>
        </w:tabs>
        <w:ind w:left="3600" w:hanging="360"/>
      </w:pPr>
      <w:rPr>
        <w:rFonts w:ascii="Arial" w:hAnsi="Arial" w:hint="default"/>
      </w:rPr>
    </w:lvl>
    <w:lvl w:ilvl="5" w:tplc="0504E77C" w:tentative="1">
      <w:start w:val="1"/>
      <w:numFmt w:val="bullet"/>
      <w:lvlText w:val="•"/>
      <w:lvlJc w:val="left"/>
      <w:pPr>
        <w:tabs>
          <w:tab w:val="num" w:pos="4320"/>
        </w:tabs>
        <w:ind w:left="4320" w:hanging="360"/>
      </w:pPr>
      <w:rPr>
        <w:rFonts w:ascii="Arial" w:hAnsi="Arial" w:hint="default"/>
      </w:rPr>
    </w:lvl>
    <w:lvl w:ilvl="6" w:tplc="35CA03D4" w:tentative="1">
      <w:start w:val="1"/>
      <w:numFmt w:val="bullet"/>
      <w:lvlText w:val="•"/>
      <w:lvlJc w:val="left"/>
      <w:pPr>
        <w:tabs>
          <w:tab w:val="num" w:pos="5040"/>
        </w:tabs>
        <w:ind w:left="5040" w:hanging="360"/>
      </w:pPr>
      <w:rPr>
        <w:rFonts w:ascii="Arial" w:hAnsi="Arial" w:hint="default"/>
      </w:rPr>
    </w:lvl>
    <w:lvl w:ilvl="7" w:tplc="580C4736" w:tentative="1">
      <w:start w:val="1"/>
      <w:numFmt w:val="bullet"/>
      <w:lvlText w:val="•"/>
      <w:lvlJc w:val="left"/>
      <w:pPr>
        <w:tabs>
          <w:tab w:val="num" w:pos="5760"/>
        </w:tabs>
        <w:ind w:left="5760" w:hanging="360"/>
      </w:pPr>
      <w:rPr>
        <w:rFonts w:ascii="Arial" w:hAnsi="Arial" w:hint="default"/>
      </w:rPr>
    </w:lvl>
    <w:lvl w:ilvl="8" w:tplc="5C0462BE" w:tentative="1">
      <w:start w:val="1"/>
      <w:numFmt w:val="bullet"/>
      <w:lvlText w:val="•"/>
      <w:lvlJc w:val="left"/>
      <w:pPr>
        <w:tabs>
          <w:tab w:val="num" w:pos="6480"/>
        </w:tabs>
        <w:ind w:left="6480" w:hanging="360"/>
      </w:pPr>
      <w:rPr>
        <w:rFonts w:ascii="Arial" w:hAnsi="Arial" w:hint="default"/>
      </w:rPr>
    </w:lvl>
  </w:abstractNum>
  <w:abstractNum w:abstractNumId="3">
    <w:nsid w:val="12835618"/>
    <w:multiLevelType w:val="hybridMultilevel"/>
    <w:tmpl w:val="373ED718"/>
    <w:lvl w:ilvl="0" w:tplc="52A4BE00">
      <w:start w:val="1"/>
      <w:numFmt w:val="bullet"/>
      <w:lvlText w:val="•"/>
      <w:lvlJc w:val="left"/>
      <w:pPr>
        <w:tabs>
          <w:tab w:val="num" w:pos="720"/>
        </w:tabs>
        <w:ind w:left="720" w:hanging="360"/>
      </w:pPr>
      <w:rPr>
        <w:rFonts w:ascii="Arial" w:hAnsi="Arial" w:hint="default"/>
      </w:rPr>
    </w:lvl>
    <w:lvl w:ilvl="1" w:tplc="7DD03772" w:tentative="1">
      <w:start w:val="1"/>
      <w:numFmt w:val="bullet"/>
      <w:lvlText w:val="•"/>
      <w:lvlJc w:val="left"/>
      <w:pPr>
        <w:tabs>
          <w:tab w:val="num" w:pos="1440"/>
        </w:tabs>
        <w:ind w:left="1440" w:hanging="360"/>
      </w:pPr>
      <w:rPr>
        <w:rFonts w:ascii="Arial" w:hAnsi="Arial" w:hint="default"/>
      </w:rPr>
    </w:lvl>
    <w:lvl w:ilvl="2" w:tplc="6896B8D8" w:tentative="1">
      <w:start w:val="1"/>
      <w:numFmt w:val="bullet"/>
      <w:lvlText w:val="•"/>
      <w:lvlJc w:val="left"/>
      <w:pPr>
        <w:tabs>
          <w:tab w:val="num" w:pos="2160"/>
        </w:tabs>
        <w:ind w:left="2160" w:hanging="360"/>
      </w:pPr>
      <w:rPr>
        <w:rFonts w:ascii="Arial" w:hAnsi="Arial" w:hint="default"/>
      </w:rPr>
    </w:lvl>
    <w:lvl w:ilvl="3" w:tplc="DDDE0ED4" w:tentative="1">
      <w:start w:val="1"/>
      <w:numFmt w:val="bullet"/>
      <w:lvlText w:val="•"/>
      <w:lvlJc w:val="left"/>
      <w:pPr>
        <w:tabs>
          <w:tab w:val="num" w:pos="2880"/>
        </w:tabs>
        <w:ind w:left="2880" w:hanging="360"/>
      </w:pPr>
      <w:rPr>
        <w:rFonts w:ascii="Arial" w:hAnsi="Arial" w:hint="default"/>
      </w:rPr>
    </w:lvl>
    <w:lvl w:ilvl="4" w:tplc="441EAE1A" w:tentative="1">
      <w:start w:val="1"/>
      <w:numFmt w:val="bullet"/>
      <w:lvlText w:val="•"/>
      <w:lvlJc w:val="left"/>
      <w:pPr>
        <w:tabs>
          <w:tab w:val="num" w:pos="3600"/>
        </w:tabs>
        <w:ind w:left="3600" w:hanging="360"/>
      </w:pPr>
      <w:rPr>
        <w:rFonts w:ascii="Arial" w:hAnsi="Arial" w:hint="default"/>
      </w:rPr>
    </w:lvl>
    <w:lvl w:ilvl="5" w:tplc="C5747244" w:tentative="1">
      <w:start w:val="1"/>
      <w:numFmt w:val="bullet"/>
      <w:lvlText w:val="•"/>
      <w:lvlJc w:val="left"/>
      <w:pPr>
        <w:tabs>
          <w:tab w:val="num" w:pos="4320"/>
        </w:tabs>
        <w:ind w:left="4320" w:hanging="360"/>
      </w:pPr>
      <w:rPr>
        <w:rFonts w:ascii="Arial" w:hAnsi="Arial" w:hint="default"/>
      </w:rPr>
    </w:lvl>
    <w:lvl w:ilvl="6" w:tplc="FF1A4A06" w:tentative="1">
      <w:start w:val="1"/>
      <w:numFmt w:val="bullet"/>
      <w:lvlText w:val="•"/>
      <w:lvlJc w:val="left"/>
      <w:pPr>
        <w:tabs>
          <w:tab w:val="num" w:pos="5040"/>
        </w:tabs>
        <w:ind w:left="5040" w:hanging="360"/>
      </w:pPr>
      <w:rPr>
        <w:rFonts w:ascii="Arial" w:hAnsi="Arial" w:hint="default"/>
      </w:rPr>
    </w:lvl>
    <w:lvl w:ilvl="7" w:tplc="22E0458C" w:tentative="1">
      <w:start w:val="1"/>
      <w:numFmt w:val="bullet"/>
      <w:lvlText w:val="•"/>
      <w:lvlJc w:val="left"/>
      <w:pPr>
        <w:tabs>
          <w:tab w:val="num" w:pos="5760"/>
        </w:tabs>
        <w:ind w:left="5760" w:hanging="360"/>
      </w:pPr>
      <w:rPr>
        <w:rFonts w:ascii="Arial" w:hAnsi="Arial" w:hint="default"/>
      </w:rPr>
    </w:lvl>
    <w:lvl w:ilvl="8" w:tplc="A1084070" w:tentative="1">
      <w:start w:val="1"/>
      <w:numFmt w:val="bullet"/>
      <w:lvlText w:val="•"/>
      <w:lvlJc w:val="left"/>
      <w:pPr>
        <w:tabs>
          <w:tab w:val="num" w:pos="6480"/>
        </w:tabs>
        <w:ind w:left="6480" w:hanging="360"/>
      </w:pPr>
      <w:rPr>
        <w:rFonts w:ascii="Arial" w:hAnsi="Arial" w:hint="default"/>
      </w:rPr>
    </w:lvl>
  </w:abstractNum>
  <w:abstractNum w:abstractNumId="4">
    <w:nsid w:val="1D713E13"/>
    <w:multiLevelType w:val="hybridMultilevel"/>
    <w:tmpl w:val="786AF76A"/>
    <w:lvl w:ilvl="0" w:tplc="3806BD86">
      <w:start w:val="2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713AB"/>
    <w:multiLevelType w:val="hybridMultilevel"/>
    <w:tmpl w:val="51A6D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B3C33D0"/>
    <w:multiLevelType w:val="hybridMultilevel"/>
    <w:tmpl w:val="A954A82E"/>
    <w:lvl w:ilvl="0" w:tplc="D9982A56">
      <w:numFmt w:val="bullet"/>
      <w:pStyle w:val="BulletLas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02649"/>
    <w:multiLevelType w:val="hybridMultilevel"/>
    <w:tmpl w:val="D7205DA8"/>
    <w:lvl w:ilvl="0" w:tplc="0C09000B">
      <w:start w:val="1"/>
      <w:numFmt w:val="bullet"/>
      <w:lvlText w:val=""/>
      <w:lvlJc w:val="left"/>
      <w:pPr>
        <w:ind w:left="644" w:hanging="360"/>
      </w:pPr>
      <w:rPr>
        <w:rFonts w:ascii="Wingdings" w:hAnsi="Wingdings"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4C385E"/>
    <w:multiLevelType w:val="hybridMultilevel"/>
    <w:tmpl w:val="6B68E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0E05530"/>
    <w:multiLevelType w:val="hybridMultilevel"/>
    <w:tmpl w:val="A3708D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90A2D0C"/>
    <w:multiLevelType w:val="multilevel"/>
    <w:tmpl w:val="DC24D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E482D52"/>
    <w:multiLevelType w:val="hybridMultilevel"/>
    <w:tmpl w:val="E37C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F53619"/>
    <w:multiLevelType w:val="hybridMultilevel"/>
    <w:tmpl w:val="5D6208D0"/>
    <w:lvl w:ilvl="0" w:tplc="5BA0A528">
      <w:start w:val="1"/>
      <w:numFmt w:val="decimal"/>
      <w:lvlText w:val="%1."/>
      <w:lvlJc w:val="left"/>
      <w:pPr>
        <w:tabs>
          <w:tab w:val="num" w:pos="720"/>
        </w:tabs>
        <w:ind w:left="720" w:hanging="360"/>
      </w:pPr>
    </w:lvl>
    <w:lvl w:ilvl="1" w:tplc="A2CC010E" w:tentative="1">
      <w:start w:val="1"/>
      <w:numFmt w:val="decimal"/>
      <w:lvlText w:val="%2."/>
      <w:lvlJc w:val="left"/>
      <w:pPr>
        <w:tabs>
          <w:tab w:val="num" w:pos="1440"/>
        </w:tabs>
        <w:ind w:left="1440" w:hanging="360"/>
      </w:pPr>
    </w:lvl>
    <w:lvl w:ilvl="2" w:tplc="CD6C53DE" w:tentative="1">
      <w:start w:val="1"/>
      <w:numFmt w:val="decimal"/>
      <w:lvlText w:val="%3."/>
      <w:lvlJc w:val="left"/>
      <w:pPr>
        <w:tabs>
          <w:tab w:val="num" w:pos="2160"/>
        </w:tabs>
        <w:ind w:left="2160" w:hanging="360"/>
      </w:pPr>
    </w:lvl>
    <w:lvl w:ilvl="3" w:tplc="C506F944" w:tentative="1">
      <w:start w:val="1"/>
      <w:numFmt w:val="decimal"/>
      <w:lvlText w:val="%4."/>
      <w:lvlJc w:val="left"/>
      <w:pPr>
        <w:tabs>
          <w:tab w:val="num" w:pos="2880"/>
        </w:tabs>
        <w:ind w:left="2880" w:hanging="360"/>
      </w:pPr>
    </w:lvl>
    <w:lvl w:ilvl="4" w:tplc="518855C0" w:tentative="1">
      <w:start w:val="1"/>
      <w:numFmt w:val="decimal"/>
      <w:lvlText w:val="%5."/>
      <w:lvlJc w:val="left"/>
      <w:pPr>
        <w:tabs>
          <w:tab w:val="num" w:pos="3600"/>
        </w:tabs>
        <w:ind w:left="3600" w:hanging="360"/>
      </w:pPr>
    </w:lvl>
    <w:lvl w:ilvl="5" w:tplc="2A7EA5E4" w:tentative="1">
      <w:start w:val="1"/>
      <w:numFmt w:val="decimal"/>
      <w:lvlText w:val="%6."/>
      <w:lvlJc w:val="left"/>
      <w:pPr>
        <w:tabs>
          <w:tab w:val="num" w:pos="4320"/>
        </w:tabs>
        <w:ind w:left="4320" w:hanging="360"/>
      </w:pPr>
    </w:lvl>
    <w:lvl w:ilvl="6" w:tplc="B872666E" w:tentative="1">
      <w:start w:val="1"/>
      <w:numFmt w:val="decimal"/>
      <w:lvlText w:val="%7."/>
      <w:lvlJc w:val="left"/>
      <w:pPr>
        <w:tabs>
          <w:tab w:val="num" w:pos="5040"/>
        </w:tabs>
        <w:ind w:left="5040" w:hanging="360"/>
      </w:pPr>
    </w:lvl>
    <w:lvl w:ilvl="7" w:tplc="F772770E" w:tentative="1">
      <w:start w:val="1"/>
      <w:numFmt w:val="decimal"/>
      <w:lvlText w:val="%8."/>
      <w:lvlJc w:val="left"/>
      <w:pPr>
        <w:tabs>
          <w:tab w:val="num" w:pos="5760"/>
        </w:tabs>
        <w:ind w:left="5760" w:hanging="360"/>
      </w:pPr>
    </w:lvl>
    <w:lvl w:ilvl="8" w:tplc="F3B28BBC" w:tentative="1">
      <w:start w:val="1"/>
      <w:numFmt w:val="decimal"/>
      <w:lvlText w:val="%9."/>
      <w:lvlJc w:val="left"/>
      <w:pPr>
        <w:tabs>
          <w:tab w:val="num" w:pos="6480"/>
        </w:tabs>
        <w:ind w:left="6480" w:hanging="360"/>
      </w:pPr>
    </w:lvl>
  </w:abstractNum>
  <w:abstractNum w:abstractNumId="13">
    <w:nsid w:val="62AB11EF"/>
    <w:multiLevelType w:val="hybridMultilevel"/>
    <w:tmpl w:val="C0E23F9E"/>
    <w:lvl w:ilvl="0" w:tplc="9064B3F0">
      <w:start w:val="1"/>
      <w:numFmt w:val="bullet"/>
      <w:pStyle w:val="Bullet1"/>
      <w:lvlText w:val=""/>
      <w:lvlJc w:val="left"/>
      <w:pPr>
        <w:ind w:left="360" w:hanging="360"/>
      </w:pPr>
      <w:rPr>
        <w:rFonts w:ascii="Symbol" w:hAnsi="Symbol" w:hint="default"/>
        <w:b w:val="0"/>
        <w:i w:val="0"/>
        <w:color w:val="auto"/>
        <w:sz w:val="22"/>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4">
    <w:nsid w:val="69DA285D"/>
    <w:multiLevelType w:val="hybridMultilevel"/>
    <w:tmpl w:val="3F26F0A4"/>
    <w:lvl w:ilvl="0" w:tplc="833E6AEE">
      <w:start w:val="1"/>
      <w:numFmt w:val="bullet"/>
      <w:lvlText w:val="•"/>
      <w:lvlJc w:val="left"/>
      <w:pPr>
        <w:tabs>
          <w:tab w:val="num" w:pos="720"/>
        </w:tabs>
        <w:ind w:left="720" w:hanging="360"/>
      </w:pPr>
      <w:rPr>
        <w:rFonts w:ascii="Arial" w:hAnsi="Arial" w:hint="default"/>
      </w:rPr>
    </w:lvl>
    <w:lvl w:ilvl="1" w:tplc="95789A02" w:tentative="1">
      <w:start w:val="1"/>
      <w:numFmt w:val="bullet"/>
      <w:lvlText w:val="•"/>
      <w:lvlJc w:val="left"/>
      <w:pPr>
        <w:tabs>
          <w:tab w:val="num" w:pos="1440"/>
        </w:tabs>
        <w:ind w:left="1440" w:hanging="360"/>
      </w:pPr>
      <w:rPr>
        <w:rFonts w:ascii="Arial" w:hAnsi="Arial" w:hint="default"/>
      </w:rPr>
    </w:lvl>
    <w:lvl w:ilvl="2" w:tplc="B20E3A6A" w:tentative="1">
      <w:start w:val="1"/>
      <w:numFmt w:val="bullet"/>
      <w:lvlText w:val="•"/>
      <w:lvlJc w:val="left"/>
      <w:pPr>
        <w:tabs>
          <w:tab w:val="num" w:pos="2160"/>
        </w:tabs>
        <w:ind w:left="2160" w:hanging="360"/>
      </w:pPr>
      <w:rPr>
        <w:rFonts w:ascii="Arial" w:hAnsi="Arial" w:hint="default"/>
      </w:rPr>
    </w:lvl>
    <w:lvl w:ilvl="3" w:tplc="5C1CF40E" w:tentative="1">
      <w:start w:val="1"/>
      <w:numFmt w:val="bullet"/>
      <w:lvlText w:val="•"/>
      <w:lvlJc w:val="left"/>
      <w:pPr>
        <w:tabs>
          <w:tab w:val="num" w:pos="2880"/>
        </w:tabs>
        <w:ind w:left="2880" w:hanging="360"/>
      </w:pPr>
      <w:rPr>
        <w:rFonts w:ascii="Arial" w:hAnsi="Arial" w:hint="default"/>
      </w:rPr>
    </w:lvl>
    <w:lvl w:ilvl="4" w:tplc="826022FA" w:tentative="1">
      <w:start w:val="1"/>
      <w:numFmt w:val="bullet"/>
      <w:lvlText w:val="•"/>
      <w:lvlJc w:val="left"/>
      <w:pPr>
        <w:tabs>
          <w:tab w:val="num" w:pos="3600"/>
        </w:tabs>
        <w:ind w:left="3600" w:hanging="360"/>
      </w:pPr>
      <w:rPr>
        <w:rFonts w:ascii="Arial" w:hAnsi="Arial" w:hint="default"/>
      </w:rPr>
    </w:lvl>
    <w:lvl w:ilvl="5" w:tplc="255A35EC" w:tentative="1">
      <w:start w:val="1"/>
      <w:numFmt w:val="bullet"/>
      <w:lvlText w:val="•"/>
      <w:lvlJc w:val="left"/>
      <w:pPr>
        <w:tabs>
          <w:tab w:val="num" w:pos="4320"/>
        </w:tabs>
        <w:ind w:left="4320" w:hanging="360"/>
      </w:pPr>
      <w:rPr>
        <w:rFonts w:ascii="Arial" w:hAnsi="Arial" w:hint="default"/>
      </w:rPr>
    </w:lvl>
    <w:lvl w:ilvl="6" w:tplc="0134889E" w:tentative="1">
      <w:start w:val="1"/>
      <w:numFmt w:val="bullet"/>
      <w:lvlText w:val="•"/>
      <w:lvlJc w:val="left"/>
      <w:pPr>
        <w:tabs>
          <w:tab w:val="num" w:pos="5040"/>
        </w:tabs>
        <w:ind w:left="5040" w:hanging="360"/>
      </w:pPr>
      <w:rPr>
        <w:rFonts w:ascii="Arial" w:hAnsi="Arial" w:hint="default"/>
      </w:rPr>
    </w:lvl>
    <w:lvl w:ilvl="7" w:tplc="79A63528" w:tentative="1">
      <w:start w:val="1"/>
      <w:numFmt w:val="bullet"/>
      <w:lvlText w:val="•"/>
      <w:lvlJc w:val="left"/>
      <w:pPr>
        <w:tabs>
          <w:tab w:val="num" w:pos="5760"/>
        </w:tabs>
        <w:ind w:left="5760" w:hanging="360"/>
      </w:pPr>
      <w:rPr>
        <w:rFonts w:ascii="Arial" w:hAnsi="Arial" w:hint="default"/>
      </w:rPr>
    </w:lvl>
    <w:lvl w:ilvl="8" w:tplc="B9D6C85E" w:tentative="1">
      <w:start w:val="1"/>
      <w:numFmt w:val="bullet"/>
      <w:lvlText w:val="•"/>
      <w:lvlJc w:val="left"/>
      <w:pPr>
        <w:tabs>
          <w:tab w:val="num" w:pos="6480"/>
        </w:tabs>
        <w:ind w:left="6480" w:hanging="360"/>
      </w:pPr>
      <w:rPr>
        <w:rFonts w:ascii="Arial" w:hAnsi="Arial" w:hint="default"/>
      </w:rPr>
    </w:lvl>
  </w:abstractNum>
  <w:abstractNum w:abstractNumId="15">
    <w:nsid w:val="6CC21D21"/>
    <w:multiLevelType w:val="hybridMultilevel"/>
    <w:tmpl w:val="E896629E"/>
    <w:lvl w:ilvl="0" w:tplc="0C09000F">
      <w:start w:val="1"/>
      <w:numFmt w:val="bullet"/>
      <w:pStyle w:val="Bullet2"/>
      <w:lvlText w:val="–"/>
      <w:lvlJc w:val="left"/>
      <w:pPr>
        <w:ind w:left="720" w:hanging="360"/>
      </w:pPr>
      <w:rPr>
        <w:rFonts w:ascii="Angsana New" w:hAnsi="Angsan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C91A1E"/>
    <w:multiLevelType w:val="hybridMultilevel"/>
    <w:tmpl w:val="52E0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670A59"/>
    <w:multiLevelType w:val="hybridMultilevel"/>
    <w:tmpl w:val="2D206EAA"/>
    <w:lvl w:ilvl="0" w:tplc="C8B2D4B8">
      <w:start w:val="1"/>
      <w:numFmt w:val="decimal"/>
      <w:lvlText w:val="%1."/>
      <w:lvlJc w:val="left"/>
      <w:pPr>
        <w:tabs>
          <w:tab w:val="num" w:pos="720"/>
        </w:tabs>
        <w:ind w:left="720" w:hanging="360"/>
      </w:pPr>
    </w:lvl>
    <w:lvl w:ilvl="1" w:tplc="52201628" w:tentative="1">
      <w:start w:val="1"/>
      <w:numFmt w:val="decimal"/>
      <w:lvlText w:val="%2."/>
      <w:lvlJc w:val="left"/>
      <w:pPr>
        <w:tabs>
          <w:tab w:val="num" w:pos="1440"/>
        </w:tabs>
        <w:ind w:left="1440" w:hanging="360"/>
      </w:pPr>
    </w:lvl>
    <w:lvl w:ilvl="2" w:tplc="6436069C" w:tentative="1">
      <w:start w:val="1"/>
      <w:numFmt w:val="decimal"/>
      <w:lvlText w:val="%3."/>
      <w:lvlJc w:val="left"/>
      <w:pPr>
        <w:tabs>
          <w:tab w:val="num" w:pos="2160"/>
        </w:tabs>
        <w:ind w:left="2160" w:hanging="360"/>
      </w:pPr>
    </w:lvl>
    <w:lvl w:ilvl="3" w:tplc="F8B49946" w:tentative="1">
      <w:start w:val="1"/>
      <w:numFmt w:val="decimal"/>
      <w:lvlText w:val="%4."/>
      <w:lvlJc w:val="left"/>
      <w:pPr>
        <w:tabs>
          <w:tab w:val="num" w:pos="2880"/>
        </w:tabs>
        <w:ind w:left="2880" w:hanging="360"/>
      </w:pPr>
    </w:lvl>
    <w:lvl w:ilvl="4" w:tplc="AEBAC358" w:tentative="1">
      <w:start w:val="1"/>
      <w:numFmt w:val="decimal"/>
      <w:lvlText w:val="%5."/>
      <w:lvlJc w:val="left"/>
      <w:pPr>
        <w:tabs>
          <w:tab w:val="num" w:pos="3600"/>
        </w:tabs>
        <w:ind w:left="3600" w:hanging="360"/>
      </w:pPr>
    </w:lvl>
    <w:lvl w:ilvl="5" w:tplc="BDA4C32C" w:tentative="1">
      <w:start w:val="1"/>
      <w:numFmt w:val="decimal"/>
      <w:lvlText w:val="%6."/>
      <w:lvlJc w:val="left"/>
      <w:pPr>
        <w:tabs>
          <w:tab w:val="num" w:pos="4320"/>
        </w:tabs>
        <w:ind w:left="4320" w:hanging="360"/>
      </w:pPr>
    </w:lvl>
    <w:lvl w:ilvl="6" w:tplc="0C706CAC" w:tentative="1">
      <w:start w:val="1"/>
      <w:numFmt w:val="decimal"/>
      <w:lvlText w:val="%7."/>
      <w:lvlJc w:val="left"/>
      <w:pPr>
        <w:tabs>
          <w:tab w:val="num" w:pos="5040"/>
        </w:tabs>
        <w:ind w:left="5040" w:hanging="360"/>
      </w:pPr>
    </w:lvl>
    <w:lvl w:ilvl="7" w:tplc="86B8AADE" w:tentative="1">
      <w:start w:val="1"/>
      <w:numFmt w:val="decimal"/>
      <w:lvlText w:val="%8."/>
      <w:lvlJc w:val="left"/>
      <w:pPr>
        <w:tabs>
          <w:tab w:val="num" w:pos="5760"/>
        </w:tabs>
        <w:ind w:left="5760" w:hanging="360"/>
      </w:pPr>
    </w:lvl>
    <w:lvl w:ilvl="8" w:tplc="B1048886" w:tentative="1">
      <w:start w:val="1"/>
      <w:numFmt w:val="decimal"/>
      <w:lvlText w:val="%9."/>
      <w:lvlJc w:val="left"/>
      <w:pPr>
        <w:tabs>
          <w:tab w:val="num" w:pos="6480"/>
        </w:tabs>
        <w:ind w:left="6480" w:hanging="360"/>
      </w:pPr>
    </w:lvl>
  </w:abstractNum>
  <w:abstractNum w:abstractNumId="18">
    <w:nsid w:val="75977F00"/>
    <w:multiLevelType w:val="hybridMultilevel"/>
    <w:tmpl w:val="E1923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71D7757"/>
    <w:multiLevelType w:val="hybridMultilevel"/>
    <w:tmpl w:val="379814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4"/>
  </w:num>
  <w:num w:numId="3">
    <w:abstractNumId w:val="12"/>
  </w:num>
  <w:num w:numId="4">
    <w:abstractNumId w:val="2"/>
  </w:num>
  <w:num w:numId="5">
    <w:abstractNumId w:val="3"/>
  </w:num>
  <w:num w:numId="6">
    <w:abstractNumId w:val="17"/>
  </w:num>
  <w:num w:numId="7">
    <w:abstractNumId w:val="4"/>
  </w:num>
  <w:num w:numId="8">
    <w:abstractNumId w:val="1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5"/>
  </w:num>
  <w:num w:numId="13">
    <w:abstractNumId w:val="16"/>
  </w:num>
  <w:num w:numId="14">
    <w:abstractNumId w:val="15"/>
  </w:num>
  <w:num w:numId="15">
    <w:abstractNumId w:val="13"/>
  </w:num>
  <w:num w:numId="16">
    <w:abstractNumId w:val="13"/>
  </w:num>
  <w:num w:numId="17">
    <w:abstractNumId w:val="13"/>
  </w:num>
  <w:num w:numId="18">
    <w:abstractNumId w:val="7"/>
  </w:num>
  <w:num w:numId="19">
    <w:abstractNumId w:val="13"/>
  </w:num>
  <w:num w:numId="20">
    <w:abstractNumId w:val="13"/>
  </w:num>
  <w:num w:numId="21">
    <w:abstractNumId w:val="13"/>
  </w:num>
  <w:num w:numId="22">
    <w:abstractNumId w:val="13"/>
  </w:num>
  <w:num w:numId="23">
    <w:abstractNumId w:val="8"/>
  </w:num>
  <w:num w:numId="24">
    <w:abstractNumId w:val="0"/>
  </w:num>
  <w:num w:numId="25">
    <w:abstractNumId w:val="19"/>
  </w:num>
  <w:num w:numId="26">
    <w:abstractNumId w:val="11"/>
  </w:num>
  <w:num w:numId="27">
    <w:abstractNumId w:val="18"/>
  </w:num>
  <w:num w:numId="28">
    <w:abstractNumId w:val="13"/>
  </w:num>
  <w:num w:numId="29">
    <w:abstractNumId w:val="13"/>
  </w:num>
  <w:num w:numId="30">
    <w:abstractNumId w:val="13"/>
  </w:num>
  <w:num w:numId="31">
    <w:abstractNumId w:val="1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16F0"/>
    <w:rsid w:val="00001DA5"/>
    <w:rsid w:val="00003C99"/>
    <w:rsid w:val="00015844"/>
    <w:rsid w:val="0001653E"/>
    <w:rsid w:val="00021DC5"/>
    <w:rsid w:val="00053963"/>
    <w:rsid w:val="00060A1F"/>
    <w:rsid w:val="00063DD3"/>
    <w:rsid w:val="00070D5C"/>
    <w:rsid w:val="00081957"/>
    <w:rsid w:val="00082DA1"/>
    <w:rsid w:val="0009185C"/>
    <w:rsid w:val="000B2ADB"/>
    <w:rsid w:val="000B68FC"/>
    <w:rsid w:val="000C7150"/>
    <w:rsid w:val="000D726A"/>
    <w:rsid w:val="001141BC"/>
    <w:rsid w:val="00114746"/>
    <w:rsid w:val="001418A2"/>
    <w:rsid w:val="00144F79"/>
    <w:rsid w:val="00161F09"/>
    <w:rsid w:val="001638D6"/>
    <w:rsid w:val="00173084"/>
    <w:rsid w:val="0017623A"/>
    <w:rsid w:val="00181AF4"/>
    <w:rsid w:val="00185436"/>
    <w:rsid w:val="00196D08"/>
    <w:rsid w:val="001A33EC"/>
    <w:rsid w:val="001B3D85"/>
    <w:rsid w:val="001C68EB"/>
    <w:rsid w:val="001D60E4"/>
    <w:rsid w:val="001E18E8"/>
    <w:rsid w:val="002041D4"/>
    <w:rsid w:val="00214EEC"/>
    <w:rsid w:val="002179DC"/>
    <w:rsid w:val="00220859"/>
    <w:rsid w:val="00224E53"/>
    <w:rsid w:val="00243CC5"/>
    <w:rsid w:val="002502BF"/>
    <w:rsid w:val="00256D73"/>
    <w:rsid w:val="00280F38"/>
    <w:rsid w:val="002A0B3A"/>
    <w:rsid w:val="002A55DD"/>
    <w:rsid w:val="002E6C16"/>
    <w:rsid w:val="002E6E11"/>
    <w:rsid w:val="002E7C5E"/>
    <w:rsid w:val="002F3645"/>
    <w:rsid w:val="002F7500"/>
    <w:rsid w:val="003017A2"/>
    <w:rsid w:val="0030532A"/>
    <w:rsid w:val="00312E33"/>
    <w:rsid w:val="00327989"/>
    <w:rsid w:val="00330ED5"/>
    <w:rsid w:val="00333D87"/>
    <w:rsid w:val="003357A2"/>
    <w:rsid w:val="00343B8D"/>
    <w:rsid w:val="00343BA8"/>
    <w:rsid w:val="00361C07"/>
    <w:rsid w:val="00371DED"/>
    <w:rsid w:val="00385A4B"/>
    <w:rsid w:val="00394347"/>
    <w:rsid w:val="003A44F2"/>
    <w:rsid w:val="003B20C8"/>
    <w:rsid w:val="003C5B8F"/>
    <w:rsid w:val="003C6B48"/>
    <w:rsid w:val="003F10A3"/>
    <w:rsid w:val="003F7593"/>
    <w:rsid w:val="003F7A68"/>
    <w:rsid w:val="00406F35"/>
    <w:rsid w:val="0041498D"/>
    <w:rsid w:val="00431DC4"/>
    <w:rsid w:val="00433F75"/>
    <w:rsid w:val="0044048F"/>
    <w:rsid w:val="004404D6"/>
    <w:rsid w:val="004419C7"/>
    <w:rsid w:val="004520E1"/>
    <w:rsid w:val="0046330A"/>
    <w:rsid w:val="00466679"/>
    <w:rsid w:val="00471FF6"/>
    <w:rsid w:val="004759F0"/>
    <w:rsid w:val="0047713B"/>
    <w:rsid w:val="004A3C60"/>
    <w:rsid w:val="004C3F91"/>
    <w:rsid w:val="004D065F"/>
    <w:rsid w:val="004F0123"/>
    <w:rsid w:val="004F0BFD"/>
    <w:rsid w:val="00510A87"/>
    <w:rsid w:val="005164B8"/>
    <w:rsid w:val="00531188"/>
    <w:rsid w:val="00534AFF"/>
    <w:rsid w:val="005409EE"/>
    <w:rsid w:val="0054197C"/>
    <w:rsid w:val="00562EFF"/>
    <w:rsid w:val="005667BD"/>
    <w:rsid w:val="00573A6A"/>
    <w:rsid w:val="00575F56"/>
    <w:rsid w:val="00587948"/>
    <w:rsid w:val="00591E25"/>
    <w:rsid w:val="005C3AC8"/>
    <w:rsid w:val="005E7AAC"/>
    <w:rsid w:val="00622295"/>
    <w:rsid w:val="0062284B"/>
    <w:rsid w:val="006320B5"/>
    <w:rsid w:val="0063492F"/>
    <w:rsid w:val="0063783F"/>
    <w:rsid w:val="00667598"/>
    <w:rsid w:val="006736E8"/>
    <w:rsid w:val="006760F2"/>
    <w:rsid w:val="00683B32"/>
    <w:rsid w:val="0068543A"/>
    <w:rsid w:val="00691D5A"/>
    <w:rsid w:val="00693506"/>
    <w:rsid w:val="006953B7"/>
    <w:rsid w:val="006D66A1"/>
    <w:rsid w:val="006F2648"/>
    <w:rsid w:val="006F4BDD"/>
    <w:rsid w:val="006F797F"/>
    <w:rsid w:val="006F7C03"/>
    <w:rsid w:val="0070353E"/>
    <w:rsid w:val="007120E9"/>
    <w:rsid w:val="007328A6"/>
    <w:rsid w:val="007328AB"/>
    <w:rsid w:val="00734E9D"/>
    <w:rsid w:val="007772F9"/>
    <w:rsid w:val="007A4588"/>
    <w:rsid w:val="007B1618"/>
    <w:rsid w:val="007C1960"/>
    <w:rsid w:val="007C69BD"/>
    <w:rsid w:val="007D6691"/>
    <w:rsid w:val="00834EDB"/>
    <w:rsid w:val="0084163A"/>
    <w:rsid w:val="00846116"/>
    <w:rsid w:val="00854534"/>
    <w:rsid w:val="00857FDA"/>
    <w:rsid w:val="008657C1"/>
    <w:rsid w:val="00871A05"/>
    <w:rsid w:val="008754ED"/>
    <w:rsid w:val="008978DB"/>
    <w:rsid w:val="008A7ECD"/>
    <w:rsid w:val="008B1725"/>
    <w:rsid w:val="008B1F58"/>
    <w:rsid w:val="008B5477"/>
    <w:rsid w:val="008F3196"/>
    <w:rsid w:val="00912D05"/>
    <w:rsid w:val="00914A31"/>
    <w:rsid w:val="00970FEE"/>
    <w:rsid w:val="00973A8D"/>
    <w:rsid w:val="0098066F"/>
    <w:rsid w:val="009845AD"/>
    <w:rsid w:val="009B0F4B"/>
    <w:rsid w:val="009D1839"/>
    <w:rsid w:val="009F3EBC"/>
    <w:rsid w:val="00A00549"/>
    <w:rsid w:val="00A03AE0"/>
    <w:rsid w:val="00A05A73"/>
    <w:rsid w:val="00A30981"/>
    <w:rsid w:val="00A42F00"/>
    <w:rsid w:val="00A464AB"/>
    <w:rsid w:val="00A50853"/>
    <w:rsid w:val="00A52E5B"/>
    <w:rsid w:val="00A610DA"/>
    <w:rsid w:val="00A62339"/>
    <w:rsid w:val="00A73B92"/>
    <w:rsid w:val="00A86C40"/>
    <w:rsid w:val="00A93AE9"/>
    <w:rsid w:val="00AB1E19"/>
    <w:rsid w:val="00AC2609"/>
    <w:rsid w:val="00AE16F0"/>
    <w:rsid w:val="00B2467D"/>
    <w:rsid w:val="00B27475"/>
    <w:rsid w:val="00B466A4"/>
    <w:rsid w:val="00B47FB6"/>
    <w:rsid w:val="00B51AAD"/>
    <w:rsid w:val="00B51CB0"/>
    <w:rsid w:val="00B55361"/>
    <w:rsid w:val="00B557FF"/>
    <w:rsid w:val="00B60832"/>
    <w:rsid w:val="00B65D04"/>
    <w:rsid w:val="00B73451"/>
    <w:rsid w:val="00B7537B"/>
    <w:rsid w:val="00B94E63"/>
    <w:rsid w:val="00B9625C"/>
    <w:rsid w:val="00BB13A1"/>
    <w:rsid w:val="00BE1436"/>
    <w:rsid w:val="00BF0788"/>
    <w:rsid w:val="00C0133C"/>
    <w:rsid w:val="00C03948"/>
    <w:rsid w:val="00C2754C"/>
    <w:rsid w:val="00C33644"/>
    <w:rsid w:val="00C43448"/>
    <w:rsid w:val="00C81ADB"/>
    <w:rsid w:val="00C911B4"/>
    <w:rsid w:val="00CB0728"/>
    <w:rsid w:val="00CB4A0B"/>
    <w:rsid w:val="00CE0696"/>
    <w:rsid w:val="00CE13E3"/>
    <w:rsid w:val="00CF1C81"/>
    <w:rsid w:val="00D0492E"/>
    <w:rsid w:val="00D0788A"/>
    <w:rsid w:val="00D17CAA"/>
    <w:rsid w:val="00D2327A"/>
    <w:rsid w:val="00D40D42"/>
    <w:rsid w:val="00D610C1"/>
    <w:rsid w:val="00D67C15"/>
    <w:rsid w:val="00D71B28"/>
    <w:rsid w:val="00D736A2"/>
    <w:rsid w:val="00D8161B"/>
    <w:rsid w:val="00DA4B81"/>
    <w:rsid w:val="00DC263E"/>
    <w:rsid w:val="00DC5879"/>
    <w:rsid w:val="00DE5FEB"/>
    <w:rsid w:val="00E0300F"/>
    <w:rsid w:val="00E03D5F"/>
    <w:rsid w:val="00E12D4C"/>
    <w:rsid w:val="00E14CD0"/>
    <w:rsid w:val="00E234C5"/>
    <w:rsid w:val="00E44EE6"/>
    <w:rsid w:val="00E604BF"/>
    <w:rsid w:val="00E6444C"/>
    <w:rsid w:val="00E73CDB"/>
    <w:rsid w:val="00E75846"/>
    <w:rsid w:val="00E77617"/>
    <w:rsid w:val="00E90841"/>
    <w:rsid w:val="00E94141"/>
    <w:rsid w:val="00E960B7"/>
    <w:rsid w:val="00ED222F"/>
    <w:rsid w:val="00EE6806"/>
    <w:rsid w:val="00EE6CAC"/>
    <w:rsid w:val="00EE76DB"/>
    <w:rsid w:val="00EF1A99"/>
    <w:rsid w:val="00EF1FD6"/>
    <w:rsid w:val="00F0573D"/>
    <w:rsid w:val="00F05E2C"/>
    <w:rsid w:val="00F11BDF"/>
    <w:rsid w:val="00F16164"/>
    <w:rsid w:val="00F230B2"/>
    <w:rsid w:val="00F52559"/>
    <w:rsid w:val="00F54384"/>
    <w:rsid w:val="00F607C6"/>
    <w:rsid w:val="00F734C9"/>
    <w:rsid w:val="00F90169"/>
    <w:rsid w:val="00F90585"/>
    <w:rsid w:val="00F9070E"/>
    <w:rsid w:val="00F9740B"/>
    <w:rsid w:val="00FA433A"/>
    <w:rsid w:val="00FB17AD"/>
    <w:rsid w:val="00FB328E"/>
    <w:rsid w:val="00FC16E8"/>
    <w:rsid w:val="00FC423F"/>
    <w:rsid w:val="00FC4768"/>
    <w:rsid w:val="00FC4B95"/>
    <w:rsid w:val="00FD6655"/>
    <w:rsid w:val="00FE4DD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C"/>
  </w:style>
  <w:style w:type="paragraph" w:styleId="Heading1">
    <w:name w:val="heading 1"/>
    <w:basedOn w:val="Normal"/>
    <w:link w:val="Heading1Char"/>
    <w:uiPriority w:val="9"/>
    <w:qFormat/>
    <w:rsid w:val="00A42F00"/>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8B1F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91E2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6F0"/>
    <w:pPr>
      <w:tabs>
        <w:tab w:val="center" w:pos="4320"/>
        <w:tab w:val="right" w:pos="8640"/>
      </w:tabs>
    </w:pPr>
  </w:style>
  <w:style w:type="character" w:customStyle="1" w:styleId="HeaderChar">
    <w:name w:val="Header Char"/>
    <w:basedOn w:val="DefaultParagraphFont"/>
    <w:link w:val="Header"/>
    <w:uiPriority w:val="99"/>
    <w:rsid w:val="00AE16F0"/>
  </w:style>
  <w:style w:type="paragraph" w:styleId="Footer">
    <w:name w:val="footer"/>
    <w:basedOn w:val="Normal"/>
    <w:link w:val="FooterChar"/>
    <w:uiPriority w:val="99"/>
    <w:unhideWhenUsed/>
    <w:rsid w:val="00AE16F0"/>
    <w:pPr>
      <w:tabs>
        <w:tab w:val="center" w:pos="4320"/>
        <w:tab w:val="right" w:pos="8640"/>
      </w:tabs>
    </w:pPr>
  </w:style>
  <w:style w:type="character" w:customStyle="1" w:styleId="FooterChar">
    <w:name w:val="Footer Char"/>
    <w:basedOn w:val="DefaultParagraphFont"/>
    <w:link w:val="Footer"/>
    <w:uiPriority w:val="99"/>
    <w:rsid w:val="00AE16F0"/>
  </w:style>
  <w:style w:type="character" w:styleId="PageNumber">
    <w:name w:val="page number"/>
    <w:basedOn w:val="DefaultParagraphFont"/>
    <w:uiPriority w:val="99"/>
    <w:semiHidden/>
    <w:unhideWhenUsed/>
    <w:rsid w:val="00AE16F0"/>
  </w:style>
  <w:style w:type="paragraph" w:styleId="ListParagraph">
    <w:name w:val="List Paragraph"/>
    <w:basedOn w:val="Normal"/>
    <w:uiPriority w:val="34"/>
    <w:qFormat/>
    <w:rsid w:val="00AE16F0"/>
    <w:pPr>
      <w:ind w:left="720"/>
      <w:contextualSpacing/>
    </w:pPr>
  </w:style>
  <w:style w:type="character" w:styleId="Emphasis">
    <w:name w:val="Emphasis"/>
    <w:basedOn w:val="DefaultParagraphFont"/>
    <w:uiPriority w:val="20"/>
    <w:qFormat/>
    <w:rsid w:val="004F0BFD"/>
    <w:rPr>
      <w:i/>
      <w:iCs/>
    </w:rPr>
  </w:style>
  <w:style w:type="character" w:customStyle="1" w:styleId="apple-converted-space">
    <w:name w:val="apple-converted-space"/>
    <w:basedOn w:val="DefaultParagraphFont"/>
    <w:rsid w:val="004F0BFD"/>
  </w:style>
  <w:style w:type="character" w:styleId="Hyperlink">
    <w:name w:val="Hyperlink"/>
    <w:basedOn w:val="DefaultParagraphFont"/>
    <w:uiPriority w:val="99"/>
    <w:unhideWhenUsed/>
    <w:rsid w:val="00A62339"/>
    <w:rPr>
      <w:color w:val="0000FF"/>
      <w:u w:val="single"/>
    </w:rPr>
  </w:style>
  <w:style w:type="character" w:customStyle="1" w:styleId="Heading1Char">
    <w:name w:val="Heading 1 Char"/>
    <w:basedOn w:val="DefaultParagraphFont"/>
    <w:link w:val="Heading1"/>
    <w:uiPriority w:val="9"/>
    <w:rsid w:val="00A42F00"/>
    <w:rPr>
      <w:rFonts w:ascii="Times" w:hAnsi="Times"/>
      <w:b/>
      <w:bCs/>
      <w:kern w:val="36"/>
      <w:sz w:val="48"/>
      <w:szCs w:val="48"/>
    </w:rPr>
  </w:style>
  <w:style w:type="character" w:customStyle="1" w:styleId="Heading6Char">
    <w:name w:val="Heading 6 Char"/>
    <w:basedOn w:val="DefaultParagraphFont"/>
    <w:link w:val="Heading6"/>
    <w:uiPriority w:val="9"/>
    <w:semiHidden/>
    <w:rsid w:val="00591E25"/>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8B1F58"/>
    <w:rPr>
      <w:rFonts w:asciiTheme="majorHAnsi" w:eastAsiaTheme="majorEastAsia" w:hAnsiTheme="majorHAnsi" w:cstheme="majorBidi"/>
      <w:b/>
      <w:bCs/>
      <w:color w:val="4F81BD" w:themeColor="accent1"/>
      <w:sz w:val="26"/>
      <w:szCs w:val="26"/>
    </w:rPr>
  </w:style>
  <w:style w:type="character" w:customStyle="1" w:styleId="maintitle">
    <w:name w:val="maintitle"/>
    <w:rsid w:val="008B1F58"/>
  </w:style>
  <w:style w:type="paragraph" w:customStyle="1" w:styleId="Bullet1">
    <w:name w:val="Bullet 1"/>
    <w:basedOn w:val="Normal"/>
    <w:link w:val="Bullet1Char"/>
    <w:qFormat/>
    <w:rsid w:val="009F3EBC"/>
    <w:pPr>
      <w:numPr>
        <w:numId w:val="8"/>
      </w:numPr>
      <w:spacing w:after="120" w:line="264" w:lineRule="auto"/>
      <w:jc w:val="both"/>
    </w:pPr>
    <w:rPr>
      <w:rFonts w:ascii="Times New Roman" w:eastAsia="Cambria" w:hAnsi="Times New Roman" w:cs="Times New Roman"/>
      <w:lang w:val="en-GB"/>
    </w:rPr>
  </w:style>
  <w:style w:type="character" w:customStyle="1" w:styleId="Bullet1Char">
    <w:name w:val="Bullet 1 Char"/>
    <w:link w:val="Bullet1"/>
    <w:locked/>
    <w:rsid w:val="009F3EBC"/>
    <w:rPr>
      <w:rFonts w:ascii="Times New Roman" w:eastAsia="Cambria" w:hAnsi="Times New Roman" w:cs="Times New Roman"/>
      <w:lang w:val="en-GB"/>
    </w:rPr>
  </w:style>
  <w:style w:type="paragraph" w:customStyle="1" w:styleId="Default">
    <w:name w:val="Default"/>
    <w:rsid w:val="00E14CD0"/>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CE13E3"/>
    <w:rPr>
      <w:b/>
      <w:bCs/>
    </w:rPr>
  </w:style>
  <w:style w:type="paragraph" w:styleId="BalloonText">
    <w:name w:val="Balloon Text"/>
    <w:basedOn w:val="Normal"/>
    <w:link w:val="BalloonTextChar"/>
    <w:uiPriority w:val="99"/>
    <w:semiHidden/>
    <w:unhideWhenUsed/>
    <w:rsid w:val="00A30981"/>
    <w:rPr>
      <w:rFonts w:ascii="Tahoma" w:hAnsi="Tahoma" w:cs="Tahoma"/>
      <w:sz w:val="16"/>
      <w:szCs w:val="16"/>
    </w:rPr>
  </w:style>
  <w:style w:type="character" w:customStyle="1" w:styleId="BalloonTextChar">
    <w:name w:val="Balloon Text Char"/>
    <w:basedOn w:val="DefaultParagraphFont"/>
    <w:link w:val="BalloonText"/>
    <w:uiPriority w:val="99"/>
    <w:semiHidden/>
    <w:rsid w:val="00A30981"/>
    <w:rPr>
      <w:rFonts w:ascii="Tahoma" w:hAnsi="Tahoma" w:cs="Tahoma"/>
      <w:sz w:val="16"/>
      <w:szCs w:val="16"/>
    </w:rPr>
  </w:style>
  <w:style w:type="character" w:styleId="CommentReference">
    <w:name w:val="annotation reference"/>
    <w:basedOn w:val="DefaultParagraphFont"/>
    <w:uiPriority w:val="99"/>
    <w:semiHidden/>
    <w:unhideWhenUsed/>
    <w:rsid w:val="00A30981"/>
    <w:rPr>
      <w:sz w:val="16"/>
      <w:szCs w:val="16"/>
    </w:rPr>
  </w:style>
  <w:style w:type="paragraph" w:styleId="CommentText">
    <w:name w:val="annotation text"/>
    <w:basedOn w:val="Normal"/>
    <w:link w:val="CommentTextChar"/>
    <w:semiHidden/>
    <w:unhideWhenUsed/>
    <w:rsid w:val="00A30981"/>
    <w:rPr>
      <w:sz w:val="20"/>
      <w:szCs w:val="20"/>
    </w:rPr>
  </w:style>
  <w:style w:type="character" w:customStyle="1" w:styleId="CommentTextChar">
    <w:name w:val="Comment Text Char"/>
    <w:basedOn w:val="DefaultParagraphFont"/>
    <w:link w:val="CommentText"/>
    <w:semiHidden/>
    <w:rsid w:val="00A30981"/>
    <w:rPr>
      <w:sz w:val="20"/>
      <w:szCs w:val="20"/>
    </w:rPr>
  </w:style>
  <w:style w:type="paragraph" w:styleId="CommentSubject">
    <w:name w:val="annotation subject"/>
    <w:basedOn w:val="CommentText"/>
    <w:next w:val="CommentText"/>
    <w:link w:val="CommentSubjectChar"/>
    <w:uiPriority w:val="99"/>
    <w:semiHidden/>
    <w:unhideWhenUsed/>
    <w:rsid w:val="00A30981"/>
    <w:rPr>
      <w:b/>
      <w:bCs/>
    </w:rPr>
  </w:style>
  <w:style w:type="character" w:customStyle="1" w:styleId="CommentSubjectChar">
    <w:name w:val="Comment Subject Char"/>
    <w:basedOn w:val="CommentTextChar"/>
    <w:link w:val="CommentSubject"/>
    <w:uiPriority w:val="99"/>
    <w:semiHidden/>
    <w:rsid w:val="00A30981"/>
    <w:rPr>
      <w:b/>
      <w:bCs/>
      <w:sz w:val="20"/>
      <w:szCs w:val="20"/>
    </w:rPr>
  </w:style>
  <w:style w:type="paragraph" w:customStyle="1" w:styleId="BulletLast">
    <w:name w:val="Bullet Last"/>
    <w:basedOn w:val="Bullet1"/>
    <w:qFormat/>
    <w:rsid w:val="00CF1C81"/>
    <w:pPr>
      <w:numPr>
        <w:numId w:val="1"/>
      </w:numPr>
      <w:spacing w:after="220"/>
      <w:ind w:left="357" w:hanging="357"/>
    </w:pPr>
    <w:rPr>
      <w:szCs w:val="20"/>
    </w:rPr>
  </w:style>
  <w:style w:type="paragraph" w:customStyle="1" w:styleId="Bullet2">
    <w:name w:val="Bullet 2"/>
    <w:basedOn w:val="Normal"/>
    <w:link w:val="Bullet2Char"/>
    <w:qFormat/>
    <w:rsid w:val="00573A6A"/>
    <w:pPr>
      <w:keepNext/>
      <w:numPr>
        <w:numId w:val="14"/>
      </w:numPr>
      <w:spacing w:after="120" w:line="264" w:lineRule="auto"/>
      <w:jc w:val="both"/>
    </w:pPr>
    <w:rPr>
      <w:rFonts w:ascii="Times New Roman" w:eastAsia="Cambria" w:hAnsi="Times New Roman" w:cs="Times New Roman"/>
      <w:szCs w:val="20"/>
      <w:lang w:val="en-GB"/>
    </w:rPr>
  </w:style>
  <w:style w:type="character" w:customStyle="1" w:styleId="Bullet2Char">
    <w:name w:val="Bullet 2 Char"/>
    <w:basedOn w:val="DefaultParagraphFont"/>
    <w:link w:val="Bullet2"/>
    <w:rsid w:val="00573A6A"/>
    <w:rPr>
      <w:rFonts w:ascii="Times New Roman" w:eastAsia="Cambria" w:hAnsi="Times New Roman" w:cs="Times New Roman"/>
      <w:szCs w:val="20"/>
      <w:lang w:val="en-GB"/>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Footnote Text Char2"/>
    <w:basedOn w:val="Normal"/>
    <w:link w:val="FootnoteTextChar"/>
    <w:uiPriority w:val="99"/>
    <w:qFormat/>
    <w:rsid w:val="00EE6806"/>
    <w:pPr>
      <w:tabs>
        <w:tab w:val="left" w:pos="357"/>
      </w:tabs>
      <w:overflowPunct w:val="0"/>
      <w:autoSpaceDE w:val="0"/>
      <w:autoSpaceDN w:val="0"/>
      <w:adjustRightInd w:val="0"/>
      <w:spacing w:after="120"/>
      <w:ind w:left="357" w:hanging="357"/>
      <w:jc w:val="both"/>
      <w:textAlignment w:val="baseline"/>
    </w:pPr>
    <w:rPr>
      <w:rFonts w:ascii="Times New Roman" w:eastAsia="Cambria" w:hAnsi="Times New Roman" w:cs="Times New Roman"/>
      <w:sz w:val="18"/>
      <w:szCs w:val="18"/>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uiPriority w:val="99"/>
    <w:rsid w:val="00EE6806"/>
    <w:rPr>
      <w:rFonts w:ascii="Times New Roman" w:eastAsia="Cambria" w:hAnsi="Times New Roman" w:cs="Times New Roman"/>
      <w:sz w:val="18"/>
      <w:szCs w:val="18"/>
    </w:rPr>
  </w:style>
  <w:style w:type="character" w:styleId="FootnoteReference">
    <w:name w:val="footnote reference"/>
    <w:aliases w:val="(NECG) Footnote Reference"/>
    <w:basedOn w:val="DefaultParagraphFont"/>
    <w:uiPriority w:val="99"/>
    <w:unhideWhenUsed/>
    <w:rsid w:val="00EE6806"/>
    <w:rPr>
      <w:vertAlign w:val="superscript"/>
    </w:rPr>
  </w:style>
  <w:style w:type="table" w:styleId="TableGrid">
    <w:name w:val="Table Grid"/>
    <w:basedOn w:val="TableNormal"/>
    <w:uiPriority w:val="59"/>
    <w:rsid w:val="00EE6806"/>
    <w:pPr>
      <w:spacing w:after="220" w:line="280" w:lineRule="atLeast"/>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99"/>
    <w:qFormat/>
    <w:rsid w:val="00EE6806"/>
    <w:pPr>
      <w:spacing w:after="240" w:line="264" w:lineRule="auto"/>
      <w:ind w:left="1418"/>
      <w:jc w:val="both"/>
    </w:pPr>
    <w:rPr>
      <w:rFonts w:ascii="Times New Roman" w:eastAsia="Cambria" w:hAnsi="Times New Roman" w:cs="Times New Roman"/>
      <w:szCs w:val="20"/>
      <w:lang w:val="en-GB"/>
    </w:rPr>
  </w:style>
  <w:style w:type="paragraph" w:styleId="ListBullet">
    <w:name w:val="List Bullet"/>
    <w:uiPriority w:val="99"/>
    <w:rsid w:val="00A00549"/>
    <w:pPr>
      <w:numPr>
        <w:numId w:val="24"/>
      </w:numPr>
      <w:spacing w:after="160" w:line="240" w:lineRule="exact"/>
    </w:pPr>
    <w:rPr>
      <w:rFonts w:ascii="Arial" w:eastAsia="Times New Roman" w:hAnsi="Arial" w:cs="Times New Roman"/>
      <w:sz w:val="20"/>
      <w:szCs w:val="20"/>
      <w:lang w:eastAsia="en-AU"/>
    </w:rPr>
  </w:style>
  <w:style w:type="paragraph" w:styleId="Revision">
    <w:name w:val="Revision"/>
    <w:hidden/>
    <w:uiPriority w:val="99"/>
    <w:semiHidden/>
    <w:rsid w:val="00327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2F00"/>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8B1F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91E2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6F0"/>
    <w:pPr>
      <w:tabs>
        <w:tab w:val="center" w:pos="4320"/>
        <w:tab w:val="right" w:pos="8640"/>
      </w:tabs>
    </w:pPr>
  </w:style>
  <w:style w:type="character" w:customStyle="1" w:styleId="HeaderChar">
    <w:name w:val="Header Char"/>
    <w:basedOn w:val="DefaultParagraphFont"/>
    <w:link w:val="Header"/>
    <w:uiPriority w:val="99"/>
    <w:rsid w:val="00AE16F0"/>
  </w:style>
  <w:style w:type="paragraph" w:styleId="Footer">
    <w:name w:val="footer"/>
    <w:basedOn w:val="Normal"/>
    <w:link w:val="FooterChar"/>
    <w:uiPriority w:val="99"/>
    <w:unhideWhenUsed/>
    <w:rsid w:val="00AE16F0"/>
    <w:pPr>
      <w:tabs>
        <w:tab w:val="center" w:pos="4320"/>
        <w:tab w:val="right" w:pos="8640"/>
      </w:tabs>
    </w:pPr>
  </w:style>
  <w:style w:type="character" w:customStyle="1" w:styleId="FooterChar">
    <w:name w:val="Footer Char"/>
    <w:basedOn w:val="DefaultParagraphFont"/>
    <w:link w:val="Footer"/>
    <w:uiPriority w:val="99"/>
    <w:rsid w:val="00AE16F0"/>
  </w:style>
  <w:style w:type="character" w:styleId="PageNumber">
    <w:name w:val="page number"/>
    <w:basedOn w:val="DefaultParagraphFont"/>
    <w:uiPriority w:val="99"/>
    <w:semiHidden/>
    <w:unhideWhenUsed/>
    <w:rsid w:val="00AE16F0"/>
  </w:style>
  <w:style w:type="paragraph" w:styleId="ListParagraph">
    <w:name w:val="List Paragraph"/>
    <w:basedOn w:val="Normal"/>
    <w:uiPriority w:val="34"/>
    <w:qFormat/>
    <w:rsid w:val="00AE16F0"/>
    <w:pPr>
      <w:ind w:left="720"/>
      <w:contextualSpacing/>
    </w:pPr>
  </w:style>
  <w:style w:type="character" w:styleId="Emphasis">
    <w:name w:val="Emphasis"/>
    <w:basedOn w:val="DefaultParagraphFont"/>
    <w:uiPriority w:val="20"/>
    <w:qFormat/>
    <w:rsid w:val="004F0BFD"/>
    <w:rPr>
      <w:i/>
      <w:iCs/>
    </w:rPr>
  </w:style>
  <w:style w:type="character" w:customStyle="1" w:styleId="apple-converted-space">
    <w:name w:val="apple-converted-space"/>
    <w:basedOn w:val="DefaultParagraphFont"/>
    <w:rsid w:val="004F0BFD"/>
  </w:style>
  <w:style w:type="character" w:styleId="Hyperlink">
    <w:name w:val="Hyperlink"/>
    <w:basedOn w:val="DefaultParagraphFont"/>
    <w:uiPriority w:val="99"/>
    <w:unhideWhenUsed/>
    <w:rsid w:val="00A62339"/>
    <w:rPr>
      <w:color w:val="0000FF"/>
      <w:u w:val="single"/>
    </w:rPr>
  </w:style>
  <w:style w:type="character" w:customStyle="1" w:styleId="Heading1Char">
    <w:name w:val="Heading 1 Char"/>
    <w:basedOn w:val="DefaultParagraphFont"/>
    <w:link w:val="Heading1"/>
    <w:uiPriority w:val="9"/>
    <w:rsid w:val="00A42F00"/>
    <w:rPr>
      <w:rFonts w:ascii="Times" w:hAnsi="Times"/>
      <w:b/>
      <w:bCs/>
      <w:kern w:val="36"/>
      <w:sz w:val="48"/>
      <w:szCs w:val="48"/>
    </w:rPr>
  </w:style>
  <w:style w:type="character" w:customStyle="1" w:styleId="Heading6Char">
    <w:name w:val="Heading 6 Char"/>
    <w:basedOn w:val="DefaultParagraphFont"/>
    <w:link w:val="Heading6"/>
    <w:uiPriority w:val="9"/>
    <w:semiHidden/>
    <w:rsid w:val="00591E25"/>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8B1F58"/>
    <w:rPr>
      <w:rFonts w:asciiTheme="majorHAnsi" w:eastAsiaTheme="majorEastAsia" w:hAnsiTheme="majorHAnsi" w:cstheme="majorBidi"/>
      <w:b/>
      <w:bCs/>
      <w:color w:val="4F81BD" w:themeColor="accent1"/>
      <w:sz w:val="26"/>
      <w:szCs w:val="26"/>
    </w:rPr>
  </w:style>
  <w:style w:type="character" w:customStyle="1" w:styleId="maintitle">
    <w:name w:val="maintitle"/>
    <w:rsid w:val="008B1F58"/>
  </w:style>
  <w:style w:type="paragraph" w:customStyle="1" w:styleId="Bullet1">
    <w:name w:val="Bullet 1"/>
    <w:basedOn w:val="Normal"/>
    <w:link w:val="Bullet1Char"/>
    <w:qFormat/>
    <w:rsid w:val="009F3EBC"/>
    <w:pPr>
      <w:numPr>
        <w:numId w:val="8"/>
      </w:numPr>
      <w:spacing w:after="120" w:line="264" w:lineRule="auto"/>
      <w:jc w:val="both"/>
    </w:pPr>
    <w:rPr>
      <w:rFonts w:ascii="Times New Roman" w:eastAsia="Cambria" w:hAnsi="Times New Roman" w:cs="Times New Roman"/>
      <w:lang w:val="en-GB"/>
    </w:rPr>
  </w:style>
  <w:style w:type="character" w:customStyle="1" w:styleId="Bullet1Char">
    <w:name w:val="Bullet 1 Char"/>
    <w:link w:val="Bullet1"/>
    <w:locked/>
    <w:rsid w:val="009F3EBC"/>
    <w:rPr>
      <w:rFonts w:ascii="Times New Roman" w:eastAsia="Cambria" w:hAnsi="Times New Roman" w:cs="Times New Roman"/>
      <w:lang w:val="en-GB"/>
    </w:rPr>
  </w:style>
  <w:style w:type="paragraph" w:customStyle="1" w:styleId="Default">
    <w:name w:val="Default"/>
    <w:rsid w:val="00E14CD0"/>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CE13E3"/>
    <w:rPr>
      <w:b/>
      <w:bCs/>
    </w:rPr>
  </w:style>
  <w:style w:type="paragraph" w:styleId="BalloonText">
    <w:name w:val="Balloon Text"/>
    <w:basedOn w:val="Normal"/>
    <w:link w:val="BalloonTextChar"/>
    <w:uiPriority w:val="99"/>
    <w:semiHidden/>
    <w:unhideWhenUsed/>
    <w:rsid w:val="00A30981"/>
    <w:rPr>
      <w:rFonts w:ascii="Tahoma" w:hAnsi="Tahoma" w:cs="Tahoma"/>
      <w:sz w:val="16"/>
      <w:szCs w:val="16"/>
    </w:rPr>
  </w:style>
  <w:style w:type="character" w:customStyle="1" w:styleId="BalloonTextChar">
    <w:name w:val="Balloon Text Char"/>
    <w:basedOn w:val="DefaultParagraphFont"/>
    <w:link w:val="BalloonText"/>
    <w:uiPriority w:val="99"/>
    <w:semiHidden/>
    <w:rsid w:val="00A30981"/>
    <w:rPr>
      <w:rFonts w:ascii="Tahoma" w:hAnsi="Tahoma" w:cs="Tahoma"/>
      <w:sz w:val="16"/>
      <w:szCs w:val="16"/>
    </w:rPr>
  </w:style>
  <w:style w:type="character" w:styleId="CommentReference">
    <w:name w:val="annotation reference"/>
    <w:basedOn w:val="DefaultParagraphFont"/>
    <w:uiPriority w:val="99"/>
    <w:semiHidden/>
    <w:unhideWhenUsed/>
    <w:rsid w:val="00A30981"/>
    <w:rPr>
      <w:sz w:val="16"/>
      <w:szCs w:val="16"/>
    </w:rPr>
  </w:style>
  <w:style w:type="paragraph" w:styleId="CommentText">
    <w:name w:val="annotation text"/>
    <w:basedOn w:val="Normal"/>
    <w:link w:val="CommentTextChar"/>
    <w:semiHidden/>
    <w:unhideWhenUsed/>
    <w:rsid w:val="00A30981"/>
    <w:rPr>
      <w:sz w:val="20"/>
      <w:szCs w:val="20"/>
    </w:rPr>
  </w:style>
  <w:style w:type="character" w:customStyle="1" w:styleId="CommentTextChar">
    <w:name w:val="Comment Text Char"/>
    <w:basedOn w:val="DefaultParagraphFont"/>
    <w:link w:val="CommentText"/>
    <w:semiHidden/>
    <w:rsid w:val="00A30981"/>
    <w:rPr>
      <w:sz w:val="20"/>
      <w:szCs w:val="20"/>
    </w:rPr>
  </w:style>
  <w:style w:type="paragraph" w:styleId="CommentSubject">
    <w:name w:val="annotation subject"/>
    <w:basedOn w:val="CommentText"/>
    <w:next w:val="CommentText"/>
    <w:link w:val="CommentSubjectChar"/>
    <w:uiPriority w:val="99"/>
    <w:semiHidden/>
    <w:unhideWhenUsed/>
    <w:rsid w:val="00A30981"/>
    <w:rPr>
      <w:b/>
      <w:bCs/>
    </w:rPr>
  </w:style>
  <w:style w:type="character" w:customStyle="1" w:styleId="CommentSubjectChar">
    <w:name w:val="Comment Subject Char"/>
    <w:basedOn w:val="CommentTextChar"/>
    <w:link w:val="CommentSubject"/>
    <w:uiPriority w:val="99"/>
    <w:semiHidden/>
    <w:rsid w:val="00A30981"/>
    <w:rPr>
      <w:b/>
      <w:bCs/>
      <w:sz w:val="20"/>
      <w:szCs w:val="20"/>
    </w:rPr>
  </w:style>
  <w:style w:type="paragraph" w:customStyle="1" w:styleId="BulletLast">
    <w:name w:val="Bullet Last"/>
    <w:basedOn w:val="Bullet1"/>
    <w:qFormat/>
    <w:rsid w:val="00CF1C81"/>
    <w:pPr>
      <w:numPr>
        <w:numId w:val="1"/>
      </w:numPr>
      <w:spacing w:after="220"/>
      <w:ind w:left="357" w:hanging="357"/>
    </w:pPr>
    <w:rPr>
      <w:szCs w:val="20"/>
    </w:rPr>
  </w:style>
  <w:style w:type="paragraph" w:customStyle="1" w:styleId="Bullet2">
    <w:name w:val="Bullet 2"/>
    <w:basedOn w:val="Normal"/>
    <w:link w:val="Bullet2Char"/>
    <w:qFormat/>
    <w:rsid w:val="00573A6A"/>
    <w:pPr>
      <w:keepNext/>
      <w:numPr>
        <w:numId w:val="14"/>
      </w:numPr>
      <w:spacing w:after="120" w:line="264" w:lineRule="auto"/>
      <w:jc w:val="both"/>
    </w:pPr>
    <w:rPr>
      <w:rFonts w:ascii="Times New Roman" w:eastAsia="Cambria" w:hAnsi="Times New Roman" w:cs="Times New Roman"/>
      <w:szCs w:val="20"/>
      <w:lang w:val="en-GB"/>
    </w:rPr>
  </w:style>
  <w:style w:type="character" w:customStyle="1" w:styleId="Bullet2Char">
    <w:name w:val="Bullet 2 Char"/>
    <w:basedOn w:val="DefaultParagraphFont"/>
    <w:link w:val="Bullet2"/>
    <w:rsid w:val="00573A6A"/>
    <w:rPr>
      <w:rFonts w:ascii="Times New Roman" w:eastAsia="Cambria" w:hAnsi="Times New Roman" w:cs="Times New Roman"/>
      <w:szCs w:val="20"/>
      <w:lang w:val="en-GB"/>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Footnote Text Char2"/>
    <w:basedOn w:val="Normal"/>
    <w:link w:val="FootnoteTextChar"/>
    <w:uiPriority w:val="99"/>
    <w:qFormat/>
    <w:rsid w:val="00EE6806"/>
    <w:pPr>
      <w:tabs>
        <w:tab w:val="left" w:pos="357"/>
      </w:tabs>
      <w:overflowPunct w:val="0"/>
      <w:autoSpaceDE w:val="0"/>
      <w:autoSpaceDN w:val="0"/>
      <w:adjustRightInd w:val="0"/>
      <w:spacing w:after="120"/>
      <w:ind w:left="357" w:hanging="357"/>
      <w:jc w:val="both"/>
      <w:textAlignment w:val="baseline"/>
    </w:pPr>
    <w:rPr>
      <w:rFonts w:ascii="Times New Roman" w:eastAsia="Cambria" w:hAnsi="Times New Roman" w:cs="Times New Roman"/>
      <w:sz w:val="18"/>
      <w:szCs w:val="18"/>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uiPriority w:val="99"/>
    <w:rsid w:val="00EE6806"/>
    <w:rPr>
      <w:rFonts w:ascii="Times New Roman" w:eastAsia="Cambria" w:hAnsi="Times New Roman" w:cs="Times New Roman"/>
      <w:sz w:val="18"/>
      <w:szCs w:val="18"/>
    </w:rPr>
  </w:style>
  <w:style w:type="character" w:styleId="FootnoteReference">
    <w:name w:val="footnote reference"/>
    <w:aliases w:val="(NECG) Footnote Reference"/>
    <w:basedOn w:val="DefaultParagraphFont"/>
    <w:uiPriority w:val="99"/>
    <w:unhideWhenUsed/>
    <w:rsid w:val="00EE6806"/>
    <w:rPr>
      <w:vertAlign w:val="superscript"/>
    </w:rPr>
  </w:style>
  <w:style w:type="table" w:styleId="TableGrid">
    <w:name w:val="Table Grid"/>
    <w:basedOn w:val="TableNormal"/>
    <w:uiPriority w:val="59"/>
    <w:rsid w:val="00EE6806"/>
    <w:pPr>
      <w:spacing w:after="220" w:line="280" w:lineRule="atLeast"/>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99"/>
    <w:qFormat/>
    <w:rsid w:val="00EE6806"/>
    <w:pPr>
      <w:spacing w:after="240" w:line="264" w:lineRule="auto"/>
      <w:ind w:left="1418"/>
      <w:jc w:val="both"/>
    </w:pPr>
    <w:rPr>
      <w:rFonts w:ascii="Times New Roman" w:eastAsia="Cambria" w:hAnsi="Times New Roman" w:cs="Times New Roman"/>
      <w:szCs w:val="20"/>
      <w:lang w:val="en-GB"/>
    </w:rPr>
  </w:style>
  <w:style w:type="paragraph" w:styleId="ListBullet">
    <w:name w:val="List Bullet"/>
    <w:uiPriority w:val="99"/>
    <w:rsid w:val="00A00549"/>
    <w:pPr>
      <w:numPr>
        <w:numId w:val="24"/>
      </w:numPr>
      <w:spacing w:after="160" w:line="240" w:lineRule="exact"/>
    </w:pPr>
    <w:rPr>
      <w:rFonts w:ascii="Arial" w:eastAsia="Times New Roman" w:hAnsi="Arial" w:cs="Times New Roman"/>
      <w:sz w:val="20"/>
      <w:szCs w:val="20"/>
      <w:lang w:eastAsia="en-AU"/>
    </w:rPr>
  </w:style>
  <w:style w:type="paragraph" w:styleId="Revision">
    <w:name w:val="Revision"/>
    <w:hidden/>
    <w:uiPriority w:val="99"/>
    <w:semiHidden/>
    <w:rsid w:val="0032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093">
      <w:bodyDiv w:val="1"/>
      <w:marLeft w:val="0"/>
      <w:marRight w:val="0"/>
      <w:marTop w:val="0"/>
      <w:marBottom w:val="0"/>
      <w:divBdr>
        <w:top w:val="none" w:sz="0" w:space="0" w:color="auto"/>
        <w:left w:val="none" w:sz="0" w:space="0" w:color="auto"/>
        <w:bottom w:val="none" w:sz="0" w:space="0" w:color="auto"/>
        <w:right w:val="none" w:sz="0" w:space="0" w:color="auto"/>
      </w:divBdr>
    </w:div>
    <w:div w:id="120391227">
      <w:bodyDiv w:val="1"/>
      <w:marLeft w:val="0"/>
      <w:marRight w:val="0"/>
      <w:marTop w:val="0"/>
      <w:marBottom w:val="0"/>
      <w:divBdr>
        <w:top w:val="none" w:sz="0" w:space="0" w:color="auto"/>
        <w:left w:val="none" w:sz="0" w:space="0" w:color="auto"/>
        <w:bottom w:val="none" w:sz="0" w:space="0" w:color="auto"/>
        <w:right w:val="none" w:sz="0" w:space="0" w:color="auto"/>
      </w:divBdr>
    </w:div>
    <w:div w:id="201212240">
      <w:bodyDiv w:val="1"/>
      <w:marLeft w:val="0"/>
      <w:marRight w:val="0"/>
      <w:marTop w:val="0"/>
      <w:marBottom w:val="0"/>
      <w:divBdr>
        <w:top w:val="none" w:sz="0" w:space="0" w:color="auto"/>
        <w:left w:val="none" w:sz="0" w:space="0" w:color="auto"/>
        <w:bottom w:val="none" w:sz="0" w:space="0" w:color="auto"/>
        <w:right w:val="none" w:sz="0" w:space="0" w:color="auto"/>
      </w:divBdr>
    </w:div>
    <w:div w:id="288050096">
      <w:bodyDiv w:val="1"/>
      <w:marLeft w:val="0"/>
      <w:marRight w:val="0"/>
      <w:marTop w:val="0"/>
      <w:marBottom w:val="0"/>
      <w:divBdr>
        <w:top w:val="none" w:sz="0" w:space="0" w:color="auto"/>
        <w:left w:val="none" w:sz="0" w:space="0" w:color="auto"/>
        <w:bottom w:val="none" w:sz="0" w:space="0" w:color="auto"/>
        <w:right w:val="none" w:sz="0" w:space="0" w:color="auto"/>
      </w:divBdr>
    </w:div>
    <w:div w:id="296378301">
      <w:bodyDiv w:val="1"/>
      <w:marLeft w:val="0"/>
      <w:marRight w:val="0"/>
      <w:marTop w:val="0"/>
      <w:marBottom w:val="0"/>
      <w:divBdr>
        <w:top w:val="none" w:sz="0" w:space="0" w:color="auto"/>
        <w:left w:val="none" w:sz="0" w:space="0" w:color="auto"/>
        <w:bottom w:val="none" w:sz="0" w:space="0" w:color="auto"/>
        <w:right w:val="none" w:sz="0" w:space="0" w:color="auto"/>
      </w:divBdr>
    </w:div>
    <w:div w:id="331033494">
      <w:bodyDiv w:val="1"/>
      <w:marLeft w:val="0"/>
      <w:marRight w:val="0"/>
      <w:marTop w:val="0"/>
      <w:marBottom w:val="0"/>
      <w:divBdr>
        <w:top w:val="none" w:sz="0" w:space="0" w:color="auto"/>
        <w:left w:val="none" w:sz="0" w:space="0" w:color="auto"/>
        <w:bottom w:val="none" w:sz="0" w:space="0" w:color="auto"/>
        <w:right w:val="none" w:sz="0" w:space="0" w:color="auto"/>
      </w:divBdr>
    </w:div>
    <w:div w:id="687560182">
      <w:bodyDiv w:val="1"/>
      <w:marLeft w:val="0"/>
      <w:marRight w:val="0"/>
      <w:marTop w:val="0"/>
      <w:marBottom w:val="0"/>
      <w:divBdr>
        <w:top w:val="none" w:sz="0" w:space="0" w:color="auto"/>
        <w:left w:val="none" w:sz="0" w:space="0" w:color="auto"/>
        <w:bottom w:val="none" w:sz="0" w:space="0" w:color="auto"/>
        <w:right w:val="none" w:sz="0" w:space="0" w:color="auto"/>
      </w:divBdr>
    </w:div>
    <w:div w:id="752238199">
      <w:bodyDiv w:val="1"/>
      <w:marLeft w:val="0"/>
      <w:marRight w:val="0"/>
      <w:marTop w:val="0"/>
      <w:marBottom w:val="0"/>
      <w:divBdr>
        <w:top w:val="none" w:sz="0" w:space="0" w:color="auto"/>
        <w:left w:val="none" w:sz="0" w:space="0" w:color="auto"/>
        <w:bottom w:val="none" w:sz="0" w:space="0" w:color="auto"/>
        <w:right w:val="none" w:sz="0" w:space="0" w:color="auto"/>
      </w:divBdr>
    </w:div>
    <w:div w:id="811823349">
      <w:bodyDiv w:val="1"/>
      <w:marLeft w:val="0"/>
      <w:marRight w:val="0"/>
      <w:marTop w:val="0"/>
      <w:marBottom w:val="0"/>
      <w:divBdr>
        <w:top w:val="none" w:sz="0" w:space="0" w:color="auto"/>
        <w:left w:val="none" w:sz="0" w:space="0" w:color="auto"/>
        <w:bottom w:val="none" w:sz="0" w:space="0" w:color="auto"/>
        <w:right w:val="none" w:sz="0" w:space="0" w:color="auto"/>
      </w:divBdr>
    </w:div>
    <w:div w:id="854147925">
      <w:bodyDiv w:val="1"/>
      <w:marLeft w:val="0"/>
      <w:marRight w:val="0"/>
      <w:marTop w:val="0"/>
      <w:marBottom w:val="0"/>
      <w:divBdr>
        <w:top w:val="none" w:sz="0" w:space="0" w:color="auto"/>
        <w:left w:val="none" w:sz="0" w:space="0" w:color="auto"/>
        <w:bottom w:val="none" w:sz="0" w:space="0" w:color="auto"/>
        <w:right w:val="none" w:sz="0" w:space="0" w:color="auto"/>
      </w:divBdr>
    </w:div>
    <w:div w:id="889195979">
      <w:bodyDiv w:val="1"/>
      <w:marLeft w:val="0"/>
      <w:marRight w:val="0"/>
      <w:marTop w:val="0"/>
      <w:marBottom w:val="0"/>
      <w:divBdr>
        <w:top w:val="none" w:sz="0" w:space="0" w:color="auto"/>
        <w:left w:val="none" w:sz="0" w:space="0" w:color="auto"/>
        <w:bottom w:val="none" w:sz="0" w:space="0" w:color="auto"/>
        <w:right w:val="none" w:sz="0" w:space="0" w:color="auto"/>
      </w:divBdr>
    </w:div>
    <w:div w:id="963847607">
      <w:bodyDiv w:val="1"/>
      <w:marLeft w:val="0"/>
      <w:marRight w:val="0"/>
      <w:marTop w:val="0"/>
      <w:marBottom w:val="0"/>
      <w:divBdr>
        <w:top w:val="none" w:sz="0" w:space="0" w:color="auto"/>
        <w:left w:val="none" w:sz="0" w:space="0" w:color="auto"/>
        <w:bottom w:val="none" w:sz="0" w:space="0" w:color="auto"/>
        <w:right w:val="none" w:sz="0" w:space="0" w:color="auto"/>
      </w:divBdr>
    </w:div>
    <w:div w:id="1156723675">
      <w:bodyDiv w:val="1"/>
      <w:marLeft w:val="0"/>
      <w:marRight w:val="0"/>
      <w:marTop w:val="0"/>
      <w:marBottom w:val="0"/>
      <w:divBdr>
        <w:top w:val="none" w:sz="0" w:space="0" w:color="auto"/>
        <w:left w:val="none" w:sz="0" w:space="0" w:color="auto"/>
        <w:bottom w:val="none" w:sz="0" w:space="0" w:color="auto"/>
        <w:right w:val="none" w:sz="0" w:space="0" w:color="auto"/>
      </w:divBdr>
    </w:div>
    <w:div w:id="1256013902">
      <w:bodyDiv w:val="1"/>
      <w:marLeft w:val="0"/>
      <w:marRight w:val="0"/>
      <w:marTop w:val="0"/>
      <w:marBottom w:val="0"/>
      <w:divBdr>
        <w:top w:val="none" w:sz="0" w:space="0" w:color="auto"/>
        <w:left w:val="none" w:sz="0" w:space="0" w:color="auto"/>
        <w:bottom w:val="none" w:sz="0" w:space="0" w:color="auto"/>
        <w:right w:val="none" w:sz="0" w:space="0" w:color="auto"/>
      </w:divBdr>
    </w:div>
    <w:div w:id="1371568978">
      <w:bodyDiv w:val="1"/>
      <w:marLeft w:val="0"/>
      <w:marRight w:val="0"/>
      <w:marTop w:val="0"/>
      <w:marBottom w:val="0"/>
      <w:divBdr>
        <w:top w:val="none" w:sz="0" w:space="0" w:color="auto"/>
        <w:left w:val="none" w:sz="0" w:space="0" w:color="auto"/>
        <w:bottom w:val="none" w:sz="0" w:space="0" w:color="auto"/>
        <w:right w:val="none" w:sz="0" w:space="0" w:color="auto"/>
      </w:divBdr>
    </w:div>
    <w:div w:id="1399211090">
      <w:bodyDiv w:val="1"/>
      <w:marLeft w:val="0"/>
      <w:marRight w:val="0"/>
      <w:marTop w:val="0"/>
      <w:marBottom w:val="0"/>
      <w:divBdr>
        <w:top w:val="none" w:sz="0" w:space="0" w:color="auto"/>
        <w:left w:val="none" w:sz="0" w:space="0" w:color="auto"/>
        <w:bottom w:val="none" w:sz="0" w:space="0" w:color="auto"/>
        <w:right w:val="none" w:sz="0" w:space="0" w:color="auto"/>
      </w:divBdr>
    </w:div>
    <w:div w:id="1441803213">
      <w:bodyDiv w:val="1"/>
      <w:marLeft w:val="0"/>
      <w:marRight w:val="0"/>
      <w:marTop w:val="0"/>
      <w:marBottom w:val="0"/>
      <w:divBdr>
        <w:top w:val="none" w:sz="0" w:space="0" w:color="auto"/>
        <w:left w:val="none" w:sz="0" w:space="0" w:color="auto"/>
        <w:bottom w:val="none" w:sz="0" w:space="0" w:color="auto"/>
        <w:right w:val="none" w:sz="0" w:space="0" w:color="auto"/>
      </w:divBdr>
    </w:div>
    <w:div w:id="1512791166">
      <w:bodyDiv w:val="1"/>
      <w:marLeft w:val="0"/>
      <w:marRight w:val="0"/>
      <w:marTop w:val="0"/>
      <w:marBottom w:val="0"/>
      <w:divBdr>
        <w:top w:val="none" w:sz="0" w:space="0" w:color="auto"/>
        <w:left w:val="none" w:sz="0" w:space="0" w:color="auto"/>
        <w:bottom w:val="none" w:sz="0" w:space="0" w:color="auto"/>
        <w:right w:val="none" w:sz="0" w:space="0" w:color="auto"/>
      </w:divBdr>
    </w:div>
    <w:div w:id="1588004988">
      <w:bodyDiv w:val="1"/>
      <w:marLeft w:val="0"/>
      <w:marRight w:val="0"/>
      <w:marTop w:val="0"/>
      <w:marBottom w:val="0"/>
      <w:divBdr>
        <w:top w:val="none" w:sz="0" w:space="0" w:color="auto"/>
        <w:left w:val="none" w:sz="0" w:space="0" w:color="auto"/>
        <w:bottom w:val="none" w:sz="0" w:space="0" w:color="auto"/>
        <w:right w:val="none" w:sz="0" w:space="0" w:color="auto"/>
      </w:divBdr>
    </w:div>
    <w:div w:id="1816527149">
      <w:bodyDiv w:val="1"/>
      <w:marLeft w:val="0"/>
      <w:marRight w:val="0"/>
      <w:marTop w:val="0"/>
      <w:marBottom w:val="0"/>
      <w:divBdr>
        <w:top w:val="none" w:sz="0" w:space="0" w:color="auto"/>
        <w:left w:val="none" w:sz="0" w:space="0" w:color="auto"/>
        <w:bottom w:val="none" w:sz="0" w:space="0" w:color="auto"/>
        <w:right w:val="none" w:sz="0" w:space="0" w:color="auto"/>
      </w:divBdr>
    </w:div>
    <w:div w:id="1929581086">
      <w:bodyDiv w:val="1"/>
      <w:marLeft w:val="0"/>
      <w:marRight w:val="0"/>
      <w:marTop w:val="0"/>
      <w:marBottom w:val="0"/>
      <w:divBdr>
        <w:top w:val="none" w:sz="0" w:space="0" w:color="auto"/>
        <w:left w:val="none" w:sz="0" w:space="0" w:color="auto"/>
        <w:bottom w:val="none" w:sz="0" w:space="0" w:color="auto"/>
        <w:right w:val="none" w:sz="0" w:space="0" w:color="auto"/>
      </w:divBdr>
    </w:div>
    <w:div w:id="1977759100">
      <w:bodyDiv w:val="1"/>
      <w:marLeft w:val="0"/>
      <w:marRight w:val="0"/>
      <w:marTop w:val="0"/>
      <w:marBottom w:val="0"/>
      <w:divBdr>
        <w:top w:val="none" w:sz="0" w:space="0" w:color="auto"/>
        <w:left w:val="none" w:sz="0" w:space="0" w:color="auto"/>
        <w:bottom w:val="none" w:sz="0" w:space="0" w:color="auto"/>
        <w:right w:val="none" w:sz="0" w:space="0" w:color="auto"/>
      </w:divBdr>
    </w:div>
    <w:div w:id="2071928175">
      <w:bodyDiv w:val="1"/>
      <w:marLeft w:val="0"/>
      <w:marRight w:val="0"/>
      <w:marTop w:val="0"/>
      <w:marBottom w:val="0"/>
      <w:divBdr>
        <w:top w:val="none" w:sz="0" w:space="0" w:color="auto"/>
        <w:left w:val="none" w:sz="0" w:space="0" w:color="auto"/>
        <w:bottom w:val="none" w:sz="0" w:space="0" w:color="auto"/>
        <w:right w:val="none" w:sz="0" w:space="0" w:color="auto"/>
      </w:divBdr>
    </w:div>
    <w:div w:id="2114587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dustrypanel@act.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0A545-74ED-4946-8A33-34FC15CE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Overview of Industry Panel's Draft Report - Factsheet</vt:lpstr>
    </vt:vector>
  </TitlesOfParts>
  <Company>ACT Government</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Industry Panel's Draft Report - Factsheet</dc:title>
  <dc:subject>Overview of Industry Panel's Draft Report - Factsheet</dc:subject>
  <dc:creator>Industry Panel Secretariat</dc:creator>
  <cp:keywords>Overview of Industry Panel's Draft Report - Factsheet</cp:keywords>
  <cp:lastModifiedBy>michelle abramovic</cp:lastModifiedBy>
  <cp:revision>5</cp:revision>
  <cp:lastPrinted>2014-11-23T20:32:00Z</cp:lastPrinted>
  <dcterms:created xsi:type="dcterms:W3CDTF">2014-11-26T02:56:00Z</dcterms:created>
  <dcterms:modified xsi:type="dcterms:W3CDTF">2014-12-02T22:38:00Z</dcterms:modified>
</cp:coreProperties>
</file>