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FE4" w:rsidRDefault="00CB5FE4">
      <w:pPr>
        <w:pStyle w:val="Heading1"/>
      </w:pPr>
      <w:r>
        <w:t>HOUSING ACT</w:t>
      </w:r>
    </w:p>
    <w:p w:rsidR="00CB5FE4" w:rsidRDefault="00CB5FE4" w:rsidP="00DC5B18">
      <w:pPr>
        <w:pStyle w:val="Heading3"/>
        <w:spacing w:after="120"/>
      </w:pPr>
      <w:r>
        <w:t>Purpose</w:t>
      </w:r>
    </w:p>
    <w:p w:rsidR="00CB5FE4" w:rsidRDefault="00CB5FE4">
      <w:pPr>
        <w:pStyle w:val="BodyText"/>
      </w:pPr>
      <w:r>
        <w:t>Housing ACT’s principal objective is to provide safe, affordable and appropriate housing that responds to the individual circumstances and needs</w:t>
      </w:r>
      <w:r w:rsidR="005E03E2">
        <w:t xml:space="preserve"> of low income and disadvantaged people in the community</w:t>
      </w:r>
      <w:r>
        <w:t xml:space="preserve">.  In doing so, Housing ACT helps to </w:t>
      </w:r>
      <w:r w:rsidR="00641685">
        <w:t xml:space="preserve">alleviate social isolation and disadvantage and build </w:t>
      </w:r>
      <w:r>
        <w:t xml:space="preserve">a safer, stronger and more </w:t>
      </w:r>
      <w:r w:rsidR="005E03E2">
        <w:t xml:space="preserve">inclusive and </w:t>
      </w:r>
      <w:r>
        <w:t xml:space="preserve">cohesive </w:t>
      </w:r>
      <w:r w:rsidR="00641685">
        <w:t>community</w:t>
      </w:r>
      <w:r>
        <w:t>.</w:t>
      </w:r>
    </w:p>
    <w:p w:rsidR="00CB5FE4" w:rsidRDefault="00CB5FE4">
      <w:pPr>
        <w:pStyle w:val="BodyText"/>
      </w:pPr>
      <w:r>
        <w:t xml:space="preserve">Housing ACT undertakes its activities in accordance with the Community Services Directorate’s </w:t>
      </w:r>
      <w:r w:rsidR="00B34F29" w:rsidRPr="00B34F29">
        <w:t>Strategic Plan 2012-2015</w:t>
      </w:r>
      <w:r>
        <w:t>, which is based around the following themes:</w:t>
      </w:r>
    </w:p>
    <w:p w:rsidR="00CB5FE4" w:rsidRPr="00573958" w:rsidRDefault="00B34F29" w:rsidP="00573958">
      <w:pPr>
        <w:pStyle w:val="BodyTextIndent"/>
      </w:pPr>
      <w:r w:rsidRPr="00B34F29">
        <w:t>a positive start</w:t>
      </w:r>
      <w:r w:rsidR="005E03E2">
        <w:t xml:space="preserve"> </w:t>
      </w:r>
      <w:r w:rsidR="00467391">
        <w:t>–</w:t>
      </w:r>
      <w:r w:rsidR="005E03E2">
        <w:t xml:space="preserve"> individuals and families receive services and support when they are needed</w:t>
      </w:r>
      <w:r w:rsidR="00CB5FE4" w:rsidRPr="00573958">
        <w:t>;</w:t>
      </w:r>
    </w:p>
    <w:p w:rsidR="00CB5FE4" w:rsidRPr="00573958" w:rsidRDefault="00B34F29" w:rsidP="00573958">
      <w:pPr>
        <w:pStyle w:val="BodyTextIndent"/>
      </w:pPr>
      <w:r w:rsidRPr="00B34F29">
        <w:t>support to learn and grow</w:t>
      </w:r>
      <w:r w:rsidR="005E03E2">
        <w:t xml:space="preserve"> – individuals and families have the skills, support and information to join in</w:t>
      </w:r>
      <w:r w:rsidR="00CB5FE4" w:rsidRPr="00573958">
        <w:t>;</w:t>
      </w:r>
    </w:p>
    <w:p w:rsidR="00CB5FE4" w:rsidRPr="00573958" w:rsidRDefault="00B34F29" w:rsidP="00573958">
      <w:pPr>
        <w:pStyle w:val="BodyTextIndent"/>
      </w:pPr>
      <w:r w:rsidRPr="00B34F29">
        <w:t>a productive life</w:t>
      </w:r>
      <w:r w:rsidR="005E03E2">
        <w:t xml:space="preserve"> – people of </w:t>
      </w:r>
      <w:smartTag w:uri="urn:schemas-microsoft-com:office:smarttags" w:element="place">
        <w:smartTag w:uri="urn:schemas-microsoft-com:office:smarttags" w:element="City">
          <w:r w:rsidR="005E03E2">
            <w:t>Canberra</w:t>
          </w:r>
        </w:smartTag>
      </w:smartTag>
      <w:r w:rsidR="005E03E2">
        <w:t xml:space="preserve"> are valued contributors to our community</w:t>
      </w:r>
      <w:r w:rsidR="00CB5FE4" w:rsidRPr="00573958">
        <w:t>;</w:t>
      </w:r>
    </w:p>
    <w:p w:rsidR="00CB5FE4" w:rsidRPr="00573958" w:rsidRDefault="00B34F29" w:rsidP="00573958">
      <w:pPr>
        <w:pStyle w:val="BodyTextIndent"/>
      </w:pPr>
      <w:r w:rsidRPr="00B34F29">
        <w:t>a connected community</w:t>
      </w:r>
      <w:r w:rsidR="005E03E2">
        <w:t xml:space="preserve"> – people of </w:t>
      </w:r>
      <w:smartTag w:uri="urn:schemas-microsoft-com:office:smarttags" w:element="place">
        <w:smartTag w:uri="urn:schemas-microsoft-com:office:smarttags" w:element="City">
          <w:r w:rsidR="005E03E2">
            <w:t>Canberra</w:t>
          </w:r>
        </w:smartTag>
      </w:smartTag>
      <w:r w:rsidR="005E03E2">
        <w:t xml:space="preserve"> come together to build a vibrant, resilient and connected community</w:t>
      </w:r>
      <w:r w:rsidR="00CB5FE4" w:rsidRPr="00573958">
        <w:t>; and</w:t>
      </w:r>
    </w:p>
    <w:p w:rsidR="00CB5FE4" w:rsidRPr="00573958" w:rsidRDefault="00B34F29" w:rsidP="00573958">
      <w:pPr>
        <w:pStyle w:val="BodyTextIndent"/>
      </w:pPr>
      <w:proofErr w:type="gramStart"/>
      <w:r w:rsidRPr="00B34F29">
        <w:t>a</w:t>
      </w:r>
      <w:proofErr w:type="gramEnd"/>
      <w:r w:rsidRPr="00B34F29">
        <w:t xml:space="preserve"> leading organisation</w:t>
      </w:r>
      <w:r w:rsidR="005E03E2">
        <w:t xml:space="preserve"> – leading the way we work for the people of </w:t>
      </w:r>
      <w:smartTag w:uri="urn:schemas-microsoft-com:office:smarttags" w:element="place">
        <w:smartTag w:uri="urn:schemas-microsoft-com:office:smarttags" w:element="City">
          <w:r w:rsidR="005E03E2">
            <w:t>Canberra</w:t>
          </w:r>
        </w:smartTag>
      </w:smartTag>
      <w:r w:rsidR="005E03E2">
        <w:t>.</w:t>
      </w:r>
    </w:p>
    <w:p w:rsidR="00CB5FE4" w:rsidRDefault="00CB5FE4">
      <w:pPr>
        <w:pStyle w:val="BodyText"/>
      </w:pPr>
      <w:r>
        <w:t>Through focussing on these themes, Housing ACT aims to ensur</w:t>
      </w:r>
      <w:r w:rsidR="005E03E2">
        <w:t xml:space="preserve">e </w:t>
      </w:r>
      <w:r>
        <w:t xml:space="preserve">that the </w:t>
      </w:r>
      <w:r w:rsidR="008D55E0">
        <w:t xml:space="preserve">focus </w:t>
      </w:r>
      <w:r>
        <w:t>on clients remains the highest</w:t>
      </w:r>
      <w:r w:rsidR="006E7B5B">
        <w:t xml:space="preserve"> priority</w:t>
      </w:r>
      <w:r w:rsidR="006521F2">
        <w:t xml:space="preserve"> and they have the best opportunity to reach their potential and participate fully in the community and the economy</w:t>
      </w:r>
      <w:r>
        <w:t>.</w:t>
      </w:r>
    </w:p>
    <w:p w:rsidR="00CB5FE4" w:rsidRDefault="00CB5FE4" w:rsidP="00DC5B18">
      <w:pPr>
        <w:pStyle w:val="Heading3"/>
        <w:spacing w:after="120"/>
      </w:pPr>
      <w:bookmarkStart w:id="0" w:name="OLE_LINK2"/>
      <w:r>
        <w:t>201</w:t>
      </w:r>
      <w:r w:rsidR="006E7B5B">
        <w:t>3-14</w:t>
      </w:r>
      <w:r>
        <w:t xml:space="preserve"> Priorities</w:t>
      </w:r>
      <w:bookmarkEnd w:id="0"/>
    </w:p>
    <w:p w:rsidR="00CB5FE4" w:rsidRDefault="0028042C">
      <w:pPr>
        <w:pStyle w:val="BodyText"/>
      </w:pPr>
      <w:r>
        <w:t xml:space="preserve">Strategic </w:t>
      </w:r>
      <w:r w:rsidR="00CB5FE4">
        <w:t>and operational issues to be pursued in 201</w:t>
      </w:r>
      <w:r w:rsidR="006E7B5B">
        <w:t>3-14</w:t>
      </w:r>
      <w:r w:rsidR="00CB5FE4">
        <w:t xml:space="preserve"> include:</w:t>
      </w:r>
    </w:p>
    <w:p w:rsidR="006521F2" w:rsidRPr="00D74B1E" w:rsidRDefault="006521F2" w:rsidP="006521F2">
      <w:pPr>
        <w:pStyle w:val="BodyTextIndent"/>
      </w:pPr>
      <w:r>
        <w:t>continuing to improve services to the most vulnerable and needy in the community, including expanding options for housing for the aged, the homeless and people with a disability</w:t>
      </w:r>
      <w:r w:rsidR="00CE14C9">
        <w:t xml:space="preserve">.  </w:t>
      </w:r>
      <w:r w:rsidR="00EF625F">
        <w:t>This includes</w:t>
      </w:r>
      <w:r w:rsidRPr="00D74B1E">
        <w:t xml:space="preserve"> the construction of a Common Ground </w:t>
      </w:r>
      <w:r w:rsidR="003A45CD">
        <w:t xml:space="preserve">Supportive Housing </w:t>
      </w:r>
      <w:r w:rsidRPr="00D74B1E">
        <w:t>facility in the ACT</w:t>
      </w:r>
      <w:r w:rsidR="00E007DF">
        <w:t xml:space="preserve"> </w:t>
      </w:r>
      <w:r w:rsidRPr="00D74B1E">
        <w:t>and the provision of supported housing for people with a disability;</w:t>
      </w:r>
    </w:p>
    <w:p w:rsidR="00CB5FE4" w:rsidRDefault="00CB5FE4" w:rsidP="00573958">
      <w:pPr>
        <w:pStyle w:val="BodyTextIndent"/>
      </w:pPr>
      <w:r>
        <w:t xml:space="preserve">continuing </w:t>
      </w:r>
      <w:r w:rsidR="008D55E0">
        <w:t xml:space="preserve">the </w:t>
      </w:r>
      <w:r>
        <w:t>implement</w:t>
      </w:r>
      <w:r w:rsidR="0028042C">
        <w:t xml:space="preserve">ation of </w:t>
      </w:r>
      <w:r>
        <w:t xml:space="preserve">the public housing asset management strategy to refurbish or replace public housing to better meet tenant needs, including </w:t>
      </w:r>
      <w:r w:rsidR="008D55E0">
        <w:t>to</w:t>
      </w:r>
      <w:r>
        <w:t xml:space="preserve"> redevelop multi</w:t>
      </w:r>
      <w:r>
        <w:noBreakHyphen/>
      </w:r>
      <w:proofErr w:type="spellStart"/>
      <w:r>
        <w:t>unit</w:t>
      </w:r>
      <w:proofErr w:type="spellEnd"/>
      <w:r>
        <w:t xml:space="preserve"> sites and re-hous</w:t>
      </w:r>
      <w:r w:rsidR="008D55E0">
        <w:t>e</w:t>
      </w:r>
      <w:r>
        <w:t xml:space="preserve"> </w:t>
      </w:r>
      <w:r w:rsidR="006521F2">
        <w:t xml:space="preserve">older </w:t>
      </w:r>
      <w:r>
        <w:t>tenants into more suitable housing;</w:t>
      </w:r>
    </w:p>
    <w:p w:rsidR="00BE1790" w:rsidRDefault="00BE1790" w:rsidP="00BE1790">
      <w:pPr>
        <w:pStyle w:val="BodyTextIndent"/>
        <w:ind w:left="357" w:hanging="357"/>
      </w:pPr>
      <w:r>
        <w:t>undertaking a range of works to improve the safety and security of elderly tenants living close to the city in larger multi-unit complexes;</w:t>
      </w:r>
    </w:p>
    <w:p w:rsidR="00BE1790" w:rsidRDefault="00BE1790" w:rsidP="00BE1790">
      <w:pPr>
        <w:pStyle w:val="BodyTextIndent"/>
      </w:pPr>
      <w:r>
        <w:t xml:space="preserve">continuing to undertake a range of works to improve the energy efficiency </w:t>
      </w:r>
      <w:r w:rsidR="00EF625F">
        <w:t xml:space="preserve"> and comfort </w:t>
      </w:r>
      <w:r>
        <w:t>of public housing, focussing on building improvement</w:t>
      </w:r>
      <w:r w:rsidR="009F52BE">
        <w:t xml:space="preserve">s </w:t>
      </w:r>
      <w:r w:rsidR="006E7B5B">
        <w:t xml:space="preserve">to </w:t>
      </w:r>
      <w:r w:rsidR="009F52BE">
        <w:t>reduc</w:t>
      </w:r>
      <w:r w:rsidR="006E7B5B">
        <w:t>e</w:t>
      </w:r>
      <w:r w:rsidR="009F52BE">
        <w:t xml:space="preserve"> draughts and heat loss</w:t>
      </w:r>
      <w:r w:rsidR="00EF625F">
        <w:t>;</w:t>
      </w:r>
    </w:p>
    <w:p w:rsidR="00312F4B" w:rsidRDefault="00CB5FE4" w:rsidP="00573958">
      <w:pPr>
        <w:pStyle w:val="BodyTextIndent"/>
      </w:pPr>
      <w:r>
        <w:t xml:space="preserve">improving services to Aboriginal and Torres Strait Islander families, </w:t>
      </w:r>
      <w:r w:rsidR="008D55E0">
        <w:t xml:space="preserve">including by </w:t>
      </w:r>
      <w:r w:rsidR="0028042C">
        <w:t>provid</w:t>
      </w:r>
      <w:r w:rsidR="006E7B5B">
        <w:t xml:space="preserve">ing </w:t>
      </w:r>
      <w:r w:rsidR="0028042C">
        <w:t xml:space="preserve">more </w:t>
      </w:r>
      <w:r>
        <w:t>culturally appropriate accommodation</w:t>
      </w:r>
      <w:r w:rsidR="006E7B5B">
        <w:t>.  In particular</w:t>
      </w:r>
      <w:r w:rsidR="00CE14C9">
        <w:t>,</w:t>
      </w:r>
      <w:r w:rsidR="006E7B5B">
        <w:t xml:space="preserve"> through the provision of purpose-built accommodation to house the elderly in the community</w:t>
      </w:r>
      <w:r>
        <w:t>;</w:t>
      </w:r>
      <w:r w:rsidR="00BE1790">
        <w:t xml:space="preserve"> </w:t>
      </w:r>
    </w:p>
    <w:p w:rsidR="00CB5FE4" w:rsidRDefault="006521F2" w:rsidP="006521F2">
      <w:pPr>
        <w:pStyle w:val="BodyTextIndent"/>
      </w:pPr>
      <w:r>
        <w:t>continuing to expand tenant employment programs in partnership with Spotless, Housing ACT’s maintenance contract manager; and</w:t>
      </w:r>
    </w:p>
    <w:p w:rsidR="00CB5FE4" w:rsidRDefault="00CE14C9" w:rsidP="00573958">
      <w:pPr>
        <w:pStyle w:val="BodyTextIndent"/>
      </w:pPr>
      <w:r>
        <w:t>continuing the upgrade</w:t>
      </w:r>
      <w:r w:rsidR="003005A8">
        <w:t xml:space="preserve"> </w:t>
      </w:r>
      <w:r w:rsidR="0048520C">
        <w:t>to the</w:t>
      </w:r>
      <w:r w:rsidR="00CB5FE4">
        <w:t xml:space="preserve"> Housing Information System (</w:t>
      </w:r>
      <w:proofErr w:type="spellStart"/>
      <w:r w:rsidR="00CB5FE4">
        <w:t>Homenet</w:t>
      </w:r>
      <w:proofErr w:type="spellEnd"/>
      <w:r w:rsidR="00CB5FE4">
        <w:t>).</w:t>
      </w:r>
    </w:p>
    <w:p w:rsidR="00CB5FE4" w:rsidRDefault="00CB5FE4" w:rsidP="00DC5B18">
      <w:pPr>
        <w:pStyle w:val="Heading3"/>
        <w:spacing w:after="120"/>
      </w:pPr>
      <w:r>
        <w:lastRenderedPageBreak/>
        <w:t>Business and Corporate Strategies</w:t>
      </w:r>
    </w:p>
    <w:p w:rsidR="00CB5FE4" w:rsidRDefault="00CB5FE4">
      <w:pPr>
        <w:pStyle w:val="BodyText"/>
      </w:pPr>
      <w:r>
        <w:t xml:space="preserve">In accordance with the </w:t>
      </w:r>
      <w:r>
        <w:rPr>
          <w:i/>
        </w:rPr>
        <w:t>S</w:t>
      </w:r>
      <w:r w:rsidR="009F52BE">
        <w:rPr>
          <w:i/>
        </w:rPr>
        <w:t>trategic Plan 2012-15</w:t>
      </w:r>
      <w:r>
        <w:t xml:space="preserve">, Housing ACT will implement </w:t>
      </w:r>
      <w:r w:rsidR="008B341B">
        <w:t xml:space="preserve">programs </w:t>
      </w:r>
      <w:r>
        <w:t xml:space="preserve">and direct resources towards reducing homelessness and social exclusion for </w:t>
      </w:r>
      <w:r w:rsidR="009F52BE">
        <w:t xml:space="preserve">some of the </w:t>
      </w:r>
      <w:r>
        <w:t xml:space="preserve">most vulnerable </w:t>
      </w:r>
      <w:r w:rsidR="009F52BE">
        <w:t xml:space="preserve">in the community, </w:t>
      </w:r>
      <w:r>
        <w:t>and thereby help to build a stronger and more inclusive and cohesive community.</w:t>
      </w:r>
    </w:p>
    <w:p w:rsidR="00CB5FE4" w:rsidRDefault="00CB5FE4">
      <w:pPr>
        <w:pStyle w:val="BodyText"/>
      </w:pPr>
      <w:r>
        <w:t>Housing ACT will focus on the outcomes of the tenant satisfaction surveys and increase participation by tenants and the community in policy development and service delivery.</w:t>
      </w:r>
    </w:p>
    <w:p w:rsidR="00CB5FE4" w:rsidRDefault="00CB5FE4">
      <w:pPr>
        <w:pStyle w:val="BodyText"/>
      </w:pPr>
      <w:r>
        <w:t>In conjunction with the upgrade of the new business system, Housing ACT will improve work flows and streamline business practices to further integrate business operations, achieve efficiencies and cost savings and provide better information.</w:t>
      </w:r>
    </w:p>
    <w:p w:rsidR="00CB5FE4" w:rsidRDefault="00CB5FE4" w:rsidP="00E82936">
      <w:pPr>
        <w:pStyle w:val="BodyText"/>
        <w:keepNext w:val="0"/>
      </w:pPr>
      <w:r>
        <w:t>Housing ACT will implement strategies to retain staff, strengthen the skills and professionalism of staff and encourage a work life balance.</w:t>
      </w:r>
    </w:p>
    <w:p w:rsidR="00CB5FE4" w:rsidRDefault="00CB5FE4" w:rsidP="00E82936">
      <w:pPr>
        <w:pStyle w:val="Heading3"/>
        <w:keepNext w:val="0"/>
        <w:widowControl w:val="0"/>
        <w:spacing w:after="120"/>
      </w:pPr>
      <w:r>
        <w:t>Estimated Employment Level</w:t>
      </w:r>
    </w:p>
    <w:tbl>
      <w:tblPr>
        <w:tblW w:w="9100" w:type="dxa"/>
        <w:tblCellMar>
          <w:left w:w="10" w:type="dxa"/>
          <w:right w:w="10" w:type="dxa"/>
        </w:tblCellMar>
        <w:tblLook w:val="0000"/>
      </w:tblPr>
      <w:tblGrid>
        <w:gridCol w:w="1639"/>
        <w:gridCol w:w="2543"/>
        <w:gridCol w:w="1639"/>
        <w:gridCol w:w="1640"/>
        <w:gridCol w:w="1639"/>
      </w:tblGrid>
      <w:tr w:rsidR="00CB5FE4">
        <w:trPr>
          <w:cantSplit/>
          <w:trHeight w:hRule="exact" w:val="510"/>
        </w:trPr>
        <w:tc>
          <w:tcPr>
            <w:tcW w:w="1644" w:type="dxa"/>
            <w:tcBorders>
              <w:top w:val="single" w:sz="4" w:space="0" w:color="auto"/>
              <w:left w:val="nil"/>
              <w:bottom w:val="single" w:sz="4" w:space="0" w:color="auto"/>
              <w:right w:val="nil"/>
            </w:tcBorders>
            <w:vAlign w:val="center"/>
          </w:tcPr>
          <w:p w:rsidR="00CB5FE4" w:rsidRDefault="00CB5FE4" w:rsidP="00E82936">
            <w:pPr>
              <w:pStyle w:val="TableTextRightBold-BP410pt"/>
              <w:widowControl w:val="0"/>
            </w:pPr>
            <w:r>
              <w:t>20</w:t>
            </w:r>
            <w:r w:rsidR="0028042C">
              <w:t>1</w:t>
            </w:r>
            <w:r w:rsidR="00312F4B">
              <w:t>1</w:t>
            </w:r>
            <w:r w:rsidR="0028042C">
              <w:t>-1</w:t>
            </w:r>
            <w:r w:rsidR="00312F4B">
              <w:t>2</w:t>
            </w:r>
          </w:p>
          <w:p w:rsidR="00CB5FE4" w:rsidRDefault="00CB5FE4" w:rsidP="00E82936">
            <w:pPr>
              <w:pStyle w:val="TableTextRightBold-BP410pt"/>
              <w:widowControl w:val="0"/>
            </w:pPr>
            <w:r>
              <w:t xml:space="preserve">Actual Outcome </w:t>
            </w:r>
          </w:p>
        </w:tc>
        <w:tc>
          <w:tcPr>
            <w:tcW w:w="2552" w:type="dxa"/>
            <w:tcBorders>
              <w:top w:val="single" w:sz="4" w:space="0" w:color="auto"/>
              <w:left w:val="nil"/>
              <w:bottom w:val="single" w:sz="4" w:space="0" w:color="auto"/>
              <w:right w:val="nil"/>
            </w:tcBorders>
            <w:vAlign w:val="center"/>
          </w:tcPr>
          <w:p w:rsidR="00CB5FE4" w:rsidRDefault="00CB5FE4" w:rsidP="00E82936">
            <w:pPr>
              <w:pStyle w:val="TableTextRightBold-BP410pt"/>
              <w:widowControl w:val="0"/>
              <w:rPr>
                <w:bCs/>
              </w:rPr>
            </w:pPr>
          </w:p>
        </w:tc>
        <w:tc>
          <w:tcPr>
            <w:tcW w:w="1644" w:type="dxa"/>
            <w:tcBorders>
              <w:top w:val="single" w:sz="4" w:space="0" w:color="auto"/>
              <w:left w:val="nil"/>
              <w:bottom w:val="single" w:sz="4" w:space="0" w:color="auto"/>
              <w:right w:val="nil"/>
            </w:tcBorders>
            <w:vAlign w:val="center"/>
          </w:tcPr>
          <w:p w:rsidR="00CB5FE4" w:rsidRDefault="00CB5FE4" w:rsidP="00E82936">
            <w:pPr>
              <w:pStyle w:val="TableTextRightBold-BP410pt"/>
              <w:widowControl w:val="0"/>
            </w:pPr>
            <w:r>
              <w:t>201</w:t>
            </w:r>
            <w:r w:rsidR="00312F4B">
              <w:t>2</w:t>
            </w:r>
            <w:r w:rsidR="0028042C">
              <w:t>-1</w:t>
            </w:r>
            <w:r w:rsidR="00312F4B">
              <w:t>3</w:t>
            </w:r>
          </w:p>
          <w:p w:rsidR="00CB5FE4" w:rsidRDefault="00CB5FE4" w:rsidP="00E82936">
            <w:pPr>
              <w:pStyle w:val="TableTextRightBold-BP410pt"/>
              <w:widowControl w:val="0"/>
            </w:pPr>
            <w:r>
              <w:t>Budget</w:t>
            </w:r>
          </w:p>
          <w:p w:rsidR="00CB5FE4" w:rsidRDefault="00CB5FE4" w:rsidP="00E82936">
            <w:pPr>
              <w:pStyle w:val="TableTextRightBold-BP410pt"/>
              <w:widowControl w:val="0"/>
            </w:pPr>
          </w:p>
        </w:tc>
        <w:tc>
          <w:tcPr>
            <w:tcW w:w="1644" w:type="dxa"/>
            <w:tcBorders>
              <w:top w:val="single" w:sz="4" w:space="0" w:color="auto"/>
              <w:left w:val="nil"/>
              <w:bottom w:val="single" w:sz="4" w:space="0" w:color="auto"/>
              <w:right w:val="nil"/>
            </w:tcBorders>
            <w:vAlign w:val="center"/>
          </w:tcPr>
          <w:p w:rsidR="00CB5FE4" w:rsidRPr="00FD3AE5" w:rsidRDefault="00CB5FE4" w:rsidP="00E82936">
            <w:pPr>
              <w:pStyle w:val="TableTextRightBold-BP410pt"/>
              <w:widowControl w:val="0"/>
              <w:rPr>
                <w:rFonts w:asciiTheme="minorHAnsi" w:hAnsiTheme="minorHAnsi"/>
              </w:rPr>
            </w:pPr>
            <w:r w:rsidRPr="00FD3AE5">
              <w:rPr>
                <w:rFonts w:asciiTheme="minorHAnsi" w:hAnsiTheme="minorHAnsi"/>
              </w:rPr>
              <w:t>201</w:t>
            </w:r>
            <w:r w:rsidR="00312F4B" w:rsidRPr="00FD3AE5">
              <w:rPr>
                <w:rFonts w:asciiTheme="minorHAnsi" w:hAnsiTheme="minorHAnsi"/>
              </w:rPr>
              <w:t>2</w:t>
            </w:r>
            <w:r w:rsidR="0028042C" w:rsidRPr="00FD3AE5">
              <w:rPr>
                <w:rFonts w:asciiTheme="minorHAnsi" w:hAnsiTheme="minorHAnsi"/>
              </w:rPr>
              <w:t>-1</w:t>
            </w:r>
            <w:r w:rsidR="00312F4B" w:rsidRPr="00FD3AE5">
              <w:rPr>
                <w:rFonts w:asciiTheme="minorHAnsi" w:hAnsiTheme="minorHAnsi"/>
              </w:rPr>
              <w:t>3</w:t>
            </w:r>
          </w:p>
          <w:p w:rsidR="00CB5FE4" w:rsidRPr="00FD3AE5" w:rsidRDefault="00CB5FE4" w:rsidP="00E82936">
            <w:pPr>
              <w:pStyle w:val="TableTextRightBold-BP410pt"/>
              <w:widowControl w:val="0"/>
              <w:rPr>
                <w:rFonts w:asciiTheme="minorHAnsi" w:hAnsiTheme="minorHAnsi"/>
              </w:rPr>
            </w:pPr>
            <w:r w:rsidRPr="00FD3AE5">
              <w:rPr>
                <w:rFonts w:asciiTheme="minorHAnsi" w:hAnsiTheme="minorHAnsi"/>
              </w:rPr>
              <w:t>Est.  Outcome</w:t>
            </w:r>
          </w:p>
          <w:p w:rsidR="00CB5FE4" w:rsidRPr="00FD3AE5" w:rsidRDefault="00CB5FE4" w:rsidP="00E82936">
            <w:pPr>
              <w:pStyle w:val="TableTextRightBold-BP410pt"/>
              <w:widowControl w:val="0"/>
              <w:rPr>
                <w:rFonts w:asciiTheme="minorHAnsi" w:hAnsiTheme="minorHAnsi"/>
              </w:rPr>
            </w:pPr>
          </w:p>
        </w:tc>
        <w:tc>
          <w:tcPr>
            <w:tcW w:w="1644" w:type="dxa"/>
            <w:tcBorders>
              <w:top w:val="single" w:sz="4" w:space="0" w:color="auto"/>
              <w:left w:val="nil"/>
              <w:bottom w:val="single" w:sz="4" w:space="0" w:color="auto"/>
              <w:right w:val="nil"/>
            </w:tcBorders>
            <w:vAlign w:val="center"/>
          </w:tcPr>
          <w:p w:rsidR="00CB5FE4" w:rsidRPr="00FD3AE5" w:rsidRDefault="00CB5FE4" w:rsidP="00E82936">
            <w:pPr>
              <w:pStyle w:val="TableTextRightBold-BP410pt"/>
              <w:widowControl w:val="0"/>
              <w:rPr>
                <w:rFonts w:asciiTheme="minorHAnsi" w:hAnsiTheme="minorHAnsi"/>
              </w:rPr>
            </w:pPr>
            <w:r w:rsidRPr="00FD3AE5">
              <w:rPr>
                <w:rFonts w:asciiTheme="minorHAnsi" w:hAnsiTheme="minorHAnsi"/>
              </w:rPr>
              <w:t>201</w:t>
            </w:r>
            <w:r w:rsidR="00312F4B" w:rsidRPr="00FD3AE5">
              <w:rPr>
                <w:rFonts w:asciiTheme="minorHAnsi" w:hAnsiTheme="minorHAnsi"/>
              </w:rPr>
              <w:t>3-14</w:t>
            </w:r>
          </w:p>
          <w:p w:rsidR="00CB5FE4" w:rsidRPr="00FD3AE5" w:rsidRDefault="00CB5FE4" w:rsidP="00E82936">
            <w:pPr>
              <w:pStyle w:val="TableTextRightBold-BP410pt"/>
              <w:widowControl w:val="0"/>
              <w:rPr>
                <w:rFonts w:asciiTheme="minorHAnsi" w:hAnsiTheme="minorHAnsi"/>
              </w:rPr>
            </w:pPr>
            <w:r w:rsidRPr="00FD3AE5">
              <w:rPr>
                <w:rFonts w:asciiTheme="minorHAnsi" w:hAnsiTheme="minorHAnsi"/>
              </w:rPr>
              <w:t>Budget</w:t>
            </w:r>
          </w:p>
          <w:p w:rsidR="00CB5FE4" w:rsidRPr="00FD3AE5" w:rsidRDefault="00CB5FE4" w:rsidP="00E82936">
            <w:pPr>
              <w:pStyle w:val="TableTextRightBold-BP410pt"/>
              <w:widowControl w:val="0"/>
              <w:rPr>
                <w:rFonts w:asciiTheme="minorHAnsi" w:hAnsiTheme="minorHAnsi"/>
              </w:rPr>
            </w:pPr>
          </w:p>
        </w:tc>
      </w:tr>
      <w:tr w:rsidR="00CB5FE4" w:rsidRPr="00D74B1E">
        <w:trPr>
          <w:cantSplit/>
          <w:trHeight w:hRule="exact" w:val="370"/>
        </w:trPr>
        <w:tc>
          <w:tcPr>
            <w:tcW w:w="1644" w:type="dxa"/>
            <w:tcBorders>
              <w:top w:val="single" w:sz="4" w:space="0" w:color="auto"/>
              <w:left w:val="nil"/>
              <w:bottom w:val="single" w:sz="4" w:space="0" w:color="auto"/>
              <w:right w:val="nil"/>
            </w:tcBorders>
            <w:vAlign w:val="center"/>
          </w:tcPr>
          <w:p w:rsidR="00CB5FE4" w:rsidRPr="00D74B1E" w:rsidRDefault="0028042C" w:rsidP="00E82936">
            <w:pPr>
              <w:pStyle w:val="TableTextRight-BP410pt"/>
              <w:widowControl w:val="0"/>
              <w:spacing w:before="20" w:after="20"/>
            </w:pPr>
            <w:r w:rsidRPr="00D74B1E">
              <w:t>2</w:t>
            </w:r>
            <w:r w:rsidR="00312F4B" w:rsidRPr="00D74B1E">
              <w:t>45</w:t>
            </w:r>
          </w:p>
        </w:tc>
        <w:tc>
          <w:tcPr>
            <w:tcW w:w="2552" w:type="dxa"/>
            <w:tcBorders>
              <w:top w:val="single" w:sz="4" w:space="0" w:color="auto"/>
              <w:left w:val="nil"/>
              <w:bottom w:val="single" w:sz="4" w:space="0" w:color="auto"/>
              <w:right w:val="nil"/>
            </w:tcBorders>
            <w:vAlign w:val="center"/>
          </w:tcPr>
          <w:p w:rsidR="00CB5FE4" w:rsidRPr="00D74B1E" w:rsidRDefault="00CB5FE4" w:rsidP="00E82936">
            <w:pPr>
              <w:pStyle w:val="TableTextLeftBold-BP410pt"/>
              <w:widowControl w:val="0"/>
              <w:spacing w:before="20" w:after="20"/>
              <w:ind w:firstLine="62"/>
            </w:pPr>
            <w:r w:rsidRPr="00D74B1E">
              <w:t xml:space="preserve">Staffing (FTE) </w:t>
            </w:r>
          </w:p>
        </w:tc>
        <w:tc>
          <w:tcPr>
            <w:tcW w:w="1644" w:type="dxa"/>
            <w:tcBorders>
              <w:top w:val="single" w:sz="4" w:space="0" w:color="auto"/>
              <w:left w:val="nil"/>
              <w:bottom w:val="single" w:sz="4" w:space="0" w:color="auto"/>
              <w:right w:val="nil"/>
            </w:tcBorders>
            <w:vAlign w:val="center"/>
          </w:tcPr>
          <w:p w:rsidR="00CB5FE4" w:rsidRPr="00D74B1E" w:rsidRDefault="00CB5FE4" w:rsidP="00E82936">
            <w:pPr>
              <w:pStyle w:val="TableTextRight-BP410pt"/>
              <w:widowControl w:val="0"/>
              <w:spacing w:before="20" w:after="20"/>
            </w:pPr>
            <w:r w:rsidRPr="00D74B1E">
              <w:t>23</w:t>
            </w:r>
            <w:r w:rsidR="00EB3CBB" w:rsidRPr="00D74B1E">
              <w:t>1</w:t>
            </w:r>
          </w:p>
        </w:tc>
        <w:tc>
          <w:tcPr>
            <w:tcW w:w="1644" w:type="dxa"/>
            <w:tcBorders>
              <w:top w:val="single" w:sz="4" w:space="0" w:color="auto"/>
              <w:left w:val="nil"/>
              <w:bottom w:val="single" w:sz="4" w:space="0" w:color="auto"/>
              <w:right w:val="nil"/>
            </w:tcBorders>
            <w:vAlign w:val="center"/>
          </w:tcPr>
          <w:p w:rsidR="00CB5FE4" w:rsidRPr="00D74B1E" w:rsidRDefault="0028042C" w:rsidP="00E82936">
            <w:pPr>
              <w:pStyle w:val="TableTextRight-BP410pt"/>
              <w:widowControl w:val="0"/>
              <w:spacing w:before="20" w:after="20"/>
            </w:pPr>
            <w:r w:rsidRPr="00D74B1E">
              <w:t>23</w:t>
            </w:r>
            <w:r w:rsidR="00EB3CBB" w:rsidRPr="00D74B1E">
              <w:t>1</w:t>
            </w:r>
            <w:r w:rsidR="00BF282A" w:rsidRPr="00FD3AE5">
              <w:rPr>
                <w:rFonts w:asciiTheme="minorHAnsi" w:hAnsiTheme="minorHAnsi"/>
                <w:vertAlign w:val="superscript"/>
              </w:rPr>
              <w:t>1</w:t>
            </w:r>
          </w:p>
        </w:tc>
        <w:tc>
          <w:tcPr>
            <w:tcW w:w="1644" w:type="dxa"/>
            <w:tcBorders>
              <w:top w:val="single" w:sz="4" w:space="0" w:color="auto"/>
              <w:left w:val="nil"/>
              <w:bottom w:val="single" w:sz="4" w:space="0" w:color="auto"/>
              <w:right w:val="nil"/>
            </w:tcBorders>
            <w:vAlign w:val="center"/>
          </w:tcPr>
          <w:p w:rsidR="00CB5FE4" w:rsidRPr="00D74B1E" w:rsidRDefault="00CB5FE4" w:rsidP="00E82936">
            <w:pPr>
              <w:pStyle w:val="TableTextRight-BP410pt"/>
              <w:widowControl w:val="0"/>
              <w:spacing w:before="20" w:after="20"/>
            </w:pPr>
            <w:r w:rsidRPr="00D74B1E">
              <w:t>23</w:t>
            </w:r>
            <w:r w:rsidR="006D03C4" w:rsidRPr="00D74B1E">
              <w:t>2</w:t>
            </w:r>
          </w:p>
        </w:tc>
      </w:tr>
    </w:tbl>
    <w:p w:rsidR="00CB5FE4" w:rsidRDefault="00CB5FE4" w:rsidP="00E82936">
      <w:pPr>
        <w:pStyle w:val="Noteheading"/>
        <w:widowControl w:val="0"/>
        <w:rPr>
          <w:sz w:val="16"/>
          <w:szCs w:val="16"/>
        </w:rPr>
      </w:pPr>
      <w:r>
        <w:rPr>
          <w:sz w:val="16"/>
          <w:szCs w:val="16"/>
        </w:rPr>
        <w:t>Note:</w:t>
      </w:r>
    </w:p>
    <w:p w:rsidR="00CB5FE4" w:rsidRDefault="00CB5FE4" w:rsidP="00E82936">
      <w:pPr>
        <w:pStyle w:val="AINotes"/>
        <w:widowControl w:val="0"/>
      </w:pPr>
      <w:r>
        <w:t xml:space="preserve">The </w:t>
      </w:r>
      <w:r w:rsidR="00467391">
        <w:t xml:space="preserve">2012-13 </w:t>
      </w:r>
      <w:r>
        <w:t xml:space="preserve">estimated </w:t>
      </w:r>
      <w:proofErr w:type="gramStart"/>
      <w:r>
        <w:t>outcome</w:t>
      </w:r>
      <w:proofErr w:type="gramEnd"/>
      <w:r>
        <w:t xml:space="preserve"> excludes contract staff occupying temporary vacant positions whilst recruitment is pending.</w:t>
      </w:r>
    </w:p>
    <w:p w:rsidR="00D62A7F" w:rsidRDefault="00D62A7F" w:rsidP="00070844">
      <w:pPr>
        <w:pStyle w:val="Heading3"/>
        <w:keepNext w:val="0"/>
        <w:widowControl w:val="0"/>
        <w:spacing w:before="0" w:after="0"/>
      </w:pPr>
    </w:p>
    <w:p w:rsidR="001A459D" w:rsidRDefault="001A459D" w:rsidP="00E82936">
      <w:pPr>
        <w:pStyle w:val="Heading3"/>
        <w:keepNext w:val="0"/>
        <w:widowControl w:val="0"/>
      </w:pPr>
      <w:r w:rsidRPr="0024759D">
        <w:t>Strategic Objectives and Indicators</w:t>
      </w:r>
    </w:p>
    <w:p w:rsidR="001A459D" w:rsidRPr="001F5692" w:rsidRDefault="001A459D" w:rsidP="00E82936">
      <w:pPr>
        <w:pStyle w:val="SIHeading1"/>
        <w:keepNext w:val="0"/>
        <w:widowControl w:val="0"/>
      </w:pPr>
      <w:r w:rsidRPr="001F5692">
        <w:t>Strategic Objective 1</w:t>
      </w:r>
    </w:p>
    <w:p w:rsidR="001A459D" w:rsidRPr="001F5692" w:rsidRDefault="001A459D" w:rsidP="00E82936">
      <w:pPr>
        <w:pStyle w:val="SIHeading2"/>
        <w:keepNext w:val="0"/>
        <w:widowControl w:val="0"/>
      </w:pPr>
      <w:r w:rsidRPr="001F5692">
        <w:t>Appropriately Housing People Most in Need</w:t>
      </w:r>
    </w:p>
    <w:p w:rsidR="001A459D" w:rsidRDefault="001A459D" w:rsidP="00E82936">
      <w:pPr>
        <w:pStyle w:val="BodyText"/>
        <w:keepNext w:val="0"/>
        <w:widowControl w:val="0"/>
      </w:pPr>
      <w:r>
        <w:t>Housing ACT continues to target housing assistance to those most in need in the community</w:t>
      </w:r>
      <w:r w:rsidR="00FD3AE5">
        <w:t>.  T</w:t>
      </w:r>
      <w:r>
        <w:t xml:space="preserve">his housing assistance </w:t>
      </w:r>
      <w:r w:rsidR="00265DAF">
        <w:t>help</w:t>
      </w:r>
      <w:r w:rsidR="0066271A">
        <w:t>s</w:t>
      </w:r>
      <w:r w:rsidR="00265DAF">
        <w:t xml:space="preserve"> </w:t>
      </w:r>
      <w:r>
        <w:t>reduce social isolation and disadvantage and build a safer, healthy, more inclusive and cohesive community.</w:t>
      </w:r>
    </w:p>
    <w:p w:rsidR="001A459D" w:rsidRDefault="001A459D" w:rsidP="00E82936">
      <w:pPr>
        <w:pStyle w:val="SIHeading1"/>
        <w:keepNext w:val="0"/>
        <w:widowControl w:val="0"/>
        <w:jc w:val="left"/>
        <w:rPr>
          <w:b w:val="0"/>
        </w:rPr>
      </w:pPr>
      <w:r>
        <w:t xml:space="preserve">Strategic Indicator 1:  </w:t>
      </w:r>
      <w:r w:rsidR="00491109">
        <w:rPr>
          <w:rStyle w:val="SIHeading2Char"/>
          <w:b w:val="0"/>
        </w:rPr>
        <w:t>Of A</w:t>
      </w:r>
      <w:r>
        <w:rPr>
          <w:rStyle w:val="SIHeading2Char"/>
          <w:b w:val="0"/>
        </w:rPr>
        <w:t xml:space="preserve">ll </w:t>
      </w:r>
      <w:r w:rsidR="00491109">
        <w:rPr>
          <w:rStyle w:val="SIHeading2Char"/>
          <w:b w:val="0"/>
        </w:rPr>
        <w:t>New Households that were Allocated within Three M</w:t>
      </w:r>
      <w:r>
        <w:rPr>
          <w:rStyle w:val="SIHeading2Char"/>
          <w:b w:val="0"/>
        </w:rPr>
        <w:t>onths, t</w:t>
      </w:r>
      <w:r w:rsidR="00491109">
        <w:rPr>
          <w:rStyle w:val="SIHeading2Char"/>
          <w:b w:val="0"/>
        </w:rPr>
        <w:t>he Proportion that was in G</w:t>
      </w:r>
      <w:r>
        <w:rPr>
          <w:rStyle w:val="SIHeading2Char"/>
          <w:b w:val="0"/>
        </w:rPr>
        <w:t xml:space="preserve">reatest </w:t>
      </w:r>
      <w:r w:rsidR="00491109">
        <w:rPr>
          <w:rStyle w:val="SIHeading2Char"/>
          <w:b w:val="0"/>
        </w:rPr>
        <w:t>N</w:t>
      </w:r>
      <w:r>
        <w:rPr>
          <w:rStyle w:val="SIHeading2Char"/>
          <w:b w:val="0"/>
        </w:rPr>
        <w:t>eed</w:t>
      </w:r>
    </w:p>
    <w:p w:rsidR="00D62A7F" w:rsidRDefault="001A459D" w:rsidP="00D62A7F">
      <w:pPr>
        <w:pStyle w:val="BodyText"/>
        <w:keepNext w:val="0"/>
        <w:widowControl w:val="0"/>
        <w:jc w:val="left"/>
      </w:pPr>
      <w:r>
        <w:t>This indicator demonstrates the focus on allocati</w:t>
      </w:r>
      <w:r w:rsidR="0066271A">
        <w:t xml:space="preserve">ng housing to </w:t>
      </w:r>
      <w:r>
        <w:t xml:space="preserve">those most in need. It measures the proportion of those housed within three months that were in the greatest need. </w:t>
      </w:r>
      <w:r w:rsidR="00630DFA">
        <w:t xml:space="preserve"> </w:t>
      </w:r>
      <w:r>
        <w:t>Needs may include homelessness</w:t>
      </w:r>
      <w:r w:rsidR="00C245E6">
        <w:t>,</w:t>
      </w:r>
      <w:r>
        <w:t xml:space="preserve"> having mental health issues, serious medical issues or a disability, where natural support systems are at risk of breaking down</w:t>
      </w:r>
      <w:r w:rsidR="00C245E6">
        <w:t xml:space="preserve">, and women </w:t>
      </w:r>
      <w:r>
        <w:t>escaping</w:t>
      </w:r>
      <w:r w:rsidR="00C245E6">
        <w:t> </w:t>
      </w:r>
      <w:r>
        <w:t>domestic</w:t>
      </w:r>
      <w:r w:rsidR="00C245E6">
        <w:t> </w:t>
      </w:r>
      <w:r>
        <w:t>violence.</w:t>
      </w:r>
    </w:p>
    <w:p w:rsidR="00EF625F" w:rsidRDefault="00F3407D" w:rsidP="00D62A7F">
      <w:pPr>
        <w:pStyle w:val="BodyText"/>
        <w:keepNext w:val="0"/>
        <w:widowControl w:val="0"/>
        <w:jc w:val="center"/>
      </w:pPr>
      <w:r>
        <w:rPr>
          <w:noProof/>
          <w:lang w:eastAsia="en-AU"/>
        </w:rPr>
        <w:lastRenderedPageBreak/>
        <w:drawing>
          <wp:inline distT="0" distB="0" distL="0" distR="0">
            <wp:extent cx="5162550" cy="2023324"/>
            <wp:effectExtent l="19050" t="19050" r="19050" b="15026"/>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71720" cy="2026918"/>
                    </a:xfrm>
                    <a:prstGeom prst="rect">
                      <a:avLst/>
                    </a:prstGeom>
                    <a:noFill/>
                    <a:ln>
                      <a:solidFill>
                        <a:schemeClr val="tx1"/>
                      </a:solidFill>
                    </a:ln>
                  </pic:spPr>
                </pic:pic>
              </a:graphicData>
            </a:graphic>
          </wp:inline>
        </w:drawing>
      </w:r>
    </w:p>
    <w:p w:rsidR="001A459D" w:rsidRDefault="001A459D" w:rsidP="00E82936">
      <w:pPr>
        <w:pStyle w:val="SIHeading1"/>
        <w:keepNext w:val="0"/>
        <w:widowControl w:val="0"/>
      </w:pPr>
      <w:r>
        <w:t>Strategic Objective 2</w:t>
      </w:r>
    </w:p>
    <w:p w:rsidR="001A459D" w:rsidRDefault="001A459D" w:rsidP="00E82936">
      <w:pPr>
        <w:pStyle w:val="SIHeading2"/>
        <w:keepNext w:val="0"/>
        <w:widowControl w:val="0"/>
      </w:pPr>
      <w:r>
        <w:t>Access to Safe, Affordable and Sustainable Housing that Contributes to Social and Economic Participation</w:t>
      </w:r>
    </w:p>
    <w:p w:rsidR="001A459D" w:rsidRDefault="001A459D" w:rsidP="00E82936">
      <w:pPr>
        <w:pStyle w:val="BodyText"/>
        <w:keepNext w:val="0"/>
        <w:widowControl w:val="0"/>
      </w:pPr>
      <w:r w:rsidRPr="003A1699">
        <w:t xml:space="preserve">Housing ACT aims to assist tenants to participate more fully in the community and achieve their potential.  </w:t>
      </w:r>
      <w:r w:rsidR="00265DAF" w:rsidRPr="003A1699">
        <w:t xml:space="preserve">Working in partnership with specialist homelessness service providers, Housing ACT </w:t>
      </w:r>
      <w:r w:rsidR="00265DAF">
        <w:t xml:space="preserve">enables vulnerable people to build </w:t>
      </w:r>
      <w:r w:rsidR="00265DAF" w:rsidRPr="003A1699">
        <w:t xml:space="preserve">foundation </w:t>
      </w:r>
      <w:r w:rsidR="00265DAF">
        <w:t>life-</w:t>
      </w:r>
      <w:r w:rsidR="00265DAF" w:rsidRPr="003A1699">
        <w:t>skills and improve social inclusion</w:t>
      </w:r>
      <w:r w:rsidR="0066271A">
        <w:t>,</w:t>
      </w:r>
      <w:r w:rsidR="00265DAF" w:rsidRPr="003A1699">
        <w:t xml:space="preserve"> with the aim of assisting homeless and vulnerable families to secure appropriate long-term accommodation </w:t>
      </w:r>
      <w:r w:rsidR="00265DAF">
        <w:t xml:space="preserve">and </w:t>
      </w:r>
      <w:r w:rsidR="00265DAF" w:rsidRPr="003A1699">
        <w:t xml:space="preserve">support </w:t>
      </w:r>
      <w:r w:rsidR="00EB133D">
        <w:t xml:space="preserve">that will </w:t>
      </w:r>
      <w:r w:rsidR="00265DAF" w:rsidRPr="003A1699">
        <w:t>enable them to sustain their tenancy.</w:t>
      </w:r>
      <w:r w:rsidR="00265DAF">
        <w:t xml:space="preserve">  </w:t>
      </w:r>
      <w:r>
        <w:t xml:space="preserve">In particular, Housing ACT has streamlined access to housing, homelessness and support services, </w:t>
      </w:r>
      <w:r w:rsidRPr="003A1699">
        <w:t>provid</w:t>
      </w:r>
      <w:r w:rsidR="00EB133D">
        <w:t xml:space="preserve">es </w:t>
      </w:r>
      <w:r w:rsidRPr="003A1699">
        <w:t>transitional housing as a crisis response</w:t>
      </w:r>
      <w:r w:rsidR="003A76F4">
        <w:t xml:space="preserve"> as well as providing </w:t>
      </w:r>
      <w:r>
        <w:t>housing to enable homeless people or people at risk of becoming homeless</w:t>
      </w:r>
      <w:r w:rsidR="007E7F13">
        <w:t>,</w:t>
      </w:r>
      <w:r>
        <w:t xml:space="preserve"> the opportunity to </w:t>
      </w:r>
      <w:r w:rsidR="00EB133D">
        <w:t>secure housing that best</w:t>
      </w:r>
      <w:r w:rsidR="007E7F13">
        <w:t xml:space="preserve"> suits their needs.</w:t>
      </w:r>
    </w:p>
    <w:p w:rsidR="001A459D" w:rsidRDefault="001A459D" w:rsidP="00E82936">
      <w:pPr>
        <w:pStyle w:val="SIHeading1"/>
        <w:keepNext w:val="0"/>
        <w:widowControl w:val="0"/>
        <w:jc w:val="left"/>
      </w:pPr>
      <w:r>
        <w:t xml:space="preserve">Strategic Indicator 2:  </w:t>
      </w:r>
      <w:r w:rsidRPr="00AE672E">
        <w:rPr>
          <w:b w:val="0"/>
        </w:rPr>
        <w:t>Providing Tenants with the Opportunity to be Part of the Community</w:t>
      </w:r>
    </w:p>
    <w:p w:rsidR="001A459D" w:rsidRDefault="001A459D" w:rsidP="00E53A01">
      <w:pPr>
        <w:pStyle w:val="BodyText"/>
        <w:keepNext w:val="0"/>
        <w:widowControl w:val="0"/>
        <w:spacing w:after="200"/>
      </w:pPr>
      <w:r w:rsidRPr="001F5692">
        <w:t>Social housing helps build a stronger, safe</w:t>
      </w:r>
      <w:r>
        <w:t>r</w:t>
      </w:r>
      <w:r w:rsidRPr="001F5692">
        <w:t xml:space="preserve"> and more inclusive and cohesive community </w:t>
      </w:r>
      <w:r>
        <w:t>through r</w:t>
      </w:r>
      <w:r w:rsidRPr="001F5692">
        <w:t xml:space="preserve">educing </w:t>
      </w:r>
      <w:r>
        <w:t>d</w:t>
      </w:r>
      <w:r w:rsidRPr="001F5692">
        <w:t>isadvantage</w:t>
      </w:r>
      <w:r>
        <w:t xml:space="preserve"> </w:t>
      </w:r>
      <w:r w:rsidRPr="001F5692">
        <w:t>and exclusion</w:t>
      </w:r>
      <w:r w:rsidR="00EB133D">
        <w:t xml:space="preserve"> for some of the most vulnerable in the community</w:t>
      </w:r>
      <w:r w:rsidRPr="001F5692">
        <w:t>.  A</w:t>
      </w:r>
      <w:r>
        <w:t xml:space="preserve">chieving </w:t>
      </w:r>
      <w:r w:rsidRPr="001F5692">
        <w:t xml:space="preserve">successful housing outcomes for those living in social housing </w:t>
      </w:r>
      <w:r>
        <w:t xml:space="preserve">includes </w:t>
      </w:r>
      <w:r w:rsidR="0066271A">
        <w:t>improving</w:t>
      </w:r>
      <w:r>
        <w:t xml:space="preserve"> </w:t>
      </w:r>
      <w:r w:rsidRPr="001F5692">
        <w:t xml:space="preserve">access </w:t>
      </w:r>
      <w:r w:rsidR="0066271A">
        <w:t xml:space="preserve">for tenants </w:t>
      </w:r>
      <w:r>
        <w:t xml:space="preserve">to </w:t>
      </w:r>
      <w:r w:rsidRPr="001F5692">
        <w:t xml:space="preserve">education and employment </w:t>
      </w:r>
      <w:r w:rsidR="0066271A">
        <w:t xml:space="preserve">to enable them to better </w:t>
      </w:r>
      <w:r w:rsidRPr="001F5692">
        <w:t>engag</w:t>
      </w:r>
      <w:r>
        <w:t xml:space="preserve">e </w:t>
      </w:r>
      <w:r w:rsidRPr="001F5692">
        <w:t>in local, cultural, civic and recreational activities so that they can participate effectively in the community</w:t>
      </w:r>
      <w:r w:rsidR="00265DAF">
        <w:t xml:space="preserve">, achieve their potential </w:t>
      </w:r>
      <w:r w:rsidRPr="001F5692">
        <w:t>and</w:t>
      </w:r>
      <w:r>
        <w:t xml:space="preserve"> </w:t>
      </w:r>
      <w:r w:rsidRPr="001F5692">
        <w:t xml:space="preserve">live their life to the full.  </w:t>
      </w:r>
    </w:p>
    <w:p w:rsidR="00F3407D" w:rsidRDefault="00F3407D" w:rsidP="00FA67DB">
      <w:pPr>
        <w:pStyle w:val="BodyText"/>
        <w:keepNext w:val="0"/>
        <w:widowControl w:val="0"/>
        <w:tabs>
          <w:tab w:val="left" w:pos="426"/>
          <w:tab w:val="left" w:pos="8647"/>
        </w:tabs>
        <w:jc w:val="center"/>
      </w:pPr>
      <w:r>
        <w:rPr>
          <w:noProof/>
          <w:lang w:eastAsia="en-AU"/>
        </w:rPr>
        <w:drawing>
          <wp:inline distT="0" distB="0" distL="0" distR="0">
            <wp:extent cx="5162550" cy="2149212"/>
            <wp:effectExtent l="19050" t="19050" r="19050" b="22488"/>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162550" cy="2149212"/>
                    </a:xfrm>
                    <a:prstGeom prst="rect">
                      <a:avLst/>
                    </a:prstGeom>
                    <a:noFill/>
                    <a:ln>
                      <a:solidFill>
                        <a:schemeClr val="tx1"/>
                      </a:solidFill>
                    </a:ln>
                  </pic:spPr>
                </pic:pic>
              </a:graphicData>
            </a:graphic>
          </wp:inline>
        </w:drawing>
      </w:r>
    </w:p>
    <w:p w:rsidR="00F3407D" w:rsidRDefault="00F3407D">
      <w:pPr>
        <w:rPr>
          <w:rFonts w:ascii="Arial" w:hAnsi="Arial"/>
          <w:b/>
          <w:kern w:val="28"/>
          <w:sz w:val="20"/>
        </w:rPr>
      </w:pPr>
      <w:r>
        <w:br w:type="page"/>
      </w:r>
    </w:p>
    <w:p w:rsidR="001A459D" w:rsidRPr="001A459D" w:rsidRDefault="001A459D" w:rsidP="00E82936">
      <w:pPr>
        <w:pStyle w:val="SIHeading1"/>
        <w:keepNext w:val="0"/>
        <w:widowControl w:val="0"/>
        <w:jc w:val="left"/>
      </w:pPr>
      <w:r w:rsidRPr="0024759D">
        <w:lastRenderedPageBreak/>
        <w:t xml:space="preserve">Strategic Indicator 3: </w:t>
      </w:r>
      <w:r>
        <w:t xml:space="preserve"> </w:t>
      </w:r>
      <w:r w:rsidR="00EB133D" w:rsidRPr="00EB133D">
        <w:rPr>
          <w:b w:val="0"/>
        </w:rPr>
        <w:t xml:space="preserve">Improving Employment Outcomes </w:t>
      </w:r>
      <w:r w:rsidR="00EB133D">
        <w:rPr>
          <w:b w:val="0"/>
        </w:rPr>
        <w:t>f</w:t>
      </w:r>
      <w:r w:rsidR="00EB133D" w:rsidRPr="00EB133D">
        <w:rPr>
          <w:b w:val="0"/>
        </w:rPr>
        <w:t xml:space="preserve">or Homeless People </w:t>
      </w:r>
      <w:r w:rsidR="00EB133D">
        <w:rPr>
          <w:b w:val="0"/>
        </w:rPr>
        <w:t xml:space="preserve">to </w:t>
      </w:r>
      <w:r w:rsidR="00EB133D" w:rsidRPr="00EB133D">
        <w:rPr>
          <w:b w:val="0"/>
        </w:rPr>
        <w:t xml:space="preserve">Support </w:t>
      </w:r>
      <w:r w:rsidR="00EB133D">
        <w:rPr>
          <w:b w:val="0"/>
        </w:rPr>
        <w:t xml:space="preserve">them </w:t>
      </w:r>
      <w:proofErr w:type="gramStart"/>
      <w:r w:rsidR="00EB133D">
        <w:rPr>
          <w:b w:val="0"/>
        </w:rPr>
        <w:t>Sustain</w:t>
      </w:r>
      <w:proofErr w:type="gramEnd"/>
      <w:r w:rsidR="00EB133D">
        <w:rPr>
          <w:b w:val="0"/>
        </w:rPr>
        <w:t xml:space="preserve"> t</w:t>
      </w:r>
      <w:r w:rsidR="00EB133D" w:rsidRPr="00EB133D">
        <w:rPr>
          <w:b w:val="0"/>
        </w:rPr>
        <w:t>heir Te</w:t>
      </w:r>
      <w:r w:rsidRPr="00EB133D">
        <w:rPr>
          <w:b w:val="0"/>
        </w:rPr>
        <w:t>nan</w:t>
      </w:r>
      <w:r w:rsidR="00EB133D" w:rsidRPr="00EB133D">
        <w:rPr>
          <w:b w:val="0"/>
        </w:rPr>
        <w:t xml:space="preserve">cy </w:t>
      </w:r>
      <w:r w:rsidRPr="00EB133D">
        <w:rPr>
          <w:b w:val="0"/>
        </w:rPr>
        <w:t>in</w:t>
      </w:r>
      <w:r w:rsidR="00EB133D">
        <w:rPr>
          <w:b w:val="0"/>
        </w:rPr>
        <w:t xml:space="preserve"> Long-</w:t>
      </w:r>
      <w:r w:rsidRPr="00EB133D">
        <w:rPr>
          <w:b w:val="0"/>
        </w:rPr>
        <w:t>term Housing</w:t>
      </w:r>
    </w:p>
    <w:p w:rsidR="001A459D" w:rsidRDefault="001A459D" w:rsidP="00E82936">
      <w:pPr>
        <w:pStyle w:val="BodyText"/>
        <w:keepNext w:val="0"/>
        <w:widowControl w:val="0"/>
        <w:rPr>
          <w:kern w:val="28"/>
        </w:rPr>
      </w:pPr>
      <w:r>
        <w:rPr>
          <w:kern w:val="28"/>
        </w:rPr>
        <w:t xml:space="preserve">A key to successful housing outcomes for those tenants transitioning from homelessness or crisis accommodation to mainstream housing is </w:t>
      </w:r>
      <w:r w:rsidR="00EB133D">
        <w:rPr>
          <w:kern w:val="28"/>
        </w:rPr>
        <w:t xml:space="preserve">improving </w:t>
      </w:r>
      <w:r>
        <w:rPr>
          <w:kern w:val="28"/>
        </w:rPr>
        <w:t>access to appropriate and adequate support that will provide improved opportunities for training, education and employment</w:t>
      </w:r>
      <w:r w:rsidR="00FD3AE5">
        <w:rPr>
          <w:kern w:val="28"/>
        </w:rPr>
        <w:t>,</w:t>
      </w:r>
      <w:r w:rsidR="00EE4527">
        <w:rPr>
          <w:kern w:val="28"/>
        </w:rPr>
        <w:t xml:space="preserve"> enabling them to sustain their tenancy and better participate in the community</w:t>
      </w:r>
      <w:r>
        <w:rPr>
          <w:kern w:val="28"/>
        </w:rPr>
        <w:t xml:space="preserve">.  This indicator shows the improvement in employment outcomes as a result of support and assistance provided following incidents of homelessness.  </w:t>
      </w:r>
    </w:p>
    <w:p w:rsidR="007F1E16" w:rsidRDefault="007F1E16" w:rsidP="003A76F4">
      <w:pPr>
        <w:pStyle w:val="BodyText"/>
        <w:keepNext w:val="0"/>
        <w:widowControl w:val="0"/>
        <w:jc w:val="center"/>
        <w:rPr>
          <w:kern w:val="28"/>
        </w:rPr>
      </w:pPr>
      <w:r>
        <w:rPr>
          <w:noProof/>
          <w:kern w:val="28"/>
          <w:lang w:eastAsia="en-AU"/>
        </w:rPr>
        <w:drawing>
          <wp:inline distT="0" distB="0" distL="0" distR="0">
            <wp:extent cx="5324475" cy="2166097"/>
            <wp:effectExtent l="19050" t="19050" r="28575" b="24653"/>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324475" cy="2166097"/>
                    </a:xfrm>
                    <a:prstGeom prst="rect">
                      <a:avLst/>
                    </a:prstGeom>
                    <a:noFill/>
                    <a:ln>
                      <a:solidFill>
                        <a:schemeClr val="tx1"/>
                      </a:solidFill>
                    </a:ln>
                  </pic:spPr>
                </pic:pic>
              </a:graphicData>
            </a:graphic>
          </wp:inline>
        </w:drawing>
      </w:r>
    </w:p>
    <w:p w:rsidR="007F1E16" w:rsidRDefault="007F1E16" w:rsidP="00E82936">
      <w:pPr>
        <w:pStyle w:val="Heading3"/>
        <w:widowControl w:val="0"/>
      </w:pPr>
    </w:p>
    <w:p w:rsidR="00CB5FE4" w:rsidRDefault="00CB5FE4" w:rsidP="00E82936">
      <w:pPr>
        <w:pStyle w:val="Heading3"/>
        <w:widowControl w:val="0"/>
      </w:pPr>
      <w:r>
        <w:t>Output Classes</w:t>
      </w:r>
    </w:p>
    <w:tbl>
      <w:tblPr>
        <w:tblW w:w="9100" w:type="dxa"/>
        <w:tblLook w:val="0000"/>
      </w:tblPr>
      <w:tblGrid>
        <w:gridCol w:w="3588"/>
        <w:gridCol w:w="1378"/>
        <w:gridCol w:w="1378"/>
        <w:gridCol w:w="1378"/>
        <w:gridCol w:w="1378"/>
      </w:tblGrid>
      <w:tr w:rsidR="00CB5FE4" w:rsidTr="009D2849">
        <w:tc>
          <w:tcPr>
            <w:tcW w:w="3544" w:type="dxa"/>
            <w:tcBorders>
              <w:top w:val="single" w:sz="4" w:space="0" w:color="auto"/>
            </w:tcBorders>
          </w:tcPr>
          <w:p w:rsidR="00CB5FE4" w:rsidRDefault="00CB5FE4" w:rsidP="00E82936">
            <w:pPr>
              <w:pStyle w:val="Heading2"/>
              <w:widowControl w:val="0"/>
              <w:spacing w:before="0"/>
              <w:ind w:left="357"/>
              <w:jc w:val="right"/>
              <w:rPr>
                <w:b w:val="0"/>
                <w:bCs/>
                <w:i/>
                <w:iCs/>
              </w:rPr>
            </w:pPr>
          </w:p>
        </w:tc>
        <w:tc>
          <w:tcPr>
            <w:tcW w:w="1361" w:type="dxa"/>
            <w:gridSpan w:val="2"/>
            <w:tcBorders>
              <w:top w:val="single" w:sz="4" w:space="0" w:color="auto"/>
              <w:bottom w:val="single" w:sz="4" w:space="0" w:color="auto"/>
            </w:tcBorders>
            <w:vAlign w:val="center"/>
          </w:tcPr>
          <w:p w:rsidR="00CB5FE4" w:rsidRDefault="00CB5FE4" w:rsidP="00070844">
            <w:pPr>
              <w:pStyle w:val="TableHeadingCentre-BP410pt"/>
              <w:widowControl w:val="0"/>
              <w:spacing w:before="60" w:after="60"/>
            </w:pPr>
            <w:r>
              <w:t>Total Cost</w:t>
            </w:r>
            <w:r>
              <w:rPr>
                <w:vertAlign w:val="superscript"/>
              </w:rPr>
              <w:t>1</w:t>
            </w:r>
          </w:p>
          <w:p w:rsidR="00CB5FE4" w:rsidRDefault="00CB5FE4" w:rsidP="00070844">
            <w:pPr>
              <w:pStyle w:val="Heading2"/>
              <w:widowControl w:val="0"/>
            </w:pPr>
          </w:p>
        </w:tc>
        <w:tc>
          <w:tcPr>
            <w:tcW w:w="1361" w:type="dxa"/>
            <w:gridSpan w:val="2"/>
            <w:tcBorders>
              <w:top w:val="single" w:sz="4" w:space="0" w:color="auto"/>
              <w:bottom w:val="single" w:sz="4" w:space="0" w:color="auto"/>
            </w:tcBorders>
            <w:vAlign w:val="center"/>
          </w:tcPr>
          <w:p w:rsidR="00CB5FE4" w:rsidRDefault="00CB5FE4" w:rsidP="00070844">
            <w:pPr>
              <w:pStyle w:val="TableHeadingCentre-BP410pt"/>
              <w:widowControl w:val="0"/>
              <w:spacing w:before="60" w:after="60"/>
            </w:pPr>
            <w:r>
              <w:t>Government Payment for Outputs</w:t>
            </w:r>
          </w:p>
        </w:tc>
      </w:tr>
      <w:tr w:rsidR="00CB5FE4" w:rsidTr="009D2849">
        <w:tc>
          <w:tcPr>
            <w:tcW w:w="3544" w:type="dxa"/>
            <w:tcBorders>
              <w:bottom w:val="single" w:sz="4" w:space="0" w:color="auto"/>
            </w:tcBorders>
          </w:tcPr>
          <w:p w:rsidR="00CB5FE4" w:rsidRDefault="00CB5FE4" w:rsidP="00E82936">
            <w:pPr>
              <w:widowControl w:val="0"/>
              <w:rPr>
                <w:b/>
                <w:bCs/>
                <w:sz w:val="22"/>
              </w:rPr>
            </w:pPr>
          </w:p>
        </w:tc>
        <w:tc>
          <w:tcPr>
            <w:tcW w:w="1361" w:type="dxa"/>
            <w:tcBorders>
              <w:top w:val="single" w:sz="4" w:space="0" w:color="auto"/>
              <w:bottom w:val="single" w:sz="4" w:space="0" w:color="auto"/>
            </w:tcBorders>
          </w:tcPr>
          <w:p w:rsidR="00CB5FE4" w:rsidRDefault="00CB5FE4" w:rsidP="00E82936">
            <w:pPr>
              <w:pStyle w:val="TableTextRightBold-BP410pt"/>
              <w:widowControl w:val="0"/>
            </w:pPr>
            <w:r>
              <w:t>201</w:t>
            </w:r>
            <w:r w:rsidR="00312F4B">
              <w:t>2</w:t>
            </w:r>
            <w:r w:rsidR="003F33F8">
              <w:t>-1</w:t>
            </w:r>
            <w:r w:rsidR="00312F4B">
              <w:t>3</w:t>
            </w:r>
          </w:p>
          <w:p w:rsidR="00CB5FE4" w:rsidRDefault="005C1114" w:rsidP="00E82936">
            <w:pPr>
              <w:pStyle w:val="TableTextRightBold-BP410pt"/>
              <w:widowControl w:val="0"/>
            </w:pPr>
            <w:r>
              <w:t>Est. O</w:t>
            </w:r>
            <w:r w:rsidR="00CB5FE4">
              <w:t>utcome</w:t>
            </w:r>
          </w:p>
          <w:p w:rsidR="00CB5FE4" w:rsidRDefault="00CB5FE4" w:rsidP="00E82936">
            <w:pPr>
              <w:pStyle w:val="TableTextRightBold-BP410pt"/>
              <w:widowControl w:val="0"/>
            </w:pPr>
            <w:r>
              <w:t>$’000</w:t>
            </w:r>
          </w:p>
        </w:tc>
        <w:tc>
          <w:tcPr>
            <w:tcW w:w="1361" w:type="dxa"/>
            <w:tcBorders>
              <w:top w:val="single" w:sz="4" w:space="0" w:color="auto"/>
              <w:bottom w:val="single" w:sz="4" w:space="0" w:color="auto"/>
            </w:tcBorders>
          </w:tcPr>
          <w:p w:rsidR="00CB5FE4" w:rsidRDefault="00CB5FE4" w:rsidP="00E82936">
            <w:pPr>
              <w:pStyle w:val="TableTextRightBold-BP410pt"/>
              <w:widowControl w:val="0"/>
            </w:pPr>
            <w:r>
              <w:t>201</w:t>
            </w:r>
            <w:r w:rsidR="00312F4B">
              <w:t>3</w:t>
            </w:r>
            <w:r w:rsidR="003F33F8">
              <w:t>-1</w:t>
            </w:r>
            <w:r w:rsidR="00312F4B">
              <w:t>4</w:t>
            </w:r>
          </w:p>
          <w:p w:rsidR="00CB5FE4" w:rsidRDefault="00CB5FE4" w:rsidP="00E82936">
            <w:pPr>
              <w:pStyle w:val="TableTextRightBold-BP410pt"/>
              <w:widowControl w:val="0"/>
            </w:pPr>
            <w:r>
              <w:t>Budget</w:t>
            </w:r>
          </w:p>
          <w:p w:rsidR="00CB5FE4" w:rsidRDefault="00CB5FE4" w:rsidP="00E82936">
            <w:pPr>
              <w:pStyle w:val="TableTextRightBold-BP410pt"/>
              <w:widowControl w:val="0"/>
              <w:rPr>
                <w:i/>
                <w:iCs/>
              </w:rPr>
            </w:pPr>
            <w:r>
              <w:t>$’000</w:t>
            </w:r>
          </w:p>
        </w:tc>
        <w:tc>
          <w:tcPr>
            <w:tcW w:w="1361" w:type="dxa"/>
            <w:tcBorders>
              <w:top w:val="single" w:sz="4" w:space="0" w:color="auto"/>
              <w:bottom w:val="single" w:sz="4" w:space="0" w:color="auto"/>
            </w:tcBorders>
          </w:tcPr>
          <w:p w:rsidR="00CB5FE4" w:rsidRDefault="00CB5FE4" w:rsidP="00E82936">
            <w:pPr>
              <w:pStyle w:val="TableTextRightBold-BP410pt"/>
              <w:widowControl w:val="0"/>
            </w:pPr>
            <w:r>
              <w:t>201</w:t>
            </w:r>
            <w:r w:rsidR="00312F4B">
              <w:t>2</w:t>
            </w:r>
            <w:r w:rsidR="003F33F8">
              <w:noBreakHyphen/>
              <w:t>1</w:t>
            </w:r>
            <w:r w:rsidR="00312F4B">
              <w:t>3</w:t>
            </w:r>
          </w:p>
          <w:p w:rsidR="00CB5FE4" w:rsidRDefault="00CB5FE4" w:rsidP="00E82936">
            <w:pPr>
              <w:pStyle w:val="TableTextRightBold-BP410pt"/>
              <w:widowControl w:val="0"/>
            </w:pPr>
            <w:r>
              <w:t>Est.</w:t>
            </w:r>
            <w:r w:rsidR="005C1114">
              <w:t xml:space="preserve"> </w:t>
            </w:r>
            <w:r>
              <w:t>Outcome</w:t>
            </w:r>
          </w:p>
          <w:p w:rsidR="00CB5FE4" w:rsidRDefault="00CB5FE4" w:rsidP="00E82936">
            <w:pPr>
              <w:pStyle w:val="TableTextRightBold-BP410pt"/>
              <w:widowControl w:val="0"/>
              <w:rPr>
                <w:i/>
                <w:iCs/>
              </w:rPr>
            </w:pPr>
            <w:r>
              <w:t>$’000</w:t>
            </w:r>
          </w:p>
        </w:tc>
        <w:tc>
          <w:tcPr>
            <w:tcW w:w="1361" w:type="dxa"/>
            <w:tcBorders>
              <w:top w:val="single" w:sz="4" w:space="0" w:color="auto"/>
              <w:bottom w:val="single" w:sz="4" w:space="0" w:color="auto"/>
            </w:tcBorders>
          </w:tcPr>
          <w:p w:rsidR="00CB5FE4" w:rsidRDefault="00CB5FE4" w:rsidP="00E82936">
            <w:pPr>
              <w:pStyle w:val="TableTextRightBold-BP410pt"/>
              <w:widowControl w:val="0"/>
            </w:pPr>
            <w:r>
              <w:t>201</w:t>
            </w:r>
            <w:r w:rsidR="00312F4B">
              <w:t>3</w:t>
            </w:r>
            <w:r w:rsidR="003F33F8">
              <w:t>-1</w:t>
            </w:r>
            <w:r w:rsidR="00312F4B">
              <w:t>4</w:t>
            </w:r>
          </w:p>
          <w:p w:rsidR="00CB5FE4" w:rsidRDefault="00CB5FE4" w:rsidP="00E82936">
            <w:pPr>
              <w:pStyle w:val="TableTextRightBold-BP410pt"/>
              <w:widowControl w:val="0"/>
            </w:pPr>
            <w:r>
              <w:t>Budget</w:t>
            </w:r>
          </w:p>
          <w:p w:rsidR="00CB5FE4" w:rsidRDefault="00CB5FE4" w:rsidP="00E82936">
            <w:pPr>
              <w:pStyle w:val="TableTextRightBold-BP410pt"/>
              <w:widowControl w:val="0"/>
            </w:pPr>
            <w:r>
              <w:t>$’000</w:t>
            </w:r>
          </w:p>
        </w:tc>
      </w:tr>
      <w:tr w:rsidR="00CB5FE4" w:rsidRPr="00D74B1E" w:rsidTr="00070844">
        <w:trPr>
          <w:trHeight w:val="474"/>
        </w:trPr>
        <w:tc>
          <w:tcPr>
            <w:tcW w:w="3544" w:type="dxa"/>
            <w:tcBorders>
              <w:top w:val="single" w:sz="4" w:space="0" w:color="auto"/>
              <w:bottom w:val="single" w:sz="4" w:space="0" w:color="auto"/>
            </w:tcBorders>
            <w:vAlign w:val="center"/>
          </w:tcPr>
          <w:p w:rsidR="005C1114" w:rsidRPr="00D74B1E" w:rsidRDefault="00CB5FE4" w:rsidP="00E82936">
            <w:pPr>
              <w:pStyle w:val="TableTextLeftBold"/>
              <w:widowControl w:val="0"/>
            </w:pPr>
            <w:r w:rsidRPr="00D74B1E">
              <w:t xml:space="preserve">Output Class 1: </w:t>
            </w:r>
          </w:p>
          <w:p w:rsidR="00CB5FE4" w:rsidRPr="00D74B1E" w:rsidRDefault="00CB5FE4" w:rsidP="00E82936">
            <w:pPr>
              <w:pStyle w:val="TableTextLeftBold"/>
              <w:widowControl w:val="0"/>
            </w:pPr>
            <w:r w:rsidRPr="00D74B1E">
              <w:t>Social Housing Services</w:t>
            </w:r>
          </w:p>
        </w:tc>
        <w:tc>
          <w:tcPr>
            <w:tcW w:w="1361" w:type="dxa"/>
            <w:tcBorders>
              <w:top w:val="single" w:sz="4" w:space="0" w:color="auto"/>
              <w:bottom w:val="single" w:sz="4" w:space="0" w:color="auto"/>
            </w:tcBorders>
            <w:vAlign w:val="bottom"/>
          </w:tcPr>
          <w:p w:rsidR="00CB5FE4" w:rsidRPr="00D74B1E" w:rsidRDefault="0082116B" w:rsidP="00070844">
            <w:pPr>
              <w:pStyle w:val="TableTextRight-BP410pt"/>
              <w:widowControl w:val="0"/>
            </w:pPr>
            <w:r w:rsidRPr="00D74B1E">
              <w:t>1</w:t>
            </w:r>
            <w:r w:rsidR="009B6326" w:rsidRPr="00D74B1E">
              <w:t>7</w:t>
            </w:r>
            <w:r w:rsidR="00977CF2">
              <w:t>6,217</w:t>
            </w:r>
          </w:p>
        </w:tc>
        <w:tc>
          <w:tcPr>
            <w:tcW w:w="1361" w:type="dxa"/>
            <w:tcBorders>
              <w:top w:val="single" w:sz="4" w:space="0" w:color="auto"/>
              <w:bottom w:val="single" w:sz="4" w:space="0" w:color="auto"/>
            </w:tcBorders>
            <w:vAlign w:val="bottom"/>
          </w:tcPr>
          <w:p w:rsidR="000A596D" w:rsidRDefault="001A447D" w:rsidP="00070844">
            <w:pPr>
              <w:pStyle w:val="TableTextRight-BP410pt"/>
              <w:widowControl w:val="0"/>
              <w:rPr>
                <w:b/>
                <w:snapToGrid w:val="0"/>
              </w:rPr>
            </w:pPr>
            <w:r w:rsidRPr="00D74B1E">
              <w:t>1</w:t>
            </w:r>
            <w:r w:rsidR="00977CF2">
              <w:t>56,</w:t>
            </w:r>
            <w:r w:rsidR="003005A8">
              <w:t>671</w:t>
            </w:r>
          </w:p>
        </w:tc>
        <w:tc>
          <w:tcPr>
            <w:tcW w:w="1361" w:type="dxa"/>
            <w:tcBorders>
              <w:top w:val="single" w:sz="4" w:space="0" w:color="auto"/>
              <w:bottom w:val="single" w:sz="4" w:space="0" w:color="auto"/>
            </w:tcBorders>
            <w:vAlign w:val="bottom"/>
          </w:tcPr>
          <w:p w:rsidR="00CB5FE4" w:rsidRPr="00D74B1E" w:rsidRDefault="0082116B" w:rsidP="00070844">
            <w:pPr>
              <w:pStyle w:val="TableTextRight-BP410pt"/>
              <w:widowControl w:val="0"/>
            </w:pPr>
            <w:r w:rsidRPr="00D74B1E">
              <w:t>4</w:t>
            </w:r>
            <w:r w:rsidR="003005A8">
              <w:t>2,541</w:t>
            </w:r>
          </w:p>
        </w:tc>
        <w:tc>
          <w:tcPr>
            <w:tcW w:w="1361" w:type="dxa"/>
            <w:tcBorders>
              <w:top w:val="single" w:sz="4" w:space="0" w:color="auto"/>
              <w:bottom w:val="single" w:sz="4" w:space="0" w:color="auto"/>
            </w:tcBorders>
            <w:vAlign w:val="bottom"/>
          </w:tcPr>
          <w:p w:rsidR="00CB5FE4" w:rsidRPr="00D74B1E" w:rsidRDefault="00D74B1E" w:rsidP="00070844">
            <w:pPr>
              <w:pStyle w:val="TableTextRight-BP410pt"/>
              <w:widowControl w:val="0"/>
            </w:pPr>
            <w:r w:rsidRPr="00D74B1E">
              <w:t>4</w:t>
            </w:r>
            <w:r w:rsidR="00977CF2">
              <w:t>3,</w:t>
            </w:r>
            <w:r w:rsidR="003005A8">
              <w:t>075</w:t>
            </w:r>
          </w:p>
        </w:tc>
      </w:tr>
      <w:tr w:rsidR="00CB5FE4" w:rsidRPr="00D74B1E" w:rsidTr="009D2849">
        <w:tc>
          <w:tcPr>
            <w:tcW w:w="3544" w:type="dxa"/>
            <w:tcBorders>
              <w:top w:val="single" w:sz="4" w:space="0" w:color="auto"/>
              <w:bottom w:val="single" w:sz="4" w:space="0" w:color="auto"/>
            </w:tcBorders>
            <w:vAlign w:val="center"/>
          </w:tcPr>
          <w:p w:rsidR="00CB5FE4" w:rsidRPr="00D74B1E" w:rsidRDefault="00CB5FE4" w:rsidP="00E82936">
            <w:pPr>
              <w:pStyle w:val="Heading7"/>
              <w:widowControl w:val="0"/>
            </w:pPr>
            <w:r w:rsidRPr="00D74B1E">
              <w:t>Output 1.1:  Social Housing Services</w:t>
            </w:r>
          </w:p>
        </w:tc>
        <w:tc>
          <w:tcPr>
            <w:tcW w:w="1361" w:type="dxa"/>
            <w:tcBorders>
              <w:top w:val="single" w:sz="4" w:space="0" w:color="auto"/>
              <w:bottom w:val="single" w:sz="4" w:space="0" w:color="auto"/>
            </w:tcBorders>
            <w:vAlign w:val="bottom"/>
          </w:tcPr>
          <w:p w:rsidR="00CB5FE4" w:rsidRPr="00D74B1E" w:rsidRDefault="001A447D" w:rsidP="00E82936">
            <w:pPr>
              <w:pStyle w:val="TableTextRight-BP410pt"/>
              <w:widowControl w:val="0"/>
            </w:pPr>
            <w:r w:rsidRPr="00D74B1E">
              <w:t>1</w:t>
            </w:r>
            <w:r w:rsidR="009B6326" w:rsidRPr="00D74B1E">
              <w:t>7</w:t>
            </w:r>
            <w:r w:rsidR="00977CF2">
              <w:t>6,217</w:t>
            </w:r>
          </w:p>
        </w:tc>
        <w:tc>
          <w:tcPr>
            <w:tcW w:w="1361" w:type="dxa"/>
            <w:tcBorders>
              <w:top w:val="single" w:sz="4" w:space="0" w:color="auto"/>
              <w:bottom w:val="single" w:sz="4" w:space="0" w:color="auto"/>
            </w:tcBorders>
            <w:vAlign w:val="bottom"/>
          </w:tcPr>
          <w:p w:rsidR="00CB5FE4" w:rsidRPr="00D74B1E" w:rsidRDefault="001A447D" w:rsidP="00E82936">
            <w:pPr>
              <w:pStyle w:val="TableTextRight-BP410pt"/>
              <w:widowControl w:val="0"/>
            </w:pPr>
            <w:r w:rsidRPr="00D74B1E">
              <w:t>1</w:t>
            </w:r>
            <w:r w:rsidR="00977CF2">
              <w:t>56,</w:t>
            </w:r>
            <w:r w:rsidR="003005A8">
              <w:t>671</w:t>
            </w:r>
          </w:p>
        </w:tc>
        <w:tc>
          <w:tcPr>
            <w:tcW w:w="1361" w:type="dxa"/>
            <w:tcBorders>
              <w:top w:val="single" w:sz="4" w:space="0" w:color="auto"/>
              <w:bottom w:val="single" w:sz="4" w:space="0" w:color="auto"/>
            </w:tcBorders>
            <w:vAlign w:val="bottom"/>
          </w:tcPr>
          <w:p w:rsidR="00CB5FE4" w:rsidRPr="00D74B1E" w:rsidRDefault="0082116B" w:rsidP="00E82936">
            <w:pPr>
              <w:pStyle w:val="TableTextRight-BP410pt"/>
              <w:widowControl w:val="0"/>
            </w:pPr>
            <w:r w:rsidRPr="00D74B1E">
              <w:t>4</w:t>
            </w:r>
            <w:r w:rsidR="003005A8">
              <w:t>2,541</w:t>
            </w:r>
          </w:p>
        </w:tc>
        <w:tc>
          <w:tcPr>
            <w:tcW w:w="1361" w:type="dxa"/>
            <w:tcBorders>
              <w:top w:val="single" w:sz="4" w:space="0" w:color="auto"/>
              <w:bottom w:val="single" w:sz="4" w:space="0" w:color="auto"/>
            </w:tcBorders>
            <w:vAlign w:val="bottom"/>
          </w:tcPr>
          <w:p w:rsidR="00CB5FE4" w:rsidRPr="00D74B1E" w:rsidRDefault="001A447D" w:rsidP="00E82936">
            <w:pPr>
              <w:pStyle w:val="TableTextRight-BP410pt"/>
              <w:widowControl w:val="0"/>
            </w:pPr>
            <w:r w:rsidRPr="00D74B1E">
              <w:t>4</w:t>
            </w:r>
            <w:r w:rsidR="00977CF2">
              <w:t>3,</w:t>
            </w:r>
            <w:r w:rsidR="003005A8">
              <w:t>075</w:t>
            </w:r>
          </w:p>
        </w:tc>
      </w:tr>
    </w:tbl>
    <w:p w:rsidR="00CB5FE4" w:rsidRPr="00D74B1E" w:rsidRDefault="00CB5FE4" w:rsidP="00E82936">
      <w:pPr>
        <w:pStyle w:val="NoteHeading0"/>
        <w:widowControl w:val="0"/>
      </w:pPr>
      <w:r w:rsidRPr="00D74B1E">
        <w:t>Note:</w:t>
      </w:r>
    </w:p>
    <w:p w:rsidR="00CB5FE4" w:rsidRPr="00D74B1E" w:rsidRDefault="00CB5FE4" w:rsidP="00E82936">
      <w:pPr>
        <w:pStyle w:val="AINotes"/>
        <w:widowControl w:val="0"/>
        <w:numPr>
          <w:ilvl w:val="0"/>
          <w:numId w:val="4"/>
        </w:numPr>
      </w:pPr>
      <w:r w:rsidRPr="00D74B1E">
        <w:t>Total cost includes depreciation and amortisation of $</w:t>
      </w:r>
      <w:r w:rsidR="00977CF2">
        <w:t>16.644</w:t>
      </w:r>
      <w:r w:rsidRPr="00D74B1E">
        <w:t> million in 201</w:t>
      </w:r>
      <w:r w:rsidR="00312F4B" w:rsidRPr="00D74B1E">
        <w:t>2</w:t>
      </w:r>
      <w:r w:rsidR="003F33F8" w:rsidRPr="00D74B1E">
        <w:t>-1</w:t>
      </w:r>
      <w:r w:rsidR="00312F4B" w:rsidRPr="00D74B1E">
        <w:t>3</w:t>
      </w:r>
      <w:r w:rsidRPr="00D74B1E">
        <w:t xml:space="preserve"> and $</w:t>
      </w:r>
      <w:r w:rsidR="00977CF2">
        <w:t>17.123</w:t>
      </w:r>
      <w:r w:rsidR="00312F4B" w:rsidRPr="00D74B1E">
        <w:t> million in 2013</w:t>
      </w:r>
      <w:r w:rsidR="003F33F8" w:rsidRPr="00D74B1E">
        <w:noBreakHyphen/>
        <w:t>1</w:t>
      </w:r>
      <w:r w:rsidR="00312F4B" w:rsidRPr="00D74B1E">
        <w:t>4</w:t>
      </w:r>
      <w:r w:rsidRPr="00D74B1E">
        <w:t>.</w:t>
      </w:r>
    </w:p>
    <w:p w:rsidR="00CB5FE4" w:rsidRDefault="00CB5FE4" w:rsidP="00E82936">
      <w:pPr>
        <w:pStyle w:val="Heading4"/>
        <w:widowControl w:val="0"/>
      </w:pPr>
      <w:r>
        <w:t>Output Description</w:t>
      </w:r>
    </w:p>
    <w:p w:rsidR="00CB5FE4" w:rsidRDefault="00CB5FE4" w:rsidP="00E82936">
      <w:pPr>
        <w:pStyle w:val="BodyText"/>
        <w:widowControl w:val="0"/>
      </w:pPr>
      <w:r>
        <w:t>The provision and management of public housing tenancies and properties and the provision of support and resources to homelessness services and community housing providers.</w:t>
      </w:r>
    </w:p>
    <w:p w:rsidR="00CB5FE4" w:rsidRDefault="00CB5FE4" w:rsidP="00E82936">
      <w:pPr>
        <w:pStyle w:val="Heading3TopofPage"/>
        <w:widowControl w:val="0"/>
      </w:pPr>
      <w:r>
        <w:br w:type="page"/>
      </w:r>
      <w:r>
        <w:lastRenderedPageBreak/>
        <w:t>Accountability Indicators</w:t>
      </w:r>
    </w:p>
    <w:tbl>
      <w:tblPr>
        <w:tblW w:w="9356" w:type="dxa"/>
        <w:tblLook w:val="0000"/>
      </w:tblPr>
      <w:tblGrid>
        <w:gridCol w:w="4941"/>
        <w:gridCol w:w="56"/>
        <w:gridCol w:w="1411"/>
        <w:gridCol w:w="40"/>
        <w:gridCol w:w="1441"/>
        <w:gridCol w:w="16"/>
        <w:gridCol w:w="1451"/>
      </w:tblGrid>
      <w:tr w:rsidR="00CB5FE4">
        <w:trPr>
          <w:cantSplit/>
        </w:trPr>
        <w:tc>
          <w:tcPr>
            <w:tcW w:w="4941" w:type="dxa"/>
            <w:tcBorders>
              <w:top w:val="single" w:sz="4" w:space="0" w:color="auto"/>
              <w:bottom w:val="single" w:sz="4" w:space="0" w:color="auto"/>
            </w:tcBorders>
          </w:tcPr>
          <w:p w:rsidR="00CB5FE4" w:rsidRDefault="00CB5FE4">
            <w:pPr>
              <w:pStyle w:val="Heading7"/>
            </w:pPr>
          </w:p>
        </w:tc>
        <w:tc>
          <w:tcPr>
            <w:tcW w:w="1467" w:type="dxa"/>
            <w:gridSpan w:val="2"/>
            <w:tcBorders>
              <w:top w:val="single" w:sz="4" w:space="0" w:color="auto"/>
              <w:bottom w:val="single" w:sz="4" w:space="0" w:color="auto"/>
            </w:tcBorders>
          </w:tcPr>
          <w:p w:rsidR="00CB5FE4" w:rsidRDefault="00CB5FE4">
            <w:pPr>
              <w:pStyle w:val="TableTextRightBold-BP410pt"/>
            </w:pPr>
            <w:r>
              <w:t>201</w:t>
            </w:r>
            <w:r w:rsidR="00312F4B">
              <w:t>2</w:t>
            </w:r>
            <w:r>
              <w:t>-1</w:t>
            </w:r>
            <w:r w:rsidR="00312F4B">
              <w:t>3</w:t>
            </w:r>
          </w:p>
          <w:p w:rsidR="00CB5FE4" w:rsidRDefault="00CB5FE4">
            <w:pPr>
              <w:pStyle w:val="TableTextRightBold-BP410pt"/>
            </w:pPr>
            <w:r>
              <w:t>Targets</w:t>
            </w:r>
          </w:p>
        </w:tc>
        <w:tc>
          <w:tcPr>
            <w:tcW w:w="1481" w:type="dxa"/>
            <w:gridSpan w:val="2"/>
            <w:tcBorders>
              <w:top w:val="single" w:sz="4" w:space="0" w:color="auto"/>
              <w:bottom w:val="single" w:sz="4" w:space="0" w:color="auto"/>
            </w:tcBorders>
          </w:tcPr>
          <w:p w:rsidR="00CB5FE4" w:rsidRDefault="00CB5FE4">
            <w:pPr>
              <w:pStyle w:val="TableTextRightBold-BP410pt"/>
            </w:pPr>
            <w:r>
              <w:t>201</w:t>
            </w:r>
            <w:r w:rsidR="00312F4B">
              <w:t>2</w:t>
            </w:r>
            <w:r w:rsidR="001236F4">
              <w:t>-1</w:t>
            </w:r>
            <w:r w:rsidR="00312F4B">
              <w:t>3</w:t>
            </w:r>
          </w:p>
          <w:p w:rsidR="00CB5FE4" w:rsidRDefault="00CB5FE4">
            <w:pPr>
              <w:pStyle w:val="TableTextRightBold-BP410pt"/>
            </w:pPr>
            <w:r>
              <w:t>Est.  Outcome</w:t>
            </w:r>
          </w:p>
        </w:tc>
        <w:tc>
          <w:tcPr>
            <w:tcW w:w="1467" w:type="dxa"/>
            <w:gridSpan w:val="2"/>
            <w:tcBorders>
              <w:top w:val="single" w:sz="4" w:space="0" w:color="auto"/>
              <w:bottom w:val="single" w:sz="4" w:space="0" w:color="auto"/>
            </w:tcBorders>
          </w:tcPr>
          <w:p w:rsidR="00CB5FE4" w:rsidRDefault="00CB5FE4">
            <w:pPr>
              <w:pStyle w:val="TableTextRightBold-BP410pt"/>
            </w:pPr>
            <w:r>
              <w:t>201</w:t>
            </w:r>
            <w:r w:rsidR="00312F4B">
              <w:t>3-14</w:t>
            </w:r>
          </w:p>
          <w:p w:rsidR="00CB5FE4" w:rsidRDefault="00CB5FE4">
            <w:pPr>
              <w:pStyle w:val="TableTextRightBold-BP410pt"/>
            </w:pPr>
            <w:r>
              <w:t>Targets</w:t>
            </w:r>
          </w:p>
        </w:tc>
      </w:tr>
      <w:tr w:rsidR="00CB5FE4">
        <w:trPr>
          <w:cantSplit/>
        </w:trPr>
        <w:tc>
          <w:tcPr>
            <w:tcW w:w="9356" w:type="dxa"/>
            <w:gridSpan w:val="7"/>
            <w:tcBorders>
              <w:top w:val="single" w:sz="4" w:space="0" w:color="auto"/>
              <w:bottom w:val="single" w:sz="4" w:space="0" w:color="auto"/>
            </w:tcBorders>
          </w:tcPr>
          <w:p w:rsidR="00CB5FE4" w:rsidRDefault="00CB5FE4">
            <w:pPr>
              <w:pStyle w:val="TableTextLeftBold-BP410pt"/>
            </w:pPr>
            <w:r>
              <w:t>Output Class 1:  Social Housing Services</w:t>
            </w:r>
          </w:p>
        </w:tc>
      </w:tr>
      <w:tr w:rsidR="00CB5FE4">
        <w:trPr>
          <w:cantSplit/>
        </w:trPr>
        <w:tc>
          <w:tcPr>
            <w:tcW w:w="9356" w:type="dxa"/>
            <w:gridSpan w:val="7"/>
            <w:tcBorders>
              <w:top w:val="single" w:sz="4" w:space="0" w:color="auto"/>
              <w:bottom w:val="single" w:sz="4" w:space="0" w:color="auto"/>
            </w:tcBorders>
          </w:tcPr>
          <w:p w:rsidR="00CB5FE4" w:rsidRDefault="00CB5FE4">
            <w:pPr>
              <w:pStyle w:val="TableTextLeftBold-BP410pt"/>
            </w:pPr>
            <w:r>
              <w:t>Output 1.1:  Social Housing Services</w:t>
            </w:r>
          </w:p>
        </w:tc>
      </w:tr>
      <w:tr w:rsidR="00CB5FE4">
        <w:trPr>
          <w:cantSplit/>
        </w:trPr>
        <w:tc>
          <w:tcPr>
            <w:tcW w:w="4941" w:type="dxa"/>
          </w:tcPr>
          <w:p w:rsidR="00CB5FE4" w:rsidRDefault="00CB5FE4">
            <w:pPr>
              <w:pStyle w:val="Tabletextindenta"/>
              <w:numPr>
                <w:ilvl w:val="0"/>
                <w:numId w:val="2"/>
              </w:numPr>
            </w:pPr>
            <w:r>
              <w:rPr>
                <w:szCs w:val="20"/>
              </w:rPr>
              <w:t>Allocations</w:t>
            </w:r>
            <w:r w:rsidR="001236F4">
              <w:rPr>
                <w:szCs w:val="20"/>
              </w:rPr>
              <w:t xml:space="preserve"> to t</w:t>
            </w:r>
            <w:r w:rsidR="003F33F8">
              <w:rPr>
                <w:szCs w:val="20"/>
              </w:rPr>
              <w:t xml:space="preserve">hose in </w:t>
            </w:r>
            <w:r w:rsidR="001236F4">
              <w:rPr>
                <w:szCs w:val="20"/>
              </w:rPr>
              <w:t>g</w:t>
            </w:r>
            <w:r w:rsidR="003F33F8">
              <w:rPr>
                <w:szCs w:val="20"/>
              </w:rPr>
              <w:t>reatest need</w:t>
            </w:r>
          </w:p>
        </w:tc>
        <w:tc>
          <w:tcPr>
            <w:tcW w:w="1467" w:type="dxa"/>
            <w:gridSpan w:val="2"/>
          </w:tcPr>
          <w:p w:rsidR="00CB5FE4" w:rsidRDefault="00CB5FE4">
            <w:pPr>
              <w:pStyle w:val="TableTextRight-BP410pt"/>
            </w:pPr>
            <w:r>
              <w:t>96%</w:t>
            </w:r>
          </w:p>
        </w:tc>
        <w:tc>
          <w:tcPr>
            <w:tcW w:w="1481" w:type="dxa"/>
            <w:gridSpan w:val="2"/>
          </w:tcPr>
          <w:p w:rsidR="00CB5FE4" w:rsidRDefault="009B6326">
            <w:pPr>
              <w:pStyle w:val="TableTextRight-BP410pt"/>
            </w:pPr>
            <w:r>
              <w:t>99</w:t>
            </w:r>
            <w:r w:rsidR="00CB5FE4">
              <w:t>%</w:t>
            </w:r>
          </w:p>
        </w:tc>
        <w:tc>
          <w:tcPr>
            <w:tcW w:w="1467" w:type="dxa"/>
            <w:gridSpan w:val="2"/>
          </w:tcPr>
          <w:p w:rsidR="00CB5FE4" w:rsidRDefault="009B6326">
            <w:pPr>
              <w:pStyle w:val="TableTextRight-BP410pt"/>
            </w:pPr>
            <w:r>
              <w:t>98</w:t>
            </w:r>
            <w:r w:rsidR="00CB5FE4">
              <w:t>%</w:t>
            </w:r>
          </w:p>
        </w:tc>
      </w:tr>
      <w:tr w:rsidR="00CB5FE4">
        <w:trPr>
          <w:cantSplit/>
        </w:trPr>
        <w:tc>
          <w:tcPr>
            <w:tcW w:w="9356" w:type="dxa"/>
            <w:gridSpan w:val="7"/>
          </w:tcPr>
          <w:p w:rsidR="00CB5FE4" w:rsidRDefault="00CB5FE4">
            <w:pPr>
              <w:pStyle w:val="AIBlurb0"/>
            </w:pPr>
            <w:r>
              <w:t>Percentage of public housing allocations to priority and highest need applicants.</w:t>
            </w:r>
          </w:p>
        </w:tc>
      </w:tr>
      <w:tr w:rsidR="00CB5FE4">
        <w:trPr>
          <w:cantSplit/>
        </w:trPr>
        <w:tc>
          <w:tcPr>
            <w:tcW w:w="4941" w:type="dxa"/>
          </w:tcPr>
          <w:p w:rsidR="000A596D" w:rsidRDefault="00CB5FE4">
            <w:pPr>
              <w:pStyle w:val="Tabletextindenta"/>
              <w:numPr>
                <w:ilvl w:val="0"/>
                <w:numId w:val="2"/>
              </w:numPr>
            </w:pPr>
            <w:r>
              <w:t xml:space="preserve">Number of </w:t>
            </w:r>
            <w:r w:rsidR="00556722">
              <w:t xml:space="preserve">social </w:t>
            </w:r>
            <w:r w:rsidR="003F33F8">
              <w:t xml:space="preserve">housing </w:t>
            </w:r>
            <w:r>
              <w:t>properties</w:t>
            </w:r>
          </w:p>
        </w:tc>
        <w:tc>
          <w:tcPr>
            <w:tcW w:w="1467" w:type="dxa"/>
            <w:gridSpan w:val="2"/>
          </w:tcPr>
          <w:p w:rsidR="00CB5FE4" w:rsidRDefault="00312F4B" w:rsidP="003F33F8">
            <w:pPr>
              <w:pStyle w:val="TableTextRight-BP410pt"/>
            </w:pPr>
            <w:r>
              <w:t>11,941</w:t>
            </w:r>
          </w:p>
        </w:tc>
        <w:tc>
          <w:tcPr>
            <w:tcW w:w="1481" w:type="dxa"/>
            <w:gridSpan w:val="2"/>
          </w:tcPr>
          <w:p w:rsidR="00CB5FE4" w:rsidRDefault="009B6326" w:rsidP="003F33F8">
            <w:pPr>
              <w:pStyle w:val="TableTextRight-BP410pt"/>
            </w:pPr>
            <w:r>
              <w:t>11,850</w:t>
            </w:r>
          </w:p>
        </w:tc>
        <w:tc>
          <w:tcPr>
            <w:tcW w:w="1467" w:type="dxa"/>
            <w:gridSpan w:val="2"/>
          </w:tcPr>
          <w:p w:rsidR="00CB5FE4" w:rsidRDefault="009B6326" w:rsidP="00977CF2">
            <w:pPr>
              <w:pStyle w:val="TableTextRight-BP410pt"/>
            </w:pPr>
            <w:r>
              <w:t>11,</w:t>
            </w:r>
            <w:r w:rsidR="00977CF2">
              <w:t>830</w:t>
            </w:r>
          </w:p>
        </w:tc>
      </w:tr>
      <w:tr w:rsidR="00CB5FE4">
        <w:trPr>
          <w:cantSplit/>
        </w:trPr>
        <w:tc>
          <w:tcPr>
            <w:tcW w:w="9356" w:type="dxa"/>
            <w:gridSpan w:val="7"/>
          </w:tcPr>
          <w:p w:rsidR="000A596D" w:rsidRDefault="00556722">
            <w:pPr>
              <w:pStyle w:val="AIBlurb0"/>
              <w:rPr>
                <w:szCs w:val="24"/>
              </w:rPr>
            </w:pPr>
            <w:r>
              <w:t xml:space="preserve">This measure includes all public housing properties and those properties owned and controlled by </w:t>
            </w:r>
            <w:r w:rsidR="000B3702">
              <w:t>Housing </w:t>
            </w:r>
            <w:r>
              <w:t>ACT that are head-leased to community housing providers and other agencies</w:t>
            </w:r>
            <w:r w:rsidR="00CB5FE4">
              <w:t xml:space="preserve">.  </w:t>
            </w:r>
          </w:p>
        </w:tc>
      </w:tr>
      <w:tr w:rsidR="00CB5FE4">
        <w:trPr>
          <w:cantSplit/>
        </w:trPr>
        <w:tc>
          <w:tcPr>
            <w:tcW w:w="4941" w:type="dxa"/>
          </w:tcPr>
          <w:p w:rsidR="00CB5FE4" w:rsidRDefault="00CB5FE4" w:rsidP="009C1432">
            <w:pPr>
              <w:pStyle w:val="Tabletextindenta"/>
              <w:numPr>
                <w:ilvl w:val="0"/>
                <w:numId w:val="2"/>
              </w:numPr>
            </w:pPr>
            <w:r>
              <w:t>Number of tenancies managed by registered Not</w:t>
            </w:r>
            <w:r w:rsidR="00FD3AE5">
              <w:noBreakHyphen/>
            </w:r>
            <w:proofErr w:type="spellStart"/>
            <w:r>
              <w:t>For</w:t>
            </w:r>
            <w:proofErr w:type="spellEnd"/>
            <w:r w:rsidR="00FD3AE5">
              <w:noBreakHyphen/>
            </w:r>
            <w:proofErr w:type="spellStart"/>
            <w:r>
              <w:t>Profit</w:t>
            </w:r>
            <w:proofErr w:type="spellEnd"/>
            <w:r>
              <w:t xml:space="preserve"> </w:t>
            </w:r>
            <w:r w:rsidR="001236F4">
              <w:t>h</w:t>
            </w:r>
            <w:r>
              <w:t xml:space="preserve">ousing </w:t>
            </w:r>
            <w:r w:rsidR="001236F4">
              <w:t>p</w:t>
            </w:r>
            <w:r w:rsidR="009C1432">
              <w:t>rovider</w:t>
            </w:r>
            <w:r w:rsidR="00317551">
              <w:t>s</w:t>
            </w:r>
            <w:r w:rsidR="009C1432">
              <w:rPr>
                <w:vertAlign w:val="superscript"/>
              </w:rPr>
              <w:t>1</w:t>
            </w:r>
          </w:p>
        </w:tc>
        <w:tc>
          <w:tcPr>
            <w:tcW w:w="1467" w:type="dxa"/>
            <w:gridSpan w:val="2"/>
          </w:tcPr>
          <w:p w:rsidR="00CB5FE4" w:rsidRDefault="00312F4B">
            <w:pPr>
              <w:pStyle w:val="TableTextRight-BP410pt"/>
            </w:pPr>
            <w:r>
              <w:t>900</w:t>
            </w:r>
          </w:p>
        </w:tc>
        <w:tc>
          <w:tcPr>
            <w:tcW w:w="1481" w:type="dxa"/>
            <w:gridSpan w:val="2"/>
          </w:tcPr>
          <w:p w:rsidR="00CB5FE4" w:rsidRPr="00D27B1C" w:rsidRDefault="009B6326">
            <w:pPr>
              <w:pStyle w:val="TableTextRight-BP410pt"/>
            </w:pPr>
            <w:r w:rsidRPr="00D27B1C">
              <w:t>1,030</w:t>
            </w:r>
          </w:p>
        </w:tc>
        <w:tc>
          <w:tcPr>
            <w:tcW w:w="1467" w:type="dxa"/>
            <w:gridSpan w:val="2"/>
          </w:tcPr>
          <w:p w:rsidR="00CB5FE4" w:rsidRPr="00D27B1C" w:rsidRDefault="009B6326">
            <w:pPr>
              <w:pStyle w:val="TableTextRight-BP410pt"/>
            </w:pPr>
            <w:r w:rsidRPr="00D27B1C">
              <w:t>1,065</w:t>
            </w:r>
          </w:p>
        </w:tc>
      </w:tr>
      <w:tr w:rsidR="00CB5FE4">
        <w:trPr>
          <w:cantSplit/>
        </w:trPr>
        <w:tc>
          <w:tcPr>
            <w:tcW w:w="9356" w:type="dxa"/>
            <w:gridSpan w:val="7"/>
          </w:tcPr>
          <w:p w:rsidR="00CB5FE4" w:rsidRPr="00D27B1C" w:rsidRDefault="001236F4">
            <w:pPr>
              <w:pStyle w:val="AIBlurb0"/>
            </w:pPr>
            <w:r w:rsidRPr="00D27B1C">
              <w:t xml:space="preserve">This measures reports the number of tenancy units as defined by the Australian Institute </w:t>
            </w:r>
            <w:r w:rsidR="00114A8F" w:rsidRPr="00D27B1C">
              <w:t>of Health and Welfare such as house, townhouse flat or room in a boarding house or similar shared accommodation units</w:t>
            </w:r>
            <w:r w:rsidR="00556722" w:rsidRPr="00D27B1C">
              <w:t xml:space="preserve"> that are tenanted through registered not-for-profit housing providers.  Some dwellings owned by Housing ACT will also be included in this measure where those properties are head-leased from Housing ACT</w:t>
            </w:r>
            <w:r w:rsidR="00114A8F" w:rsidRPr="00D27B1C">
              <w:t xml:space="preserve">. </w:t>
            </w:r>
          </w:p>
        </w:tc>
      </w:tr>
      <w:tr w:rsidR="00CB5FE4">
        <w:trPr>
          <w:cantSplit/>
        </w:trPr>
        <w:tc>
          <w:tcPr>
            <w:tcW w:w="4941" w:type="dxa"/>
          </w:tcPr>
          <w:p w:rsidR="00CB5FE4" w:rsidRDefault="00CB5FE4">
            <w:pPr>
              <w:pStyle w:val="Tabletextindenta"/>
              <w:numPr>
                <w:ilvl w:val="0"/>
                <w:numId w:val="2"/>
              </w:numPr>
            </w:pPr>
            <w:r>
              <w:t>Percentage of public housing tenants receiving rebates</w:t>
            </w:r>
          </w:p>
        </w:tc>
        <w:tc>
          <w:tcPr>
            <w:tcW w:w="1467" w:type="dxa"/>
            <w:gridSpan w:val="2"/>
          </w:tcPr>
          <w:p w:rsidR="00CB5FE4" w:rsidRDefault="00114A8F" w:rsidP="00312F4B">
            <w:pPr>
              <w:pStyle w:val="TableTextRight-BP410pt"/>
            </w:pPr>
            <w:r>
              <w:t>9</w:t>
            </w:r>
            <w:r w:rsidR="002E5693">
              <w:t>1</w:t>
            </w:r>
            <w:r w:rsidR="00CB5FE4">
              <w:t>%</w:t>
            </w:r>
          </w:p>
        </w:tc>
        <w:tc>
          <w:tcPr>
            <w:tcW w:w="1481" w:type="dxa"/>
            <w:gridSpan w:val="2"/>
          </w:tcPr>
          <w:p w:rsidR="00CB5FE4" w:rsidRPr="00D27B1C" w:rsidRDefault="009B6326">
            <w:pPr>
              <w:pStyle w:val="TableTextRight-BP410pt"/>
            </w:pPr>
            <w:r w:rsidRPr="00D27B1C">
              <w:t>92</w:t>
            </w:r>
            <w:r w:rsidR="00CB5FE4" w:rsidRPr="00D27B1C">
              <w:t>%</w:t>
            </w:r>
          </w:p>
        </w:tc>
        <w:tc>
          <w:tcPr>
            <w:tcW w:w="1467" w:type="dxa"/>
            <w:gridSpan w:val="2"/>
          </w:tcPr>
          <w:p w:rsidR="00CB5FE4" w:rsidRPr="00D27B1C" w:rsidRDefault="00CB5FE4">
            <w:pPr>
              <w:pStyle w:val="TableTextRight-BP410pt"/>
            </w:pPr>
            <w:r w:rsidRPr="00D27B1C">
              <w:t>9</w:t>
            </w:r>
            <w:r w:rsidR="00312F4B" w:rsidRPr="00D27B1C">
              <w:t>3</w:t>
            </w:r>
            <w:r w:rsidRPr="00D27B1C">
              <w:t>%</w:t>
            </w:r>
          </w:p>
        </w:tc>
      </w:tr>
      <w:tr w:rsidR="00CB5FE4">
        <w:trPr>
          <w:cantSplit/>
        </w:trPr>
        <w:tc>
          <w:tcPr>
            <w:tcW w:w="9356" w:type="dxa"/>
            <w:gridSpan w:val="7"/>
          </w:tcPr>
          <w:p w:rsidR="00CB5FE4" w:rsidRPr="00D27B1C" w:rsidRDefault="00CB5FE4">
            <w:pPr>
              <w:pStyle w:val="AIBlurb0"/>
            </w:pPr>
            <w:r w:rsidRPr="00D27B1C">
              <w:t>Eligible tenants are entitled to a rebate of rent such that the rent payable is no more than 25 per cent of assessable household income.  Tenants not in receipt of a rebate, pay market rent.  The indicator records the percentage of tenants in receipt of a rebate.</w:t>
            </w:r>
          </w:p>
        </w:tc>
      </w:tr>
      <w:tr w:rsidR="00CB5FE4">
        <w:trPr>
          <w:cantSplit/>
        </w:trPr>
        <w:tc>
          <w:tcPr>
            <w:tcW w:w="4941" w:type="dxa"/>
          </w:tcPr>
          <w:p w:rsidR="00CB5FE4" w:rsidRDefault="009855C4">
            <w:pPr>
              <w:pStyle w:val="Tabletextindenta"/>
              <w:numPr>
                <w:ilvl w:val="0"/>
                <w:numId w:val="2"/>
              </w:numPr>
            </w:pPr>
            <w:r>
              <w:rPr>
                <w:szCs w:val="20"/>
              </w:rPr>
              <w:t>N</w:t>
            </w:r>
            <w:r w:rsidR="00CB5FE4">
              <w:rPr>
                <w:szCs w:val="20"/>
              </w:rPr>
              <w:t>umber of client service visits conducted</w:t>
            </w:r>
          </w:p>
        </w:tc>
        <w:tc>
          <w:tcPr>
            <w:tcW w:w="1467" w:type="dxa"/>
            <w:gridSpan w:val="2"/>
          </w:tcPr>
          <w:p w:rsidR="00CB5FE4" w:rsidRDefault="00114A8F">
            <w:pPr>
              <w:pStyle w:val="TableTextRight-BP410pt"/>
            </w:pPr>
            <w:r>
              <w:t>11,2</w:t>
            </w:r>
            <w:r w:rsidR="00CB5FE4">
              <w:t>00</w:t>
            </w:r>
          </w:p>
        </w:tc>
        <w:tc>
          <w:tcPr>
            <w:tcW w:w="1481" w:type="dxa"/>
            <w:gridSpan w:val="2"/>
          </w:tcPr>
          <w:p w:rsidR="00CB5FE4" w:rsidRPr="00D27B1C" w:rsidRDefault="009B6326">
            <w:pPr>
              <w:pStyle w:val="TableTextRight-BP410pt"/>
            </w:pPr>
            <w:r w:rsidRPr="00D27B1C">
              <w:t>11,274</w:t>
            </w:r>
          </w:p>
        </w:tc>
        <w:tc>
          <w:tcPr>
            <w:tcW w:w="1467" w:type="dxa"/>
            <w:gridSpan w:val="2"/>
          </w:tcPr>
          <w:p w:rsidR="00CB5FE4" w:rsidRPr="00D27B1C" w:rsidRDefault="00CB5FE4" w:rsidP="009B6326">
            <w:pPr>
              <w:pStyle w:val="TableTextRight-BP410pt"/>
            </w:pPr>
            <w:r w:rsidRPr="00D27B1C">
              <w:t>11,</w:t>
            </w:r>
            <w:r w:rsidR="009B6326" w:rsidRPr="00D27B1C">
              <w:t>15</w:t>
            </w:r>
            <w:r w:rsidRPr="00D27B1C">
              <w:t>0</w:t>
            </w:r>
          </w:p>
        </w:tc>
      </w:tr>
      <w:tr w:rsidR="00CB5FE4">
        <w:trPr>
          <w:cantSplit/>
        </w:trPr>
        <w:tc>
          <w:tcPr>
            <w:tcW w:w="9356" w:type="dxa"/>
            <w:gridSpan w:val="7"/>
          </w:tcPr>
          <w:p w:rsidR="00CB5FE4" w:rsidRPr="00D27B1C" w:rsidRDefault="00CB5FE4">
            <w:pPr>
              <w:pStyle w:val="AIBlurb0"/>
            </w:pPr>
            <w:r w:rsidRPr="00D27B1C">
              <w:t>The number of current clients visited during the financial year is the combined total of</w:t>
            </w:r>
            <w:r w:rsidR="006A79EE">
              <w:t xml:space="preserve"> first visits carried out within</w:t>
            </w:r>
            <w:r w:rsidRPr="00D27B1C">
              <w:t xml:space="preserve"> 90 days</w:t>
            </w:r>
            <w:r w:rsidR="006A79EE">
              <w:t xml:space="preserve"> of commencement of new tenancies</w:t>
            </w:r>
            <w:r w:rsidRPr="00D27B1C">
              <w:t xml:space="preserve"> and annual client service visits undertaken.</w:t>
            </w:r>
          </w:p>
        </w:tc>
      </w:tr>
      <w:tr w:rsidR="00CB5FE4">
        <w:trPr>
          <w:cantSplit/>
        </w:trPr>
        <w:tc>
          <w:tcPr>
            <w:tcW w:w="4941" w:type="dxa"/>
          </w:tcPr>
          <w:p w:rsidR="00CB5FE4" w:rsidRDefault="00CB5FE4" w:rsidP="009C1432">
            <w:pPr>
              <w:pStyle w:val="Tabletextindenta"/>
              <w:numPr>
                <w:ilvl w:val="0"/>
                <w:numId w:val="2"/>
              </w:numPr>
            </w:pPr>
            <w:r>
              <w:rPr>
                <w:szCs w:val="20"/>
              </w:rPr>
              <w:t>Overall satisfaction with the provision of public housing</w:t>
            </w:r>
            <w:r w:rsidR="009C1432">
              <w:rPr>
                <w:szCs w:val="20"/>
                <w:vertAlign w:val="superscript"/>
              </w:rPr>
              <w:t>2</w:t>
            </w:r>
          </w:p>
        </w:tc>
        <w:tc>
          <w:tcPr>
            <w:tcW w:w="1467" w:type="dxa"/>
            <w:gridSpan w:val="2"/>
          </w:tcPr>
          <w:p w:rsidR="00CB5FE4" w:rsidRDefault="007C7654">
            <w:pPr>
              <w:pStyle w:val="TableTextRight-BP410pt"/>
            </w:pPr>
            <w:r>
              <w:t>75%</w:t>
            </w:r>
          </w:p>
        </w:tc>
        <w:tc>
          <w:tcPr>
            <w:tcW w:w="1481" w:type="dxa"/>
            <w:gridSpan w:val="2"/>
          </w:tcPr>
          <w:p w:rsidR="00CB5FE4" w:rsidRPr="00D27B1C" w:rsidRDefault="00CB5FE4" w:rsidP="009B6326">
            <w:pPr>
              <w:pStyle w:val="TableTextRight-BP410pt"/>
            </w:pPr>
            <w:r w:rsidRPr="00D27B1C">
              <w:t>7</w:t>
            </w:r>
            <w:r w:rsidR="009B6326" w:rsidRPr="00D27B1C">
              <w:t>3</w:t>
            </w:r>
            <w:r w:rsidRPr="00D27B1C">
              <w:t>%</w:t>
            </w:r>
          </w:p>
        </w:tc>
        <w:tc>
          <w:tcPr>
            <w:tcW w:w="1467" w:type="dxa"/>
            <w:gridSpan w:val="2"/>
          </w:tcPr>
          <w:p w:rsidR="00CB5FE4" w:rsidRPr="00D27B1C" w:rsidRDefault="00CB5FE4">
            <w:pPr>
              <w:pStyle w:val="TableTextRight-BP410pt"/>
            </w:pPr>
            <w:r w:rsidRPr="00D27B1C">
              <w:t>75%</w:t>
            </w:r>
          </w:p>
        </w:tc>
      </w:tr>
      <w:tr w:rsidR="00CB5FE4">
        <w:trPr>
          <w:cantSplit/>
        </w:trPr>
        <w:tc>
          <w:tcPr>
            <w:tcW w:w="9356" w:type="dxa"/>
            <w:gridSpan w:val="7"/>
          </w:tcPr>
          <w:p w:rsidR="00CB5FE4" w:rsidRPr="00D27B1C" w:rsidRDefault="00CB5FE4">
            <w:pPr>
              <w:pStyle w:val="AIBlurb0"/>
            </w:pPr>
            <w:r w:rsidRPr="00D27B1C">
              <w:t>Tenant satisfaction is measured biennially through the National Social Housing Survey and in the alternate years through an internal survey.</w:t>
            </w:r>
          </w:p>
        </w:tc>
      </w:tr>
      <w:tr w:rsidR="00CB5FE4">
        <w:trPr>
          <w:cantSplit/>
        </w:trPr>
        <w:tc>
          <w:tcPr>
            <w:tcW w:w="4941" w:type="dxa"/>
          </w:tcPr>
          <w:p w:rsidR="00CB5FE4" w:rsidRDefault="00CB5FE4" w:rsidP="009C1432">
            <w:pPr>
              <w:pStyle w:val="Tabletextindenta"/>
              <w:numPr>
                <w:ilvl w:val="0"/>
                <w:numId w:val="2"/>
              </w:numPr>
            </w:pPr>
            <w:r>
              <w:rPr>
                <w:szCs w:val="20"/>
              </w:rPr>
              <w:t>Average cost per dwelling of public housing</w:t>
            </w:r>
            <w:r w:rsidR="009C1432">
              <w:rPr>
                <w:szCs w:val="20"/>
                <w:vertAlign w:val="superscript"/>
              </w:rPr>
              <w:t>3</w:t>
            </w:r>
          </w:p>
        </w:tc>
        <w:tc>
          <w:tcPr>
            <w:tcW w:w="1467" w:type="dxa"/>
            <w:gridSpan w:val="2"/>
          </w:tcPr>
          <w:p w:rsidR="00CB5FE4" w:rsidRDefault="0082116B" w:rsidP="00312F4B">
            <w:pPr>
              <w:pStyle w:val="TableTextRight-BP410pt"/>
            </w:pPr>
            <w:r>
              <w:t>$</w:t>
            </w:r>
            <w:r w:rsidR="00312F4B">
              <w:t>10,</w:t>
            </w:r>
            <w:r w:rsidR="002E5693">
              <w:t>901</w:t>
            </w:r>
          </w:p>
        </w:tc>
        <w:tc>
          <w:tcPr>
            <w:tcW w:w="1481" w:type="dxa"/>
            <w:gridSpan w:val="2"/>
          </w:tcPr>
          <w:p w:rsidR="00CB5FE4" w:rsidRPr="00D27B1C" w:rsidRDefault="0082116B" w:rsidP="00D74B1E">
            <w:pPr>
              <w:pStyle w:val="TableTextRight-BP410pt"/>
            </w:pPr>
            <w:r w:rsidRPr="00D27B1C">
              <w:t>$</w:t>
            </w:r>
            <w:r w:rsidR="009B6326" w:rsidRPr="00D27B1C">
              <w:t>11,</w:t>
            </w:r>
            <w:r w:rsidR="00977CF2">
              <w:t>314</w:t>
            </w:r>
          </w:p>
        </w:tc>
        <w:tc>
          <w:tcPr>
            <w:tcW w:w="1467" w:type="dxa"/>
            <w:gridSpan w:val="2"/>
          </w:tcPr>
          <w:p w:rsidR="00CB5FE4" w:rsidRPr="00D27B1C" w:rsidRDefault="0082116B">
            <w:pPr>
              <w:pStyle w:val="TableTextRight-BP410pt"/>
            </w:pPr>
            <w:r w:rsidRPr="00D27B1C">
              <w:t>$</w:t>
            </w:r>
            <w:r w:rsidR="00D74B1E">
              <w:t>11,</w:t>
            </w:r>
            <w:r w:rsidR="003005A8">
              <w:t>296</w:t>
            </w:r>
          </w:p>
        </w:tc>
      </w:tr>
      <w:tr w:rsidR="00CB5FE4">
        <w:trPr>
          <w:cantSplit/>
        </w:trPr>
        <w:tc>
          <w:tcPr>
            <w:tcW w:w="9356" w:type="dxa"/>
            <w:gridSpan w:val="7"/>
          </w:tcPr>
          <w:p w:rsidR="00CB5FE4" w:rsidRPr="00D27B1C" w:rsidRDefault="00CB5FE4" w:rsidP="00E610A5">
            <w:pPr>
              <w:pStyle w:val="AIBlurb0"/>
            </w:pPr>
            <w:r w:rsidRPr="00D27B1C">
              <w:t xml:space="preserve">Total cost of public housing excluding the </w:t>
            </w:r>
            <w:r w:rsidR="00E610A5" w:rsidRPr="00D27B1C">
              <w:t xml:space="preserve">payments </w:t>
            </w:r>
            <w:r w:rsidRPr="00D27B1C">
              <w:t>to community service</w:t>
            </w:r>
            <w:r w:rsidR="00FD3AE5">
              <w:t xml:space="preserve"> providers and to the community</w:t>
            </w:r>
            <w:r w:rsidR="00FD3AE5">
              <w:noBreakHyphen/>
            </w:r>
            <w:proofErr w:type="spellStart"/>
            <w:r w:rsidRPr="00D27B1C">
              <w:t>housing</w:t>
            </w:r>
            <w:proofErr w:type="spellEnd"/>
            <w:r w:rsidRPr="00D27B1C">
              <w:t xml:space="preserve"> sector divided by the </w:t>
            </w:r>
            <w:r w:rsidR="00E610A5" w:rsidRPr="00D27B1C">
              <w:t>number of dwellings.</w:t>
            </w:r>
          </w:p>
        </w:tc>
      </w:tr>
      <w:tr w:rsidR="00CB5FE4">
        <w:trPr>
          <w:cantSplit/>
        </w:trPr>
        <w:tc>
          <w:tcPr>
            <w:tcW w:w="4941" w:type="dxa"/>
          </w:tcPr>
          <w:p w:rsidR="00CB5FE4" w:rsidRDefault="00CB5FE4" w:rsidP="009C1432">
            <w:pPr>
              <w:pStyle w:val="Tabletextindenta"/>
              <w:numPr>
                <w:ilvl w:val="0"/>
                <w:numId w:val="2"/>
              </w:numPr>
            </w:pPr>
            <w:r>
              <w:rPr>
                <w:szCs w:val="20"/>
              </w:rPr>
              <w:t>Overall satisfaction with the provision of community housing</w:t>
            </w:r>
            <w:r w:rsidR="009C1432">
              <w:rPr>
                <w:szCs w:val="20"/>
                <w:vertAlign w:val="superscript"/>
              </w:rPr>
              <w:t>2</w:t>
            </w:r>
          </w:p>
        </w:tc>
        <w:tc>
          <w:tcPr>
            <w:tcW w:w="1467" w:type="dxa"/>
            <w:gridSpan w:val="2"/>
          </w:tcPr>
          <w:p w:rsidR="00CB5FE4" w:rsidRPr="00D27B1C" w:rsidRDefault="00114A8F">
            <w:pPr>
              <w:pStyle w:val="TableTextRight-BP410pt"/>
            </w:pPr>
            <w:r w:rsidRPr="00D27B1C">
              <w:t>75</w:t>
            </w:r>
            <w:r w:rsidR="00CB5FE4" w:rsidRPr="00D27B1C">
              <w:t xml:space="preserve">% </w:t>
            </w:r>
          </w:p>
        </w:tc>
        <w:tc>
          <w:tcPr>
            <w:tcW w:w="1481" w:type="dxa"/>
            <w:gridSpan w:val="2"/>
          </w:tcPr>
          <w:p w:rsidR="00CB5FE4" w:rsidRPr="00D27B1C" w:rsidRDefault="00CB5FE4">
            <w:pPr>
              <w:pStyle w:val="TableTextRight-BP410pt"/>
            </w:pPr>
            <w:r w:rsidRPr="00D27B1C">
              <w:t>75%</w:t>
            </w:r>
          </w:p>
        </w:tc>
        <w:tc>
          <w:tcPr>
            <w:tcW w:w="1467" w:type="dxa"/>
            <w:gridSpan w:val="2"/>
          </w:tcPr>
          <w:p w:rsidR="00CB5FE4" w:rsidRPr="00D27B1C" w:rsidRDefault="00CB5FE4">
            <w:pPr>
              <w:pStyle w:val="TableTextRight-BP410pt"/>
            </w:pPr>
            <w:r w:rsidRPr="00D27B1C">
              <w:t>75%</w:t>
            </w:r>
          </w:p>
        </w:tc>
      </w:tr>
      <w:tr w:rsidR="00CB5FE4">
        <w:trPr>
          <w:cantSplit/>
        </w:trPr>
        <w:tc>
          <w:tcPr>
            <w:tcW w:w="9356" w:type="dxa"/>
            <w:gridSpan w:val="7"/>
          </w:tcPr>
          <w:p w:rsidR="00CB5FE4" w:rsidRDefault="00CB5FE4">
            <w:pPr>
              <w:pStyle w:val="AIBlurb0"/>
            </w:pPr>
            <w:r>
              <w:t>Tenant satisfaction is measured biennially through the National Community Housing Survey and in the alternative years through an internal survey.</w:t>
            </w:r>
          </w:p>
        </w:tc>
      </w:tr>
      <w:tr w:rsidR="003924FE" w:rsidTr="00A87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7" w:type="dxa"/>
            <w:gridSpan w:val="2"/>
            <w:tcBorders>
              <w:top w:val="nil"/>
              <w:left w:val="nil"/>
              <w:bottom w:val="nil"/>
              <w:right w:val="nil"/>
            </w:tcBorders>
          </w:tcPr>
          <w:p w:rsidR="003924FE" w:rsidRDefault="003924FE" w:rsidP="00E610A5">
            <w:pPr>
              <w:pStyle w:val="Tabletextindenta"/>
              <w:numPr>
                <w:ilvl w:val="0"/>
                <w:numId w:val="2"/>
              </w:numPr>
            </w:pPr>
            <w:r>
              <w:t xml:space="preserve">Occupancy rate of public housing </w:t>
            </w:r>
          </w:p>
        </w:tc>
        <w:tc>
          <w:tcPr>
            <w:tcW w:w="1451" w:type="dxa"/>
            <w:gridSpan w:val="2"/>
            <w:tcBorders>
              <w:top w:val="nil"/>
              <w:left w:val="nil"/>
              <w:bottom w:val="nil"/>
              <w:right w:val="nil"/>
            </w:tcBorders>
          </w:tcPr>
          <w:p w:rsidR="003924FE" w:rsidRDefault="003924FE" w:rsidP="00A873E1">
            <w:pPr>
              <w:pStyle w:val="TableTextRight-BP410pt"/>
            </w:pPr>
            <w:r>
              <w:t>99%</w:t>
            </w:r>
          </w:p>
        </w:tc>
        <w:tc>
          <w:tcPr>
            <w:tcW w:w="1457" w:type="dxa"/>
            <w:gridSpan w:val="2"/>
            <w:tcBorders>
              <w:top w:val="nil"/>
              <w:left w:val="nil"/>
              <w:bottom w:val="nil"/>
              <w:right w:val="nil"/>
            </w:tcBorders>
          </w:tcPr>
          <w:p w:rsidR="003924FE" w:rsidRDefault="009B6326" w:rsidP="00A873E1">
            <w:pPr>
              <w:pStyle w:val="TableTextRight-BP410pt"/>
            </w:pPr>
            <w:r>
              <w:t>98</w:t>
            </w:r>
            <w:r w:rsidR="003924FE">
              <w:t>%</w:t>
            </w:r>
          </w:p>
        </w:tc>
        <w:tc>
          <w:tcPr>
            <w:tcW w:w="1451" w:type="dxa"/>
            <w:tcBorders>
              <w:top w:val="nil"/>
              <w:left w:val="nil"/>
              <w:bottom w:val="nil"/>
              <w:right w:val="nil"/>
            </w:tcBorders>
          </w:tcPr>
          <w:p w:rsidR="003924FE" w:rsidRDefault="003924FE" w:rsidP="00A873E1">
            <w:pPr>
              <w:pStyle w:val="TableTextRight-BP410pt"/>
            </w:pPr>
            <w:r>
              <w:t>99%</w:t>
            </w:r>
          </w:p>
        </w:tc>
      </w:tr>
      <w:tr w:rsidR="003924FE" w:rsidTr="00A873E1">
        <w:trPr>
          <w:cantSplit/>
          <w:trHeight w:val="20"/>
        </w:trPr>
        <w:tc>
          <w:tcPr>
            <w:tcW w:w="9356" w:type="dxa"/>
            <w:gridSpan w:val="7"/>
          </w:tcPr>
          <w:p w:rsidR="003924FE" w:rsidRDefault="003924FE" w:rsidP="00A873E1">
            <w:pPr>
              <w:pStyle w:val="AIBlurb0"/>
              <w:rPr>
                <w:bCs/>
              </w:rPr>
            </w:pPr>
            <w:r>
              <w:rPr>
                <w:bCs/>
              </w:rPr>
              <w:t xml:space="preserve">Total number of tenancies divided by total number of </w:t>
            </w:r>
            <w:proofErr w:type="spellStart"/>
            <w:r>
              <w:rPr>
                <w:bCs/>
              </w:rPr>
              <w:t>lettable</w:t>
            </w:r>
            <w:proofErr w:type="spellEnd"/>
            <w:r>
              <w:rPr>
                <w:bCs/>
              </w:rPr>
              <w:t xml:space="preserve"> dwellings.  </w:t>
            </w:r>
          </w:p>
        </w:tc>
      </w:tr>
      <w:tr w:rsidR="003924FE" w:rsidTr="00A87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7" w:type="dxa"/>
            <w:gridSpan w:val="2"/>
            <w:tcBorders>
              <w:top w:val="nil"/>
              <w:left w:val="nil"/>
              <w:bottom w:val="nil"/>
              <w:right w:val="nil"/>
            </w:tcBorders>
          </w:tcPr>
          <w:p w:rsidR="003924FE" w:rsidRDefault="003924FE" w:rsidP="009C1432">
            <w:pPr>
              <w:pStyle w:val="Tabletextindenta"/>
              <w:numPr>
                <w:ilvl w:val="0"/>
                <w:numId w:val="2"/>
              </w:numPr>
              <w:rPr>
                <w:szCs w:val="20"/>
              </w:rPr>
            </w:pPr>
            <w:r>
              <w:rPr>
                <w:szCs w:val="20"/>
              </w:rPr>
              <w:t xml:space="preserve">Percentage of tenant accounts </w:t>
            </w:r>
            <w:r>
              <w:rPr>
                <w:szCs w:val="20"/>
              </w:rPr>
              <w:sym w:font="Symbol" w:char="F0B3"/>
            </w:r>
            <w:r>
              <w:rPr>
                <w:szCs w:val="20"/>
              </w:rPr>
              <w:t xml:space="preserve"> $500 and four or more weeks in arrears on repayment agreements</w:t>
            </w:r>
            <w:r w:rsidR="009C1432">
              <w:rPr>
                <w:szCs w:val="20"/>
                <w:vertAlign w:val="superscript"/>
              </w:rPr>
              <w:t>4</w:t>
            </w:r>
          </w:p>
        </w:tc>
        <w:tc>
          <w:tcPr>
            <w:tcW w:w="1451" w:type="dxa"/>
            <w:gridSpan w:val="2"/>
            <w:tcBorders>
              <w:top w:val="nil"/>
              <w:left w:val="nil"/>
              <w:bottom w:val="nil"/>
              <w:right w:val="nil"/>
            </w:tcBorders>
          </w:tcPr>
          <w:p w:rsidR="003924FE" w:rsidRDefault="003924FE" w:rsidP="00A873E1">
            <w:pPr>
              <w:pStyle w:val="TableTextRight-BP410pt"/>
            </w:pPr>
            <w:r>
              <w:t>90%</w:t>
            </w:r>
          </w:p>
        </w:tc>
        <w:tc>
          <w:tcPr>
            <w:tcW w:w="1457" w:type="dxa"/>
            <w:gridSpan w:val="2"/>
            <w:tcBorders>
              <w:top w:val="nil"/>
              <w:left w:val="nil"/>
              <w:bottom w:val="nil"/>
              <w:right w:val="nil"/>
            </w:tcBorders>
          </w:tcPr>
          <w:p w:rsidR="003924FE" w:rsidRDefault="009B6326" w:rsidP="00A873E1">
            <w:pPr>
              <w:pStyle w:val="TableTextRight-BP410pt"/>
            </w:pPr>
            <w:r>
              <w:t>85</w:t>
            </w:r>
            <w:r w:rsidR="003924FE">
              <w:t>%</w:t>
            </w:r>
          </w:p>
        </w:tc>
        <w:tc>
          <w:tcPr>
            <w:tcW w:w="1451" w:type="dxa"/>
            <w:tcBorders>
              <w:top w:val="nil"/>
              <w:left w:val="nil"/>
              <w:bottom w:val="nil"/>
              <w:right w:val="nil"/>
            </w:tcBorders>
          </w:tcPr>
          <w:p w:rsidR="003924FE" w:rsidRDefault="003924FE" w:rsidP="00A873E1">
            <w:pPr>
              <w:pStyle w:val="TableTextRight-BP410pt"/>
            </w:pPr>
            <w:r>
              <w:t>90%</w:t>
            </w:r>
          </w:p>
        </w:tc>
      </w:tr>
      <w:tr w:rsidR="003924FE" w:rsidTr="00A873E1">
        <w:trPr>
          <w:cantSplit/>
          <w:trHeight w:val="20"/>
        </w:trPr>
        <w:tc>
          <w:tcPr>
            <w:tcW w:w="9356" w:type="dxa"/>
            <w:gridSpan w:val="7"/>
          </w:tcPr>
          <w:p w:rsidR="003924FE" w:rsidRDefault="003924FE" w:rsidP="00A873E1">
            <w:pPr>
              <w:pStyle w:val="AIBlurb0"/>
              <w:rPr>
                <w:b/>
                <w:bCs/>
              </w:rPr>
            </w:pPr>
            <w:r>
              <w:t>Tenants with rent arrears exceeding four weeks rent and with debts exceeding $500 are required to enter into agreements to repay the arrears within a reasonable time either prior to an Order to repay the debt has been made by the ACT Civil and Administrative Tribunal or in conjunction with an Order.  To maintain the sustainability of the tenancy and not create household stress, policy guidelines provide that the repayment of arrears and the rent payments are not to exceed 30 per cent of total income.</w:t>
            </w:r>
          </w:p>
        </w:tc>
      </w:tr>
      <w:tr w:rsidR="003924FE" w:rsidTr="007F1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97" w:type="dxa"/>
            <w:gridSpan w:val="2"/>
            <w:tcBorders>
              <w:top w:val="nil"/>
              <w:left w:val="nil"/>
              <w:bottom w:val="nil"/>
              <w:right w:val="nil"/>
            </w:tcBorders>
          </w:tcPr>
          <w:p w:rsidR="003924FE" w:rsidRDefault="003924FE" w:rsidP="00A873E1">
            <w:pPr>
              <w:pStyle w:val="Tabletextindenta"/>
              <w:numPr>
                <w:ilvl w:val="0"/>
                <w:numId w:val="2"/>
              </w:numPr>
              <w:rPr>
                <w:szCs w:val="20"/>
              </w:rPr>
            </w:pPr>
            <w:r>
              <w:rPr>
                <w:szCs w:val="20"/>
              </w:rPr>
              <w:t>Percentage of rent received</w:t>
            </w:r>
          </w:p>
        </w:tc>
        <w:tc>
          <w:tcPr>
            <w:tcW w:w="1451" w:type="dxa"/>
            <w:gridSpan w:val="2"/>
            <w:tcBorders>
              <w:top w:val="nil"/>
              <w:left w:val="nil"/>
              <w:bottom w:val="nil"/>
              <w:right w:val="nil"/>
            </w:tcBorders>
          </w:tcPr>
          <w:p w:rsidR="003924FE" w:rsidRDefault="003924FE" w:rsidP="00A873E1">
            <w:pPr>
              <w:pStyle w:val="TableTextRight-BP410pt"/>
            </w:pPr>
            <w:r>
              <w:t>99%</w:t>
            </w:r>
          </w:p>
        </w:tc>
        <w:tc>
          <w:tcPr>
            <w:tcW w:w="1457" w:type="dxa"/>
            <w:gridSpan w:val="2"/>
            <w:tcBorders>
              <w:top w:val="nil"/>
              <w:left w:val="nil"/>
              <w:bottom w:val="nil"/>
              <w:right w:val="nil"/>
            </w:tcBorders>
          </w:tcPr>
          <w:p w:rsidR="003924FE" w:rsidRDefault="003924FE" w:rsidP="00A873E1">
            <w:pPr>
              <w:pStyle w:val="TableTextRight-BP410pt"/>
            </w:pPr>
            <w:r>
              <w:t>99%</w:t>
            </w:r>
          </w:p>
        </w:tc>
        <w:tc>
          <w:tcPr>
            <w:tcW w:w="1451" w:type="dxa"/>
            <w:tcBorders>
              <w:top w:val="nil"/>
              <w:left w:val="nil"/>
              <w:bottom w:val="nil"/>
              <w:right w:val="nil"/>
            </w:tcBorders>
          </w:tcPr>
          <w:p w:rsidR="003924FE" w:rsidRDefault="003924FE" w:rsidP="00A873E1">
            <w:pPr>
              <w:pStyle w:val="TableTextRight-BP410pt"/>
            </w:pPr>
            <w:r>
              <w:t>99%</w:t>
            </w:r>
          </w:p>
        </w:tc>
      </w:tr>
      <w:tr w:rsidR="003924FE" w:rsidTr="007F1E16">
        <w:trPr>
          <w:cantSplit/>
          <w:trHeight w:val="20"/>
        </w:trPr>
        <w:tc>
          <w:tcPr>
            <w:tcW w:w="9356" w:type="dxa"/>
            <w:gridSpan w:val="7"/>
            <w:tcBorders>
              <w:bottom w:val="single" w:sz="4" w:space="0" w:color="auto"/>
            </w:tcBorders>
          </w:tcPr>
          <w:p w:rsidR="003924FE" w:rsidRDefault="003924FE" w:rsidP="00A873E1">
            <w:pPr>
              <w:pStyle w:val="AIBlurb0"/>
              <w:rPr>
                <w:b/>
                <w:bCs/>
              </w:rPr>
            </w:pPr>
            <w:r>
              <w:t xml:space="preserve">Percentage of rent received from tenants compared to rent charged, after rebates.  </w:t>
            </w:r>
          </w:p>
        </w:tc>
      </w:tr>
    </w:tbl>
    <w:p w:rsidR="006B40A0" w:rsidRDefault="009B6326" w:rsidP="009B6326">
      <w:r>
        <w:br w:type="page"/>
      </w:r>
    </w:p>
    <w:p w:rsidR="006B40A0" w:rsidRDefault="006B40A0" w:rsidP="006B40A0">
      <w:pPr>
        <w:pStyle w:val="Heading3TopofPage"/>
        <w:widowControl w:val="0"/>
      </w:pPr>
      <w:proofErr w:type="gramStart"/>
      <w:r>
        <w:lastRenderedPageBreak/>
        <w:t>Accountability Indicators cont.</w:t>
      </w:r>
      <w:proofErr w:type="gramEnd"/>
    </w:p>
    <w:p w:rsidR="00CB5FE4" w:rsidRPr="000D7EB1" w:rsidRDefault="00CB5FE4" w:rsidP="006B40A0">
      <w:pPr>
        <w:spacing w:before="60"/>
        <w:rPr>
          <w:b/>
          <w:sz w:val="16"/>
          <w:szCs w:val="16"/>
        </w:rPr>
      </w:pPr>
      <w:r w:rsidRPr="000D7EB1">
        <w:rPr>
          <w:b/>
          <w:sz w:val="16"/>
          <w:szCs w:val="16"/>
        </w:rPr>
        <w:t>Notes:</w:t>
      </w:r>
    </w:p>
    <w:p w:rsidR="004917C0" w:rsidRPr="002C57B7" w:rsidRDefault="00CB5FE4" w:rsidP="00AE4FB8">
      <w:pPr>
        <w:pStyle w:val="AINotes"/>
        <w:numPr>
          <w:ilvl w:val="0"/>
          <w:numId w:val="30"/>
        </w:numPr>
        <w:rPr>
          <w:szCs w:val="16"/>
        </w:rPr>
      </w:pPr>
      <w:r w:rsidRPr="002C57B7">
        <w:rPr>
          <w:szCs w:val="16"/>
        </w:rPr>
        <w:t xml:space="preserve">The </w:t>
      </w:r>
      <w:r w:rsidR="000A0D96" w:rsidRPr="002C57B7">
        <w:rPr>
          <w:szCs w:val="16"/>
        </w:rPr>
        <w:t xml:space="preserve">higher </w:t>
      </w:r>
      <w:r w:rsidRPr="002C57B7">
        <w:rPr>
          <w:szCs w:val="16"/>
        </w:rPr>
        <w:t xml:space="preserve">number of </w:t>
      </w:r>
      <w:r w:rsidR="005E18F5" w:rsidRPr="002C57B7">
        <w:rPr>
          <w:szCs w:val="16"/>
        </w:rPr>
        <w:t xml:space="preserve">tenancies managed by registered Not-For-Profit </w:t>
      </w:r>
      <w:r w:rsidRPr="002C57B7">
        <w:rPr>
          <w:szCs w:val="16"/>
        </w:rPr>
        <w:t>housing pro</w:t>
      </w:r>
      <w:r w:rsidR="005E18F5" w:rsidRPr="002C57B7">
        <w:rPr>
          <w:szCs w:val="16"/>
        </w:rPr>
        <w:t>viders in 201</w:t>
      </w:r>
      <w:r w:rsidR="009C1432" w:rsidRPr="002C57B7">
        <w:rPr>
          <w:szCs w:val="16"/>
        </w:rPr>
        <w:t>2</w:t>
      </w:r>
      <w:r w:rsidR="005E18F5" w:rsidRPr="002C57B7">
        <w:rPr>
          <w:szCs w:val="16"/>
        </w:rPr>
        <w:t>-1</w:t>
      </w:r>
      <w:r w:rsidR="009C1432" w:rsidRPr="002C57B7">
        <w:rPr>
          <w:szCs w:val="16"/>
        </w:rPr>
        <w:t>3</w:t>
      </w:r>
      <w:r w:rsidR="005E18F5" w:rsidRPr="002C57B7">
        <w:rPr>
          <w:szCs w:val="16"/>
        </w:rPr>
        <w:t xml:space="preserve"> </w:t>
      </w:r>
      <w:r w:rsidRPr="002C57B7">
        <w:rPr>
          <w:szCs w:val="16"/>
        </w:rPr>
        <w:t xml:space="preserve">is due to </w:t>
      </w:r>
      <w:r w:rsidR="000A0D96" w:rsidRPr="002C57B7">
        <w:rPr>
          <w:szCs w:val="16"/>
        </w:rPr>
        <w:t xml:space="preserve">the higher number of properties </w:t>
      </w:r>
      <w:r w:rsidR="009C1432" w:rsidRPr="002C57B7">
        <w:rPr>
          <w:szCs w:val="16"/>
        </w:rPr>
        <w:t xml:space="preserve">constructed under the National Rental Affordability Scheme and properties </w:t>
      </w:r>
      <w:r w:rsidR="000A0D96" w:rsidRPr="002C57B7">
        <w:rPr>
          <w:szCs w:val="16"/>
        </w:rPr>
        <w:t>allocated to the community housing sector from the stimulus projects.  The increase in 2013</w:t>
      </w:r>
      <w:r w:rsidR="009C1432" w:rsidRPr="002C57B7">
        <w:rPr>
          <w:szCs w:val="16"/>
        </w:rPr>
        <w:t>-14</w:t>
      </w:r>
      <w:r w:rsidR="000A0D96" w:rsidRPr="002C57B7">
        <w:rPr>
          <w:szCs w:val="16"/>
        </w:rPr>
        <w:t xml:space="preserve"> is due to the increase in dwellings </w:t>
      </w:r>
      <w:r w:rsidR="009C1432" w:rsidRPr="002C57B7">
        <w:rPr>
          <w:szCs w:val="16"/>
        </w:rPr>
        <w:t xml:space="preserve">derived from </w:t>
      </w:r>
      <w:r w:rsidR="00317551" w:rsidRPr="002C57B7">
        <w:rPr>
          <w:szCs w:val="16"/>
        </w:rPr>
        <w:t>dwelling construction funded by the revolving line of credit from the ACT Government to expand affordable housing numbers.  Not-for-P</w:t>
      </w:r>
      <w:r w:rsidR="000A0D96" w:rsidRPr="002C57B7">
        <w:rPr>
          <w:szCs w:val="16"/>
        </w:rPr>
        <w:t xml:space="preserve">rofit housing providers also </w:t>
      </w:r>
      <w:r w:rsidR="00317551" w:rsidRPr="002C57B7">
        <w:rPr>
          <w:szCs w:val="16"/>
        </w:rPr>
        <w:t>undertake tenancy management of s</w:t>
      </w:r>
      <w:r w:rsidR="000A0D96" w:rsidRPr="002C57B7">
        <w:rPr>
          <w:szCs w:val="16"/>
        </w:rPr>
        <w:t>ome public housing properties.</w:t>
      </w:r>
    </w:p>
    <w:p w:rsidR="00F91ED1" w:rsidRPr="002C57B7" w:rsidRDefault="00F91ED1" w:rsidP="000A0D96">
      <w:pPr>
        <w:pStyle w:val="AINotes"/>
        <w:rPr>
          <w:szCs w:val="16"/>
        </w:rPr>
      </w:pPr>
      <w:r w:rsidRPr="002C57B7">
        <w:rPr>
          <w:szCs w:val="16"/>
        </w:rPr>
        <w:t>Internal surveys will be undertaken for both publi</w:t>
      </w:r>
      <w:r w:rsidR="00317551" w:rsidRPr="002C57B7">
        <w:rPr>
          <w:szCs w:val="16"/>
        </w:rPr>
        <w:t>c and community housing for 2013</w:t>
      </w:r>
      <w:r w:rsidRPr="002C57B7">
        <w:rPr>
          <w:szCs w:val="16"/>
        </w:rPr>
        <w:t>, with results to be finalised in June</w:t>
      </w:r>
      <w:r w:rsidR="00FD3AE5">
        <w:rPr>
          <w:szCs w:val="16"/>
        </w:rPr>
        <w:t xml:space="preserve"> 2013</w:t>
      </w:r>
      <w:r w:rsidRPr="002C57B7">
        <w:rPr>
          <w:szCs w:val="16"/>
        </w:rPr>
        <w:t>.  The results shown are the estimated results based upon the previous surveys</w:t>
      </w:r>
      <w:r w:rsidR="000B3702">
        <w:rPr>
          <w:szCs w:val="16"/>
        </w:rPr>
        <w:t>.</w:t>
      </w:r>
      <w:r w:rsidRPr="002C57B7">
        <w:rPr>
          <w:szCs w:val="16"/>
        </w:rPr>
        <w:t xml:space="preserve"> </w:t>
      </w:r>
    </w:p>
    <w:p w:rsidR="000A0D96" w:rsidRPr="002C57B7" w:rsidRDefault="000A0D96" w:rsidP="000A0D96">
      <w:pPr>
        <w:pStyle w:val="AINotes"/>
        <w:rPr>
          <w:szCs w:val="16"/>
        </w:rPr>
      </w:pPr>
      <w:r w:rsidRPr="002C57B7">
        <w:rPr>
          <w:szCs w:val="16"/>
        </w:rPr>
        <w:t>The average cost per dwelling is higher in 201</w:t>
      </w:r>
      <w:r w:rsidR="00317551" w:rsidRPr="002C57B7">
        <w:rPr>
          <w:szCs w:val="16"/>
        </w:rPr>
        <w:t>2</w:t>
      </w:r>
      <w:r w:rsidRPr="002C57B7">
        <w:rPr>
          <w:szCs w:val="16"/>
        </w:rPr>
        <w:t>-1</w:t>
      </w:r>
      <w:r w:rsidR="00317551" w:rsidRPr="002C57B7">
        <w:rPr>
          <w:szCs w:val="16"/>
        </w:rPr>
        <w:t>3</w:t>
      </w:r>
      <w:r w:rsidRPr="002C57B7">
        <w:rPr>
          <w:szCs w:val="16"/>
        </w:rPr>
        <w:t xml:space="preserve"> as a result of higher property </w:t>
      </w:r>
      <w:r w:rsidR="00F91ED1" w:rsidRPr="002C57B7">
        <w:rPr>
          <w:szCs w:val="16"/>
        </w:rPr>
        <w:t xml:space="preserve">costs, such as repairs and maintenance, rates and body corporate fees and higher employee costs </w:t>
      </w:r>
      <w:r w:rsidR="000951FF" w:rsidRPr="002C57B7">
        <w:rPr>
          <w:szCs w:val="16"/>
        </w:rPr>
        <w:t>offset by lower depreciation a</w:t>
      </w:r>
      <w:r w:rsidR="00F91ED1" w:rsidRPr="002C57B7">
        <w:rPr>
          <w:szCs w:val="16"/>
        </w:rPr>
        <w:t xml:space="preserve">nd amortisation. </w:t>
      </w:r>
    </w:p>
    <w:p w:rsidR="00CB5FE4" w:rsidRDefault="00CB5FE4">
      <w:pPr>
        <w:pStyle w:val="AINotes"/>
        <w:rPr>
          <w:szCs w:val="16"/>
        </w:rPr>
      </w:pPr>
      <w:r w:rsidRPr="002C57B7">
        <w:rPr>
          <w:szCs w:val="16"/>
        </w:rPr>
        <w:t>There is a continuing focus on reducing tenant arrears with the deployment of early intervention strategies to ensure that tenants engage with Housing ACT and support services to identify and address issues as early as possible, including debt.</w:t>
      </w:r>
      <w:r w:rsidR="007470DA" w:rsidRPr="002C57B7">
        <w:rPr>
          <w:szCs w:val="16"/>
        </w:rPr>
        <w:t xml:space="preserve">  However, the results for the measure are </w:t>
      </w:r>
      <w:r w:rsidR="00AE4FB8" w:rsidRPr="002C57B7">
        <w:rPr>
          <w:szCs w:val="16"/>
        </w:rPr>
        <w:t xml:space="preserve">slightly </w:t>
      </w:r>
      <w:r w:rsidR="007470DA" w:rsidRPr="002C57B7">
        <w:rPr>
          <w:szCs w:val="16"/>
        </w:rPr>
        <w:t>below target for the year due to the difficult economic environment facing low income and vulnerable families</w:t>
      </w:r>
      <w:r w:rsidR="00416A3F">
        <w:rPr>
          <w:szCs w:val="16"/>
        </w:rPr>
        <w:t>.</w:t>
      </w:r>
    </w:p>
    <w:p w:rsidR="00DF7F77" w:rsidRDefault="00864936">
      <w:pPr>
        <w:rPr>
          <w:color w:val="0000FF"/>
          <w:sz w:val="16"/>
          <w:szCs w:val="16"/>
        </w:rPr>
      </w:pPr>
      <w:r>
        <w:rPr>
          <w:color w:val="0000FF"/>
          <w:sz w:val="16"/>
          <w:szCs w:val="16"/>
        </w:rPr>
        <w:br w:type="page"/>
      </w:r>
    </w:p>
    <w:p w:rsidR="00DF7F77" w:rsidRDefault="00DF7F77" w:rsidP="00DF7F77">
      <w:pPr>
        <w:pStyle w:val="Heading3TopofPage"/>
      </w:pPr>
      <w:r>
        <w:lastRenderedPageBreak/>
        <w:t>Changes to Appropriation</w:t>
      </w:r>
    </w:p>
    <w:tbl>
      <w:tblPr>
        <w:tblW w:w="9356" w:type="dxa"/>
        <w:tblLook w:val="04A0"/>
      </w:tblPr>
      <w:tblGrid>
        <w:gridCol w:w="4559"/>
        <w:gridCol w:w="958"/>
        <w:gridCol w:w="920"/>
        <w:gridCol w:w="973"/>
        <w:gridCol w:w="973"/>
        <w:gridCol w:w="973"/>
      </w:tblGrid>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070844" w:rsidP="00070844">
            <w:pPr>
              <w:rPr>
                <w:b/>
                <w:bCs/>
                <w:sz w:val="18"/>
                <w:szCs w:val="18"/>
                <w:lang w:eastAsia="en-AU"/>
              </w:rPr>
            </w:pPr>
            <w:r>
              <w:rPr>
                <w:b/>
                <w:bCs/>
                <w:sz w:val="18"/>
                <w:szCs w:val="18"/>
                <w:lang w:eastAsia="en-AU"/>
              </w:rPr>
              <w:t xml:space="preserve">Changes to Appropriation – </w:t>
            </w:r>
            <w:r w:rsidR="00DF7F77" w:rsidRPr="00CF78ED">
              <w:rPr>
                <w:b/>
                <w:bCs/>
                <w:sz w:val="18"/>
                <w:szCs w:val="18"/>
                <w:lang w:eastAsia="en-AU"/>
              </w:rPr>
              <w:t>Controlled</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single" w:sz="4" w:space="0" w:color="auto"/>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 </w:t>
            </w:r>
          </w:p>
        </w:tc>
        <w:tc>
          <w:tcPr>
            <w:tcW w:w="958"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2012-13</w:t>
            </w:r>
          </w:p>
        </w:tc>
        <w:tc>
          <w:tcPr>
            <w:tcW w:w="920"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2013-14</w:t>
            </w:r>
          </w:p>
        </w:tc>
        <w:tc>
          <w:tcPr>
            <w:tcW w:w="973"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2014-15</w:t>
            </w:r>
          </w:p>
        </w:tc>
        <w:tc>
          <w:tcPr>
            <w:tcW w:w="973"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2015-16</w:t>
            </w:r>
          </w:p>
        </w:tc>
        <w:tc>
          <w:tcPr>
            <w:tcW w:w="973"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2016-17</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Government Payment for Outputs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 Out.</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Budget</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Estimate</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Estimate</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Estimate</w:t>
            </w:r>
          </w:p>
        </w:tc>
      </w:tr>
      <w:tr w:rsidR="00B531A6" w:rsidRPr="00CF78ED" w:rsidTr="00875DF1">
        <w:trPr>
          <w:trHeight w:val="240"/>
        </w:trPr>
        <w:tc>
          <w:tcPr>
            <w:tcW w:w="4559" w:type="dxa"/>
            <w:tcBorders>
              <w:top w:val="nil"/>
              <w:left w:val="nil"/>
              <w:bottom w:val="single" w:sz="4" w:space="0" w:color="auto"/>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 </w:t>
            </w:r>
          </w:p>
        </w:tc>
        <w:tc>
          <w:tcPr>
            <w:tcW w:w="958"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20"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2012-13 Budget</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42,295</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41,036</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41,559</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41,800</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41,800</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b/>
                <w:bCs/>
                <w:sz w:val="18"/>
                <w:szCs w:val="18"/>
                <w:lang w:eastAsia="en-AU"/>
              </w:rPr>
            </w:pPr>
            <w:r w:rsidRPr="00735434">
              <w:rPr>
                <w:b/>
                <w:bCs/>
                <w:sz w:val="18"/>
                <w:szCs w:val="18"/>
                <w:lang w:eastAsia="en-AU"/>
              </w:rPr>
              <w:t>2013-14 Budget Policy Adjustments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DF7F77">
            <w:pPr>
              <w:ind w:left="142" w:hanging="142"/>
              <w:rPr>
                <w:sz w:val="18"/>
                <w:szCs w:val="18"/>
                <w:lang w:eastAsia="en-AU"/>
              </w:rPr>
            </w:pPr>
            <w:r w:rsidRPr="00735434">
              <w:rPr>
                <w:sz w:val="18"/>
                <w:szCs w:val="18"/>
                <w:lang w:eastAsia="en-AU"/>
              </w:rPr>
              <w:t>National Partnership Agreement on Homelessness Extension</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580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r w:rsidRPr="00735434">
              <w:rPr>
                <w:sz w:val="18"/>
                <w:szCs w:val="18"/>
                <w:lang w:eastAsia="en-AU"/>
              </w:rPr>
              <w:t>Housing and Homelessness Advocacy and Policy Services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80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82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r w:rsidRPr="00735434">
              <w:rPr>
                <w:sz w:val="18"/>
                <w:szCs w:val="18"/>
                <w:lang w:eastAsia="en-AU"/>
              </w:rPr>
              <w:t>Common Ground Supportive Housing</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566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r w:rsidRPr="00735434">
              <w:rPr>
                <w:sz w:val="18"/>
                <w:szCs w:val="18"/>
                <w:lang w:eastAsia="en-AU"/>
              </w:rPr>
              <w:t>Service Reprofiling</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(1,007)</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(237)</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(334)</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(418)</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b/>
                <w:bCs/>
                <w:sz w:val="18"/>
                <w:szCs w:val="18"/>
                <w:lang w:eastAsia="en-AU"/>
              </w:rPr>
            </w:pPr>
            <w:r w:rsidRPr="00735434">
              <w:rPr>
                <w:b/>
                <w:bCs/>
                <w:sz w:val="18"/>
                <w:szCs w:val="18"/>
                <w:lang w:eastAsia="en-AU"/>
              </w:rPr>
              <w:t>2013-14 Budget Technical Adjustments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DF7F77">
            <w:pPr>
              <w:ind w:left="142" w:hanging="142"/>
              <w:rPr>
                <w:sz w:val="18"/>
                <w:szCs w:val="18"/>
                <w:lang w:eastAsia="en-AU"/>
              </w:rPr>
            </w:pPr>
            <w:r w:rsidRPr="00735434">
              <w:rPr>
                <w:sz w:val="18"/>
                <w:szCs w:val="18"/>
                <w:lang w:eastAsia="en-AU"/>
              </w:rPr>
              <w:t>Revised Indexation Parameters</w:t>
            </w:r>
            <w:r w:rsidR="00416A3F" w:rsidRPr="00735434">
              <w:rPr>
                <w:sz w:val="18"/>
                <w:szCs w:val="18"/>
              </w:rPr>
              <w:t xml:space="preserve"> – </w:t>
            </w:r>
            <w:r w:rsidRPr="00735434">
              <w:rPr>
                <w:sz w:val="18"/>
                <w:szCs w:val="18"/>
                <w:lang w:eastAsia="en-AU"/>
              </w:rPr>
              <w:t>Community Sector Funding</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(113)</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(117)</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(122)</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52 </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r w:rsidRPr="00735434">
              <w:rPr>
                <w:sz w:val="18"/>
                <w:szCs w:val="18"/>
                <w:lang w:eastAsia="en-AU"/>
              </w:rPr>
              <w:t>Social and Community Services (SACS) Pay Equity Award</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191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317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453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717 </w:t>
            </w:r>
          </w:p>
        </w:tc>
      </w:tr>
      <w:tr w:rsidR="00B531A6" w:rsidRPr="00CF78ED" w:rsidTr="00875DF1">
        <w:trPr>
          <w:trHeight w:val="147"/>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r w:rsidRPr="00735434">
              <w:rPr>
                <w:sz w:val="18"/>
                <w:szCs w:val="18"/>
                <w:lang w:eastAsia="en-AU"/>
              </w:rPr>
              <w:t>Commonwealth Grants Indexation</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466 </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735434" w:rsidRDefault="00DF7F77" w:rsidP="0096613C">
            <w:pPr>
              <w:rPr>
                <w:sz w:val="18"/>
                <w:szCs w:val="18"/>
                <w:lang w:eastAsia="en-AU"/>
              </w:rPr>
            </w:pPr>
            <w:r w:rsidRPr="00735434">
              <w:rPr>
                <w:sz w:val="18"/>
                <w:szCs w:val="18"/>
                <w:lang w:eastAsia="en-AU"/>
              </w:rPr>
              <w:t>Commonwealth Grants</w:t>
            </w:r>
            <w:r w:rsidR="00416A3F" w:rsidRPr="00735434">
              <w:rPr>
                <w:sz w:val="18"/>
                <w:szCs w:val="18"/>
              </w:rPr>
              <w:t xml:space="preserve"> – </w:t>
            </w:r>
            <w:r w:rsidRPr="00735434">
              <w:rPr>
                <w:sz w:val="18"/>
                <w:szCs w:val="18"/>
                <w:lang w:eastAsia="en-AU"/>
              </w:rPr>
              <w:t xml:space="preserve">National Affordable Housing </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246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262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381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384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383 </w:t>
            </w:r>
          </w:p>
        </w:tc>
      </w:tr>
      <w:tr w:rsidR="00B531A6" w:rsidRPr="00CF78ED" w:rsidTr="00875DF1">
        <w:trPr>
          <w:trHeight w:val="480"/>
        </w:trPr>
        <w:tc>
          <w:tcPr>
            <w:tcW w:w="4559" w:type="dxa"/>
            <w:tcBorders>
              <w:top w:val="nil"/>
              <w:left w:val="nil"/>
              <w:bottom w:val="nil"/>
              <w:right w:val="nil"/>
            </w:tcBorders>
            <w:shd w:val="clear" w:color="auto" w:fill="auto"/>
            <w:hideMark/>
          </w:tcPr>
          <w:p w:rsidR="00DF7F77" w:rsidRPr="00735434" w:rsidRDefault="00DF7F77" w:rsidP="00DF7F77">
            <w:pPr>
              <w:ind w:left="142" w:hanging="142"/>
              <w:rPr>
                <w:sz w:val="18"/>
                <w:szCs w:val="18"/>
                <w:lang w:eastAsia="en-AU"/>
              </w:rPr>
            </w:pPr>
            <w:r w:rsidRPr="00735434">
              <w:rPr>
                <w:sz w:val="18"/>
                <w:szCs w:val="18"/>
                <w:lang w:eastAsia="en-AU"/>
              </w:rPr>
              <w:t>Commonwealth Grants</w:t>
            </w:r>
            <w:r w:rsidR="00416A3F" w:rsidRPr="00735434">
              <w:rPr>
                <w:sz w:val="18"/>
                <w:szCs w:val="18"/>
              </w:rPr>
              <w:t xml:space="preserve"> – </w:t>
            </w:r>
            <w:r w:rsidRPr="00735434">
              <w:rPr>
                <w:sz w:val="18"/>
                <w:szCs w:val="18"/>
                <w:lang w:eastAsia="en-AU"/>
              </w:rPr>
              <w:t>National Partnership Agreement on Homelessness Extension</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1,480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CF78ED"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single" w:sz="4" w:space="0" w:color="auto"/>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2013-14 Budget</w:t>
            </w:r>
          </w:p>
        </w:tc>
        <w:tc>
          <w:tcPr>
            <w:tcW w:w="958"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42,541</w:t>
            </w:r>
          </w:p>
        </w:tc>
        <w:tc>
          <w:tcPr>
            <w:tcW w:w="920"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43,075</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41,985</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42,181</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43,000</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 xml:space="preserve">Changes to Appropriation </w:t>
            </w:r>
            <w:r w:rsidR="00070844">
              <w:rPr>
                <w:b/>
                <w:bCs/>
                <w:sz w:val="18"/>
                <w:szCs w:val="18"/>
                <w:lang w:eastAsia="en-AU"/>
              </w:rPr>
              <w:t>–</w:t>
            </w:r>
            <w:r w:rsidRPr="00CF78ED">
              <w:rPr>
                <w:b/>
                <w:bCs/>
                <w:sz w:val="18"/>
                <w:szCs w:val="18"/>
                <w:lang w:eastAsia="en-AU"/>
              </w:rPr>
              <w:t xml:space="preserve"> Controlled</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single" w:sz="4" w:space="0" w:color="auto"/>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 </w:t>
            </w:r>
          </w:p>
        </w:tc>
        <w:tc>
          <w:tcPr>
            <w:tcW w:w="958"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2012-13</w:t>
            </w:r>
          </w:p>
        </w:tc>
        <w:tc>
          <w:tcPr>
            <w:tcW w:w="920"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2013-14</w:t>
            </w:r>
          </w:p>
        </w:tc>
        <w:tc>
          <w:tcPr>
            <w:tcW w:w="973"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2014-15</w:t>
            </w:r>
          </w:p>
        </w:tc>
        <w:tc>
          <w:tcPr>
            <w:tcW w:w="973"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2015-16</w:t>
            </w:r>
          </w:p>
        </w:tc>
        <w:tc>
          <w:tcPr>
            <w:tcW w:w="973" w:type="dxa"/>
            <w:tcBorders>
              <w:top w:val="single" w:sz="4" w:space="0" w:color="auto"/>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2016-17</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Capital Injections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 Out.</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Budget</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Estimate</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Estimate</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Estimate</w:t>
            </w:r>
          </w:p>
        </w:tc>
      </w:tr>
      <w:tr w:rsidR="00B531A6" w:rsidRPr="00CF78ED" w:rsidTr="00875DF1">
        <w:trPr>
          <w:trHeight w:val="240"/>
        </w:trPr>
        <w:tc>
          <w:tcPr>
            <w:tcW w:w="4559" w:type="dxa"/>
            <w:tcBorders>
              <w:top w:val="nil"/>
              <w:left w:val="nil"/>
              <w:bottom w:val="single" w:sz="4" w:space="0" w:color="auto"/>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 </w:t>
            </w:r>
          </w:p>
        </w:tc>
        <w:tc>
          <w:tcPr>
            <w:tcW w:w="958"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20"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$'000</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2012-13 Budget</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17,876</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12,067</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13,162</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10,719</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10,719</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FMA Section 16B Rollovers Section from 2011-12</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b/>
                <w:bCs/>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noWrap/>
            <w:hideMark/>
          </w:tcPr>
          <w:p w:rsidR="00DF7F77" w:rsidRPr="00CF78ED" w:rsidRDefault="00DF7F77" w:rsidP="0096613C">
            <w:pPr>
              <w:rPr>
                <w:sz w:val="18"/>
                <w:szCs w:val="18"/>
                <w:lang w:eastAsia="en-AU"/>
              </w:rPr>
            </w:pPr>
            <w:r w:rsidRPr="00CF78ED">
              <w:rPr>
                <w:sz w:val="18"/>
                <w:szCs w:val="18"/>
                <w:lang w:eastAsia="en-AU"/>
              </w:rPr>
              <w:t>Expansion of Social Housing</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1,247</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 </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2013-14 Budget Policy Adjustments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E82936">
        <w:trPr>
          <w:trHeight w:val="454"/>
        </w:trPr>
        <w:tc>
          <w:tcPr>
            <w:tcW w:w="4559" w:type="dxa"/>
            <w:tcBorders>
              <w:top w:val="nil"/>
              <w:left w:val="nil"/>
              <w:bottom w:val="nil"/>
              <w:right w:val="nil"/>
            </w:tcBorders>
            <w:shd w:val="clear" w:color="auto" w:fill="auto"/>
            <w:hideMark/>
          </w:tcPr>
          <w:p w:rsidR="00DF7F77" w:rsidRPr="00735434" w:rsidRDefault="00DF7F77" w:rsidP="00DF7F77">
            <w:pPr>
              <w:ind w:left="142" w:hanging="142"/>
              <w:rPr>
                <w:sz w:val="18"/>
                <w:szCs w:val="18"/>
                <w:lang w:eastAsia="en-AU"/>
              </w:rPr>
            </w:pPr>
            <w:r w:rsidRPr="00735434">
              <w:rPr>
                <w:sz w:val="18"/>
                <w:szCs w:val="18"/>
                <w:lang w:eastAsia="en-AU"/>
              </w:rPr>
              <w:t>Housing for Older People in the Aboriginal and Torres Strait Islander Communities (Design)</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75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sz w:val="18"/>
                <w:szCs w:val="18"/>
                <w:lang w:eastAsia="en-AU"/>
              </w:rPr>
            </w:pPr>
            <w:r w:rsidRPr="00735434">
              <w:rPr>
                <w:sz w:val="18"/>
                <w:szCs w:val="18"/>
                <w:lang w:eastAsia="en-AU"/>
              </w:rPr>
              <w:t xml:space="preserve">Housing for Elderly </w:t>
            </w:r>
            <w:r w:rsidR="005F4A8E">
              <w:rPr>
                <w:sz w:val="18"/>
                <w:szCs w:val="18"/>
                <w:lang w:eastAsia="en-AU"/>
              </w:rPr>
              <w:t xml:space="preserve">Public Housing </w:t>
            </w:r>
            <w:r w:rsidRPr="00735434">
              <w:rPr>
                <w:sz w:val="18"/>
                <w:szCs w:val="18"/>
                <w:lang w:eastAsia="en-AU"/>
              </w:rPr>
              <w:t>Tenants (Design)</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290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sz w:val="18"/>
                <w:szCs w:val="18"/>
                <w:lang w:eastAsia="en-AU"/>
              </w:rPr>
            </w:pPr>
            <w:r w:rsidRPr="00735434">
              <w:rPr>
                <w:sz w:val="18"/>
                <w:szCs w:val="18"/>
                <w:lang w:eastAsia="en-AU"/>
              </w:rPr>
              <w:t xml:space="preserve">Common Ground Supportive Housing </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7,000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b/>
                <w:bCs/>
                <w:sz w:val="18"/>
                <w:szCs w:val="18"/>
                <w:lang w:eastAsia="en-AU"/>
              </w:rPr>
            </w:pPr>
            <w:r w:rsidRPr="00735434">
              <w:rPr>
                <w:b/>
                <w:bCs/>
                <w:sz w:val="18"/>
                <w:szCs w:val="18"/>
                <w:lang w:eastAsia="en-AU"/>
              </w:rPr>
              <w:t>2013-14 Budget Technical Adjustments</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color w:val="000000"/>
                <w:sz w:val="18"/>
                <w:szCs w:val="18"/>
                <w:lang w:eastAsia="en-AU"/>
              </w:rPr>
            </w:pPr>
            <w:r w:rsidRPr="00735434">
              <w:rPr>
                <w:color w:val="000000"/>
                <w:sz w:val="18"/>
                <w:szCs w:val="18"/>
                <w:lang w:eastAsia="en-AU"/>
              </w:rPr>
              <w:t>Revised Funding Profile</w:t>
            </w:r>
            <w:r w:rsidR="00416A3F" w:rsidRPr="00735434">
              <w:rPr>
                <w:sz w:val="18"/>
                <w:szCs w:val="18"/>
              </w:rPr>
              <w:t xml:space="preserve"> – </w:t>
            </w:r>
            <w:r w:rsidRPr="00735434">
              <w:rPr>
                <w:color w:val="000000"/>
                <w:sz w:val="18"/>
                <w:szCs w:val="18"/>
                <w:lang w:eastAsia="en-AU"/>
              </w:rPr>
              <w:t>Expansion of Social Housing</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(2,669)</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2,669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r>
      <w:tr w:rsidR="00B531A6" w:rsidRPr="00CF78ED" w:rsidTr="00875DF1">
        <w:trPr>
          <w:trHeight w:val="300"/>
        </w:trPr>
        <w:tc>
          <w:tcPr>
            <w:tcW w:w="4559" w:type="dxa"/>
            <w:tcBorders>
              <w:top w:val="nil"/>
              <w:left w:val="nil"/>
              <w:bottom w:val="nil"/>
              <w:right w:val="nil"/>
            </w:tcBorders>
            <w:shd w:val="clear" w:color="auto" w:fill="auto"/>
            <w:hideMark/>
          </w:tcPr>
          <w:p w:rsidR="00DF7F77" w:rsidRPr="00735434" w:rsidRDefault="00DF7F77" w:rsidP="00416A3F">
            <w:pPr>
              <w:ind w:left="142" w:hanging="142"/>
              <w:rPr>
                <w:sz w:val="18"/>
                <w:szCs w:val="18"/>
                <w:lang w:eastAsia="en-AU"/>
              </w:rPr>
            </w:pPr>
            <w:r w:rsidRPr="00735434">
              <w:rPr>
                <w:sz w:val="18"/>
                <w:szCs w:val="18"/>
                <w:lang w:eastAsia="en-AU"/>
              </w:rPr>
              <w:t>Revised Funding Profile</w:t>
            </w:r>
            <w:r w:rsidR="00416A3F" w:rsidRPr="00735434">
              <w:rPr>
                <w:sz w:val="18"/>
                <w:szCs w:val="18"/>
                <w:lang w:eastAsia="en-AU"/>
              </w:rPr>
              <w:t xml:space="preserve"> – </w:t>
            </w:r>
            <w:r w:rsidRPr="00735434">
              <w:rPr>
                <w:sz w:val="18"/>
                <w:szCs w:val="18"/>
                <w:lang w:eastAsia="en-AU"/>
              </w:rPr>
              <w:t>Expansion of Social Housing</w:t>
            </w:r>
            <w:r w:rsidR="00416A3F" w:rsidRPr="00735434">
              <w:rPr>
                <w:sz w:val="18"/>
                <w:szCs w:val="18"/>
                <w:lang w:eastAsia="en-AU"/>
              </w:rPr>
              <w:t xml:space="preserve"> – Stage</w:t>
            </w:r>
            <w:r w:rsidRPr="00735434">
              <w:rPr>
                <w:sz w:val="18"/>
                <w:szCs w:val="18"/>
                <w:lang w:eastAsia="en-AU"/>
              </w:rPr>
              <w:t xml:space="preserve"> 2</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(400)</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400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416A3F">
            <w:pPr>
              <w:ind w:left="142" w:hanging="142"/>
              <w:rPr>
                <w:sz w:val="18"/>
                <w:szCs w:val="18"/>
                <w:lang w:eastAsia="en-AU"/>
              </w:rPr>
            </w:pPr>
            <w:r w:rsidRPr="00735434">
              <w:rPr>
                <w:sz w:val="18"/>
                <w:szCs w:val="18"/>
                <w:lang w:eastAsia="en-AU"/>
              </w:rPr>
              <w:t>Cessation</w:t>
            </w:r>
            <w:r w:rsidR="00416A3F" w:rsidRPr="00735434">
              <w:rPr>
                <w:sz w:val="18"/>
                <w:szCs w:val="18"/>
                <w:lang w:eastAsia="en-AU"/>
              </w:rPr>
              <w:t xml:space="preserve"> – </w:t>
            </w:r>
            <w:r w:rsidRPr="00735434">
              <w:rPr>
                <w:sz w:val="18"/>
                <w:szCs w:val="18"/>
                <w:lang w:eastAsia="en-AU"/>
              </w:rPr>
              <w:t>Expansion of Public Housing Energy Efficiency</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(2,000)</w:t>
            </w:r>
          </w:p>
        </w:tc>
      </w:tr>
      <w:tr w:rsidR="00B531A6" w:rsidRPr="00CF78ED" w:rsidTr="00875DF1">
        <w:trPr>
          <w:trHeight w:val="480"/>
        </w:trPr>
        <w:tc>
          <w:tcPr>
            <w:tcW w:w="4559" w:type="dxa"/>
            <w:tcBorders>
              <w:top w:val="nil"/>
              <w:left w:val="nil"/>
              <w:bottom w:val="nil"/>
              <w:right w:val="nil"/>
            </w:tcBorders>
            <w:shd w:val="clear" w:color="auto" w:fill="auto"/>
            <w:hideMark/>
          </w:tcPr>
          <w:p w:rsidR="00DF7F77" w:rsidRPr="00735434" w:rsidRDefault="00DF7F77" w:rsidP="00DF7F77">
            <w:pPr>
              <w:ind w:left="142" w:hanging="142"/>
              <w:rPr>
                <w:sz w:val="18"/>
                <w:szCs w:val="18"/>
                <w:lang w:eastAsia="en-AU"/>
              </w:rPr>
            </w:pPr>
            <w:r w:rsidRPr="00735434">
              <w:rPr>
                <w:sz w:val="18"/>
                <w:szCs w:val="18"/>
                <w:lang w:eastAsia="en-AU"/>
              </w:rPr>
              <w:t>Cessation</w:t>
            </w:r>
            <w:r w:rsidR="00416A3F" w:rsidRPr="00735434">
              <w:rPr>
                <w:sz w:val="18"/>
                <w:szCs w:val="18"/>
              </w:rPr>
              <w:t xml:space="preserve"> – </w:t>
            </w:r>
            <w:r w:rsidRPr="00735434">
              <w:rPr>
                <w:sz w:val="18"/>
                <w:szCs w:val="18"/>
                <w:lang w:eastAsia="en-AU"/>
              </w:rPr>
              <w:t xml:space="preserve">Security Improvement Program for Elderly Housing Tenants </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(500)</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sz w:val="18"/>
                <w:szCs w:val="18"/>
                <w:lang w:eastAsia="en-AU"/>
              </w:rPr>
            </w:pPr>
            <w:r w:rsidRPr="00735434">
              <w:rPr>
                <w:sz w:val="18"/>
                <w:szCs w:val="18"/>
                <w:lang w:eastAsia="en-AU"/>
              </w:rPr>
              <w:t>Cessation</w:t>
            </w:r>
            <w:r w:rsidR="00416A3F" w:rsidRPr="00735434">
              <w:rPr>
                <w:sz w:val="18"/>
                <w:szCs w:val="18"/>
              </w:rPr>
              <w:t xml:space="preserve"> – </w:t>
            </w:r>
            <w:r w:rsidRPr="00735434">
              <w:rPr>
                <w:sz w:val="18"/>
                <w:szCs w:val="18"/>
                <w:lang w:eastAsia="en-AU"/>
              </w:rPr>
              <w:t>Disability Dual Occupancy Housing</w:t>
            </w: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 xml:space="preserve">- </w:t>
            </w: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r w:rsidRPr="00CF78ED">
              <w:rPr>
                <w:sz w:val="18"/>
                <w:szCs w:val="18"/>
                <w:lang w:eastAsia="en-AU"/>
              </w:rPr>
              <w:t>(1,219)</w:t>
            </w:r>
          </w:p>
        </w:tc>
      </w:tr>
      <w:tr w:rsidR="00B531A6" w:rsidRPr="00CF78ED" w:rsidTr="00875DF1">
        <w:trPr>
          <w:trHeight w:val="240"/>
        </w:trPr>
        <w:tc>
          <w:tcPr>
            <w:tcW w:w="4559" w:type="dxa"/>
            <w:tcBorders>
              <w:top w:val="nil"/>
              <w:left w:val="nil"/>
              <w:bottom w:val="nil"/>
              <w:right w:val="nil"/>
            </w:tcBorders>
            <w:shd w:val="clear" w:color="auto" w:fill="auto"/>
            <w:hideMark/>
          </w:tcPr>
          <w:p w:rsidR="00DF7F77" w:rsidRPr="00735434" w:rsidRDefault="00DF7F77" w:rsidP="0096613C">
            <w:pPr>
              <w:rPr>
                <w:sz w:val="18"/>
                <w:szCs w:val="18"/>
                <w:lang w:eastAsia="en-AU"/>
              </w:rPr>
            </w:pPr>
          </w:p>
        </w:tc>
        <w:tc>
          <w:tcPr>
            <w:tcW w:w="958"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20"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c>
          <w:tcPr>
            <w:tcW w:w="973" w:type="dxa"/>
            <w:tcBorders>
              <w:top w:val="nil"/>
              <w:left w:val="nil"/>
              <w:bottom w:val="nil"/>
              <w:right w:val="nil"/>
            </w:tcBorders>
            <w:shd w:val="clear" w:color="auto" w:fill="auto"/>
            <w:noWrap/>
            <w:hideMark/>
          </w:tcPr>
          <w:p w:rsidR="00DF7F77" w:rsidRPr="00CF78ED" w:rsidRDefault="00DF7F77" w:rsidP="0096613C">
            <w:pPr>
              <w:jc w:val="right"/>
              <w:rPr>
                <w:sz w:val="18"/>
                <w:szCs w:val="18"/>
                <w:lang w:eastAsia="en-AU"/>
              </w:rPr>
            </w:pPr>
          </w:p>
        </w:tc>
      </w:tr>
      <w:tr w:rsidR="00B531A6" w:rsidRPr="00CF78ED" w:rsidTr="00875DF1">
        <w:trPr>
          <w:trHeight w:val="240"/>
        </w:trPr>
        <w:tc>
          <w:tcPr>
            <w:tcW w:w="4559" w:type="dxa"/>
            <w:tcBorders>
              <w:top w:val="nil"/>
              <w:left w:val="nil"/>
              <w:bottom w:val="single" w:sz="4" w:space="0" w:color="auto"/>
              <w:right w:val="nil"/>
            </w:tcBorders>
            <w:shd w:val="clear" w:color="auto" w:fill="auto"/>
            <w:hideMark/>
          </w:tcPr>
          <w:p w:rsidR="00DF7F77" w:rsidRPr="00CF78ED" w:rsidRDefault="00DF7F77" w:rsidP="0096613C">
            <w:pPr>
              <w:rPr>
                <w:b/>
                <w:bCs/>
                <w:sz w:val="18"/>
                <w:szCs w:val="18"/>
                <w:lang w:eastAsia="en-AU"/>
              </w:rPr>
            </w:pPr>
            <w:r w:rsidRPr="00CF78ED">
              <w:rPr>
                <w:b/>
                <w:bCs/>
                <w:sz w:val="18"/>
                <w:szCs w:val="18"/>
                <w:lang w:eastAsia="en-AU"/>
              </w:rPr>
              <w:t>2013-14 Budget</w:t>
            </w:r>
          </w:p>
        </w:tc>
        <w:tc>
          <w:tcPr>
            <w:tcW w:w="958"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16,054</w:t>
            </w:r>
          </w:p>
        </w:tc>
        <w:tc>
          <w:tcPr>
            <w:tcW w:w="920"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22,501</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13,162</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10,719</w:t>
            </w:r>
          </w:p>
        </w:tc>
        <w:tc>
          <w:tcPr>
            <w:tcW w:w="973" w:type="dxa"/>
            <w:tcBorders>
              <w:top w:val="nil"/>
              <w:left w:val="nil"/>
              <w:bottom w:val="single" w:sz="4" w:space="0" w:color="auto"/>
              <w:right w:val="nil"/>
            </w:tcBorders>
            <w:shd w:val="clear" w:color="auto" w:fill="auto"/>
            <w:noWrap/>
            <w:hideMark/>
          </w:tcPr>
          <w:p w:rsidR="00DF7F77" w:rsidRPr="00CF78ED" w:rsidRDefault="00DF7F77" w:rsidP="0096613C">
            <w:pPr>
              <w:jc w:val="right"/>
              <w:rPr>
                <w:b/>
                <w:bCs/>
                <w:sz w:val="18"/>
                <w:szCs w:val="18"/>
                <w:lang w:eastAsia="en-AU"/>
              </w:rPr>
            </w:pPr>
            <w:r w:rsidRPr="00CF78ED">
              <w:rPr>
                <w:b/>
                <w:bCs/>
                <w:sz w:val="18"/>
                <w:szCs w:val="18"/>
                <w:lang w:eastAsia="en-AU"/>
              </w:rPr>
              <w:t>7,000</w:t>
            </w:r>
          </w:p>
        </w:tc>
      </w:tr>
    </w:tbl>
    <w:p w:rsidR="00DF7F77" w:rsidRDefault="00DF7F77">
      <w:pPr>
        <w:rPr>
          <w:color w:val="0000FF"/>
          <w:sz w:val="16"/>
          <w:szCs w:val="16"/>
        </w:rPr>
      </w:pPr>
      <w:r>
        <w:rPr>
          <w:color w:val="0000FF"/>
          <w:sz w:val="16"/>
          <w:szCs w:val="16"/>
        </w:rPr>
        <w:br w:type="page"/>
      </w:r>
    </w:p>
    <w:p w:rsidR="00917977" w:rsidRPr="00954585" w:rsidRDefault="00917977" w:rsidP="00917977">
      <w:pPr>
        <w:pStyle w:val="Heading3"/>
        <w:spacing w:before="0"/>
      </w:pPr>
      <w:r w:rsidRPr="00954585">
        <w:lastRenderedPageBreak/>
        <w:t>2013-14 Capital Works Program</w:t>
      </w:r>
    </w:p>
    <w:tbl>
      <w:tblPr>
        <w:tblW w:w="9356" w:type="dxa"/>
        <w:tblLayout w:type="fixed"/>
        <w:tblCellMar>
          <w:left w:w="0" w:type="dxa"/>
          <w:right w:w="0" w:type="dxa"/>
        </w:tblCellMar>
        <w:tblLook w:val="0000"/>
      </w:tblPr>
      <w:tblGrid>
        <w:gridCol w:w="3467"/>
        <w:gridCol w:w="864"/>
        <w:gridCol w:w="1030"/>
        <w:gridCol w:w="1030"/>
        <w:gridCol w:w="1030"/>
        <w:gridCol w:w="1030"/>
        <w:gridCol w:w="905"/>
      </w:tblGrid>
      <w:tr w:rsidR="00B531A6" w:rsidTr="00B531A6">
        <w:trPr>
          <w:trHeight w:val="240"/>
        </w:trPr>
        <w:tc>
          <w:tcPr>
            <w:tcW w:w="3467"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pStyle w:val="TableHeadingRight-BP4"/>
              <w:jc w:val="left"/>
            </w:pPr>
            <w:bookmarkStart w:id="1" w:name="RANGE!A1:H42"/>
            <w:r>
              <w:t> </w:t>
            </w:r>
          </w:p>
        </w:tc>
        <w:tc>
          <w:tcPr>
            <w:tcW w:w="864"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Estimated</w:t>
            </w:r>
          </w:p>
        </w:tc>
        <w:tc>
          <w:tcPr>
            <w:tcW w:w="1030"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Estimated</w:t>
            </w:r>
          </w:p>
        </w:tc>
        <w:tc>
          <w:tcPr>
            <w:tcW w:w="1030"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2013-14</w:t>
            </w:r>
          </w:p>
        </w:tc>
        <w:tc>
          <w:tcPr>
            <w:tcW w:w="1030"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2014-15</w:t>
            </w:r>
          </w:p>
        </w:tc>
        <w:tc>
          <w:tcPr>
            <w:tcW w:w="1030"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2015-16</w:t>
            </w:r>
          </w:p>
        </w:tc>
        <w:tc>
          <w:tcPr>
            <w:tcW w:w="905" w:type="dxa"/>
            <w:tcBorders>
              <w:top w:val="single" w:sz="4" w:space="0" w:color="auto"/>
              <w:left w:val="nil"/>
              <w:bottom w:val="nil"/>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Physical</w:t>
            </w:r>
          </w:p>
        </w:tc>
      </w:tr>
      <w:tr w:rsidR="00B531A6" w:rsidTr="00B531A6">
        <w:trPr>
          <w:trHeight w:val="240"/>
        </w:trPr>
        <w:tc>
          <w:tcPr>
            <w:tcW w:w="3467" w:type="dxa"/>
            <w:tcBorders>
              <w:top w:val="nil"/>
              <w:left w:val="nil"/>
              <w:bottom w:val="nil"/>
              <w:right w:val="nil"/>
            </w:tcBorders>
            <w:noWrap/>
            <w:tcMar>
              <w:top w:w="17" w:type="dxa"/>
              <w:left w:w="17" w:type="dxa"/>
              <w:bottom w:w="0" w:type="dxa"/>
              <w:right w:w="17" w:type="dxa"/>
            </w:tcMar>
          </w:tcPr>
          <w:p w:rsidR="00B531A6" w:rsidRDefault="00B531A6" w:rsidP="0096613C">
            <w:pPr>
              <w:pStyle w:val="TableHeadingRight-BP4"/>
              <w:jc w:val="left"/>
            </w:pPr>
          </w:p>
        </w:tc>
        <w:tc>
          <w:tcPr>
            <w:tcW w:w="864"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Total</w:t>
            </w: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Expenditure</w:t>
            </w: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Financing</w:t>
            </w: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Financing</w:t>
            </w: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Financing</w:t>
            </w:r>
          </w:p>
        </w:tc>
        <w:tc>
          <w:tcPr>
            <w:tcW w:w="905"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Completion</w:t>
            </w:r>
          </w:p>
        </w:tc>
      </w:tr>
      <w:tr w:rsidR="00B531A6" w:rsidTr="00B531A6">
        <w:trPr>
          <w:trHeight w:val="240"/>
        </w:trPr>
        <w:tc>
          <w:tcPr>
            <w:tcW w:w="3467" w:type="dxa"/>
            <w:tcBorders>
              <w:top w:val="nil"/>
              <w:left w:val="nil"/>
              <w:bottom w:val="nil"/>
              <w:right w:val="nil"/>
            </w:tcBorders>
            <w:noWrap/>
            <w:tcMar>
              <w:top w:w="17" w:type="dxa"/>
              <w:left w:w="17" w:type="dxa"/>
              <w:bottom w:w="0" w:type="dxa"/>
              <w:right w:w="17" w:type="dxa"/>
            </w:tcMar>
          </w:tcPr>
          <w:p w:rsidR="00B531A6" w:rsidRDefault="00B531A6" w:rsidP="0096613C">
            <w:pPr>
              <w:pStyle w:val="TableHeadingRight-BP4"/>
              <w:jc w:val="left"/>
            </w:pPr>
          </w:p>
        </w:tc>
        <w:tc>
          <w:tcPr>
            <w:tcW w:w="864"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Cost</w:t>
            </w: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Pre 2013-14</w:t>
            </w: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p>
        </w:tc>
        <w:tc>
          <w:tcPr>
            <w:tcW w:w="1030"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p>
        </w:tc>
        <w:tc>
          <w:tcPr>
            <w:tcW w:w="905" w:type="dxa"/>
            <w:tcBorders>
              <w:top w:val="nil"/>
              <w:left w:val="nil"/>
              <w:bottom w:val="nil"/>
              <w:right w:val="nil"/>
            </w:tcBorders>
            <w:noWrap/>
            <w:tcMar>
              <w:top w:w="17" w:type="dxa"/>
              <w:left w:w="17" w:type="dxa"/>
              <w:bottom w:w="0" w:type="dxa"/>
              <w:right w:w="17" w:type="dxa"/>
            </w:tcMar>
          </w:tcPr>
          <w:p w:rsidR="00B531A6" w:rsidRDefault="00B531A6" w:rsidP="0096613C">
            <w:pPr>
              <w:keepNext/>
              <w:jc w:val="right"/>
              <w:rPr>
                <w:b/>
                <w:sz w:val="18"/>
                <w:szCs w:val="24"/>
              </w:rPr>
            </w:pPr>
            <w:r>
              <w:rPr>
                <w:b/>
                <w:sz w:val="18"/>
                <w:szCs w:val="24"/>
              </w:rPr>
              <w:t>Date</w:t>
            </w:r>
          </w:p>
        </w:tc>
      </w:tr>
      <w:tr w:rsidR="00B531A6" w:rsidTr="00B531A6">
        <w:trPr>
          <w:trHeight w:val="240"/>
        </w:trPr>
        <w:tc>
          <w:tcPr>
            <w:tcW w:w="3467"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pStyle w:val="TableHeadingRight-BP4"/>
              <w:jc w:val="left"/>
            </w:pPr>
            <w:r>
              <w:t> </w:t>
            </w:r>
          </w:p>
        </w:tc>
        <w:tc>
          <w:tcPr>
            <w:tcW w:w="864"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$’000</w:t>
            </w:r>
          </w:p>
        </w:tc>
        <w:tc>
          <w:tcPr>
            <w:tcW w:w="1030"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$’000</w:t>
            </w:r>
          </w:p>
        </w:tc>
        <w:tc>
          <w:tcPr>
            <w:tcW w:w="1030"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$’000</w:t>
            </w:r>
          </w:p>
        </w:tc>
        <w:tc>
          <w:tcPr>
            <w:tcW w:w="1030"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$’000</w:t>
            </w:r>
          </w:p>
        </w:tc>
        <w:tc>
          <w:tcPr>
            <w:tcW w:w="1030"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$’000</w:t>
            </w:r>
          </w:p>
        </w:tc>
        <w:tc>
          <w:tcPr>
            <w:tcW w:w="905" w:type="dxa"/>
            <w:tcBorders>
              <w:top w:val="nil"/>
              <w:left w:val="nil"/>
              <w:bottom w:val="single" w:sz="4" w:space="0" w:color="auto"/>
              <w:right w:val="nil"/>
            </w:tcBorders>
            <w:noWrap/>
            <w:tcMar>
              <w:top w:w="0" w:type="dxa"/>
              <w:left w:w="17" w:type="dxa"/>
              <w:bottom w:w="0" w:type="dxa"/>
              <w:right w:w="17" w:type="dxa"/>
            </w:tcMar>
          </w:tcPr>
          <w:p w:rsidR="00B531A6" w:rsidRDefault="00B531A6" w:rsidP="0096613C">
            <w:pPr>
              <w:keepNext/>
              <w:jc w:val="right"/>
              <w:rPr>
                <w:b/>
                <w:sz w:val="18"/>
                <w:szCs w:val="24"/>
              </w:rPr>
            </w:pPr>
            <w:r>
              <w:rPr>
                <w:b/>
                <w:sz w:val="18"/>
                <w:szCs w:val="24"/>
              </w:rPr>
              <w:t> </w:t>
            </w:r>
          </w:p>
        </w:tc>
      </w:tr>
      <w:tr w:rsidR="00B531A6" w:rsidTr="00E82936">
        <w:trPr>
          <w:trHeight w:val="75"/>
        </w:trPr>
        <w:tc>
          <w:tcPr>
            <w:tcW w:w="3467" w:type="dxa"/>
            <w:tcBorders>
              <w:top w:val="nil"/>
              <w:left w:val="nil"/>
              <w:bottom w:val="nil"/>
              <w:right w:val="nil"/>
            </w:tcBorders>
            <w:noWrap/>
            <w:tcMar>
              <w:top w:w="0" w:type="dxa"/>
              <w:left w:w="17" w:type="dxa"/>
              <w:bottom w:w="0" w:type="dxa"/>
              <w:right w:w="17" w:type="dxa"/>
            </w:tcMar>
          </w:tcPr>
          <w:p w:rsidR="00B531A6" w:rsidRDefault="00B531A6" w:rsidP="0096613C">
            <w:pPr>
              <w:pStyle w:val="TableHeadingLeft-BP4"/>
            </w:pPr>
          </w:p>
        </w:tc>
        <w:tc>
          <w:tcPr>
            <w:tcW w:w="864"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pPr>
          </w:p>
        </w:tc>
        <w:tc>
          <w:tcPr>
            <w:tcW w:w="905"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pP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Default="00B531A6" w:rsidP="0096613C">
            <w:pPr>
              <w:pStyle w:val="TableHeadingLeft-BP4"/>
              <w:rPr>
                <w:bCs/>
                <w:szCs w:val="18"/>
              </w:rPr>
            </w:pPr>
            <w:r>
              <w:rPr>
                <w:bCs/>
                <w:szCs w:val="18"/>
              </w:rPr>
              <w:t>New Capital Works</w:t>
            </w:r>
          </w:p>
        </w:tc>
        <w:tc>
          <w:tcPr>
            <w:tcW w:w="864"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rPr>
                <w:b/>
                <w:bCs/>
                <w:szCs w:val="18"/>
              </w:rPr>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rPr>
                <w:b/>
                <w:bCs/>
                <w:szCs w:val="18"/>
              </w:rPr>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rPr>
                <w:b/>
                <w:bCs/>
                <w:szCs w:val="18"/>
              </w:rPr>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rPr>
                <w:b/>
                <w:bCs/>
                <w:szCs w:val="18"/>
              </w:rPr>
            </w:pPr>
          </w:p>
        </w:tc>
        <w:tc>
          <w:tcPr>
            <w:tcW w:w="1030"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rPr>
                <w:b/>
                <w:bCs/>
                <w:szCs w:val="18"/>
              </w:rPr>
            </w:pPr>
          </w:p>
        </w:tc>
        <w:tc>
          <w:tcPr>
            <w:tcW w:w="905" w:type="dxa"/>
            <w:tcBorders>
              <w:top w:val="nil"/>
              <w:left w:val="nil"/>
              <w:bottom w:val="nil"/>
              <w:right w:val="nil"/>
            </w:tcBorders>
            <w:noWrap/>
            <w:tcMar>
              <w:top w:w="0" w:type="dxa"/>
              <w:left w:w="17" w:type="dxa"/>
              <w:bottom w:w="0" w:type="dxa"/>
              <w:right w:w="17" w:type="dxa"/>
            </w:tcMar>
          </w:tcPr>
          <w:p w:rsidR="00B531A6" w:rsidRDefault="00B531A6" w:rsidP="0096613C">
            <w:pPr>
              <w:pStyle w:val="TableNumbersRight-BP4"/>
              <w:rPr>
                <w:b/>
                <w:bCs/>
                <w:szCs w:val="18"/>
              </w:rPr>
            </w:pP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TextLeft-BP4"/>
              <w:rPr>
                <w:highlight w:val="yellow"/>
              </w:rPr>
            </w:pPr>
            <w:r w:rsidRPr="003C14A7">
              <w:t>Common Ground Supportive Housing</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7,000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7,000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Nov 2014</w:t>
            </w: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Pr="008713D7" w:rsidRDefault="00B531A6" w:rsidP="0096613C">
            <w:pPr>
              <w:pStyle w:val="TableTextLeft-BP4"/>
            </w:pPr>
            <w:r w:rsidRPr="008713D7">
              <w:t>Housing for Elderly Public Housing Tenants (Design)</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290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290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2014</w:t>
            </w: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Pr="008713D7" w:rsidRDefault="00B531A6" w:rsidP="0096613C">
            <w:pPr>
              <w:pStyle w:val="TableTextLeft-BP4"/>
            </w:pPr>
            <w:r w:rsidRPr="008713D7">
              <w:t>Housing for Older People in the Aboriginal and Torres Strait Islander Community (Design)</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75</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75</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2014</w:t>
            </w:r>
          </w:p>
        </w:tc>
      </w:tr>
      <w:tr w:rsidR="00B531A6" w:rsidTr="00B531A6">
        <w:trPr>
          <w:trHeight w:hRule="exact" w:val="227"/>
        </w:trPr>
        <w:tc>
          <w:tcPr>
            <w:tcW w:w="3467" w:type="dxa"/>
            <w:tcBorders>
              <w:left w:val="nil"/>
              <w:right w:val="nil"/>
            </w:tcBorders>
            <w:noWrap/>
            <w:tcMar>
              <w:top w:w="0" w:type="dxa"/>
              <w:left w:w="17" w:type="dxa"/>
              <w:bottom w:w="0" w:type="dxa"/>
              <w:right w:w="17" w:type="dxa"/>
            </w:tcMar>
          </w:tcPr>
          <w:p w:rsidR="00B531A6" w:rsidRDefault="00B531A6" w:rsidP="0096613C">
            <w:pPr>
              <w:pStyle w:val="TableHeadingLeft-BP4"/>
            </w:pPr>
          </w:p>
        </w:tc>
        <w:tc>
          <w:tcPr>
            <w:tcW w:w="864" w:type="dxa"/>
            <w:tcBorders>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905" w:type="dxa"/>
            <w:tcBorders>
              <w:left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p>
        </w:tc>
      </w:tr>
      <w:tr w:rsidR="00B531A6" w:rsidTr="00B531A6">
        <w:trPr>
          <w:trHeight w:hRule="exact" w:val="255"/>
        </w:trPr>
        <w:tc>
          <w:tcPr>
            <w:tcW w:w="3467" w:type="dxa"/>
            <w:tcBorders>
              <w:left w:val="nil"/>
              <w:bottom w:val="single" w:sz="4" w:space="0" w:color="auto"/>
              <w:right w:val="nil"/>
            </w:tcBorders>
            <w:noWrap/>
            <w:tcMar>
              <w:top w:w="0" w:type="dxa"/>
              <w:left w:w="17" w:type="dxa"/>
              <w:bottom w:w="0" w:type="dxa"/>
              <w:right w:w="17" w:type="dxa"/>
            </w:tcMar>
          </w:tcPr>
          <w:p w:rsidR="00B531A6" w:rsidRPr="001E1507" w:rsidRDefault="00B531A6" w:rsidP="0096613C">
            <w:pPr>
              <w:pStyle w:val="TableHeadingLeft-BP4"/>
              <w:rPr>
                <w:color w:val="000000"/>
                <w:highlight w:val="yellow"/>
              </w:rPr>
            </w:pPr>
            <w:r w:rsidRPr="003C14A7">
              <w:rPr>
                <w:color w:val="000000"/>
              </w:rPr>
              <w:t>Total New Works</w:t>
            </w:r>
          </w:p>
        </w:tc>
        <w:tc>
          <w:tcPr>
            <w:tcW w:w="864" w:type="dxa"/>
            <w:tcBorders>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7,365</w:t>
            </w:r>
          </w:p>
        </w:tc>
        <w:tc>
          <w:tcPr>
            <w:tcW w:w="1030" w:type="dxa"/>
            <w:tcBorders>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7,365</w:t>
            </w:r>
          </w:p>
        </w:tc>
        <w:tc>
          <w:tcPr>
            <w:tcW w:w="1030" w:type="dxa"/>
            <w:tcBorders>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1030" w:type="dxa"/>
            <w:tcBorders>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 </w:t>
            </w:r>
          </w:p>
        </w:tc>
        <w:tc>
          <w:tcPr>
            <w:tcW w:w="905" w:type="dxa"/>
            <w:tcBorders>
              <w:left w:val="nil"/>
              <w:bottom w:val="single" w:sz="4" w:space="0" w:color="auto"/>
              <w:right w:val="nil"/>
            </w:tcBorders>
            <w:noWrap/>
            <w:tcMar>
              <w:top w:w="0" w:type="dxa"/>
              <w:left w:w="17" w:type="dxa"/>
              <w:bottom w:w="0" w:type="dxa"/>
              <w:right w:w="17" w:type="dxa"/>
            </w:tcMar>
          </w:tcPr>
          <w:p w:rsidR="00B531A6" w:rsidRPr="004678C4" w:rsidRDefault="00B531A6" w:rsidP="0096613C">
            <w:pPr>
              <w:pStyle w:val="TableNumbersRight-BP4"/>
              <w:rPr>
                <w:b/>
                <w:bCs/>
                <w:color w:val="000000"/>
                <w:szCs w:val="18"/>
                <w:lang w:eastAsia="en-AU"/>
              </w:rPr>
            </w:pPr>
          </w:p>
        </w:tc>
      </w:tr>
      <w:tr w:rsidR="00B531A6" w:rsidTr="00B531A6">
        <w:trPr>
          <w:trHeight w:hRule="exact" w:val="227"/>
        </w:trPr>
        <w:tc>
          <w:tcPr>
            <w:tcW w:w="3467" w:type="dxa"/>
            <w:tcBorders>
              <w:top w:val="nil"/>
              <w:left w:val="nil"/>
              <w:bottom w:val="nil"/>
              <w:right w:val="nil"/>
            </w:tcBorders>
            <w:noWrap/>
            <w:tcMar>
              <w:top w:w="0" w:type="dxa"/>
              <w:left w:w="17" w:type="dxa"/>
              <w:bottom w:w="0" w:type="dxa"/>
              <w:right w:w="17" w:type="dxa"/>
            </w:tcMar>
          </w:tcPr>
          <w:p w:rsidR="00B531A6" w:rsidRDefault="00B531A6" w:rsidP="0096613C">
            <w:pPr>
              <w:pStyle w:val="TableHeadingLeft-BP4"/>
            </w:pPr>
            <w:r>
              <w:t> </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 </w:t>
            </w:r>
          </w:p>
        </w:tc>
      </w:tr>
      <w:tr w:rsidR="00B531A6" w:rsidTr="00B531A6">
        <w:trPr>
          <w:trHeight w:hRule="exact" w:val="227"/>
        </w:trPr>
        <w:tc>
          <w:tcPr>
            <w:tcW w:w="3467" w:type="dxa"/>
            <w:tcBorders>
              <w:top w:val="nil"/>
              <w:left w:val="nil"/>
              <w:bottom w:val="nil"/>
              <w:right w:val="nil"/>
            </w:tcBorders>
            <w:noWrap/>
            <w:tcMar>
              <w:top w:w="17" w:type="dxa"/>
              <w:left w:w="17" w:type="dxa"/>
              <w:bottom w:w="0" w:type="dxa"/>
              <w:right w:w="17" w:type="dxa"/>
            </w:tcMar>
          </w:tcPr>
          <w:p w:rsidR="00B531A6" w:rsidRDefault="00B531A6" w:rsidP="0096613C">
            <w:pPr>
              <w:pStyle w:val="TableHeadingLeft-BP4"/>
            </w:pPr>
            <w:r>
              <w:rPr>
                <w:color w:val="000000"/>
              </w:rPr>
              <w:t>Works in Progress</w:t>
            </w:r>
          </w:p>
        </w:tc>
        <w:tc>
          <w:tcPr>
            <w:tcW w:w="864" w:type="dxa"/>
            <w:tcBorders>
              <w:top w:val="nil"/>
              <w:left w:val="nil"/>
              <w:bottom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bottom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bottom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bottom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bottom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905" w:type="dxa"/>
            <w:tcBorders>
              <w:top w:val="nil"/>
              <w:left w:val="nil"/>
              <w:bottom w:val="nil"/>
              <w:right w:val="nil"/>
            </w:tcBorders>
            <w:noWrap/>
            <w:tcMar>
              <w:top w:w="17" w:type="dxa"/>
              <w:left w:w="17" w:type="dxa"/>
              <w:bottom w:w="0" w:type="dxa"/>
              <w:right w:w="17" w:type="dxa"/>
            </w:tcMar>
          </w:tcPr>
          <w:p w:rsidR="00B531A6" w:rsidRPr="004678C4" w:rsidRDefault="00B531A6" w:rsidP="0096613C">
            <w:pPr>
              <w:pStyle w:val="TableNumbersRight-BP4"/>
              <w:rPr>
                <w:szCs w:val="18"/>
              </w:rPr>
            </w:pP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Default="00B531A6" w:rsidP="0096613C">
            <w:pPr>
              <w:pStyle w:val="TableTextLeft-BP4"/>
            </w:pPr>
            <w:r>
              <w:t>Security Improvement Program for Elderly Public Housing Tenants</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1,500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500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500</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500</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2016</w:t>
            </w: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Default="00B531A6" w:rsidP="0096613C">
            <w:pPr>
              <w:pStyle w:val="TableTextLeft-BP4"/>
            </w:pPr>
            <w:r>
              <w:t>Disability Dual Occupancy Housing</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2,948</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567</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1,162</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1,219</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2016</w:t>
            </w:r>
          </w:p>
        </w:tc>
      </w:tr>
      <w:tr w:rsidR="00B531A6" w:rsidTr="00B531A6">
        <w:tc>
          <w:tcPr>
            <w:tcW w:w="3467" w:type="dxa"/>
            <w:tcBorders>
              <w:top w:val="nil"/>
              <w:left w:val="nil"/>
              <w:bottom w:val="nil"/>
              <w:right w:val="nil"/>
            </w:tcBorders>
            <w:noWrap/>
            <w:tcMar>
              <w:top w:w="0" w:type="dxa"/>
              <w:left w:w="17" w:type="dxa"/>
              <w:bottom w:w="0" w:type="dxa"/>
              <w:right w:w="17" w:type="dxa"/>
            </w:tcMar>
          </w:tcPr>
          <w:p w:rsidR="00B531A6" w:rsidRDefault="00B531A6" w:rsidP="0096613C">
            <w:pPr>
              <w:pStyle w:val="TableTextLeft-BP4"/>
            </w:pPr>
            <w:r>
              <w:t>Expansion of Social Housing</w:t>
            </w:r>
          </w:p>
        </w:tc>
        <w:tc>
          <w:tcPr>
            <w:tcW w:w="864"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9,446</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6</w:t>
            </w:r>
            <w:r>
              <w:rPr>
                <w:szCs w:val="18"/>
              </w:rPr>
              <w:t>,</w:t>
            </w:r>
            <w:r w:rsidRPr="003C14A7">
              <w:rPr>
                <w:szCs w:val="18"/>
              </w:rPr>
              <w:t>7</w:t>
            </w:r>
            <w:r>
              <w:rPr>
                <w:szCs w:val="18"/>
              </w:rPr>
              <w:t>77</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2,</w:t>
            </w:r>
            <w:r>
              <w:rPr>
                <w:szCs w:val="18"/>
              </w:rPr>
              <w:t>669</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1030" w:type="dxa"/>
            <w:tcBorders>
              <w:top w:val="nil"/>
              <w:left w:val="nil"/>
              <w:bottom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905" w:type="dxa"/>
            <w:tcBorders>
              <w:top w:val="nil"/>
              <w:left w:val="nil"/>
              <w:bottom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2014</w:t>
            </w:r>
          </w:p>
        </w:tc>
      </w:tr>
      <w:tr w:rsidR="00B531A6" w:rsidTr="00B531A6">
        <w:tc>
          <w:tcPr>
            <w:tcW w:w="3467" w:type="dxa"/>
            <w:tcBorders>
              <w:top w:val="nil"/>
              <w:left w:val="nil"/>
              <w:right w:val="nil"/>
            </w:tcBorders>
            <w:noWrap/>
            <w:tcMar>
              <w:top w:w="0" w:type="dxa"/>
              <w:left w:w="17" w:type="dxa"/>
              <w:bottom w:w="0" w:type="dxa"/>
              <w:right w:w="17" w:type="dxa"/>
            </w:tcMar>
          </w:tcPr>
          <w:p w:rsidR="00B531A6" w:rsidRPr="00DD5A0C" w:rsidRDefault="00B531A6" w:rsidP="0096613C">
            <w:pPr>
              <w:pStyle w:val="TableTextLeft-BP4"/>
            </w:pPr>
            <w:r w:rsidRPr="00DD5A0C">
              <w:t>Expansion of Social Housing</w:t>
            </w:r>
            <w:r w:rsidR="00416A3F">
              <w:rPr>
                <w:szCs w:val="16"/>
              </w:rPr>
              <w:t xml:space="preserve"> – </w:t>
            </w:r>
            <w:r w:rsidRPr="00DD5A0C">
              <w:t>Stage 2</w:t>
            </w:r>
          </w:p>
        </w:tc>
        <w:tc>
          <w:tcPr>
            <w:tcW w:w="864"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5,000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100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pPr>
            <w:r w:rsidRPr="003C14A7">
              <w:t>2,400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2,500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 </w:t>
            </w:r>
          </w:p>
        </w:tc>
        <w:tc>
          <w:tcPr>
            <w:tcW w:w="905" w:type="dxa"/>
            <w:tcBorders>
              <w:top w:val="nil"/>
              <w:left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2015</w:t>
            </w:r>
          </w:p>
        </w:tc>
      </w:tr>
      <w:tr w:rsidR="00B531A6" w:rsidTr="00B531A6">
        <w:tc>
          <w:tcPr>
            <w:tcW w:w="3467" w:type="dxa"/>
            <w:tcBorders>
              <w:top w:val="nil"/>
              <w:left w:val="nil"/>
              <w:right w:val="nil"/>
            </w:tcBorders>
            <w:noWrap/>
            <w:tcMar>
              <w:top w:w="0" w:type="dxa"/>
              <w:left w:w="17" w:type="dxa"/>
              <w:bottom w:w="0" w:type="dxa"/>
              <w:right w:w="17" w:type="dxa"/>
            </w:tcMar>
          </w:tcPr>
          <w:p w:rsidR="00B531A6" w:rsidRDefault="00B531A6" w:rsidP="0096613C">
            <w:pPr>
              <w:pStyle w:val="TableTextLeft-BP4"/>
            </w:pPr>
            <w:r>
              <w:t>Expansion of Public Housing Energy Efficiency</w:t>
            </w:r>
          </w:p>
        </w:tc>
        <w:tc>
          <w:tcPr>
            <w:tcW w:w="864"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Cs/>
                <w:szCs w:val="18"/>
              </w:rPr>
            </w:pPr>
            <w:r w:rsidRPr="003C14A7">
              <w:rPr>
                <w:bCs/>
                <w:szCs w:val="18"/>
              </w:rPr>
              <w:t>10,000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4,000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pPr>
            <w:r w:rsidRPr="003C14A7">
              <w:t>2,000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2,000</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szCs w:val="18"/>
              </w:rPr>
            </w:pPr>
            <w:r w:rsidRPr="003C14A7">
              <w:rPr>
                <w:szCs w:val="18"/>
              </w:rPr>
              <w:t>2,000</w:t>
            </w:r>
          </w:p>
        </w:tc>
        <w:tc>
          <w:tcPr>
            <w:tcW w:w="905" w:type="dxa"/>
            <w:tcBorders>
              <w:top w:val="nil"/>
              <w:left w:val="nil"/>
              <w:right w:val="nil"/>
            </w:tcBorders>
            <w:noWrap/>
            <w:tcMar>
              <w:top w:w="0" w:type="dxa"/>
              <w:left w:w="17" w:type="dxa"/>
              <w:bottom w:w="0" w:type="dxa"/>
              <w:right w:w="17" w:type="dxa"/>
            </w:tcMar>
          </w:tcPr>
          <w:p w:rsidR="00B531A6" w:rsidRPr="004678C4" w:rsidRDefault="00B531A6" w:rsidP="0096613C">
            <w:pPr>
              <w:pStyle w:val="TableNumbersRight-BP4"/>
              <w:rPr>
                <w:szCs w:val="18"/>
              </w:rPr>
            </w:pPr>
            <w:r w:rsidRPr="004678C4">
              <w:rPr>
                <w:szCs w:val="18"/>
              </w:rPr>
              <w:t>Jun 2016</w:t>
            </w:r>
          </w:p>
        </w:tc>
      </w:tr>
      <w:tr w:rsidR="00B531A6" w:rsidTr="00B531A6">
        <w:trPr>
          <w:trHeight w:hRule="exact" w:val="227"/>
        </w:trPr>
        <w:tc>
          <w:tcPr>
            <w:tcW w:w="3467" w:type="dxa"/>
            <w:tcBorders>
              <w:top w:val="nil"/>
              <w:left w:val="nil"/>
              <w:right w:val="nil"/>
            </w:tcBorders>
            <w:noWrap/>
          </w:tcPr>
          <w:p w:rsidR="00B531A6" w:rsidRDefault="00B531A6" w:rsidP="0096613C">
            <w:pPr>
              <w:spacing w:before="40" w:after="40"/>
              <w:rPr>
                <w:b/>
                <w:bCs/>
                <w:sz w:val="18"/>
                <w:szCs w:val="18"/>
              </w:rPr>
            </w:pPr>
          </w:p>
        </w:tc>
        <w:tc>
          <w:tcPr>
            <w:tcW w:w="864" w:type="dxa"/>
            <w:tcBorders>
              <w:top w:val="nil"/>
              <w:left w:val="nil"/>
              <w:right w:val="nil"/>
            </w:tcBorders>
            <w:noWrap/>
          </w:tcPr>
          <w:p w:rsidR="00B531A6" w:rsidRPr="003C14A7" w:rsidRDefault="00B531A6" w:rsidP="0096613C">
            <w:pPr>
              <w:pStyle w:val="TableNumbersRight-BP4"/>
              <w:rPr>
                <w:b/>
                <w:bCs/>
                <w:szCs w:val="18"/>
              </w:rPr>
            </w:pP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
                <w:bCs/>
                <w:szCs w:val="18"/>
              </w:rPr>
            </w:pPr>
          </w:p>
        </w:tc>
        <w:tc>
          <w:tcPr>
            <w:tcW w:w="1030" w:type="dxa"/>
            <w:tcBorders>
              <w:top w:val="nil"/>
              <w:left w:val="nil"/>
              <w:right w:val="nil"/>
            </w:tcBorders>
            <w:noWrap/>
            <w:tcMar>
              <w:top w:w="17" w:type="dxa"/>
              <w:left w:w="17" w:type="dxa"/>
              <w:bottom w:w="0" w:type="dxa"/>
              <w:right w:w="17" w:type="dxa"/>
            </w:tcMar>
          </w:tcPr>
          <w:p w:rsidR="00B531A6" w:rsidRPr="003C14A7" w:rsidRDefault="00B531A6" w:rsidP="0096613C">
            <w:pPr>
              <w:pStyle w:val="TableNumbersRight-BP4"/>
              <w:rPr>
                <w:b/>
                <w:bCs/>
                <w:szCs w:val="18"/>
              </w:rPr>
            </w:pPr>
          </w:p>
        </w:tc>
        <w:tc>
          <w:tcPr>
            <w:tcW w:w="905" w:type="dxa"/>
            <w:tcBorders>
              <w:top w:val="nil"/>
              <w:left w:val="nil"/>
              <w:right w:val="nil"/>
            </w:tcBorders>
            <w:noWrap/>
            <w:tcMar>
              <w:top w:w="0" w:type="dxa"/>
              <w:left w:w="17" w:type="dxa"/>
              <w:bottom w:w="0" w:type="dxa"/>
              <w:right w:w="17" w:type="dxa"/>
            </w:tcMar>
          </w:tcPr>
          <w:p w:rsidR="00B531A6" w:rsidRDefault="00B531A6" w:rsidP="0096613C">
            <w:pPr>
              <w:pStyle w:val="TableNumbersRight-BP4"/>
              <w:rPr>
                <w:szCs w:val="18"/>
              </w:rPr>
            </w:pPr>
          </w:p>
        </w:tc>
      </w:tr>
      <w:tr w:rsidR="00B531A6" w:rsidTr="00B531A6">
        <w:trPr>
          <w:trHeight w:hRule="exact" w:val="227"/>
        </w:trPr>
        <w:tc>
          <w:tcPr>
            <w:tcW w:w="3467" w:type="dxa"/>
            <w:tcBorders>
              <w:top w:val="nil"/>
              <w:left w:val="nil"/>
              <w:right w:val="nil"/>
            </w:tcBorders>
            <w:noWrap/>
          </w:tcPr>
          <w:p w:rsidR="00B531A6" w:rsidRDefault="00B531A6" w:rsidP="0096613C">
            <w:pPr>
              <w:pStyle w:val="TableHeadingLeft-BP4"/>
            </w:pPr>
            <w:r>
              <w:t>Total Works in Progress</w:t>
            </w:r>
          </w:p>
        </w:tc>
        <w:tc>
          <w:tcPr>
            <w:tcW w:w="864" w:type="dxa"/>
            <w:tcBorders>
              <w:top w:val="nil"/>
              <w:left w:val="nil"/>
              <w:right w:val="nil"/>
            </w:tcBorders>
            <w:noWrap/>
          </w:tcPr>
          <w:p w:rsidR="00B531A6" w:rsidRPr="003C14A7" w:rsidRDefault="00B531A6" w:rsidP="0096613C">
            <w:pPr>
              <w:pStyle w:val="TableNumbersRight-BP4"/>
              <w:rPr>
                <w:b/>
                <w:bCs/>
                <w:lang w:eastAsia="en-AU"/>
              </w:rPr>
            </w:pPr>
            <w:r w:rsidRPr="003C14A7">
              <w:rPr>
                <w:b/>
                <w:bCs/>
                <w:lang w:eastAsia="en-AU"/>
              </w:rPr>
              <w:t>28,894</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10,8</w:t>
            </w:r>
            <w:r>
              <w:rPr>
                <w:b/>
                <w:bCs/>
                <w:lang w:eastAsia="en-AU"/>
              </w:rPr>
              <w:t>77</w:t>
            </w:r>
          </w:p>
        </w:tc>
        <w:tc>
          <w:tcPr>
            <w:tcW w:w="1030" w:type="dxa"/>
            <w:tcBorders>
              <w:top w:val="nil"/>
              <w:left w:val="nil"/>
              <w:right w:val="nil"/>
            </w:tcBorders>
            <w:noWrap/>
            <w:tcMar>
              <w:top w:w="17"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8,1</w:t>
            </w:r>
            <w:r>
              <w:rPr>
                <w:b/>
                <w:bCs/>
                <w:lang w:eastAsia="en-AU"/>
              </w:rPr>
              <w:t>36</w:t>
            </w: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6,162</w:t>
            </w:r>
          </w:p>
        </w:tc>
        <w:tc>
          <w:tcPr>
            <w:tcW w:w="1030" w:type="dxa"/>
            <w:tcBorders>
              <w:top w:val="nil"/>
              <w:left w:val="nil"/>
              <w:right w:val="nil"/>
            </w:tcBorders>
            <w:noWrap/>
            <w:tcMar>
              <w:top w:w="17"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3,719</w:t>
            </w:r>
          </w:p>
        </w:tc>
        <w:tc>
          <w:tcPr>
            <w:tcW w:w="905" w:type="dxa"/>
            <w:tcBorders>
              <w:top w:val="nil"/>
              <w:left w:val="nil"/>
              <w:right w:val="nil"/>
            </w:tcBorders>
            <w:noWrap/>
            <w:tcMar>
              <w:top w:w="0" w:type="dxa"/>
              <w:left w:w="17" w:type="dxa"/>
              <w:bottom w:w="0" w:type="dxa"/>
              <w:right w:w="17" w:type="dxa"/>
            </w:tcMar>
          </w:tcPr>
          <w:p w:rsidR="00B531A6" w:rsidRDefault="00B531A6" w:rsidP="0096613C">
            <w:pPr>
              <w:pStyle w:val="TableNumbersRight-BP4"/>
              <w:rPr>
                <w:b/>
                <w:bCs/>
                <w:color w:val="000000"/>
                <w:szCs w:val="18"/>
                <w:lang w:eastAsia="en-AU"/>
              </w:rPr>
            </w:pPr>
          </w:p>
        </w:tc>
      </w:tr>
      <w:tr w:rsidR="00B531A6" w:rsidTr="00B531A6">
        <w:trPr>
          <w:trHeight w:hRule="exact" w:val="227"/>
        </w:trPr>
        <w:tc>
          <w:tcPr>
            <w:tcW w:w="3467" w:type="dxa"/>
            <w:tcBorders>
              <w:top w:val="nil"/>
              <w:left w:val="nil"/>
              <w:right w:val="nil"/>
            </w:tcBorders>
            <w:noWrap/>
          </w:tcPr>
          <w:p w:rsidR="00B531A6" w:rsidRDefault="00B531A6" w:rsidP="0096613C">
            <w:pPr>
              <w:pStyle w:val="TableHeadingLeft-BP4"/>
              <w:rPr>
                <w:sz w:val="20"/>
              </w:rPr>
            </w:pPr>
          </w:p>
        </w:tc>
        <w:tc>
          <w:tcPr>
            <w:tcW w:w="864" w:type="dxa"/>
            <w:tcBorders>
              <w:top w:val="nil"/>
              <w:left w:val="nil"/>
              <w:right w:val="nil"/>
            </w:tcBorders>
            <w:noWrap/>
          </w:tcPr>
          <w:p w:rsidR="00B531A6" w:rsidRPr="003C14A7" w:rsidRDefault="00B531A6" w:rsidP="0096613C">
            <w:pPr>
              <w:pStyle w:val="TableNumbersRight-BP4"/>
              <w:rPr>
                <w:b/>
                <w:bCs/>
                <w:sz w:val="20"/>
              </w:rPr>
            </w:pP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
                <w:bCs/>
                <w:sz w:val="20"/>
              </w:rPr>
            </w:pPr>
          </w:p>
        </w:tc>
        <w:tc>
          <w:tcPr>
            <w:tcW w:w="1030" w:type="dxa"/>
            <w:tcBorders>
              <w:top w:val="nil"/>
              <w:left w:val="nil"/>
              <w:right w:val="nil"/>
            </w:tcBorders>
            <w:noWrap/>
            <w:tcMar>
              <w:top w:w="17" w:type="dxa"/>
              <w:left w:w="17" w:type="dxa"/>
              <w:bottom w:w="0" w:type="dxa"/>
              <w:right w:w="17" w:type="dxa"/>
            </w:tcMar>
          </w:tcPr>
          <w:p w:rsidR="00B531A6" w:rsidRPr="003C14A7" w:rsidRDefault="00B531A6" w:rsidP="0096613C">
            <w:pPr>
              <w:pStyle w:val="TableNumbersRight-BP4"/>
              <w:rPr>
                <w:b/>
                <w:bCs/>
                <w:sz w:val="20"/>
              </w:rPr>
            </w:pPr>
          </w:p>
        </w:tc>
        <w:tc>
          <w:tcPr>
            <w:tcW w:w="1030" w:type="dxa"/>
            <w:tcBorders>
              <w:top w:val="nil"/>
              <w:left w:val="nil"/>
              <w:right w:val="nil"/>
            </w:tcBorders>
            <w:noWrap/>
            <w:tcMar>
              <w:top w:w="0" w:type="dxa"/>
              <w:left w:w="17" w:type="dxa"/>
              <w:bottom w:w="0" w:type="dxa"/>
              <w:right w:w="17" w:type="dxa"/>
            </w:tcMar>
          </w:tcPr>
          <w:p w:rsidR="00B531A6" w:rsidRPr="003C14A7" w:rsidRDefault="00B531A6" w:rsidP="0096613C">
            <w:pPr>
              <w:pStyle w:val="TableNumbersRight-BP4"/>
              <w:rPr>
                <w:b/>
                <w:bCs/>
                <w:sz w:val="20"/>
              </w:rPr>
            </w:pPr>
          </w:p>
        </w:tc>
        <w:tc>
          <w:tcPr>
            <w:tcW w:w="1030" w:type="dxa"/>
            <w:tcBorders>
              <w:top w:val="nil"/>
              <w:left w:val="nil"/>
              <w:right w:val="nil"/>
            </w:tcBorders>
            <w:noWrap/>
            <w:tcMar>
              <w:top w:w="17" w:type="dxa"/>
              <w:left w:w="17" w:type="dxa"/>
              <w:bottom w:w="0" w:type="dxa"/>
              <w:right w:w="17" w:type="dxa"/>
            </w:tcMar>
          </w:tcPr>
          <w:p w:rsidR="00B531A6" w:rsidRPr="003C14A7" w:rsidRDefault="00B531A6" w:rsidP="0096613C">
            <w:pPr>
              <w:pStyle w:val="TableNumbersRight-BP4"/>
              <w:rPr>
                <w:b/>
                <w:bCs/>
                <w:sz w:val="20"/>
              </w:rPr>
            </w:pPr>
          </w:p>
        </w:tc>
        <w:tc>
          <w:tcPr>
            <w:tcW w:w="905" w:type="dxa"/>
            <w:tcBorders>
              <w:top w:val="nil"/>
              <w:left w:val="nil"/>
              <w:right w:val="nil"/>
            </w:tcBorders>
            <w:noWrap/>
            <w:tcMar>
              <w:top w:w="0" w:type="dxa"/>
              <w:left w:w="17" w:type="dxa"/>
              <w:bottom w:w="0" w:type="dxa"/>
              <w:right w:w="17" w:type="dxa"/>
            </w:tcMar>
          </w:tcPr>
          <w:p w:rsidR="00B531A6" w:rsidRDefault="00B531A6" w:rsidP="0096613C">
            <w:pPr>
              <w:pStyle w:val="TableNumbersRight-BP4"/>
              <w:rPr>
                <w:sz w:val="20"/>
              </w:rPr>
            </w:pPr>
          </w:p>
        </w:tc>
      </w:tr>
      <w:tr w:rsidR="00B531A6" w:rsidTr="00B531A6">
        <w:trPr>
          <w:trHeight w:hRule="exact" w:val="227"/>
        </w:trPr>
        <w:tc>
          <w:tcPr>
            <w:tcW w:w="3467" w:type="dxa"/>
            <w:tcBorders>
              <w:top w:val="single" w:sz="4" w:space="0" w:color="auto"/>
              <w:left w:val="nil"/>
              <w:bottom w:val="single" w:sz="4" w:space="0" w:color="auto"/>
              <w:right w:val="nil"/>
            </w:tcBorders>
            <w:noWrap/>
          </w:tcPr>
          <w:p w:rsidR="00B531A6" w:rsidRDefault="00B531A6" w:rsidP="0096613C">
            <w:pPr>
              <w:pStyle w:val="TableHeadingLeft-BP4"/>
              <w:rPr>
                <w:sz w:val="20"/>
              </w:rPr>
            </w:pPr>
            <w:r>
              <w:t>Total Capital Works Program</w:t>
            </w:r>
          </w:p>
        </w:tc>
        <w:tc>
          <w:tcPr>
            <w:tcW w:w="864" w:type="dxa"/>
            <w:tcBorders>
              <w:top w:val="single" w:sz="4" w:space="0" w:color="auto"/>
              <w:left w:val="nil"/>
              <w:bottom w:val="single" w:sz="4" w:space="0" w:color="auto"/>
              <w:right w:val="nil"/>
            </w:tcBorders>
            <w:noWrap/>
          </w:tcPr>
          <w:p w:rsidR="00B531A6" w:rsidRPr="003C14A7" w:rsidRDefault="00B531A6" w:rsidP="0096613C">
            <w:pPr>
              <w:pStyle w:val="TableNumbersRight-BP4"/>
              <w:rPr>
                <w:b/>
                <w:bCs/>
                <w:lang w:eastAsia="en-AU"/>
              </w:rPr>
            </w:pPr>
            <w:r w:rsidRPr="003C14A7">
              <w:rPr>
                <w:b/>
                <w:bCs/>
                <w:lang w:eastAsia="en-AU"/>
              </w:rPr>
              <w:t>36,259</w:t>
            </w:r>
          </w:p>
        </w:tc>
        <w:tc>
          <w:tcPr>
            <w:tcW w:w="1030" w:type="dxa"/>
            <w:tcBorders>
              <w:top w:val="single" w:sz="4" w:space="0" w:color="auto"/>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10,8</w:t>
            </w:r>
            <w:r>
              <w:rPr>
                <w:b/>
                <w:bCs/>
                <w:lang w:eastAsia="en-AU"/>
              </w:rPr>
              <w:t>77</w:t>
            </w:r>
          </w:p>
        </w:tc>
        <w:tc>
          <w:tcPr>
            <w:tcW w:w="1030" w:type="dxa"/>
            <w:tcBorders>
              <w:top w:val="single" w:sz="4" w:space="0" w:color="auto"/>
              <w:left w:val="nil"/>
              <w:bottom w:val="single" w:sz="4" w:space="0" w:color="auto"/>
              <w:right w:val="nil"/>
            </w:tcBorders>
            <w:noWrap/>
            <w:tcMar>
              <w:top w:w="17" w:type="dxa"/>
              <w:left w:w="17" w:type="dxa"/>
              <w:bottom w:w="0" w:type="dxa"/>
              <w:right w:w="17" w:type="dxa"/>
            </w:tcMar>
          </w:tcPr>
          <w:p w:rsidR="00B531A6" w:rsidRPr="003C14A7" w:rsidRDefault="00B531A6" w:rsidP="00E73B17">
            <w:pPr>
              <w:pStyle w:val="TableNumbersRight-BP4"/>
              <w:rPr>
                <w:b/>
                <w:bCs/>
                <w:lang w:eastAsia="en-AU"/>
              </w:rPr>
            </w:pPr>
            <w:r w:rsidRPr="003C14A7">
              <w:rPr>
                <w:b/>
                <w:bCs/>
                <w:lang w:eastAsia="en-AU"/>
              </w:rPr>
              <w:t>15,5</w:t>
            </w:r>
            <w:r w:rsidR="00E73B17">
              <w:rPr>
                <w:b/>
                <w:bCs/>
                <w:lang w:eastAsia="en-AU"/>
              </w:rPr>
              <w:t>01</w:t>
            </w:r>
          </w:p>
        </w:tc>
        <w:tc>
          <w:tcPr>
            <w:tcW w:w="1030" w:type="dxa"/>
            <w:tcBorders>
              <w:top w:val="single" w:sz="4" w:space="0" w:color="auto"/>
              <w:left w:val="nil"/>
              <w:bottom w:val="single" w:sz="4" w:space="0" w:color="auto"/>
              <w:right w:val="nil"/>
            </w:tcBorders>
            <w:noWrap/>
            <w:tcMar>
              <w:top w:w="0"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6,162</w:t>
            </w:r>
          </w:p>
        </w:tc>
        <w:tc>
          <w:tcPr>
            <w:tcW w:w="1030" w:type="dxa"/>
            <w:tcBorders>
              <w:top w:val="single" w:sz="4" w:space="0" w:color="auto"/>
              <w:left w:val="nil"/>
              <w:bottom w:val="single" w:sz="4" w:space="0" w:color="auto"/>
              <w:right w:val="nil"/>
            </w:tcBorders>
            <w:noWrap/>
            <w:tcMar>
              <w:top w:w="17" w:type="dxa"/>
              <w:left w:w="17" w:type="dxa"/>
              <w:bottom w:w="0" w:type="dxa"/>
              <w:right w:w="17" w:type="dxa"/>
            </w:tcMar>
          </w:tcPr>
          <w:p w:rsidR="00B531A6" w:rsidRPr="003C14A7" w:rsidRDefault="00B531A6" w:rsidP="0096613C">
            <w:pPr>
              <w:pStyle w:val="TableNumbersRight-BP4"/>
              <w:rPr>
                <w:b/>
                <w:bCs/>
                <w:lang w:eastAsia="en-AU"/>
              </w:rPr>
            </w:pPr>
            <w:r w:rsidRPr="003C14A7">
              <w:rPr>
                <w:b/>
                <w:bCs/>
                <w:lang w:eastAsia="en-AU"/>
              </w:rPr>
              <w:t>3,719</w:t>
            </w:r>
          </w:p>
        </w:tc>
        <w:tc>
          <w:tcPr>
            <w:tcW w:w="905" w:type="dxa"/>
            <w:tcBorders>
              <w:top w:val="single" w:sz="4" w:space="0" w:color="auto"/>
              <w:left w:val="nil"/>
              <w:bottom w:val="single" w:sz="4" w:space="0" w:color="auto"/>
              <w:right w:val="nil"/>
            </w:tcBorders>
            <w:noWrap/>
            <w:tcMar>
              <w:top w:w="0" w:type="dxa"/>
              <w:left w:w="17" w:type="dxa"/>
              <w:bottom w:w="0" w:type="dxa"/>
              <w:right w:w="17" w:type="dxa"/>
            </w:tcMar>
          </w:tcPr>
          <w:p w:rsidR="00B531A6" w:rsidRDefault="00B531A6" w:rsidP="0096613C">
            <w:pPr>
              <w:pStyle w:val="TableNumbersRight-BP4"/>
              <w:rPr>
                <w:sz w:val="20"/>
              </w:rPr>
            </w:pPr>
          </w:p>
        </w:tc>
      </w:tr>
    </w:tbl>
    <w:p w:rsidR="00954585" w:rsidRDefault="00954585">
      <w:r>
        <w:br w:type="page"/>
      </w:r>
    </w:p>
    <w:tbl>
      <w:tblPr>
        <w:tblW w:w="9356" w:type="dxa"/>
        <w:tblLook w:val="04A0"/>
      </w:tblPr>
      <w:tblGrid>
        <w:gridCol w:w="1049"/>
        <w:gridCol w:w="2384"/>
        <w:gridCol w:w="1102"/>
        <w:gridCol w:w="1050"/>
        <w:gridCol w:w="621"/>
        <w:gridCol w:w="1050"/>
        <w:gridCol w:w="1050"/>
        <w:gridCol w:w="1050"/>
      </w:tblGrid>
      <w:tr w:rsidR="0096613C" w:rsidTr="00306930">
        <w:trPr>
          <w:tblHeader/>
        </w:trPr>
        <w:tc>
          <w:tcPr>
            <w:tcW w:w="9356" w:type="dxa"/>
            <w:gridSpan w:val="8"/>
            <w:tcBorders>
              <w:top w:val="nil"/>
              <w:left w:val="nil"/>
              <w:bottom w:val="nil"/>
              <w:right w:val="nil"/>
            </w:tcBorders>
            <w:shd w:val="clear" w:color="000000" w:fill="FFFFFF"/>
            <w:hideMark/>
          </w:tcPr>
          <w:p w:rsidR="0096613C" w:rsidRPr="00132120" w:rsidRDefault="0096613C" w:rsidP="0096613C">
            <w:pPr>
              <w:jc w:val="center"/>
              <w:rPr>
                <w:rFonts w:ascii="Arial" w:hAnsi="Arial" w:cs="Arial"/>
                <w:b/>
                <w:bCs/>
                <w:szCs w:val="24"/>
              </w:rPr>
            </w:pPr>
            <w:bookmarkStart w:id="2" w:name="RANGE!A1:H54"/>
            <w:bookmarkEnd w:id="1"/>
            <w:r w:rsidRPr="00132120">
              <w:rPr>
                <w:rFonts w:ascii="Arial" w:hAnsi="Arial" w:cs="Arial"/>
                <w:b/>
                <w:bCs/>
                <w:szCs w:val="24"/>
              </w:rPr>
              <w:lastRenderedPageBreak/>
              <w:t>Housing ACT</w:t>
            </w:r>
          </w:p>
        </w:tc>
      </w:tr>
      <w:tr w:rsidR="0096613C" w:rsidTr="00306930">
        <w:trPr>
          <w:tblHeader/>
        </w:trPr>
        <w:tc>
          <w:tcPr>
            <w:tcW w:w="9356" w:type="dxa"/>
            <w:gridSpan w:val="8"/>
            <w:tcBorders>
              <w:top w:val="nil"/>
              <w:left w:val="nil"/>
              <w:bottom w:val="nil"/>
              <w:right w:val="nil"/>
            </w:tcBorders>
            <w:shd w:val="clear" w:color="000000" w:fill="FFFFFF"/>
            <w:hideMark/>
          </w:tcPr>
          <w:p w:rsidR="0096613C" w:rsidRPr="00132120" w:rsidRDefault="0096613C" w:rsidP="0096613C">
            <w:pPr>
              <w:jc w:val="center"/>
              <w:rPr>
                <w:rFonts w:ascii="Arial" w:hAnsi="Arial" w:cs="Arial"/>
                <w:b/>
                <w:bCs/>
                <w:szCs w:val="24"/>
              </w:rPr>
            </w:pPr>
            <w:r w:rsidRPr="00132120">
              <w:rPr>
                <w:rFonts w:ascii="Arial" w:hAnsi="Arial" w:cs="Arial"/>
                <w:b/>
                <w:bCs/>
                <w:szCs w:val="24"/>
              </w:rPr>
              <w:t>Operating Statement</w:t>
            </w:r>
          </w:p>
        </w:tc>
      </w:tr>
      <w:tr w:rsidR="0096613C" w:rsidTr="00306930">
        <w:trPr>
          <w:tblHeader/>
        </w:trPr>
        <w:tc>
          <w:tcPr>
            <w:tcW w:w="1049"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2016-17</w:t>
            </w:r>
          </w:p>
        </w:tc>
      </w:tr>
      <w:tr w:rsidR="0096613C" w:rsidTr="00306930">
        <w:trPr>
          <w:tblHeader/>
        </w:trPr>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Estimate</w:t>
            </w:r>
          </w:p>
        </w:tc>
      </w:tr>
      <w:tr w:rsidR="0096613C" w:rsidTr="00306930">
        <w:trPr>
          <w:tblHeader/>
        </w:trPr>
        <w:tc>
          <w:tcPr>
            <w:tcW w:w="1049"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b/>
                <w:bCs/>
                <w:sz w:val="18"/>
                <w:szCs w:val="18"/>
              </w:rPr>
            </w:pPr>
            <w:r>
              <w:rPr>
                <w:b/>
                <w:bCs/>
                <w:sz w:val="18"/>
                <w:szCs w:val="18"/>
              </w:rPr>
              <w:t>$'000</w:t>
            </w:r>
          </w:p>
        </w:tc>
      </w:tr>
      <w:tr w:rsidR="0096613C" w:rsidTr="00306930">
        <w:trPr>
          <w:tblHeader/>
        </w:trPr>
        <w:tc>
          <w:tcPr>
            <w:tcW w:w="1049"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i/>
                <w:iCs/>
                <w:sz w:val="18"/>
                <w:szCs w:val="18"/>
              </w:rPr>
            </w:pPr>
            <w:r>
              <w:rPr>
                <w:b/>
                <w:bCs/>
                <w:i/>
                <w:iCs/>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42,295</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42,541</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43,075</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41,985</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42,181</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43,000</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86,573</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88,480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89,384</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91,492</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93,775</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96,092</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1,713</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640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672</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659</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209</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209</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96613C" w:rsidRDefault="0096613C" w:rsidP="007454F3">
            <w:pPr>
              <w:ind w:left="142" w:hanging="142"/>
              <w:rPr>
                <w:sz w:val="18"/>
                <w:szCs w:val="18"/>
              </w:rPr>
            </w:pPr>
            <w:r>
              <w:rPr>
                <w:sz w:val="18"/>
                <w:szCs w:val="18"/>
              </w:rPr>
              <w:t>Distribution from Investments with the Territory Banking Account</w:t>
            </w:r>
            <w:r>
              <w:rPr>
                <w:sz w:val="18"/>
                <w:szCs w:val="18"/>
                <w:vertAlign w:val="superscript"/>
              </w:rPr>
              <w:t>1</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868</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560</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-35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625</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659</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686</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5,279</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7,374</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5,315</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-28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5,121</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5,238</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5,524</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135,860</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139,903</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139,006</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139,882</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142,062</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145,511</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135,860</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139,903</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139,006</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139,882</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142,062</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145,511</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20,589</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21,169</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20,927</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21,558</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22,207</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22,876</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3,126</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2,912</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2,911</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2,877</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2,884</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2,904</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81,048</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84,090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84,918</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87,899</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90,630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93,357</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17,653</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16,644</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17,123</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17,417</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17,826</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18,323</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3,995</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3,995</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3,779</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3,568</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3,297</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3,102</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25,854</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42,144</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23,035</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-45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21,693</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22,363</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23,175</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3,763</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5,263</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3,978</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-24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4,453</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4,364</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4,454</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156,028</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xml:space="preserve">Total </w:t>
            </w:r>
            <w:r w:rsidR="007E3351">
              <w:rPr>
                <w:b/>
                <w:bCs/>
                <w:sz w:val="18"/>
                <w:szCs w:val="18"/>
              </w:rPr>
              <w:t xml:space="preserve">Ordinary </w:t>
            </w:r>
            <w:r>
              <w:rPr>
                <w:b/>
                <w:bCs/>
                <w:sz w:val="18"/>
                <w:szCs w:val="18"/>
              </w:rPr>
              <w:t>Expenses</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176,217</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156,671</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xml:space="preserve">-11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159,465</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163,571</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168,191</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xml:space="preserve">Share of Operating Result </w:t>
            </w:r>
            <w:r>
              <w:rPr>
                <w:sz w:val="18"/>
                <w:szCs w:val="18"/>
              </w:rPr>
              <w:br/>
              <w:t xml:space="preserve">   from Joint Venture </w:t>
            </w:r>
            <w:r>
              <w:rPr>
                <w:sz w:val="18"/>
                <w:szCs w:val="18"/>
              </w:rPr>
              <w:br/>
              <w:t xml:space="preserve">   accounted for using the</w:t>
            </w:r>
            <w:r>
              <w:rPr>
                <w:sz w:val="18"/>
                <w:szCs w:val="18"/>
              </w:rPr>
              <w:br/>
              <w:t xml:space="preserve">   Equity Method</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6,186</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0</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-20,168</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-36,314</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-17,665</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xml:space="preserve">51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-19,583</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-15,323</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-22,680</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r>
      <w:tr w:rsidR="00E83990" w:rsidTr="00B275E0">
        <w:tc>
          <w:tcPr>
            <w:tcW w:w="1049" w:type="dxa"/>
            <w:tcBorders>
              <w:top w:val="nil"/>
              <w:left w:val="nil"/>
              <w:bottom w:val="nil"/>
              <w:right w:val="nil"/>
            </w:tcBorders>
            <w:shd w:val="clear" w:color="000000" w:fill="FFFFFF"/>
            <w:hideMark/>
          </w:tcPr>
          <w:p w:rsidR="00E83990" w:rsidRDefault="00E83990" w:rsidP="0096613C">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E83990" w:rsidRDefault="00E83990" w:rsidP="00E83990">
            <w:pPr>
              <w:ind w:left="142" w:hanging="142"/>
              <w:rPr>
                <w:sz w:val="18"/>
                <w:szCs w:val="18"/>
              </w:rPr>
            </w:pPr>
            <w:r>
              <w:rPr>
                <w:b/>
                <w:bCs/>
                <w:sz w:val="18"/>
                <w:szCs w:val="18"/>
              </w:rPr>
              <w:t>Other Comprehensive Income</w:t>
            </w:r>
            <w:r>
              <w:rPr>
                <w:sz w:val="18"/>
                <w:szCs w:val="18"/>
              </w:rPr>
              <w:t> </w:t>
            </w:r>
          </w:p>
        </w:tc>
        <w:tc>
          <w:tcPr>
            <w:tcW w:w="1050" w:type="dxa"/>
            <w:tcBorders>
              <w:top w:val="nil"/>
              <w:left w:val="nil"/>
              <w:bottom w:val="nil"/>
              <w:right w:val="nil"/>
            </w:tcBorders>
            <w:shd w:val="clear" w:color="000000" w:fill="FFFFFF"/>
            <w:hideMark/>
          </w:tcPr>
          <w:p w:rsidR="00E83990" w:rsidRDefault="00E83990"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E83990" w:rsidRDefault="00E83990"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E83990" w:rsidRDefault="00E83990"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E83990" w:rsidRDefault="00E83990"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E83990" w:rsidRDefault="00E83990"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96613C" w:rsidRDefault="007454F3" w:rsidP="007454F3">
            <w:pPr>
              <w:ind w:left="142" w:hanging="142"/>
              <w:rPr>
                <w:i/>
                <w:iCs/>
                <w:sz w:val="18"/>
                <w:szCs w:val="18"/>
              </w:rPr>
            </w:pPr>
            <w:r>
              <w:rPr>
                <w:i/>
                <w:iCs/>
                <w:sz w:val="18"/>
                <w:szCs w:val="18"/>
              </w:rPr>
              <w:t xml:space="preserve">    </w:t>
            </w:r>
            <w:r w:rsidR="0096613C">
              <w:rPr>
                <w:i/>
                <w:iCs/>
                <w:sz w:val="18"/>
                <w:szCs w:val="18"/>
              </w:rPr>
              <w:t>Items that will not be reclassified subsequently to profit or loss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99,625</w:t>
            </w:r>
          </w:p>
        </w:tc>
        <w:tc>
          <w:tcPr>
            <w:tcW w:w="2384" w:type="dxa"/>
            <w:tcBorders>
              <w:top w:val="nil"/>
              <w:left w:val="nil"/>
              <w:bottom w:val="nil"/>
              <w:right w:val="nil"/>
            </w:tcBorders>
            <w:shd w:val="clear" w:color="000000" w:fill="FFFFFF"/>
            <w:hideMark/>
          </w:tcPr>
          <w:p w:rsidR="0096613C" w:rsidRDefault="0096613C" w:rsidP="0096613C">
            <w:pPr>
              <w:rPr>
                <w:sz w:val="18"/>
                <w:szCs w:val="18"/>
              </w:rPr>
            </w:pPr>
            <w:r>
              <w:rPr>
                <w:sz w:val="18"/>
                <w:szCs w:val="18"/>
              </w:rPr>
              <w:t xml:space="preserve">Inc/Dec in Asset Revaluation </w:t>
            </w:r>
            <w:r>
              <w:rPr>
                <w:sz w:val="18"/>
                <w:szCs w:val="18"/>
              </w:rPr>
              <w:br/>
              <w:t xml:space="preserve">   Reserve Surpluses</w:t>
            </w:r>
          </w:p>
        </w:tc>
        <w:tc>
          <w:tcPr>
            <w:tcW w:w="1102"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14,240</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121,825</w:t>
            </w:r>
          </w:p>
        </w:tc>
        <w:tc>
          <w:tcPr>
            <w:tcW w:w="621"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 xml:space="preserve">756 </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124,077</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117,526</w:t>
            </w:r>
          </w:p>
        </w:tc>
        <w:tc>
          <w:tcPr>
            <w:tcW w:w="1050" w:type="dxa"/>
            <w:tcBorders>
              <w:top w:val="nil"/>
              <w:left w:val="nil"/>
              <w:bottom w:val="nil"/>
              <w:right w:val="nil"/>
            </w:tcBorders>
            <w:shd w:val="clear" w:color="000000" w:fill="FFFFFF"/>
            <w:hideMark/>
          </w:tcPr>
          <w:p w:rsidR="0096613C" w:rsidRDefault="0096613C" w:rsidP="0096613C">
            <w:pPr>
              <w:ind w:left="-283"/>
              <w:jc w:val="right"/>
              <w:rPr>
                <w:sz w:val="18"/>
                <w:szCs w:val="18"/>
              </w:rPr>
            </w:pPr>
            <w:r>
              <w:rPr>
                <w:sz w:val="18"/>
                <w:szCs w:val="18"/>
              </w:rPr>
              <w:t>137,134</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99,625</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Total Other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14,240</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121,825</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xml:space="preserve">756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124,077</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117,526</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137,134</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w:t>
            </w:r>
          </w:p>
        </w:tc>
      </w:tr>
      <w:tr w:rsidR="0096613C" w:rsidTr="00306930">
        <w:tc>
          <w:tcPr>
            <w:tcW w:w="1049"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79,457</w:t>
            </w:r>
          </w:p>
        </w:tc>
        <w:tc>
          <w:tcPr>
            <w:tcW w:w="2384" w:type="dxa"/>
            <w:tcBorders>
              <w:top w:val="nil"/>
              <w:left w:val="nil"/>
              <w:bottom w:val="nil"/>
              <w:right w:val="nil"/>
            </w:tcBorders>
            <w:shd w:val="clear" w:color="000000" w:fill="FFFFFF"/>
            <w:hideMark/>
          </w:tcPr>
          <w:p w:rsidR="0096613C" w:rsidRDefault="0096613C" w:rsidP="0096613C">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-22,074</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104,160</w:t>
            </w:r>
          </w:p>
        </w:tc>
        <w:tc>
          <w:tcPr>
            <w:tcW w:w="621"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 xml:space="preserve">572 </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104,494</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102,203</w:t>
            </w:r>
          </w:p>
        </w:tc>
        <w:tc>
          <w:tcPr>
            <w:tcW w:w="1050" w:type="dxa"/>
            <w:tcBorders>
              <w:top w:val="nil"/>
              <w:left w:val="nil"/>
              <w:bottom w:val="nil"/>
              <w:right w:val="nil"/>
            </w:tcBorders>
            <w:shd w:val="clear" w:color="000000" w:fill="FFFFFF"/>
            <w:hideMark/>
          </w:tcPr>
          <w:p w:rsidR="0096613C" w:rsidRDefault="0096613C" w:rsidP="0096613C">
            <w:pPr>
              <w:ind w:left="-283"/>
              <w:jc w:val="right"/>
              <w:rPr>
                <w:b/>
                <w:bCs/>
                <w:sz w:val="18"/>
                <w:szCs w:val="18"/>
              </w:rPr>
            </w:pPr>
            <w:r>
              <w:rPr>
                <w:b/>
                <w:bCs/>
                <w:sz w:val="18"/>
                <w:szCs w:val="18"/>
              </w:rPr>
              <w:t>114,454</w:t>
            </w:r>
          </w:p>
        </w:tc>
      </w:tr>
      <w:tr w:rsidR="0096613C" w:rsidTr="00306930">
        <w:tc>
          <w:tcPr>
            <w:tcW w:w="1049"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96613C" w:rsidRDefault="0096613C" w:rsidP="0096613C">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96613C" w:rsidRDefault="0096613C" w:rsidP="0096613C">
            <w:pPr>
              <w:ind w:left="-283"/>
              <w:jc w:val="right"/>
              <w:rPr>
                <w:sz w:val="18"/>
                <w:szCs w:val="18"/>
              </w:rPr>
            </w:pPr>
            <w:r>
              <w:rPr>
                <w:sz w:val="18"/>
                <w:szCs w:val="18"/>
              </w:rPr>
              <w:t> </w:t>
            </w:r>
          </w:p>
        </w:tc>
      </w:tr>
    </w:tbl>
    <w:p w:rsidR="00306930" w:rsidRDefault="00306930" w:rsidP="00306930">
      <w:pPr>
        <w:pStyle w:val="Notes"/>
        <w:rPr>
          <w:sz w:val="16"/>
          <w:szCs w:val="16"/>
        </w:rPr>
      </w:pPr>
      <w:r>
        <w:rPr>
          <w:sz w:val="16"/>
          <w:szCs w:val="16"/>
        </w:rPr>
        <w:t>Note:</w:t>
      </w:r>
    </w:p>
    <w:p w:rsidR="00306930" w:rsidRPr="00DF2E34" w:rsidRDefault="00306930" w:rsidP="00306930">
      <w:pPr>
        <w:pStyle w:val="AINotes"/>
        <w:numPr>
          <w:ilvl w:val="0"/>
          <w:numId w:val="40"/>
        </w:numPr>
      </w:pPr>
      <w:r>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Pr>
          <w:lang w:val="en-US"/>
        </w:rPr>
        <w:noBreakHyphen/>
        <w:t>13 Budget figures.</w:t>
      </w:r>
    </w:p>
    <w:p w:rsidR="00C9625E" w:rsidRDefault="00C9625E">
      <w:r>
        <w:br w:type="page"/>
      </w:r>
    </w:p>
    <w:tbl>
      <w:tblPr>
        <w:tblW w:w="9392" w:type="dxa"/>
        <w:tblLook w:val="04A0"/>
      </w:tblPr>
      <w:tblGrid>
        <w:gridCol w:w="1054"/>
        <w:gridCol w:w="2392"/>
        <w:gridCol w:w="1106"/>
        <w:gridCol w:w="1054"/>
        <w:gridCol w:w="624"/>
        <w:gridCol w:w="1054"/>
        <w:gridCol w:w="1054"/>
        <w:gridCol w:w="1054"/>
      </w:tblGrid>
      <w:tr w:rsidR="00C9625E" w:rsidTr="007A575E">
        <w:trPr>
          <w:tblHeader/>
        </w:trPr>
        <w:tc>
          <w:tcPr>
            <w:tcW w:w="9392" w:type="dxa"/>
            <w:gridSpan w:val="8"/>
            <w:tcBorders>
              <w:top w:val="nil"/>
              <w:left w:val="nil"/>
              <w:bottom w:val="nil"/>
              <w:right w:val="nil"/>
            </w:tcBorders>
            <w:shd w:val="clear" w:color="000000" w:fill="FFFFFF"/>
            <w:noWrap/>
            <w:vAlign w:val="bottom"/>
            <w:hideMark/>
          </w:tcPr>
          <w:p w:rsidR="00C9625E" w:rsidRPr="00132120" w:rsidRDefault="00C9625E" w:rsidP="007A575E">
            <w:pPr>
              <w:jc w:val="center"/>
              <w:rPr>
                <w:rFonts w:ascii="Arial" w:hAnsi="Arial" w:cs="Arial"/>
                <w:b/>
                <w:bCs/>
                <w:szCs w:val="24"/>
              </w:rPr>
            </w:pPr>
            <w:r w:rsidRPr="00132120">
              <w:rPr>
                <w:rFonts w:ascii="Arial" w:hAnsi="Arial" w:cs="Arial"/>
                <w:b/>
                <w:bCs/>
                <w:szCs w:val="24"/>
              </w:rPr>
              <w:lastRenderedPageBreak/>
              <w:t>Housing ACT</w:t>
            </w:r>
          </w:p>
        </w:tc>
      </w:tr>
      <w:tr w:rsidR="00C9625E" w:rsidTr="007A575E">
        <w:trPr>
          <w:tblHeader/>
        </w:trPr>
        <w:tc>
          <w:tcPr>
            <w:tcW w:w="9392" w:type="dxa"/>
            <w:gridSpan w:val="8"/>
            <w:tcBorders>
              <w:top w:val="nil"/>
              <w:left w:val="nil"/>
              <w:bottom w:val="nil"/>
              <w:right w:val="nil"/>
            </w:tcBorders>
            <w:shd w:val="clear" w:color="000000" w:fill="FFFFFF"/>
            <w:noWrap/>
            <w:vAlign w:val="bottom"/>
            <w:hideMark/>
          </w:tcPr>
          <w:p w:rsidR="00C9625E" w:rsidRPr="00132120" w:rsidRDefault="00C9625E" w:rsidP="007A575E">
            <w:pPr>
              <w:jc w:val="center"/>
              <w:rPr>
                <w:rFonts w:ascii="Arial" w:hAnsi="Arial" w:cs="Arial"/>
                <w:b/>
                <w:bCs/>
                <w:szCs w:val="24"/>
              </w:rPr>
            </w:pPr>
            <w:r w:rsidRPr="00132120">
              <w:rPr>
                <w:rFonts w:ascii="Arial" w:hAnsi="Arial" w:cs="Arial"/>
                <w:b/>
                <w:bCs/>
                <w:szCs w:val="24"/>
              </w:rPr>
              <w:t>Balance Sheet</w:t>
            </w:r>
          </w:p>
        </w:tc>
      </w:tr>
      <w:tr w:rsidR="00C9625E" w:rsidTr="007A575E">
        <w:trPr>
          <w:tblHeader/>
        </w:trPr>
        <w:tc>
          <w:tcPr>
            <w:tcW w:w="1054"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C9625E" w:rsidRDefault="00C9625E" w:rsidP="007A575E">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9625E" w:rsidRDefault="00C9625E" w:rsidP="007A575E">
            <w:pPr>
              <w:ind w:left="-283"/>
              <w:jc w:val="right"/>
              <w:rPr>
                <w:b/>
                <w:bCs/>
                <w:sz w:val="18"/>
                <w:szCs w:val="18"/>
              </w:rPr>
            </w:pPr>
            <w:r>
              <w:rPr>
                <w:b/>
                <w:bCs/>
                <w:sz w:val="18"/>
                <w:szCs w:val="18"/>
              </w:rPr>
              <w:t>Estimate</w:t>
            </w:r>
          </w:p>
        </w:tc>
      </w:tr>
      <w:tr w:rsidR="00C9625E" w:rsidTr="007A575E">
        <w:trPr>
          <w:tblHeader/>
        </w:trPr>
        <w:tc>
          <w:tcPr>
            <w:tcW w:w="1054"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C9625E" w:rsidRDefault="00C9625E" w:rsidP="007A575E">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6"/>
                <w:szCs w:val="16"/>
              </w:rPr>
            </w:pPr>
            <w:r>
              <w:rPr>
                <w:b/>
                <w:bCs/>
                <w:sz w:val="16"/>
                <w:szCs w:val="16"/>
              </w:rPr>
              <w:t>as at 30/6/17</w:t>
            </w:r>
          </w:p>
        </w:tc>
      </w:tr>
      <w:tr w:rsidR="00C9625E" w:rsidTr="007A575E">
        <w:trPr>
          <w:tblHeader/>
        </w:trPr>
        <w:tc>
          <w:tcPr>
            <w:tcW w:w="1054"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C9625E" w:rsidRDefault="00C9625E" w:rsidP="007A575E">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9625E" w:rsidRDefault="00C9625E" w:rsidP="007A575E">
            <w:pPr>
              <w:ind w:left="-283"/>
              <w:jc w:val="right"/>
              <w:rPr>
                <w:b/>
                <w:bCs/>
                <w:sz w:val="18"/>
                <w:szCs w:val="18"/>
              </w:rPr>
            </w:pPr>
            <w:r>
              <w:rPr>
                <w:b/>
                <w:bCs/>
                <w:sz w:val="18"/>
                <w:szCs w:val="18"/>
              </w:rPr>
              <w:t>$'000</w:t>
            </w:r>
          </w:p>
        </w:tc>
      </w:tr>
      <w:tr w:rsidR="00C9625E" w:rsidTr="007A575E">
        <w:trPr>
          <w:tblHeader/>
        </w:trPr>
        <w:tc>
          <w:tcPr>
            <w:tcW w:w="1054" w:type="dxa"/>
            <w:tcBorders>
              <w:top w:val="nil"/>
              <w:left w:val="nil"/>
              <w:bottom w:val="nil"/>
              <w:right w:val="nil"/>
            </w:tcBorders>
            <w:shd w:val="clear" w:color="000000" w:fill="FFFFFF"/>
            <w:noWrap/>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9625E" w:rsidRDefault="00C9625E" w:rsidP="007A575E">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C9625E" w:rsidRDefault="00C9625E" w:rsidP="007A575E">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9625E" w:rsidRDefault="00C9625E" w:rsidP="007A575E">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9625E" w:rsidRDefault="00C9625E" w:rsidP="007A575E">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9625E" w:rsidRDefault="00C9625E" w:rsidP="007A575E">
            <w:pPr>
              <w:ind w:left="-283"/>
              <w:jc w:val="right"/>
              <w:rPr>
                <w:i/>
                <w:iCs/>
                <w:sz w:val="18"/>
                <w:szCs w:val="18"/>
              </w:rPr>
            </w:pPr>
            <w:r>
              <w:rPr>
                <w:i/>
                <w:iCs/>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7,402</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13,864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5,293</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-62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5,188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5,221</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5,570</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7,428</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6,521</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6,631</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6,741</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6,854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6,989</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20,249</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16,502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11,839</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-28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19,298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31,753</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38,954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4,336</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21,594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21,863</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22,132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22,401</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22,670</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390</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754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754</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754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754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754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39,805</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59,235</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46,380</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54,113</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66,983</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74,937</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5,175</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5,174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5,548</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5,952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499</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500</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3,413</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4,836</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7,862</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63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8,970</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9,953</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10,934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4,481,642</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4,296,521</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4,419,376</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4,521,976</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4,624,171</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4,733,184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1,507</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1,042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665</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288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929</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24,916</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26,705</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35,832</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34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36,222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34,324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32,426</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4,516,653</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4,334,278</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4,469,283</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4,573,408</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4,668,947</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4,777,973</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4,556,458</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4,393,513</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4,515,663</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4,627,521</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4,735,930</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4,852,910</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6,460</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4,722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4,730</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4,738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4,746</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4,754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4,729</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4,729</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4,713</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4,697</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4,673</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4,684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216</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98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105</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119</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126</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6,345</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6,758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6,882</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7,019</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7,168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7,329</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4,311</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4,018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5,104</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27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4,018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4,018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4,018</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22,061</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20,325</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21,534</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20,584</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20,724</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20,911</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76,887</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76,887</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72,175</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67,457</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62,782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58,099</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124</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380</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382</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384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386</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388</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552</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637</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657</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677</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697</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717</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1,182</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1,182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152</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-87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0</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78,745</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79,086</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73,366</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68,518</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63,865</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59,204</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100,806</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99,411</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94,900</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89,102</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84,589</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80,115</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4,455,652</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4,294,102</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4,420,763</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4,538,419</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4,651,341</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4,772,795</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9625E" w:rsidRDefault="00C9625E" w:rsidP="007A575E">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1,168,326</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1,147,408</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1,174,244</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1,189,823</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1,207,219</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1,213,539</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3,287,326</w:t>
            </w:r>
          </w:p>
        </w:tc>
        <w:tc>
          <w:tcPr>
            <w:tcW w:w="2392" w:type="dxa"/>
            <w:tcBorders>
              <w:top w:val="nil"/>
              <w:left w:val="nil"/>
              <w:bottom w:val="nil"/>
              <w:right w:val="nil"/>
            </w:tcBorders>
            <w:shd w:val="clear" w:color="000000" w:fill="FFFFFF"/>
            <w:hideMark/>
          </w:tcPr>
          <w:p w:rsidR="00C9625E" w:rsidRDefault="00C9625E" w:rsidP="007A575E">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3,146,694</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3,246,519</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3,348,596</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3,444,122</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3,559,256</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9625E" w:rsidRDefault="00C9625E" w:rsidP="007A575E">
            <w:pPr>
              <w:ind w:left="-283"/>
              <w:jc w:val="right"/>
              <w:rPr>
                <w:sz w:val="18"/>
                <w:szCs w:val="18"/>
              </w:rPr>
            </w:pPr>
            <w:r>
              <w:rPr>
                <w:sz w:val="18"/>
                <w:szCs w:val="18"/>
              </w:rPr>
              <w:t> </w:t>
            </w:r>
          </w:p>
        </w:tc>
      </w:tr>
      <w:tr w:rsidR="00C9625E" w:rsidTr="007A575E">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4,455,652</w:t>
            </w:r>
          </w:p>
        </w:tc>
        <w:tc>
          <w:tcPr>
            <w:tcW w:w="2392" w:type="dxa"/>
            <w:tcBorders>
              <w:top w:val="nil"/>
              <w:left w:val="nil"/>
              <w:bottom w:val="nil"/>
              <w:right w:val="nil"/>
            </w:tcBorders>
            <w:shd w:val="clear" w:color="000000" w:fill="FFFFFF"/>
            <w:hideMark/>
          </w:tcPr>
          <w:p w:rsidR="00C9625E" w:rsidRDefault="00C9625E" w:rsidP="007A575E">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4,294,102</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4,420,763</w:t>
            </w:r>
          </w:p>
        </w:tc>
        <w:tc>
          <w:tcPr>
            <w:tcW w:w="62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4,538,419</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4,651,341</w:t>
            </w:r>
          </w:p>
        </w:tc>
        <w:tc>
          <w:tcPr>
            <w:tcW w:w="1054" w:type="dxa"/>
            <w:tcBorders>
              <w:top w:val="nil"/>
              <w:left w:val="nil"/>
              <w:bottom w:val="nil"/>
              <w:right w:val="nil"/>
            </w:tcBorders>
            <w:shd w:val="clear" w:color="000000" w:fill="FFFFFF"/>
            <w:hideMark/>
          </w:tcPr>
          <w:p w:rsidR="00C9625E" w:rsidRDefault="00C9625E" w:rsidP="007A575E">
            <w:pPr>
              <w:ind w:left="-283"/>
              <w:jc w:val="right"/>
              <w:rPr>
                <w:b/>
                <w:bCs/>
                <w:sz w:val="18"/>
                <w:szCs w:val="18"/>
              </w:rPr>
            </w:pPr>
            <w:r>
              <w:rPr>
                <w:b/>
                <w:bCs/>
                <w:sz w:val="18"/>
                <w:szCs w:val="18"/>
              </w:rPr>
              <w:t>4,772,795</w:t>
            </w:r>
          </w:p>
        </w:tc>
      </w:tr>
      <w:tr w:rsidR="00C9625E" w:rsidTr="007A575E">
        <w:tc>
          <w:tcPr>
            <w:tcW w:w="1054"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C9625E" w:rsidRDefault="00C9625E" w:rsidP="007A575E">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9625E" w:rsidRDefault="00C9625E" w:rsidP="007A575E">
            <w:pPr>
              <w:ind w:left="-283"/>
              <w:jc w:val="right"/>
              <w:rPr>
                <w:sz w:val="18"/>
                <w:szCs w:val="18"/>
              </w:rPr>
            </w:pPr>
            <w:r>
              <w:rPr>
                <w:sz w:val="18"/>
                <w:szCs w:val="18"/>
              </w:rPr>
              <w:t> </w:t>
            </w:r>
          </w:p>
        </w:tc>
      </w:tr>
    </w:tbl>
    <w:p w:rsidR="00954585" w:rsidRDefault="00954585">
      <w:r>
        <w:br w:type="page"/>
      </w:r>
    </w:p>
    <w:tbl>
      <w:tblPr>
        <w:tblW w:w="9392" w:type="dxa"/>
        <w:tblLook w:val="04A0"/>
      </w:tblPr>
      <w:tblGrid>
        <w:gridCol w:w="1054"/>
        <w:gridCol w:w="2392"/>
        <w:gridCol w:w="1106"/>
        <w:gridCol w:w="1054"/>
        <w:gridCol w:w="624"/>
        <w:gridCol w:w="1054"/>
        <w:gridCol w:w="1054"/>
        <w:gridCol w:w="1054"/>
      </w:tblGrid>
      <w:tr w:rsidR="007A575E" w:rsidTr="007A575E">
        <w:trPr>
          <w:tblHeader/>
        </w:trPr>
        <w:tc>
          <w:tcPr>
            <w:tcW w:w="9392" w:type="dxa"/>
            <w:gridSpan w:val="8"/>
            <w:tcBorders>
              <w:top w:val="nil"/>
              <w:left w:val="nil"/>
              <w:bottom w:val="nil"/>
              <w:right w:val="nil"/>
            </w:tcBorders>
            <w:shd w:val="clear" w:color="000000" w:fill="FFFFFF"/>
            <w:noWrap/>
            <w:vAlign w:val="bottom"/>
            <w:hideMark/>
          </w:tcPr>
          <w:p w:rsidR="007A575E" w:rsidRPr="00132120" w:rsidRDefault="007A575E" w:rsidP="007A575E">
            <w:pPr>
              <w:jc w:val="center"/>
              <w:rPr>
                <w:rFonts w:ascii="Arial" w:hAnsi="Arial" w:cs="Arial"/>
                <w:b/>
                <w:bCs/>
                <w:szCs w:val="24"/>
              </w:rPr>
            </w:pPr>
            <w:bookmarkStart w:id="3" w:name="RANGE!A1:H36"/>
            <w:bookmarkEnd w:id="2"/>
            <w:r w:rsidRPr="00132120">
              <w:rPr>
                <w:rFonts w:ascii="Arial" w:hAnsi="Arial" w:cs="Arial"/>
                <w:b/>
                <w:bCs/>
                <w:szCs w:val="24"/>
              </w:rPr>
              <w:lastRenderedPageBreak/>
              <w:t>Housing ACT</w:t>
            </w:r>
            <w:bookmarkEnd w:id="3"/>
          </w:p>
        </w:tc>
      </w:tr>
      <w:tr w:rsidR="007A575E" w:rsidTr="007A575E">
        <w:trPr>
          <w:tblHeader/>
        </w:trPr>
        <w:tc>
          <w:tcPr>
            <w:tcW w:w="9392" w:type="dxa"/>
            <w:gridSpan w:val="8"/>
            <w:tcBorders>
              <w:top w:val="nil"/>
              <w:left w:val="nil"/>
              <w:bottom w:val="nil"/>
              <w:right w:val="nil"/>
            </w:tcBorders>
            <w:shd w:val="clear" w:color="000000" w:fill="FFFFFF"/>
            <w:noWrap/>
            <w:vAlign w:val="bottom"/>
            <w:hideMark/>
          </w:tcPr>
          <w:p w:rsidR="007A575E" w:rsidRPr="00132120" w:rsidRDefault="007A575E" w:rsidP="007A575E">
            <w:pPr>
              <w:jc w:val="center"/>
              <w:rPr>
                <w:rFonts w:ascii="Arial" w:hAnsi="Arial" w:cs="Arial"/>
                <w:b/>
                <w:bCs/>
                <w:szCs w:val="24"/>
              </w:rPr>
            </w:pPr>
            <w:r w:rsidRPr="00132120">
              <w:rPr>
                <w:rFonts w:ascii="Arial" w:hAnsi="Arial" w:cs="Arial"/>
                <w:b/>
                <w:bCs/>
                <w:szCs w:val="24"/>
              </w:rPr>
              <w:t>Statement of Changes in Equity</w:t>
            </w:r>
          </w:p>
        </w:tc>
      </w:tr>
      <w:tr w:rsidR="007A575E" w:rsidTr="007A575E">
        <w:trPr>
          <w:tblHeader/>
        </w:trPr>
        <w:tc>
          <w:tcPr>
            <w:tcW w:w="1054"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7A575E" w:rsidRDefault="007A575E" w:rsidP="007A575E">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Estimate</w:t>
            </w:r>
          </w:p>
        </w:tc>
      </w:tr>
      <w:tr w:rsidR="007A575E" w:rsidTr="007A575E">
        <w:trPr>
          <w:tblHeader/>
        </w:trPr>
        <w:tc>
          <w:tcPr>
            <w:tcW w:w="1054"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7A575E" w:rsidRDefault="007A575E" w:rsidP="007A575E">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7A575E" w:rsidRDefault="007A575E" w:rsidP="007A575E">
            <w:pPr>
              <w:ind w:left="-283"/>
              <w:jc w:val="right"/>
              <w:rPr>
                <w:b/>
                <w:bCs/>
                <w:sz w:val="16"/>
                <w:szCs w:val="16"/>
              </w:rPr>
            </w:pPr>
            <w:r>
              <w:rPr>
                <w:b/>
                <w:bCs/>
                <w:sz w:val="16"/>
                <w:szCs w:val="16"/>
              </w:rPr>
              <w:t>as at 30/6/17</w:t>
            </w:r>
          </w:p>
        </w:tc>
      </w:tr>
      <w:tr w:rsidR="007A575E" w:rsidTr="007A575E">
        <w:trPr>
          <w:tblHeader/>
        </w:trPr>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7A575E" w:rsidRDefault="007A575E" w:rsidP="007A575E">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$'000</w:t>
            </w:r>
          </w:p>
        </w:tc>
      </w:tr>
      <w:tr w:rsidR="007A575E" w:rsidTr="007A575E">
        <w:trPr>
          <w:tblHeader/>
        </w:trPr>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1,148,618</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1,145,668</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1,147,408</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1,174,244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1,189,823</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1,207,219</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3,209,701</w:t>
            </w:r>
          </w:p>
        </w:tc>
        <w:tc>
          <w:tcPr>
            <w:tcW w:w="2392" w:type="dxa"/>
            <w:tcBorders>
              <w:top w:val="nil"/>
              <w:left w:val="nil"/>
              <w:bottom w:val="nil"/>
              <w:right w:val="nil"/>
            </w:tcBorders>
            <w:shd w:val="clear" w:color="000000" w:fill="FFFFFF"/>
            <w:hideMark/>
          </w:tcPr>
          <w:p w:rsidR="007A575E" w:rsidRDefault="007A575E" w:rsidP="007A575E">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3,154,454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3,146,694</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3,246,519</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3,348,596</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3,444,122</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4,358,319</w:t>
            </w:r>
          </w:p>
        </w:tc>
        <w:tc>
          <w:tcPr>
            <w:tcW w:w="2392" w:type="dxa"/>
            <w:tcBorders>
              <w:top w:val="nil"/>
              <w:left w:val="nil"/>
              <w:bottom w:val="nil"/>
              <w:right w:val="nil"/>
            </w:tcBorders>
            <w:shd w:val="clear" w:color="000000" w:fill="FFFFFF"/>
            <w:hideMark/>
          </w:tcPr>
          <w:p w:rsidR="007A575E" w:rsidRDefault="007A575E" w:rsidP="007A575E">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4,300,122</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4,294,102</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4,420,763</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4,538,419</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4,651,341</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-20,168</w:t>
            </w:r>
          </w:p>
        </w:tc>
        <w:tc>
          <w:tcPr>
            <w:tcW w:w="2392" w:type="dxa"/>
            <w:tcBorders>
              <w:top w:val="nil"/>
              <w:left w:val="nil"/>
              <w:bottom w:val="nil"/>
              <w:right w:val="nil"/>
            </w:tcBorders>
            <w:shd w:val="clear" w:color="000000" w:fill="FFFFFF"/>
            <w:hideMark/>
          </w:tcPr>
          <w:p w:rsidR="007A575E" w:rsidRDefault="007A575E" w:rsidP="007A575E">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-36,314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-17,665</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51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-19,583</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-15,323</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-22,680</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99,625</w:t>
            </w:r>
          </w:p>
        </w:tc>
        <w:tc>
          <w:tcPr>
            <w:tcW w:w="2392" w:type="dxa"/>
            <w:tcBorders>
              <w:top w:val="nil"/>
              <w:left w:val="nil"/>
              <w:bottom w:val="nil"/>
              <w:right w:val="nil"/>
            </w:tcBorders>
            <w:shd w:val="clear" w:color="000000" w:fill="FFFFFF"/>
            <w:hideMark/>
          </w:tcPr>
          <w:p w:rsidR="007A575E" w:rsidRDefault="007A575E" w:rsidP="007A575E">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14,240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121,825</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756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124,077</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117,526</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137,134</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79,457</w:t>
            </w:r>
          </w:p>
        </w:tc>
        <w:tc>
          <w:tcPr>
            <w:tcW w:w="2392" w:type="dxa"/>
            <w:tcBorders>
              <w:top w:val="nil"/>
              <w:left w:val="nil"/>
              <w:bottom w:val="nil"/>
              <w:right w:val="nil"/>
            </w:tcBorders>
            <w:shd w:val="clear" w:color="000000" w:fill="FFFFFF"/>
            <w:hideMark/>
          </w:tcPr>
          <w:p w:rsidR="007A575E" w:rsidRDefault="007A575E" w:rsidP="007A575E">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-22,074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104,160</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xml:space="preserve">572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104,494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102,203</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114,454</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2392" w:type="dxa"/>
            <w:tcBorders>
              <w:top w:val="nil"/>
              <w:left w:val="nil"/>
              <w:bottom w:val="nil"/>
              <w:right w:val="nil"/>
            </w:tcBorders>
            <w:shd w:val="clear" w:color="000000" w:fill="FFFFFF"/>
            <w:hideMark/>
          </w:tcPr>
          <w:p w:rsidR="007A575E" w:rsidRDefault="007A575E" w:rsidP="007A575E">
            <w:pPr>
              <w:rPr>
                <w:sz w:val="18"/>
                <w:szCs w:val="18"/>
              </w:rPr>
            </w:pPr>
            <w:r>
              <w:rPr>
                <w:sz w:val="18"/>
                <w:szCs w:val="18"/>
              </w:rPr>
              <w:t>Transfer to/from</w:t>
            </w:r>
            <w:r>
              <w:rPr>
                <w:sz w:val="18"/>
                <w:szCs w:val="18"/>
              </w:rPr>
              <w:br/>
              <w:t xml:space="preserve">   Accumulated Funds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2392" w:type="dxa"/>
            <w:tcBorders>
              <w:top w:val="nil"/>
              <w:left w:val="nil"/>
              <w:bottom w:val="nil"/>
              <w:right w:val="nil"/>
            </w:tcBorders>
            <w:shd w:val="clear" w:color="000000" w:fill="FFFFFF"/>
            <w:hideMark/>
          </w:tcPr>
          <w:p w:rsidR="007A575E" w:rsidRDefault="007A575E" w:rsidP="007A575E">
            <w:pPr>
              <w:rPr>
                <w:sz w:val="18"/>
                <w:szCs w:val="18"/>
              </w:rPr>
            </w:pPr>
            <w:r>
              <w:rPr>
                <w:sz w:val="18"/>
                <w:szCs w:val="18"/>
              </w:rPr>
              <w:t>Movement in Asset</w:t>
            </w:r>
            <w:r>
              <w:rPr>
                <w:sz w:val="18"/>
                <w:szCs w:val="18"/>
              </w:rPr>
              <w:br/>
              <w:t xml:space="preserve">   Revaluation Reserve</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-22,000</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7A575E" w:rsidRDefault="007A575E" w:rsidP="007A575E">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0</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7A575E" w:rsidRDefault="007A575E" w:rsidP="007A575E">
            <w:pPr>
              <w:rPr>
                <w:b/>
                <w:bCs/>
                <w:sz w:val="18"/>
                <w:szCs w:val="18"/>
              </w:rPr>
            </w:pPr>
            <w:r>
              <w:rPr>
                <w:b/>
                <w:bCs/>
                <w:sz w:val="18"/>
                <w:szCs w:val="18"/>
              </w:rPr>
              <w:t xml:space="preserve">Transactions Involving Owners </w:t>
            </w:r>
          </w:p>
          <w:p w:rsidR="007A575E" w:rsidRDefault="007A575E" w:rsidP="007A575E">
            <w:pPr>
              <w:rPr>
                <w:b/>
                <w:bCs/>
                <w:sz w:val="18"/>
                <w:szCs w:val="18"/>
              </w:rPr>
            </w:pPr>
            <w:r>
              <w:rPr>
                <w:b/>
                <w:bCs/>
                <w:sz w:val="18"/>
                <w:szCs w:val="18"/>
              </w:rPr>
              <w:t>Affecting Accumulated Funds</w:t>
            </w:r>
          </w:p>
          <w:p w:rsidR="007A575E" w:rsidRDefault="007A575E" w:rsidP="007A575E">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17,876</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16,054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22,501</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40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13,162</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10,719</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7,000</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17,876</w:t>
            </w:r>
          </w:p>
        </w:tc>
        <w:tc>
          <w:tcPr>
            <w:tcW w:w="2392" w:type="dxa"/>
            <w:tcBorders>
              <w:top w:val="nil"/>
              <w:left w:val="nil"/>
              <w:bottom w:val="nil"/>
              <w:right w:val="nil"/>
            </w:tcBorders>
            <w:shd w:val="clear" w:color="000000" w:fill="FFFFFF"/>
            <w:hideMark/>
          </w:tcPr>
          <w:p w:rsidR="007A575E" w:rsidRDefault="007A575E" w:rsidP="007A575E">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16,054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22,501</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xml:space="preserve">40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13,162</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10,719</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7,000</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1,168,326</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1,147,408</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1,174,244</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1,189,823</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1,207,219</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1,213,539</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3,287,326</w:t>
            </w:r>
          </w:p>
        </w:tc>
        <w:tc>
          <w:tcPr>
            <w:tcW w:w="2392" w:type="dxa"/>
            <w:tcBorders>
              <w:top w:val="nil"/>
              <w:left w:val="nil"/>
              <w:bottom w:val="nil"/>
              <w:right w:val="nil"/>
            </w:tcBorders>
            <w:shd w:val="clear" w:color="000000" w:fill="FFFFFF"/>
            <w:hideMark/>
          </w:tcPr>
          <w:p w:rsidR="007A575E" w:rsidRDefault="007A575E" w:rsidP="007A575E">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3,146,694</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3,246,519</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3,348,596</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3,444,122</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3,559,256</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7A575E" w:rsidRDefault="007A575E" w:rsidP="007A575E">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sz w:val="18"/>
                <w:szCs w:val="18"/>
              </w:rPr>
            </w:pPr>
            <w:r>
              <w:rPr>
                <w:sz w:val="18"/>
                <w:szCs w:val="18"/>
              </w:rPr>
              <w:t> </w:t>
            </w:r>
          </w:p>
        </w:tc>
      </w:tr>
      <w:tr w:rsidR="007A575E" w:rsidTr="007A575E">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4,455,652</w:t>
            </w:r>
          </w:p>
        </w:tc>
        <w:tc>
          <w:tcPr>
            <w:tcW w:w="2392" w:type="dxa"/>
            <w:tcBorders>
              <w:top w:val="nil"/>
              <w:left w:val="nil"/>
              <w:bottom w:val="nil"/>
              <w:right w:val="nil"/>
            </w:tcBorders>
            <w:shd w:val="clear" w:color="000000" w:fill="FFFFFF"/>
            <w:hideMark/>
          </w:tcPr>
          <w:p w:rsidR="007A575E" w:rsidRDefault="007A575E" w:rsidP="007A575E">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4,294,102</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4,420,763</w:t>
            </w:r>
          </w:p>
        </w:tc>
        <w:tc>
          <w:tcPr>
            <w:tcW w:w="62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4,538,419</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4,651,341</w:t>
            </w:r>
          </w:p>
        </w:tc>
        <w:tc>
          <w:tcPr>
            <w:tcW w:w="1054" w:type="dxa"/>
            <w:tcBorders>
              <w:top w:val="nil"/>
              <w:left w:val="nil"/>
              <w:bottom w:val="nil"/>
              <w:right w:val="nil"/>
            </w:tcBorders>
            <w:shd w:val="clear" w:color="000000" w:fill="FFFFFF"/>
            <w:noWrap/>
            <w:hideMark/>
          </w:tcPr>
          <w:p w:rsidR="007A575E" w:rsidRDefault="007A575E" w:rsidP="007A575E">
            <w:pPr>
              <w:ind w:left="-283"/>
              <w:jc w:val="right"/>
              <w:rPr>
                <w:b/>
                <w:bCs/>
                <w:sz w:val="18"/>
                <w:szCs w:val="18"/>
              </w:rPr>
            </w:pPr>
            <w:r>
              <w:rPr>
                <w:b/>
                <w:bCs/>
                <w:sz w:val="18"/>
                <w:szCs w:val="18"/>
              </w:rPr>
              <w:t>4,772,795</w:t>
            </w:r>
          </w:p>
        </w:tc>
      </w:tr>
      <w:tr w:rsidR="007A575E" w:rsidTr="007A575E">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7A575E" w:rsidRDefault="007A575E" w:rsidP="007A575E">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7A575E" w:rsidRDefault="007A575E" w:rsidP="007A575E">
            <w:pPr>
              <w:ind w:left="-283"/>
              <w:jc w:val="right"/>
              <w:rPr>
                <w:b/>
                <w:bCs/>
                <w:sz w:val="18"/>
                <w:szCs w:val="18"/>
              </w:rPr>
            </w:pPr>
            <w:r>
              <w:rPr>
                <w:b/>
                <w:bCs/>
                <w:sz w:val="18"/>
                <w:szCs w:val="18"/>
              </w:rPr>
              <w:t> </w:t>
            </w:r>
          </w:p>
        </w:tc>
      </w:tr>
    </w:tbl>
    <w:p w:rsidR="00954585" w:rsidRDefault="00954585">
      <w:pPr>
        <w:rPr>
          <w:rFonts w:ascii="Arial" w:hAnsi="Arial" w:cs="Arial"/>
          <w:b/>
          <w:bCs/>
          <w:szCs w:val="26"/>
        </w:rPr>
      </w:pPr>
      <w:r>
        <w:br w:type="page"/>
      </w:r>
    </w:p>
    <w:tbl>
      <w:tblPr>
        <w:tblW w:w="9392" w:type="dxa"/>
        <w:tblLook w:val="04A0"/>
      </w:tblPr>
      <w:tblGrid>
        <w:gridCol w:w="1054"/>
        <w:gridCol w:w="2392"/>
        <w:gridCol w:w="1106"/>
        <w:gridCol w:w="1054"/>
        <w:gridCol w:w="624"/>
        <w:gridCol w:w="1054"/>
        <w:gridCol w:w="1054"/>
        <w:gridCol w:w="1054"/>
      </w:tblGrid>
      <w:tr w:rsidR="00DA165A" w:rsidTr="00DA165A">
        <w:trPr>
          <w:tblHeader/>
        </w:trPr>
        <w:tc>
          <w:tcPr>
            <w:tcW w:w="9392" w:type="dxa"/>
            <w:gridSpan w:val="8"/>
            <w:tcBorders>
              <w:top w:val="nil"/>
              <w:left w:val="nil"/>
              <w:bottom w:val="nil"/>
              <w:right w:val="nil"/>
            </w:tcBorders>
            <w:shd w:val="clear" w:color="000000" w:fill="FFFFFF"/>
            <w:noWrap/>
            <w:vAlign w:val="bottom"/>
            <w:hideMark/>
          </w:tcPr>
          <w:p w:rsidR="00DA165A" w:rsidRDefault="00DA165A" w:rsidP="00E82936">
            <w:pPr>
              <w:jc w:val="center"/>
              <w:rPr>
                <w:rFonts w:ascii="Arial" w:hAnsi="Arial" w:cs="Arial"/>
                <w:b/>
                <w:bCs/>
                <w:szCs w:val="24"/>
              </w:rPr>
            </w:pPr>
            <w:bookmarkStart w:id="4" w:name="RANGE!A1:H60"/>
            <w:r>
              <w:rPr>
                <w:rFonts w:ascii="Arial" w:hAnsi="Arial" w:cs="Arial"/>
                <w:b/>
                <w:bCs/>
              </w:rPr>
              <w:lastRenderedPageBreak/>
              <w:t>Housing ACT</w:t>
            </w:r>
            <w:bookmarkEnd w:id="4"/>
          </w:p>
        </w:tc>
      </w:tr>
      <w:tr w:rsidR="00DA165A" w:rsidTr="00DA165A">
        <w:trPr>
          <w:tblHeader/>
        </w:trPr>
        <w:tc>
          <w:tcPr>
            <w:tcW w:w="9392" w:type="dxa"/>
            <w:gridSpan w:val="8"/>
            <w:tcBorders>
              <w:top w:val="nil"/>
              <w:left w:val="nil"/>
              <w:bottom w:val="nil"/>
              <w:right w:val="nil"/>
            </w:tcBorders>
            <w:shd w:val="clear" w:color="000000" w:fill="FFFFFF"/>
            <w:noWrap/>
            <w:vAlign w:val="bottom"/>
            <w:hideMark/>
          </w:tcPr>
          <w:p w:rsidR="00DA165A" w:rsidRDefault="00DA165A" w:rsidP="00E82936">
            <w:pPr>
              <w:jc w:val="center"/>
              <w:rPr>
                <w:rFonts w:ascii="Arial" w:hAnsi="Arial" w:cs="Arial"/>
                <w:b/>
                <w:bCs/>
                <w:szCs w:val="24"/>
              </w:rPr>
            </w:pPr>
            <w:r>
              <w:rPr>
                <w:rFonts w:ascii="Arial" w:hAnsi="Arial" w:cs="Arial"/>
                <w:b/>
                <w:bCs/>
              </w:rPr>
              <w:t>Cash Flow Statement</w:t>
            </w:r>
          </w:p>
        </w:tc>
      </w:tr>
      <w:tr w:rsidR="00DA165A" w:rsidTr="00DA165A">
        <w:trPr>
          <w:tblHeader/>
        </w:trPr>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2016-17</w:t>
            </w:r>
          </w:p>
        </w:tc>
      </w:tr>
      <w:tr w:rsidR="00DA165A" w:rsidTr="00DA165A">
        <w:trPr>
          <w:tblHeader/>
        </w:trPr>
        <w:tc>
          <w:tcPr>
            <w:tcW w:w="1054"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Estimate</w:t>
            </w:r>
          </w:p>
        </w:tc>
      </w:tr>
      <w:tr w:rsidR="00DA165A" w:rsidTr="00DA165A">
        <w:trPr>
          <w:tblHeader/>
        </w:trPr>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DA165A" w:rsidRDefault="00DA165A" w:rsidP="00E8293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r>
      <w:tr w:rsidR="00DA165A" w:rsidTr="00DA165A">
        <w:trPr>
          <w:tblHeader/>
        </w:trPr>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A165A" w:rsidRDefault="00DA165A" w:rsidP="00E82936">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42,295</w:t>
            </w:r>
          </w:p>
        </w:tc>
        <w:tc>
          <w:tcPr>
            <w:tcW w:w="2392" w:type="dxa"/>
            <w:tcBorders>
              <w:top w:val="nil"/>
              <w:left w:val="nil"/>
              <w:bottom w:val="nil"/>
              <w:right w:val="nil"/>
            </w:tcBorders>
            <w:shd w:val="clear" w:color="000000" w:fill="FFFFFF"/>
            <w:hideMark/>
          </w:tcPr>
          <w:p w:rsidR="00DA165A" w:rsidRDefault="00DA165A" w:rsidP="00E82936">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42,541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43,075</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41,985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42,181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43,000</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85,885</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87,765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88,683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90,728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92,945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95,219</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1,367</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294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298</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255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1,805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209</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DA165A" w:rsidRDefault="00DA165A" w:rsidP="00E82936">
            <w:pPr>
              <w:ind w:left="142" w:hanging="142"/>
              <w:rPr>
                <w:sz w:val="18"/>
                <w:szCs w:val="18"/>
              </w:rPr>
            </w:pPr>
            <w:r>
              <w:rPr>
                <w:sz w:val="18"/>
                <w:szCs w:val="18"/>
              </w:rPr>
              <w:t>Distribution from Investments with the Territory Banking Account</w:t>
            </w:r>
            <w:r>
              <w:rPr>
                <w:sz w:val="18"/>
                <w:szCs w:val="18"/>
                <w:vertAlign w:val="superscript"/>
              </w:rPr>
              <w:t>1</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868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560</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-35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625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659</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686</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5,693</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8,255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5,898</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-29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6,152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6,453</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6,609</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135,240</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139,723</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138,514</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139,745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144,043</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145,723</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20,444</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21,184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20,853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21,490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22,127</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22,719</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3,126</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2,912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2,911</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2,877</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2,884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2,904</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80,954</w:t>
            </w:r>
          </w:p>
        </w:tc>
        <w:tc>
          <w:tcPr>
            <w:tcW w:w="2392" w:type="dxa"/>
            <w:tcBorders>
              <w:top w:val="nil"/>
              <w:left w:val="nil"/>
              <w:bottom w:val="nil"/>
              <w:right w:val="nil"/>
            </w:tcBorders>
            <w:shd w:val="clear" w:color="000000" w:fill="FFFFFF"/>
            <w:hideMark/>
          </w:tcPr>
          <w:p w:rsidR="00DA165A" w:rsidRDefault="00DA165A" w:rsidP="00E82936">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83,844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84,849</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87,717</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90,368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92,922</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3,942</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3,942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3,723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3,510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3,297</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3,102</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25,854</w:t>
            </w:r>
          </w:p>
        </w:tc>
        <w:tc>
          <w:tcPr>
            <w:tcW w:w="2392" w:type="dxa"/>
            <w:tcBorders>
              <w:top w:val="nil"/>
              <w:left w:val="nil"/>
              <w:bottom w:val="nil"/>
              <w:right w:val="nil"/>
            </w:tcBorders>
            <w:shd w:val="clear" w:color="000000" w:fill="FFFFFF"/>
            <w:noWrap/>
            <w:hideMark/>
          </w:tcPr>
          <w:p w:rsidR="00DA165A" w:rsidRDefault="00DA165A" w:rsidP="00E82936">
            <w:pPr>
              <w:ind w:left="142" w:hanging="142"/>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26,600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23,104</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21,875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22,625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23,610</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3,414</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3,414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3,507</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3,602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3,700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3,700</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137,734</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141,896</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138,947</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141,071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145,001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148,957</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-2,494</w:t>
            </w:r>
          </w:p>
        </w:tc>
        <w:tc>
          <w:tcPr>
            <w:tcW w:w="2392" w:type="dxa"/>
            <w:tcBorders>
              <w:top w:val="nil"/>
              <w:left w:val="nil"/>
              <w:bottom w:val="nil"/>
              <w:right w:val="nil"/>
            </w:tcBorders>
            <w:shd w:val="clear" w:color="000000" w:fill="FFFFFF"/>
            <w:hideMark/>
          </w:tcPr>
          <w:p w:rsidR="00DA165A" w:rsidRDefault="00DA165A" w:rsidP="00E82936">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-2,173</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-433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80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-1,326</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-958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-3,234</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A165A" w:rsidRDefault="00DA165A" w:rsidP="00E82936">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66,751</w:t>
            </w:r>
          </w:p>
        </w:tc>
        <w:tc>
          <w:tcPr>
            <w:tcW w:w="2392" w:type="dxa"/>
            <w:tcBorders>
              <w:top w:val="nil"/>
              <w:left w:val="nil"/>
              <w:bottom w:val="nil"/>
              <w:right w:val="nil"/>
            </w:tcBorders>
            <w:shd w:val="clear" w:color="000000" w:fill="FFFFFF"/>
            <w:hideMark/>
          </w:tcPr>
          <w:p w:rsidR="00DA165A" w:rsidRDefault="00DA165A" w:rsidP="00E82936">
            <w:pPr>
              <w:rPr>
                <w:sz w:val="18"/>
                <w:szCs w:val="18"/>
              </w:rPr>
            </w:pPr>
            <w:r>
              <w:rPr>
                <w:sz w:val="18"/>
                <w:szCs w:val="18"/>
              </w:rPr>
              <w:t>Proceeds from Sale/Maturity</w:t>
            </w:r>
            <w:r>
              <w:rPr>
                <w:sz w:val="18"/>
                <w:szCs w:val="18"/>
              </w:rPr>
              <w:br/>
              <w:t xml:space="preserve">   of Investments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70,751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61,663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59,041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61,345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65,799</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33,055</w:t>
            </w:r>
          </w:p>
        </w:tc>
        <w:tc>
          <w:tcPr>
            <w:tcW w:w="2392" w:type="dxa"/>
            <w:tcBorders>
              <w:top w:val="nil"/>
              <w:left w:val="nil"/>
              <w:bottom w:val="nil"/>
              <w:right w:val="nil"/>
            </w:tcBorders>
            <w:shd w:val="clear" w:color="000000" w:fill="FFFFFF"/>
            <w:hideMark/>
          </w:tcPr>
          <w:p w:rsidR="00DA165A" w:rsidRDefault="00DA165A" w:rsidP="00E82936">
            <w:pPr>
              <w:ind w:left="142" w:hanging="142"/>
              <w:rPr>
                <w:sz w:val="18"/>
                <w:szCs w:val="18"/>
              </w:rPr>
            </w:pPr>
            <w:r>
              <w:rPr>
                <w:sz w:val="18"/>
                <w:szCs w:val="18"/>
              </w:rPr>
              <w:t>Proceeds from Sale of Property, Plant and Equipment</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28,705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44,229</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54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43,694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46,304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36,694</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99,806</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99,456</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105,892</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102,735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107,649</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102,493</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color w:val="0000FF"/>
                <w:sz w:val="18"/>
                <w:szCs w:val="18"/>
              </w:rPr>
            </w:pPr>
            <w:r>
              <w:rPr>
                <w:color w:val="0000FF"/>
                <w:sz w:val="18"/>
                <w:szCs w:val="18"/>
              </w:rPr>
              <w:t> </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50,000</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Purchase of Investments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50,000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57,000</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66,500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73,800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73,000</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60,168</w:t>
            </w:r>
          </w:p>
        </w:tc>
        <w:tc>
          <w:tcPr>
            <w:tcW w:w="2392" w:type="dxa"/>
            <w:tcBorders>
              <w:top w:val="nil"/>
              <w:left w:val="nil"/>
              <w:bottom w:val="nil"/>
              <w:right w:val="nil"/>
            </w:tcBorders>
            <w:shd w:val="clear" w:color="000000" w:fill="FFFFFF"/>
            <w:hideMark/>
          </w:tcPr>
          <w:p w:rsidR="00DA165A" w:rsidRDefault="00DA165A" w:rsidP="00E82936">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48,991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74,673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43,312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38,748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28,108</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110,168</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98,991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131,673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109,812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112,548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101,108</w:t>
            </w:r>
          </w:p>
        </w:tc>
      </w:tr>
      <w:tr w:rsidR="00DA165A" w:rsidTr="00DA165A">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A165A">
        <w:tc>
          <w:tcPr>
            <w:tcW w:w="1054"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-10,362</w:t>
            </w:r>
          </w:p>
        </w:tc>
        <w:tc>
          <w:tcPr>
            <w:tcW w:w="2392" w:type="dxa"/>
            <w:tcBorders>
              <w:top w:val="nil"/>
              <w:left w:val="nil"/>
              <w:right w:val="nil"/>
            </w:tcBorders>
            <w:shd w:val="clear" w:color="000000" w:fill="FFFFFF"/>
            <w:hideMark/>
          </w:tcPr>
          <w:p w:rsidR="00DA165A" w:rsidRDefault="00DA165A" w:rsidP="00E82936">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465</w:t>
            </w:r>
          </w:p>
        </w:tc>
        <w:tc>
          <w:tcPr>
            <w:tcW w:w="1054"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-25,781</w:t>
            </w:r>
          </w:p>
        </w:tc>
        <w:tc>
          <w:tcPr>
            <w:tcW w:w="624"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 </w:t>
            </w:r>
          </w:p>
        </w:tc>
        <w:tc>
          <w:tcPr>
            <w:tcW w:w="1054"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-7,077</w:t>
            </w:r>
          </w:p>
        </w:tc>
        <w:tc>
          <w:tcPr>
            <w:tcW w:w="1054"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-4,899</w:t>
            </w:r>
          </w:p>
        </w:tc>
        <w:tc>
          <w:tcPr>
            <w:tcW w:w="1054" w:type="dxa"/>
            <w:tcBorders>
              <w:top w:val="nil"/>
              <w:left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1,385</w:t>
            </w:r>
          </w:p>
        </w:tc>
      </w:tr>
      <w:tr w:rsidR="00DA165A" w:rsidTr="00DA165A">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r>
    </w:tbl>
    <w:p w:rsidR="00954585" w:rsidRPr="00DA165A" w:rsidRDefault="00954585" w:rsidP="00DA165A">
      <w:pPr>
        <w:pStyle w:val="AINotes"/>
        <w:numPr>
          <w:ilvl w:val="0"/>
          <w:numId w:val="41"/>
        </w:numPr>
        <w:rPr>
          <w:rFonts w:ascii="Arial" w:hAnsi="Arial" w:cs="Arial"/>
          <w:b/>
          <w:bCs/>
          <w:szCs w:val="26"/>
        </w:rPr>
      </w:pPr>
      <w:r>
        <w:br w:type="page"/>
      </w:r>
    </w:p>
    <w:tbl>
      <w:tblPr>
        <w:tblW w:w="9392" w:type="dxa"/>
        <w:tblLook w:val="04A0"/>
      </w:tblPr>
      <w:tblGrid>
        <w:gridCol w:w="1054"/>
        <w:gridCol w:w="2392"/>
        <w:gridCol w:w="1106"/>
        <w:gridCol w:w="1054"/>
        <w:gridCol w:w="624"/>
        <w:gridCol w:w="1054"/>
        <w:gridCol w:w="1054"/>
        <w:gridCol w:w="1054"/>
      </w:tblGrid>
      <w:tr w:rsidR="00DA165A" w:rsidTr="00DF64EF">
        <w:trPr>
          <w:tblHeader/>
        </w:trPr>
        <w:tc>
          <w:tcPr>
            <w:tcW w:w="9392" w:type="dxa"/>
            <w:gridSpan w:val="8"/>
            <w:tcBorders>
              <w:top w:val="nil"/>
              <w:left w:val="nil"/>
              <w:bottom w:val="nil"/>
              <w:right w:val="nil"/>
            </w:tcBorders>
            <w:shd w:val="clear" w:color="000000" w:fill="FFFFFF"/>
            <w:noWrap/>
            <w:vAlign w:val="bottom"/>
            <w:hideMark/>
          </w:tcPr>
          <w:p w:rsidR="00DA165A" w:rsidRDefault="00DA165A" w:rsidP="00E82936">
            <w:pPr>
              <w:jc w:val="center"/>
              <w:rPr>
                <w:rFonts w:ascii="Arial" w:hAnsi="Arial" w:cs="Arial"/>
                <w:b/>
                <w:bCs/>
                <w:szCs w:val="24"/>
              </w:rPr>
            </w:pPr>
            <w:r>
              <w:rPr>
                <w:rFonts w:ascii="Arial" w:hAnsi="Arial" w:cs="Arial"/>
                <w:b/>
                <w:bCs/>
              </w:rPr>
              <w:lastRenderedPageBreak/>
              <w:t>Housing ACT</w:t>
            </w:r>
          </w:p>
        </w:tc>
      </w:tr>
      <w:tr w:rsidR="00DA165A" w:rsidTr="00DF64EF">
        <w:trPr>
          <w:tblHeader/>
        </w:trPr>
        <w:tc>
          <w:tcPr>
            <w:tcW w:w="9392" w:type="dxa"/>
            <w:gridSpan w:val="8"/>
            <w:tcBorders>
              <w:top w:val="nil"/>
              <w:left w:val="nil"/>
              <w:bottom w:val="nil"/>
              <w:right w:val="nil"/>
            </w:tcBorders>
            <w:shd w:val="clear" w:color="000000" w:fill="FFFFFF"/>
            <w:noWrap/>
            <w:vAlign w:val="bottom"/>
            <w:hideMark/>
          </w:tcPr>
          <w:p w:rsidR="00DA165A" w:rsidRDefault="00DA165A" w:rsidP="00E82936">
            <w:pPr>
              <w:jc w:val="center"/>
              <w:rPr>
                <w:rFonts w:ascii="Arial" w:hAnsi="Arial" w:cs="Arial"/>
                <w:b/>
                <w:bCs/>
                <w:szCs w:val="24"/>
              </w:rPr>
            </w:pPr>
            <w:r>
              <w:rPr>
                <w:rFonts w:ascii="Arial" w:hAnsi="Arial" w:cs="Arial"/>
                <w:b/>
                <w:bCs/>
              </w:rPr>
              <w:t>Cash Flow Statement cont.</w:t>
            </w:r>
          </w:p>
        </w:tc>
      </w:tr>
      <w:tr w:rsidR="00DA165A" w:rsidTr="00DF64EF">
        <w:trPr>
          <w:tblHeader/>
        </w:trPr>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2016-17</w:t>
            </w:r>
          </w:p>
        </w:tc>
      </w:tr>
      <w:tr w:rsidR="00DA165A" w:rsidTr="00DF64EF">
        <w:trPr>
          <w:tblHeader/>
        </w:trPr>
        <w:tc>
          <w:tcPr>
            <w:tcW w:w="1054"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DA165A" w:rsidRDefault="00DA165A" w:rsidP="00E8293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Estimate</w:t>
            </w:r>
          </w:p>
        </w:tc>
      </w:tr>
      <w:tr w:rsidR="00DA165A" w:rsidTr="00DF64EF">
        <w:trPr>
          <w:tblHeader/>
        </w:trPr>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DA165A" w:rsidRDefault="00DA165A" w:rsidP="00E8293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$'000</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p>
        </w:tc>
        <w:tc>
          <w:tcPr>
            <w:tcW w:w="3498" w:type="dxa"/>
            <w:gridSpan w:val="2"/>
            <w:tcBorders>
              <w:top w:val="nil"/>
              <w:left w:val="nil"/>
              <w:bottom w:val="nil"/>
              <w:right w:val="nil"/>
            </w:tcBorders>
            <w:shd w:val="clear" w:color="000000" w:fill="FFFFFF"/>
            <w:hideMark/>
          </w:tcPr>
          <w:p w:rsidR="00DA165A" w:rsidRDefault="00DA165A" w:rsidP="00E82936">
            <w:pPr>
              <w:rPr>
                <w:b/>
                <w:bCs/>
                <w:sz w:val="18"/>
                <w:szCs w:val="18"/>
              </w:rPr>
            </w:pP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A165A" w:rsidRDefault="00DA165A" w:rsidP="00E82936">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17,876</w:t>
            </w:r>
          </w:p>
        </w:tc>
        <w:tc>
          <w:tcPr>
            <w:tcW w:w="2392" w:type="dxa"/>
            <w:tcBorders>
              <w:top w:val="nil"/>
              <w:left w:val="nil"/>
              <w:bottom w:val="nil"/>
              <w:right w:val="nil"/>
            </w:tcBorders>
            <w:shd w:val="clear" w:color="000000" w:fill="FFFFFF"/>
            <w:hideMark/>
          </w:tcPr>
          <w:p w:rsidR="00DA165A" w:rsidRDefault="00DA165A" w:rsidP="00E82936">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16,054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22,501</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40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13,162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10,719</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7,000</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60</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Borrowings Received</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300</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300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300</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17,936</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16,354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22,801</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39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13,462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11,019</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7,300</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4,922</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Repayment of Borrowings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5,162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5,028</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5,034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4,999</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4,972</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130</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130</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130</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5,052</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5,292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5,158</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5,164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5,129</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5,102</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12,884</w:t>
            </w:r>
          </w:p>
        </w:tc>
        <w:tc>
          <w:tcPr>
            <w:tcW w:w="2392" w:type="dxa"/>
            <w:tcBorders>
              <w:top w:val="nil"/>
              <w:left w:val="nil"/>
              <w:bottom w:val="nil"/>
              <w:right w:val="nil"/>
            </w:tcBorders>
            <w:shd w:val="clear" w:color="000000" w:fill="FFFFFF"/>
            <w:hideMark/>
          </w:tcPr>
          <w:p w:rsidR="00DA165A" w:rsidRDefault="00DA165A" w:rsidP="00E82936">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11,062</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17,643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59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8,298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5,890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2,198</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28</w:t>
            </w:r>
          </w:p>
        </w:tc>
        <w:tc>
          <w:tcPr>
            <w:tcW w:w="2392" w:type="dxa"/>
            <w:tcBorders>
              <w:top w:val="nil"/>
              <w:left w:val="nil"/>
              <w:bottom w:val="nil"/>
              <w:right w:val="nil"/>
            </w:tcBorders>
            <w:shd w:val="clear" w:color="000000" w:fill="FFFFFF"/>
            <w:hideMark/>
          </w:tcPr>
          <w:p w:rsidR="00DA165A" w:rsidRDefault="00DA165A" w:rsidP="00E82936">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9,354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-8,571</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-192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-105</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33</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349</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A165A" w:rsidRDefault="00DA165A" w:rsidP="00E8293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7,374</w:t>
            </w:r>
          </w:p>
        </w:tc>
        <w:tc>
          <w:tcPr>
            <w:tcW w:w="2392" w:type="dxa"/>
            <w:tcBorders>
              <w:top w:val="nil"/>
              <w:left w:val="nil"/>
              <w:bottom w:val="nil"/>
              <w:right w:val="nil"/>
            </w:tcBorders>
            <w:shd w:val="clear" w:color="000000" w:fill="FFFFFF"/>
            <w:hideMark/>
          </w:tcPr>
          <w:p w:rsidR="00DA165A" w:rsidRDefault="00DA165A" w:rsidP="00E82936">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4,510</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13,864</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207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5,293</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5,188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5,221</w:t>
            </w:r>
          </w:p>
        </w:tc>
      </w:tr>
      <w:tr w:rsidR="00DA165A" w:rsidTr="00DF64EF">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7,402</w:t>
            </w:r>
          </w:p>
        </w:tc>
        <w:tc>
          <w:tcPr>
            <w:tcW w:w="2392" w:type="dxa"/>
            <w:tcBorders>
              <w:top w:val="nil"/>
              <w:left w:val="nil"/>
              <w:bottom w:val="nil"/>
              <w:right w:val="nil"/>
            </w:tcBorders>
            <w:shd w:val="clear" w:color="000000" w:fill="FFFFFF"/>
            <w:hideMark/>
          </w:tcPr>
          <w:p w:rsidR="00DA165A" w:rsidRDefault="00DA165A" w:rsidP="00E82936">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13,864</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5,293</w:t>
            </w:r>
          </w:p>
        </w:tc>
        <w:tc>
          <w:tcPr>
            <w:tcW w:w="62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 xml:space="preserve">-62 </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5,188</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5,221</w:t>
            </w:r>
          </w:p>
        </w:tc>
        <w:tc>
          <w:tcPr>
            <w:tcW w:w="1054" w:type="dxa"/>
            <w:tcBorders>
              <w:top w:val="nil"/>
              <w:left w:val="nil"/>
              <w:bottom w:val="nil"/>
              <w:right w:val="nil"/>
            </w:tcBorders>
            <w:shd w:val="clear" w:color="000000" w:fill="FFFFFF"/>
            <w:noWrap/>
            <w:hideMark/>
          </w:tcPr>
          <w:p w:rsidR="00DA165A" w:rsidRDefault="00DA165A" w:rsidP="00E82936">
            <w:pPr>
              <w:ind w:left="-283"/>
              <w:jc w:val="right"/>
              <w:rPr>
                <w:b/>
                <w:bCs/>
                <w:sz w:val="18"/>
                <w:szCs w:val="18"/>
              </w:rPr>
            </w:pPr>
            <w:r>
              <w:rPr>
                <w:b/>
                <w:bCs/>
                <w:sz w:val="18"/>
                <w:szCs w:val="18"/>
              </w:rPr>
              <w:t>5,570</w:t>
            </w:r>
          </w:p>
        </w:tc>
      </w:tr>
      <w:tr w:rsidR="00DA165A" w:rsidTr="00DF64EF">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DA165A" w:rsidRDefault="00DA165A" w:rsidP="00E8293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DA165A" w:rsidRDefault="00DA165A" w:rsidP="00E8293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A165A" w:rsidRDefault="00DA165A" w:rsidP="00E82936">
            <w:pPr>
              <w:ind w:left="-283"/>
              <w:jc w:val="right"/>
              <w:rPr>
                <w:sz w:val="18"/>
                <w:szCs w:val="18"/>
              </w:rPr>
            </w:pPr>
            <w:r>
              <w:rPr>
                <w:sz w:val="18"/>
                <w:szCs w:val="18"/>
              </w:rPr>
              <w:t> </w:t>
            </w:r>
          </w:p>
        </w:tc>
      </w:tr>
    </w:tbl>
    <w:p w:rsidR="00DF64EF" w:rsidRDefault="00DF64EF" w:rsidP="00DF64EF">
      <w:pPr>
        <w:pStyle w:val="Notes"/>
        <w:rPr>
          <w:sz w:val="16"/>
          <w:szCs w:val="16"/>
        </w:rPr>
      </w:pPr>
      <w:r>
        <w:rPr>
          <w:sz w:val="16"/>
          <w:szCs w:val="16"/>
        </w:rPr>
        <w:t>Note:</w:t>
      </w:r>
    </w:p>
    <w:p w:rsidR="00DF64EF" w:rsidRPr="00DF2E34" w:rsidRDefault="00DF64EF" w:rsidP="00DF64EF">
      <w:pPr>
        <w:pStyle w:val="AINotes"/>
        <w:numPr>
          <w:ilvl w:val="0"/>
          <w:numId w:val="43"/>
        </w:numPr>
      </w:pPr>
      <w:r w:rsidRPr="00DF64EF">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sidRPr="00DF64EF">
        <w:rPr>
          <w:lang w:val="en-US"/>
        </w:rPr>
        <w:noBreakHyphen/>
        <w:t>13 Budget figures.</w:t>
      </w:r>
    </w:p>
    <w:p w:rsidR="0096613C" w:rsidRDefault="0096613C"/>
    <w:p w:rsidR="00BF50EC" w:rsidRDefault="00BF50EC">
      <w:r>
        <w:br w:type="page"/>
      </w:r>
    </w:p>
    <w:p w:rsidR="00864936" w:rsidRPr="00654AA4" w:rsidRDefault="0043649E" w:rsidP="00864936">
      <w:pPr>
        <w:pStyle w:val="Heading3"/>
      </w:pPr>
      <w:r>
        <w:lastRenderedPageBreak/>
        <w:t>Notes to Budget Statements</w:t>
      </w:r>
    </w:p>
    <w:p w:rsidR="00864936" w:rsidRPr="00654AA4" w:rsidRDefault="0043649E" w:rsidP="00864936">
      <w:pPr>
        <w:pStyle w:val="BodyText"/>
      </w:pPr>
      <w:r>
        <w:t>Significant variations are as follows:</w:t>
      </w:r>
    </w:p>
    <w:p w:rsidR="00864936" w:rsidRPr="00654AA4" w:rsidRDefault="0043649E" w:rsidP="00864936">
      <w:pPr>
        <w:pStyle w:val="Heading4"/>
      </w:pPr>
      <w:r>
        <w:t>Operating Statement</w:t>
      </w:r>
    </w:p>
    <w:p w:rsidR="000A596D" w:rsidRDefault="0043649E">
      <w:pPr>
        <w:pStyle w:val="BodyTextIndent"/>
      </w:pPr>
      <w:proofErr w:type="gramStart"/>
      <w:r>
        <w:t>government</w:t>
      </w:r>
      <w:proofErr w:type="gramEnd"/>
      <w:r>
        <w:t xml:space="preserve"> payment for outputs:  </w:t>
      </w:r>
      <w:r w:rsidR="00654AA4">
        <w:t>the increase of $0.</w:t>
      </w:r>
      <w:r w:rsidR="003005A8">
        <w:t>534</w:t>
      </w:r>
      <w:r w:rsidR="00654AA4">
        <w:t xml:space="preserve"> million in the 2013-14 Budget from the 2012-13 estimated outcome is due to </w:t>
      </w:r>
      <w:r w:rsidR="00894591">
        <w:t xml:space="preserve">extension of </w:t>
      </w:r>
      <w:r w:rsidR="00D34388">
        <w:t xml:space="preserve">the </w:t>
      </w:r>
      <w:r w:rsidR="00894591">
        <w:t>National Partnership Agreement on Homelessness,</w:t>
      </w:r>
      <w:r w:rsidR="00C23380">
        <w:t xml:space="preserve"> additional funding </w:t>
      </w:r>
      <w:r w:rsidR="00D6704A">
        <w:t>for new initiatives</w:t>
      </w:r>
      <w:r w:rsidR="00C23380">
        <w:t xml:space="preserve">, funding for the </w:t>
      </w:r>
      <w:r w:rsidR="0015127F">
        <w:t xml:space="preserve">Social and Community Services (SACS) </w:t>
      </w:r>
      <w:r w:rsidR="00D57B6B">
        <w:t xml:space="preserve">pay equity award </w:t>
      </w:r>
      <w:r w:rsidR="00C23380">
        <w:t>and indexation</w:t>
      </w:r>
      <w:r w:rsidR="00D6704A">
        <w:t>,</w:t>
      </w:r>
      <w:r w:rsidR="00C23380">
        <w:t xml:space="preserve"> partially offset by savings. </w:t>
      </w:r>
      <w:r w:rsidR="00654AA4">
        <w:t xml:space="preserve"> </w:t>
      </w:r>
    </w:p>
    <w:p w:rsidR="00864936" w:rsidRPr="00654AA4" w:rsidRDefault="0043649E" w:rsidP="00864936">
      <w:pPr>
        <w:pStyle w:val="BodyTextIndent"/>
      </w:pPr>
      <w:r>
        <w:t>user charges – non ACT Government:</w:t>
      </w:r>
    </w:p>
    <w:p w:rsidR="00864936" w:rsidRPr="00654AA4" w:rsidRDefault="0043649E" w:rsidP="00864936">
      <w:pPr>
        <w:pStyle w:val="BodyTextIndent2"/>
      </w:pPr>
      <w:r>
        <w:t>the increase of $</w:t>
      </w:r>
      <w:r w:rsidR="00C23380">
        <w:t>1.907</w:t>
      </w:r>
      <w:r>
        <w:t xml:space="preserve"> million in the 201</w:t>
      </w:r>
      <w:r w:rsidR="00C23380">
        <w:t>2</w:t>
      </w:r>
      <w:r>
        <w:t>-1</w:t>
      </w:r>
      <w:r w:rsidR="00C23380">
        <w:t>3</w:t>
      </w:r>
      <w:r>
        <w:t xml:space="preserve"> estimated outcome from the original budget is due to </w:t>
      </w:r>
      <w:r w:rsidR="00C23380">
        <w:t xml:space="preserve">higher than expected indexation of </w:t>
      </w:r>
      <w:proofErr w:type="spellStart"/>
      <w:r w:rsidR="00C23380">
        <w:t>Centrelink</w:t>
      </w:r>
      <w:proofErr w:type="spellEnd"/>
      <w:r w:rsidR="00C23380">
        <w:t xml:space="preserve"> payments to tenants resulting in higher rental</w:t>
      </w:r>
      <w:r w:rsidR="002720D2">
        <w:t xml:space="preserve"> </w:t>
      </w:r>
      <w:r w:rsidR="00BD6D06">
        <w:t>receipts</w:t>
      </w:r>
      <w:r>
        <w:t xml:space="preserve">; and </w:t>
      </w:r>
    </w:p>
    <w:p w:rsidR="00864936" w:rsidRPr="00654AA4" w:rsidRDefault="0043649E" w:rsidP="00864936">
      <w:pPr>
        <w:pStyle w:val="BodyTextIndent2"/>
      </w:pPr>
      <w:proofErr w:type="gramStart"/>
      <w:r>
        <w:t>the</w:t>
      </w:r>
      <w:proofErr w:type="gramEnd"/>
      <w:r>
        <w:t xml:space="preserve"> increase of $</w:t>
      </w:r>
      <w:r w:rsidR="00C23380">
        <w:t>0.904</w:t>
      </w:r>
      <w:r>
        <w:t xml:space="preserve"> million in the 201</w:t>
      </w:r>
      <w:r w:rsidR="00C23380">
        <w:t>3</w:t>
      </w:r>
      <w:r>
        <w:t>-1</w:t>
      </w:r>
      <w:r w:rsidR="00C23380">
        <w:t>4</w:t>
      </w:r>
      <w:r>
        <w:t xml:space="preserve"> Budget from the 201</w:t>
      </w:r>
      <w:r w:rsidR="00C23380">
        <w:t>2</w:t>
      </w:r>
      <w:r>
        <w:t>-1</w:t>
      </w:r>
      <w:r w:rsidR="00C23380">
        <w:t>3</w:t>
      </w:r>
      <w:r>
        <w:t xml:space="preserve"> estimated outcome is due to the </w:t>
      </w:r>
      <w:r w:rsidR="00C23380">
        <w:t xml:space="preserve">indexation of tenant pension incomes from </w:t>
      </w:r>
      <w:proofErr w:type="spellStart"/>
      <w:r w:rsidR="00C23380">
        <w:t>Centrelink</w:t>
      </w:r>
      <w:proofErr w:type="spellEnd"/>
      <w:r w:rsidR="00700A02">
        <w:t>,</w:t>
      </w:r>
      <w:r w:rsidR="00C23380">
        <w:t xml:space="preserve"> </w:t>
      </w:r>
      <w:r w:rsidR="0015127F">
        <w:t xml:space="preserve">partially </w:t>
      </w:r>
      <w:r w:rsidR="00C23380">
        <w:t>offset</w:t>
      </w:r>
      <w:r w:rsidR="002720D2">
        <w:t xml:space="preserve"> by the loss of rents following the </w:t>
      </w:r>
      <w:r w:rsidR="00C23380">
        <w:t xml:space="preserve">extension of rebates to 12 months and the loss of </w:t>
      </w:r>
      <w:r w:rsidR="000C366E">
        <w:t>market rent tenants</w:t>
      </w:r>
      <w:r w:rsidR="00C23380">
        <w:t xml:space="preserve"> </w:t>
      </w:r>
      <w:r w:rsidR="0015127F">
        <w:t xml:space="preserve">who </w:t>
      </w:r>
      <w:r w:rsidR="00C23380">
        <w:t xml:space="preserve">have </w:t>
      </w:r>
      <w:r w:rsidR="002720D2">
        <w:t>exited public housing</w:t>
      </w:r>
      <w:r>
        <w:t>.</w:t>
      </w:r>
    </w:p>
    <w:p w:rsidR="000A596D" w:rsidRDefault="0043649E">
      <w:pPr>
        <w:pStyle w:val="BodyTextIndent"/>
      </w:pPr>
      <w:r>
        <w:t xml:space="preserve">interest:  </w:t>
      </w:r>
      <w:r w:rsidR="002720D2" w:rsidRPr="00654AA4">
        <w:t xml:space="preserve">the </w:t>
      </w:r>
      <w:r w:rsidR="002720D2">
        <w:t>decrea</w:t>
      </w:r>
      <w:r w:rsidR="002720D2" w:rsidRPr="00654AA4">
        <w:t xml:space="preserve">se of </w:t>
      </w:r>
      <w:r w:rsidR="0048520C" w:rsidRPr="000C5A81">
        <w:t>$1.073</w:t>
      </w:r>
      <w:r w:rsidR="002720D2" w:rsidRPr="000C5A81">
        <w:t xml:space="preserve"> million</w:t>
      </w:r>
      <w:r w:rsidR="002720D2" w:rsidRPr="00654AA4">
        <w:t xml:space="preserve"> in the 201</w:t>
      </w:r>
      <w:r w:rsidR="002720D2">
        <w:t>2</w:t>
      </w:r>
      <w:r w:rsidR="002720D2" w:rsidRPr="00654AA4">
        <w:t>-1</w:t>
      </w:r>
      <w:r w:rsidR="002720D2">
        <w:t>3</w:t>
      </w:r>
      <w:r w:rsidR="002720D2" w:rsidRPr="00654AA4">
        <w:t xml:space="preserve"> estimated outcome from the original budget is due to </w:t>
      </w:r>
      <w:r w:rsidR="002720D2">
        <w:t xml:space="preserve">the reclassification of interest from </w:t>
      </w:r>
      <w:r w:rsidR="0015127F">
        <w:t xml:space="preserve">investments with </w:t>
      </w:r>
      <w:r w:rsidR="002720D2">
        <w:t>the Territory Banking Account</w:t>
      </w:r>
      <w:r w:rsidR="0015127F">
        <w:t>.</w:t>
      </w:r>
      <w:r w:rsidR="002720D2" w:rsidRPr="00654AA4">
        <w:t xml:space="preserve"> </w:t>
      </w:r>
    </w:p>
    <w:p w:rsidR="004F6DF4" w:rsidRDefault="00006557" w:rsidP="00864936">
      <w:pPr>
        <w:pStyle w:val="BodyTextIndent"/>
      </w:pPr>
      <w:r>
        <w:t>o</w:t>
      </w:r>
      <w:r w:rsidR="0043649E">
        <w:t xml:space="preserve">ther revenue:  </w:t>
      </w:r>
    </w:p>
    <w:p w:rsidR="0015127F" w:rsidRDefault="0043649E">
      <w:pPr>
        <w:pStyle w:val="BodyTextIndent2"/>
      </w:pPr>
      <w:r w:rsidRPr="0043649E">
        <w:t xml:space="preserve">the </w:t>
      </w:r>
      <w:r w:rsidR="000E6B49">
        <w:t>inc</w:t>
      </w:r>
      <w:r w:rsidRPr="0043649E">
        <w:t>rease of $</w:t>
      </w:r>
      <w:r w:rsidR="000E6B49">
        <w:t>2.095</w:t>
      </w:r>
      <w:r w:rsidRPr="0043649E">
        <w:t xml:space="preserve"> million in the 201</w:t>
      </w:r>
      <w:r w:rsidR="000E6B49">
        <w:t>2</w:t>
      </w:r>
      <w:r w:rsidRPr="0043649E">
        <w:t>-1</w:t>
      </w:r>
      <w:r w:rsidR="000E6B49">
        <w:t>3</w:t>
      </w:r>
      <w:r w:rsidRPr="0043649E">
        <w:t xml:space="preserve"> estimated outcome from the original budget is mainly due to </w:t>
      </w:r>
      <w:r w:rsidR="000E6B49">
        <w:t xml:space="preserve">the receipt of funding for rectification works at the Narrabundah Long Stay Park and payment </w:t>
      </w:r>
      <w:r w:rsidR="00D948B1">
        <w:t xml:space="preserve">by </w:t>
      </w:r>
      <w:r w:rsidR="000E6B49">
        <w:t xml:space="preserve">Community Housing Canberra Limited </w:t>
      </w:r>
      <w:r w:rsidR="00D50498">
        <w:t>to purchase</w:t>
      </w:r>
      <w:r w:rsidR="000E6B49">
        <w:t xml:space="preserve"> three units</w:t>
      </w:r>
      <w:r w:rsidR="00700A02">
        <w:t>,</w:t>
      </w:r>
      <w:r w:rsidR="00006557">
        <w:t xml:space="preserve"> </w:t>
      </w:r>
      <w:r w:rsidR="00D948B1">
        <w:t xml:space="preserve">partially </w:t>
      </w:r>
      <w:r w:rsidR="00006557">
        <w:t xml:space="preserve">offset by </w:t>
      </w:r>
      <w:r w:rsidRPr="0043649E">
        <w:t>lower gain</w:t>
      </w:r>
      <w:r w:rsidR="00B275E0">
        <w:t>s</w:t>
      </w:r>
      <w:r w:rsidRPr="0043649E">
        <w:t xml:space="preserve"> from </w:t>
      </w:r>
      <w:r w:rsidR="00B275E0">
        <w:t xml:space="preserve">the </w:t>
      </w:r>
      <w:r w:rsidRPr="0043649E">
        <w:t xml:space="preserve">sale of </w:t>
      </w:r>
      <w:r w:rsidR="001961EA" w:rsidRPr="001961EA">
        <w:t xml:space="preserve">properties and lower </w:t>
      </w:r>
      <w:r w:rsidR="00D948B1">
        <w:t>rate of recoveries</w:t>
      </w:r>
      <w:r w:rsidR="00006557">
        <w:t xml:space="preserve"> of tenant responsible maintenance costs; and</w:t>
      </w:r>
    </w:p>
    <w:p w:rsidR="0015127F" w:rsidRDefault="00006557">
      <w:pPr>
        <w:pStyle w:val="BodyTextIndent2"/>
      </w:pPr>
      <w:r w:rsidRPr="004F6DF4">
        <w:t xml:space="preserve">the </w:t>
      </w:r>
      <w:r>
        <w:t>dec</w:t>
      </w:r>
      <w:r w:rsidRPr="004F6DF4">
        <w:t>rease of $</w:t>
      </w:r>
      <w:r>
        <w:t>2.059</w:t>
      </w:r>
      <w:r w:rsidRPr="004F6DF4">
        <w:t xml:space="preserve"> million in the 201</w:t>
      </w:r>
      <w:r>
        <w:t>3</w:t>
      </w:r>
      <w:r w:rsidRPr="004F6DF4">
        <w:t>-1</w:t>
      </w:r>
      <w:r>
        <w:t>4</w:t>
      </w:r>
      <w:r w:rsidRPr="004F6DF4">
        <w:t xml:space="preserve"> </w:t>
      </w:r>
      <w:r>
        <w:t xml:space="preserve">Budget from the 2012-13 </w:t>
      </w:r>
      <w:r w:rsidRPr="004F6DF4">
        <w:t xml:space="preserve">estimated outcome </w:t>
      </w:r>
      <w:r>
        <w:t xml:space="preserve">is </w:t>
      </w:r>
      <w:r w:rsidRPr="004F6DF4">
        <w:t xml:space="preserve">due to </w:t>
      </w:r>
      <w:r>
        <w:t xml:space="preserve">the loss of one-off receipts in 2012-13 partly offset by </w:t>
      </w:r>
      <w:r w:rsidR="00B73981">
        <w:t>an</w:t>
      </w:r>
      <w:r>
        <w:t xml:space="preserve"> increase in the profit on sal</w:t>
      </w:r>
      <w:r w:rsidR="00D02CD8">
        <w:t>e of properties, the gain arising from revaluation of</w:t>
      </w:r>
      <w:r>
        <w:t xml:space="preserve"> properties in the Shared Equity Scheme</w:t>
      </w:r>
      <w:r w:rsidR="00EA73E3">
        <w:t>,</w:t>
      </w:r>
      <w:r>
        <w:t xml:space="preserve"> increased fees from tenant responsible maintenance and for the management of the Affordable Rental Office properties</w:t>
      </w:r>
      <w:r w:rsidR="0043649E" w:rsidRPr="0043649E">
        <w:t>.</w:t>
      </w:r>
    </w:p>
    <w:p w:rsidR="000A596D" w:rsidRDefault="0043649E">
      <w:pPr>
        <w:pStyle w:val="BodyTextIndent"/>
      </w:pPr>
      <w:r>
        <w:t>supplies and services:</w:t>
      </w:r>
      <w:r w:rsidR="00EE232B">
        <w:t xml:space="preserve"> </w:t>
      </w:r>
    </w:p>
    <w:p w:rsidR="003005A8" w:rsidRDefault="0043649E">
      <w:pPr>
        <w:pStyle w:val="BodyTextIndent2"/>
      </w:pPr>
      <w:r>
        <w:t>the increase of $</w:t>
      </w:r>
      <w:r w:rsidR="00F76C98">
        <w:t>3.042</w:t>
      </w:r>
      <w:r>
        <w:t xml:space="preserve"> million in the 2011-12 estimated outcome from the original budget is mainly due to higher than anticipated property ownership costs, </w:t>
      </w:r>
      <w:r w:rsidR="00D930BD">
        <w:t xml:space="preserve">particularly rates and water and sewerage charges </w:t>
      </w:r>
      <w:r w:rsidR="00F76C98">
        <w:t>and the rectification works at the Narrabundah Long Stay Park</w:t>
      </w:r>
      <w:r>
        <w:t>; and</w:t>
      </w:r>
    </w:p>
    <w:p w:rsidR="001543E1" w:rsidRDefault="0043649E" w:rsidP="001543E1">
      <w:pPr>
        <w:pStyle w:val="BodyTextIndent2"/>
      </w:pPr>
      <w:r>
        <w:t>the increase of $</w:t>
      </w:r>
      <w:r w:rsidR="00D930BD">
        <w:t>0.</w:t>
      </w:r>
      <w:r w:rsidR="0068563D">
        <w:t>828</w:t>
      </w:r>
      <w:r>
        <w:t xml:space="preserve"> million in the 201</w:t>
      </w:r>
      <w:r w:rsidR="00D930BD">
        <w:t>3</w:t>
      </w:r>
      <w:r>
        <w:t>-1</w:t>
      </w:r>
      <w:r w:rsidR="00D930BD">
        <w:t>4</w:t>
      </w:r>
      <w:r>
        <w:t xml:space="preserve"> Budget from the 201</w:t>
      </w:r>
      <w:r w:rsidR="00D930BD">
        <w:t>2</w:t>
      </w:r>
      <w:r>
        <w:noBreakHyphen/>
        <w:t>1</w:t>
      </w:r>
      <w:r w:rsidR="00D930BD">
        <w:t>3</w:t>
      </w:r>
      <w:r>
        <w:t xml:space="preserve"> estimated outcome is mainly due to </w:t>
      </w:r>
      <w:r w:rsidR="00D930BD">
        <w:t xml:space="preserve">the increased cost of rates, water and sewerage charges, insurance and other property costs and the </w:t>
      </w:r>
      <w:r>
        <w:t>general indexation</w:t>
      </w:r>
      <w:r w:rsidR="00D930BD">
        <w:t xml:space="preserve"> of other administrative costs</w:t>
      </w:r>
      <w:r>
        <w:t>, partially offset by reduction in consultancy expenses and savings initiatives.</w:t>
      </w:r>
    </w:p>
    <w:p w:rsidR="001543E1" w:rsidRDefault="001543E1">
      <w:r>
        <w:br w:type="page"/>
      </w:r>
    </w:p>
    <w:p w:rsidR="00864936" w:rsidRPr="00D930BD" w:rsidRDefault="0043649E" w:rsidP="00864936">
      <w:pPr>
        <w:pStyle w:val="BodyTextIndent"/>
      </w:pPr>
      <w:r>
        <w:lastRenderedPageBreak/>
        <w:t>depreciation and amortisation:</w:t>
      </w:r>
    </w:p>
    <w:p w:rsidR="00864936" w:rsidRPr="00D930BD" w:rsidRDefault="0043649E" w:rsidP="00864936">
      <w:pPr>
        <w:pStyle w:val="BodyTextIndent2"/>
      </w:pPr>
      <w:r>
        <w:t xml:space="preserve">the </w:t>
      </w:r>
      <w:r w:rsidR="00D930BD">
        <w:t>de</w:t>
      </w:r>
      <w:r>
        <w:t>crease of $1.</w:t>
      </w:r>
      <w:r w:rsidR="00D930BD">
        <w:t>009</w:t>
      </w:r>
      <w:r>
        <w:t xml:space="preserve"> million in the 201</w:t>
      </w:r>
      <w:r w:rsidR="00D930BD">
        <w:t>2</w:t>
      </w:r>
      <w:r>
        <w:t>-1</w:t>
      </w:r>
      <w:r w:rsidR="00D930BD">
        <w:t>3</w:t>
      </w:r>
      <w:r>
        <w:t xml:space="preserve"> estimated outcome from the original budget is mainly due to the movement in property values following the revaluation in 201</w:t>
      </w:r>
      <w:r w:rsidR="00D930BD">
        <w:t>2</w:t>
      </w:r>
      <w:r>
        <w:t>-1</w:t>
      </w:r>
      <w:r w:rsidR="00D930BD">
        <w:t>3</w:t>
      </w:r>
      <w:r w:rsidR="00D948B1">
        <w:t>,</w:t>
      </w:r>
      <w:r>
        <w:t xml:space="preserve"> </w:t>
      </w:r>
      <w:r w:rsidR="00D930BD">
        <w:t xml:space="preserve">partially offset by lower amortisation of the </w:t>
      </w:r>
      <w:proofErr w:type="spellStart"/>
      <w:r w:rsidR="00D930BD">
        <w:t>Homenet</w:t>
      </w:r>
      <w:proofErr w:type="spellEnd"/>
      <w:r w:rsidR="00D930BD">
        <w:t xml:space="preserve"> </w:t>
      </w:r>
      <w:r w:rsidR="00D948B1">
        <w:t xml:space="preserve">(business system) </w:t>
      </w:r>
      <w:r w:rsidR="00D930BD">
        <w:t>due to the deferral of parts of the system upgrade</w:t>
      </w:r>
      <w:r>
        <w:t>; and</w:t>
      </w:r>
    </w:p>
    <w:p w:rsidR="00864936" w:rsidRPr="00D930BD" w:rsidRDefault="0043649E" w:rsidP="00864936">
      <w:pPr>
        <w:pStyle w:val="BodyTextIndent2"/>
      </w:pPr>
      <w:r>
        <w:t>the increase of $0.</w:t>
      </w:r>
      <w:r w:rsidR="00D930BD">
        <w:t>479</w:t>
      </w:r>
      <w:r>
        <w:t xml:space="preserve"> million in the 201</w:t>
      </w:r>
      <w:r w:rsidR="00D930BD">
        <w:t>3</w:t>
      </w:r>
      <w:r>
        <w:t>-1</w:t>
      </w:r>
      <w:r w:rsidR="00D930BD">
        <w:t>4</w:t>
      </w:r>
      <w:r>
        <w:t xml:space="preserve"> Budget from the 201</w:t>
      </w:r>
      <w:r w:rsidR="00D930BD">
        <w:t>2</w:t>
      </w:r>
      <w:r>
        <w:noBreakHyphen/>
        <w:t>1</w:t>
      </w:r>
      <w:r w:rsidR="00D930BD">
        <w:t>3</w:t>
      </w:r>
      <w:r>
        <w:t xml:space="preserve"> estimated outcome is </w:t>
      </w:r>
      <w:r w:rsidR="00E3476B">
        <w:t>due to the expected change in property values following the 2013 revaluation of the public housing portfolio.</w:t>
      </w:r>
    </w:p>
    <w:p w:rsidR="00864936" w:rsidRPr="00E3476B" w:rsidRDefault="0043649E" w:rsidP="00864936">
      <w:pPr>
        <w:pStyle w:val="BodyTextIndent"/>
      </w:pPr>
      <w:r>
        <w:t>grants and purchased services:</w:t>
      </w:r>
    </w:p>
    <w:p w:rsidR="00864936" w:rsidRPr="00E3476B" w:rsidRDefault="0043649E" w:rsidP="00864936">
      <w:pPr>
        <w:pStyle w:val="BodyTextIndent2"/>
      </w:pPr>
      <w:r>
        <w:t>the increase of $</w:t>
      </w:r>
      <w:r w:rsidR="0028718D">
        <w:t>16.290</w:t>
      </w:r>
      <w:r>
        <w:t xml:space="preserve"> million in the 201</w:t>
      </w:r>
      <w:r w:rsidR="0028718D">
        <w:t>2</w:t>
      </w:r>
      <w:r>
        <w:t>-1</w:t>
      </w:r>
      <w:r w:rsidR="0028718D">
        <w:t>3</w:t>
      </w:r>
      <w:r>
        <w:t xml:space="preserve"> estimated outcome from the original budget is due to additional transfer of properties to the community housing sector</w:t>
      </w:r>
      <w:r w:rsidR="0028718D">
        <w:t>, payment of additional costs for transitional housing providers</w:t>
      </w:r>
      <w:r>
        <w:t xml:space="preserve"> and </w:t>
      </w:r>
      <w:r w:rsidR="0028718D">
        <w:t>payment of grants for site-holders at the Narrabundah Long Stay Park as part of the arrangements for rectification of buildings and sites</w:t>
      </w:r>
      <w:r>
        <w:t>; and</w:t>
      </w:r>
    </w:p>
    <w:p w:rsidR="00864936" w:rsidRPr="00E3476B" w:rsidRDefault="0043649E" w:rsidP="00864936">
      <w:pPr>
        <w:pStyle w:val="BodyTextIndent2"/>
      </w:pPr>
      <w:r>
        <w:t>the decrease of $</w:t>
      </w:r>
      <w:r w:rsidR="0028718D">
        <w:t>19.1</w:t>
      </w:r>
      <w:r w:rsidR="0068563D">
        <w:t>09</w:t>
      </w:r>
      <w:r>
        <w:t xml:space="preserve"> million in the 201</w:t>
      </w:r>
      <w:r w:rsidR="0028718D">
        <w:t>3</w:t>
      </w:r>
      <w:r>
        <w:t>-1</w:t>
      </w:r>
      <w:r w:rsidR="0028718D">
        <w:t>4</w:t>
      </w:r>
      <w:r>
        <w:t xml:space="preserve"> Budget from the 201</w:t>
      </w:r>
      <w:r w:rsidR="0028718D">
        <w:t>2</w:t>
      </w:r>
      <w:r>
        <w:noBreakHyphen/>
        <w:t>1</w:t>
      </w:r>
      <w:r w:rsidR="0028718D">
        <w:t>3</w:t>
      </w:r>
      <w:r>
        <w:t> estimated outcome is mainly due to one-off adjustments as noted above</w:t>
      </w:r>
      <w:r w:rsidR="0028718D">
        <w:t xml:space="preserve"> and reductions in service purchasing payments to homelessness service providers as a result of reduction in funding under the National Affordable Housing Agreement</w:t>
      </w:r>
      <w:r>
        <w:t xml:space="preserve">, partially offset by additional grants </w:t>
      </w:r>
      <w:r w:rsidR="0028718D">
        <w:t>under the 2013-14 Transitional National Partnership Agreement on Homelessness, operational funding for Common Ground</w:t>
      </w:r>
      <w:r w:rsidR="00B948B0">
        <w:t xml:space="preserve"> Supportive Housing</w:t>
      </w:r>
      <w:r w:rsidR="00B755D3">
        <w:t xml:space="preserve"> and </w:t>
      </w:r>
      <w:r w:rsidR="00B16F65">
        <w:t xml:space="preserve">funding for </w:t>
      </w:r>
      <w:r w:rsidR="00700A02">
        <w:t xml:space="preserve">the </w:t>
      </w:r>
      <w:r w:rsidR="00D948B1">
        <w:t>SACS pa</w:t>
      </w:r>
      <w:r w:rsidR="0068563D">
        <w:t>y</w:t>
      </w:r>
      <w:r w:rsidR="00D948B1">
        <w:t xml:space="preserve"> equity award</w:t>
      </w:r>
      <w:r w:rsidR="00B16F65">
        <w:t xml:space="preserve"> and </w:t>
      </w:r>
      <w:r>
        <w:t>indexation.</w:t>
      </w:r>
    </w:p>
    <w:p w:rsidR="00864936" w:rsidRPr="00B16F65" w:rsidRDefault="0043649E" w:rsidP="00864936">
      <w:pPr>
        <w:pStyle w:val="BodyTextIndent"/>
      </w:pPr>
      <w:r>
        <w:t>other expenses:</w:t>
      </w:r>
    </w:p>
    <w:p w:rsidR="00864936" w:rsidRPr="00B16F65" w:rsidRDefault="0043649E" w:rsidP="00864936">
      <w:pPr>
        <w:pStyle w:val="BodyTextIndent2"/>
      </w:pPr>
      <w:r>
        <w:t>the increase of $</w:t>
      </w:r>
      <w:r w:rsidR="00B16F65">
        <w:t>1.5</w:t>
      </w:r>
      <w:r>
        <w:t xml:space="preserve"> million in the 201</w:t>
      </w:r>
      <w:r w:rsidR="00B16F65">
        <w:t>2</w:t>
      </w:r>
      <w:r>
        <w:t>-1</w:t>
      </w:r>
      <w:r w:rsidR="00B16F65">
        <w:t>3</w:t>
      </w:r>
      <w:r>
        <w:t xml:space="preserve"> estimated outcome from the original budget is due to </w:t>
      </w:r>
      <w:r w:rsidR="00B16F65">
        <w:t>higher demolition and property write-off costs associated with some major redevelopments and compensation payments</w:t>
      </w:r>
      <w:r>
        <w:t>; and</w:t>
      </w:r>
    </w:p>
    <w:p w:rsidR="00864936" w:rsidRPr="00B16F65" w:rsidRDefault="0043649E" w:rsidP="00864936">
      <w:pPr>
        <w:pStyle w:val="BodyTextIndent2"/>
      </w:pPr>
      <w:r>
        <w:t>the decrease of $</w:t>
      </w:r>
      <w:r w:rsidR="00B16F65">
        <w:t>1.285</w:t>
      </w:r>
      <w:r>
        <w:t xml:space="preserve"> million in the 201</w:t>
      </w:r>
      <w:r w:rsidR="00B16F65">
        <w:t>3</w:t>
      </w:r>
      <w:r>
        <w:t>-1</w:t>
      </w:r>
      <w:r w:rsidR="00B16F65">
        <w:t>4</w:t>
      </w:r>
      <w:r>
        <w:t xml:space="preserve"> Budget from the 201</w:t>
      </w:r>
      <w:r w:rsidR="00B16F65">
        <w:t>2</w:t>
      </w:r>
      <w:r>
        <w:noBreakHyphen/>
        <w:t>1</w:t>
      </w:r>
      <w:r w:rsidR="00B16F65">
        <w:t>3</w:t>
      </w:r>
      <w:r>
        <w:t xml:space="preserve"> estimated outcome is mainly due to </w:t>
      </w:r>
      <w:r w:rsidR="00B16F65">
        <w:t>the return to more normal levels of property demolition and write-off costs and compensation payments noted above</w:t>
      </w:r>
      <w:r>
        <w:t>.</w:t>
      </w:r>
    </w:p>
    <w:p w:rsidR="008948A6" w:rsidRDefault="0048520C" w:rsidP="00864936">
      <w:pPr>
        <w:pStyle w:val="BodyTextIndent"/>
      </w:pPr>
      <w:proofErr w:type="gramStart"/>
      <w:r w:rsidRPr="0048520C">
        <w:t>increase/decrease</w:t>
      </w:r>
      <w:proofErr w:type="gramEnd"/>
      <w:r w:rsidRPr="0048520C">
        <w:t xml:space="preserve"> in asset revaluation reserve:  the decrease of $</w:t>
      </w:r>
      <w:r w:rsidR="00700A02">
        <w:t xml:space="preserve">85.385 </w:t>
      </w:r>
      <w:r w:rsidRPr="0048520C">
        <w:t>million in the 2012</w:t>
      </w:r>
      <w:r w:rsidRPr="0048520C">
        <w:noBreakHyphen/>
        <w:t>13 estimated outcome from the original budget and the increase of $</w:t>
      </w:r>
      <w:r w:rsidR="00700A02">
        <w:t>107.585</w:t>
      </w:r>
      <w:r w:rsidRPr="0048520C">
        <w:t> million in the 2013-14 Budget from the 2012-13 estimated outcome are due to asset revaluation</w:t>
      </w:r>
      <w:r w:rsidR="007C101B">
        <w:t>s</w:t>
      </w:r>
      <w:r w:rsidRPr="0048520C">
        <w:t xml:space="preserve">.   </w:t>
      </w:r>
    </w:p>
    <w:p w:rsidR="00864936" w:rsidRPr="00B16F65" w:rsidRDefault="0043649E" w:rsidP="00864936">
      <w:pPr>
        <w:pStyle w:val="Heading4"/>
      </w:pPr>
      <w:r>
        <w:t>Balance Sheet</w:t>
      </w:r>
    </w:p>
    <w:p w:rsidR="00B275E0" w:rsidRPr="00B275E0" w:rsidRDefault="0043649E" w:rsidP="00B275E0">
      <w:pPr>
        <w:pStyle w:val="BodyTextIndent"/>
      </w:pPr>
      <w:r>
        <w:t>total current assets:</w:t>
      </w:r>
    </w:p>
    <w:p w:rsidR="00864936" w:rsidRPr="00EE0E18" w:rsidRDefault="001961EA" w:rsidP="00F83A70">
      <w:pPr>
        <w:pStyle w:val="BodyTextIndent2"/>
        <w:keepNext w:val="0"/>
        <w:ind w:left="714" w:hanging="357"/>
      </w:pPr>
      <w:r>
        <w:t xml:space="preserve">the </w:t>
      </w:r>
      <w:r w:rsidR="00B34F29" w:rsidRPr="00B34F29">
        <w:t>inc</w:t>
      </w:r>
      <w:r>
        <w:t>rease of $</w:t>
      </w:r>
      <w:r w:rsidR="00B34F29" w:rsidRPr="00B34F29">
        <w:t>19.430</w:t>
      </w:r>
      <w:r>
        <w:t xml:space="preserve"> million in the 201</w:t>
      </w:r>
      <w:r w:rsidR="00B34F29" w:rsidRPr="00B34F29">
        <w:t>2-13</w:t>
      </w:r>
      <w:r>
        <w:t xml:space="preserve"> estimated outcome from the original budget is mainly due to </w:t>
      </w:r>
      <w:r w:rsidR="00B34F29" w:rsidRPr="00B34F29">
        <w:t xml:space="preserve">higher cash </w:t>
      </w:r>
      <w:r w:rsidR="00D948B1">
        <w:t>i</w:t>
      </w:r>
      <w:r w:rsidR="00D948B1" w:rsidRPr="00B34F29">
        <w:t xml:space="preserve">n </w:t>
      </w:r>
      <w:r w:rsidR="00B34F29" w:rsidRPr="00B34F29">
        <w:t xml:space="preserve">hand and </w:t>
      </w:r>
      <w:r w:rsidR="00D948B1" w:rsidRPr="00B34F29">
        <w:t>invest</w:t>
      </w:r>
      <w:r w:rsidR="00D948B1">
        <w:t>ments</w:t>
      </w:r>
      <w:r w:rsidR="00D948B1" w:rsidRPr="00B34F29">
        <w:t xml:space="preserve"> </w:t>
      </w:r>
      <w:r w:rsidR="00EE0E18">
        <w:t>to fund construction projects that have commenced during the year</w:t>
      </w:r>
      <w:r w:rsidR="00700A02">
        <w:t>,</w:t>
      </w:r>
      <w:r w:rsidR="00EE0E18">
        <w:t xml:space="preserve"> but not completed and</w:t>
      </w:r>
      <w:r w:rsidR="002B4218">
        <w:t xml:space="preserve"> a </w:t>
      </w:r>
      <w:r w:rsidR="00EE0E18">
        <w:t xml:space="preserve">higher </w:t>
      </w:r>
      <w:r w:rsidR="00700A02">
        <w:t xml:space="preserve">level of </w:t>
      </w:r>
      <w:r w:rsidR="00EE0E18">
        <w:t>assets held for sale as a larger sales program is expected in 2013-14 to fund planned redevelopment projects</w:t>
      </w:r>
      <w:r w:rsidR="0068563D">
        <w:t>,</w:t>
      </w:r>
      <w:r w:rsidR="00EE0E18">
        <w:t xml:space="preserve"> partially offset by lower prepayments; </w:t>
      </w:r>
      <w:r>
        <w:t xml:space="preserve">and </w:t>
      </w:r>
    </w:p>
    <w:p w:rsidR="0015127F" w:rsidRDefault="001961EA" w:rsidP="00F83A70">
      <w:pPr>
        <w:pStyle w:val="BodyTextIndent2"/>
        <w:keepNext w:val="0"/>
        <w:ind w:left="714" w:hanging="357"/>
      </w:pPr>
      <w:proofErr w:type="gramStart"/>
      <w:r>
        <w:lastRenderedPageBreak/>
        <w:t>the</w:t>
      </w:r>
      <w:proofErr w:type="gramEnd"/>
      <w:r>
        <w:t xml:space="preserve"> decrease of $1</w:t>
      </w:r>
      <w:r w:rsidR="00EE0E18">
        <w:t>2.855</w:t>
      </w:r>
      <w:r>
        <w:t xml:space="preserve"> million in the 201</w:t>
      </w:r>
      <w:r w:rsidR="00EE0E18">
        <w:t>3</w:t>
      </w:r>
      <w:r>
        <w:t>-1</w:t>
      </w:r>
      <w:r w:rsidR="00EE0E18">
        <w:t>4</w:t>
      </w:r>
      <w:r>
        <w:t xml:space="preserve"> Budget from the 201</w:t>
      </w:r>
      <w:r w:rsidR="00EE0E18">
        <w:t>2</w:t>
      </w:r>
      <w:r>
        <w:noBreakHyphen/>
        <w:t>1</w:t>
      </w:r>
      <w:r w:rsidR="00EE0E18">
        <w:t>3</w:t>
      </w:r>
      <w:r>
        <w:t xml:space="preserve"> estimated outcome is mainly due to a decrease in investment</w:t>
      </w:r>
      <w:r w:rsidR="00B57A58">
        <w:t xml:space="preserve"> </w:t>
      </w:r>
      <w:r>
        <w:t>balance</w:t>
      </w:r>
      <w:r w:rsidR="00B57A58">
        <w:t>s</w:t>
      </w:r>
      <w:r>
        <w:t xml:space="preserve"> as funds are </w:t>
      </w:r>
      <w:r w:rsidR="00EE0E18">
        <w:t xml:space="preserve">used to complete </w:t>
      </w:r>
      <w:r>
        <w:t>construction projects.</w:t>
      </w:r>
    </w:p>
    <w:p w:rsidR="00864936" w:rsidRPr="00EE0E18" w:rsidRDefault="001961EA" w:rsidP="00864936">
      <w:pPr>
        <w:pStyle w:val="BodyTextIndent"/>
      </w:pPr>
      <w:r>
        <w:t xml:space="preserve">total </w:t>
      </w:r>
      <w:proofErr w:type="spellStart"/>
      <w:r>
        <w:t>non current</w:t>
      </w:r>
      <w:proofErr w:type="spellEnd"/>
      <w:r>
        <w:t xml:space="preserve"> assets:</w:t>
      </w:r>
    </w:p>
    <w:p w:rsidR="00864936" w:rsidRPr="00EE0E18" w:rsidRDefault="001961EA" w:rsidP="00864936">
      <w:pPr>
        <w:pStyle w:val="BodyTextIndent2"/>
      </w:pPr>
      <w:r>
        <w:t xml:space="preserve">the </w:t>
      </w:r>
      <w:r w:rsidR="00A363C9">
        <w:t>dec</w:t>
      </w:r>
      <w:r>
        <w:t>rease of $18</w:t>
      </w:r>
      <w:r w:rsidR="00084D03">
        <w:t>2.375</w:t>
      </w:r>
      <w:r>
        <w:t xml:space="preserve"> million in the 201</w:t>
      </w:r>
      <w:r w:rsidR="00084D03">
        <w:t>2</w:t>
      </w:r>
      <w:r>
        <w:t>-1</w:t>
      </w:r>
      <w:r w:rsidR="00084D03">
        <w:t>3</w:t>
      </w:r>
      <w:r>
        <w:t xml:space="preserve"> estimated outcome from the original budget is mainly due to a lower than anticipated increase in value of properties from the 201</w:t>
      </w:r>
      <w:r w:rsidR="00084D03">
        <w:t>2</w:t>
      </w:r>
      <w:r>
        <w:t xml:space="preserve"> revaluation</w:t>
      </w:r>
      <w:r w:rsidR="00084D03">
        <w:t xml:space="preserve"> and the </w:t>
      </w:r>
      <w:r>
        <w:t xml:space="preserve">delay in some </w:t>
      </w:r>
      <w:r w:rsidR="00084D03">
        <w:t xml:space="preserve">aspects of the </w:t>
      </w:r>
      <w:proofErr w:type="spellStart"/>
      <w:r w:rsidR="00084D03">
        <w:t>Homenet</w:t>
      </w:r>
      <w:proofErr w:type="spellEnd"/>
      <w:r w:rsidR="00084D03">
        <w:t xml:space="preserve"> upgrade</w:t>
      </w:r>
      <w:r>
        <w:t xml:space="preserve">, partially offset by an increase in capital works in progress and an increase in </w:t>
      </w:r>
      <w:r w:rsidR="00084D03">
        <w:t>the investment in share</w:t>
      </w:r>
      <w:r w:rsidR="00B948B0">
        <w:t>d</w:t>
      </w:r>
      <w:r w:rsidR="00084D03">
        <w:t xml:space="preserve"> equity properties following more sales during the year</w:t>
      </w:r>
      <w:r>
        <w:t>; and</w:t>
      </w:r>
    </w:p>
    <w:p w:rsidR="00864936" w:rsidRPr="00EE0E18" w:rsidRDefault="001961EA" w:rsidP="00864936">
      <w:pPr>
        <w:pStyle w:val="BodyTextIndent2"/>
      </w:pPr>
      <w:r>
        <w:t>the increase of $1</w:t>
      </w:r>
      <w:r w:rsidR="00084D03">
        <w:t>35.005</w:t>
      </w:r>
      <w:r>
        <w:t xml:space="preserve"> million in the 201</w:t>
      </w:r>
      <w:r w:rsidR="00084D03">
        <w:t>3</w:t>
      </w:r>
      <w:r>
        <w:t>-1</w:t>
      </w:r>
      <w:r w:rsidR="00084D03">
        <w:t>4</w:t>
      </w:r>
      <w:r>
        <w:t xml:space="preserve"> Budget from the 201</w:t>
      </w:r>
      <w:r w:rsidR="00084D03">
        <w:t>2</w:t>
      </w:r>
      <w:r>
        <w:noBreakHyphen/>
        <w:t>1</w:t>
      </w:r>
      <w:r w:rsidR="00084D03">
        <w:t>3</w:t>
      </w:r>
      <w:r>
        <w:t> estimated outcome is mainly due to the anticipated increase in value of properties from the 201</w:t>
      </w:r>
      <w:r w:rsidR="00084D03">
        <w:t>3</w:t>
      </w:r>
      <w:r>
        <w:t xml:space="preserve"> revaluation, an increase in </w:t>
      </w:r>
      <w:r w:rsidR="00084D03">
        <w:t>the shared equity i</w:t>
      </w:r>
      <w:r>
        <w:t xml:space="preserve">nvestment and an increase in </w:t>
      </w:r>
      <w:r w:rsidR="00084D03">
        <w:t>capital works in progress</w:t>
      </w:r>
      <w:r w:rsidR="00F556BA">
        <w:t xml:space="preserve"> </w:t>
      </w:r>
      <w:r w:rsidR="00084D03">
        <w:t>due to the higher redevelopment and construction program</w:t>
      </w:r>
      <w:r w:rsidR="00700A02">
        <w:t>,</w:t>
      </w:r>
      <w:r w:rsidR="00F556BA">
        <w:t xml:space="preserve"> </w:t>
      </w:r>
      <w:r w:rsidR="001543E1">
        <w:t xml:space="preserve">the Common Ground Supportive Housing project, </w:t>
      </w:r>
      <w:r>
        <w:t xml:space="preserve">partially offset by a </w:t>
      </w:r>
      <w:r w:rsidR="00F556BA">
        <w:t xml:space="preserve">decrease </w:t>
      </w:r>
      <w:r>
        <w:t>in intangible assets</w:t>
      </w:r>
      <w:r w:rsidR="00D948B1">
        <w:t>,</w:t>
      </w:r>
      <w:r>
        <w:t xml:space="preserve"> with the amortisation of Housing ACT’s business application (</w:t>
      </w:r>
      <w:proofErr w:type="spellStart"/>
      <w:r>
        <w:t>Homenet</w:t>
      </w:r>
      <w:proofErr w:type="spellEnd"/>
      <w:r>
        <w:t>).</w:t>
      </w:r>
    </w:p>
    <w:p w:rsidR="00F556BA" w:rsidRDefault="001961EA" w:rsidP="00864936">
      <w:pPr>
        <w:pStyle w:val="BodyTextIndent"/>
      </w:pPr>
      <w:r>
        <w:t xml:space="preserve">total current liabilities:  </w:t>
      </w:r>
    </w:p>
    <w:p w:rsidR="0015127F" w:rsidRDefault="001961EA">
      <w:pPr>
        <w:pStyle w:val="BodyTextIndent2"/>
      </w:pPr>
      <w:r w:rsidRPr="001961EA">
        <w:t xml:space="preserve">the </w:t>
      </w:r>
      <w:r w:rsidR="00F556BA">
        <w:t>dec</w:t>
      </w:r>
      <w:r w:rsidRPr="001961EA">
        <w:t>rease of $</w:t>
      </w:r>
      <w:r w:rsidR="00F556BA">
        <w:t>1.736</w:t>
      </w:r>
      <w:r w:rsidRPr="001961EA">
        <w:t xml:space="preserve"> million in the 201</w:t>
      </w:r>
      <w:r w:rsidR="00F556BA">
        <w:t>2</w:t>
      </w:r>
      <w:r w:rsidRPr="001961EA">
        <w:t>-1</w:t>
      </w:r>
      <w:r w:rsidR="00F556BA">
        <w:t>3</w:t>
      </w:r>
      <w:r w:rsidRPr="001961EA">
        <w:t xml:space="preserve"> estimated outcome from the original budget is due to </w:t>
      </w:r>
      <w:r w:rsidR="00F556BA">
        <w:t>dec</w:t>
      </w:r>
      <w:r w:rsidRPr="001961EA">
        <w:t>reases in payables, payment</w:t>
      </w:r>
      <w:r w:rsidR="00F556BA">
        <w:t>s</w:t>
      </w:r>
      <w:r w:rsidRPr="001961EA">
        <w:t xml:space="preserve"> received in advance from tenants</w:t>
      </w:r>
      <w:r w:rsidR="00F556BA">
        <w:t xml:space="preserve"> and </w:t>
      </w:r>
      <w:r w:rsidR="00D948B1">
        <w:t>l</w:t>
      </w:r>
      <w:r w:rsidR="00F556BA">
        <w:t>ease liabilities</w:t>
      </w:r>
      <w:r w:rsidRPr="001961EA">
        <w:t>, partially offset by a</w:t>
      </w:r>
      <w:r w:rsidR="00F556BA">
        <w:t>n increase in employee benefits; and</w:t>
      </w:r>
    </w:p>
    <w:p w:rsidR="0015127F" w:rsidRDefault="00A75C97">
      <w:pPr>
        <w:pStyle w:val="BodyTextIndent2"/>
      </w:pPr>
      <w:r>
        <w:t>the increase o</w:t>
      </w:r>
      <w:r w:rsidR="00B948B0">
        <w:t>f</w:t>
      </w:r>
      <w:r>
        <w:t xml:space="preserve"> $1.209</w:t>
      </w:r>
      <w:r w:rsidR="00F556BA">
        <w:t xml:space="preserve"> million </w:t>
      </w:r>
      <w:r w:rsidR="00F556BA" w:rsidRPr="00EE0E18">
        <w:t>in the 201</w:t>
      </w:r>
      <w:r w:rsidR="00F556BA">
        <w:t>3</w:t>
      </w:r>
      <w:r w:rsidR="00F556BA" w:rsidRPr="00EE0E18">
        <w:t>-1</w:t>
      </w:r>
      <w:r w:rsidR="00F556BA">
        <w:t>4</w:t>
      </w:r>
      <w:r w:rsidR="00F556BA" w:rsidRPr="00EE0E18">
        <w:t xml:space="preserve"> Budget from the 201</w:t>
      </w:r>
      <w:r w:rsidR="00F556BA">
        <w:t>2</w:t>
      </w:r>
      <w:r w:rsidR="00F556BA" w:rsidRPr="00EE0E18">
        <w:noBreakHyphen/>
        <w:t>1</w:t>
      </w:r>
      <w:r w:rsidR="00F556BA">
        <w:t>3</w:t>
      </w:r>
      <w:r w:rsidR="00F556BA" w:rsidRPr="00EE0E18">
        <w:t> estimated outcome is mainly due to the increase in</w:t>
      </w:r>
      <w:r w:rsidR="00F556BA">
        <w:t xml:space="preserve"> payments received in advance from tenants and higher employee benefits</w:t>
      </w:r>
      <w:r>
        <w:t>.</w:t>
      </w:r>
      <w:r w:rsidR="00F556BA">
        <w:t xml:space="preserve"> </w:t>
      </w:r>
      <w:r w:rsidR="00F556BA" w:rsidRPr="00EE0E18">
        <w:t xml:space="preserve"> </w:t>
      </w:r>
    </w:p>
    <w:p w:rsidR="000A596D" w:rsidRDefault="001961EA">
      <w:pPr>
        <w:pStyle w:val="BodyTextIndent"/>
      </w:pPr>
      <w:proofErr w:type="gramStart"/>
      <w:r>
        <w:t>total</w:t>
      </w:r>
      <w:proofErr w:type="gramEnd"/>
      <w:r>
        <w:t xml:space="preserve"> </w:t>
      </w:r>
      <w:proofErr w:type="spellStart"/>
      <w:r w:rsidR="00F83A70">
        <w:t xml:space="preserve">non </w:t>
      </w:r>
      <w:r w:rsidR="001475DD">
        <w:t>current</w:t>
      </w:r>
      <w:proofErr w:type="spellEnd"/>
      <w:r>
        <w:t xml:space="preserve"> liabilities:</w:t>
      </w:r>
      <w:r w:rsidR="00EE232B">
        <w:t xml:space="preserve"> </w:t>
      </w:r>
      <w:r w:rsidR="00EE232B" w:rsidRPr="00A75C97" w:rsidDel="00EE232B">
        <w:t xml:space="preserve"> </w:t>
      </w:r>
      <w:r>
        <w:t>the decrease of $</w:t>
      </w:r>
      <w:r w:rsidR="00A75C97">
        <w:t>5.720</w:t>
      </w:r>
      <w:r>
        <w:t xml:space="preserve"> million in the 201</w:t>
      </w:r>
      <w:r w:rsidR="00A75C97">
        <w:t>3</w:t>
      </w:r>
      <w:r>
        <w:t>-1</w:t>
      </w:r>
      <w:r w:rsidR="00A75C97">
        <w:t>4</w:t>
      </w:r>
      <w:r>
        <w:t xml:space="preserve"> Budget from the 201</w:t>
      </w:r>
      <w:r w:rsidR="00A75C97">
        <w:t>2</w:t>
      </w:r>
      <w:r>
        <w:t>-1</w:t>
      </w:r>
      <w:r w:rsidR="00A75C97">
        <w:t>3</w:t>
      </w:r>
      <w:r>
        <w:t xml:space="preserve"> estimated outcome is mainly due to the reduction in borrowings </w:t>
      </w:r>
      <w:r w:rsidR="006167C0">
        <w:t xml:space="preserve">from </w:t>
      </w:r>
      <w:r>
        <w:t xml:space="preserve">the Commonwealth </w:t>
      </w:r>
      <w:r w:rsidR="00A75C97">
        <w:t>and the amortisation of the make good requirement for the lease for Nature Conservation House</w:t>
      </w:r>
      <w:r>
        <w:t xml:space="preserve">.   </w:t>
      </w:r>
    </w:p>
    <w:p w:rsidR="00864936" w:rsidRPr="00B16F65" w:rsidRDefault="0043649E" w:rsidP="00864936">
      <w:pPr>
        <w:pStyle w:val="Heading4"/>
      </w:pPr>
      <w:r>
        <w:t>Statement of Changes in Equity</w:t>
      </w:r>
    </w:p>
    <w:p w:rsidR="00864936" w:rsidRPr="00B16F65" w:rsidRDefault="0043649E" w:rsidP="00864936">
      <w:pPr>
        <w:pStyle w:val="BodyText"/>
      </w:pPr>
      <w:r>
        <w:t>Variations in the statement are explained in the notes above.</w:t>
      </w:r>
    </w:p>
    <w:p w:rsidR="00864936" w:rsidRPr="00B16F65" w:rsidRDefault="0043649E" w:rsidP="00864936">
      <w:pPr>
        <w:pStyle w:val="Heading4"/>
      </w:pPr>
      <w:r>
        <w:t>Statement of Cash Flows</w:t>
      </w:r>
    </w:p>
    <w:p w:rsidR="00AD3A57" w:rsidRDefault="0043649E" w:rsidP="00AE3814">
      <w:pPr>
        <w:pStyle w:val="BodyText"/>
        <w:spacing w:after="0"/>
      </w:pPr>
      <w:r>
        <w:t>Variations in the statement are explained in the notes above.</w:t>
      </w:r>
    </w:p>
    <w:sectPr w:rsidR="00AD3A57" w:rsidSect="00D02E79">
      <w:footerReference w:type="default" r:id="rId11"/>
      <w:pgSz w:w="11907" w:h="16840" w:code="9"/>
      <w:pgMar w:top="1151" w:right="1440" w:bottom="1729" w:left="1440" w:header="720" w:footer="720" w:gutter="0"/>
      <w:pgNumType w:start="35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70" w:rsidRDefault="00F83A70">
      <w:r>
        <w:separator/>
      </w:r>
    </w:p>
  </w:endnote>
  <w:endnote w:type="continuationSeparator" w:id="0">
    <w:p w:rsidR="00F83A70" w:rsidRDefault="00F83A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A70" w:rsidRDefault="00F83A70" w:rsidP="00E772CC">
    <w:pPr>
      <w:pStyle w:val="FooterBP"/>
    </w:pPr>
    <w:r>
      <w:t>2013</w:t>
    </w:r>
    <w:r>
      <w:noBreakHyphen/>
      <w:t>14 Budget Paper No. 4</w:t>
    </w:r>
    <w:r w:rsidRPr="00DB37E9">
      <w:rPr>
        <w:sz w:val="18"/>
        <w:szCs w:val="18"/>
      </w:rPr>
      <w:tab/>
    </w:r>
    <w:r w:rsidR="00F9785F" w:rsidRPr="00D02E79">
      <w:rPr>
        <w:sz w:val="18"/>
        <w:szCs w:val="18"/>
      </w:rPr>
      <w:fldChar w:fldCharType="begin"/>
    </w:r>
    <w:r w:rsidR="00D02E79" w:rsidRPr="00D02E79">
      <w:rPr>
        <w:sz w:val="18"/>
        <w:szCs w:val="18"/>
      </w:rPr>
      <w:instrText xml:space="preserve"> PAGE   \* MERGEFORMAT </w:instrText>
    </w:r>
    <w:r w:rsidR="00F9785F" w:rsidRPr="00D02E79">
      <w:rPr>
        <w:sz w:val="18"/>
        <w:szCs w:val="18"/>
      </w:rPr>
      <w:fldChar w:fldCharType="separate"/>
    </w:r>
    <w:r w:rsidR="00C6185C">
      <w:rPr>
        <w:noProof/>
        <w:sz w:val="18"/>
        <w:szCs w:val="18"/>
      </w:rPr>
      <w:t>355</w:t>
    </w:r>
    <w:r w:rsidR="00F9785F" w:rsidRPr="00D02E79">
      <w:rPr>
        <w:sz w:val="18"/>
        <w:szCs w:val="18"/>
      </w:rPr>
      <w:fldChar w:fldCharType="end"/>
    </w:r>
    <w:r>
      <w:tab/>
      <w:t>Housing 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70" w:rsidRDefault="00F83A70">
      <w:r>
        <w:separator/>
      </w:r>
    </w:p>
  </w:footnote>
  <w:footnote w:type="continuationSeparator" w:id="0">
    <w:p w:rsidR="00F83A70" w:rsidRDefault="00F83A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46631E7"/>
    <w:multiLevelType w:val="hybridMultilevel"/>
    <w:tmpl w:val="59628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B4B315D"/>
    <w:multiLevelType w:val="multilevel"/>
    <w:tmpl w:val="4BD6E9D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5">
    <w:nsid w:val="224E3BDC"/>
    <w:multiLevelType w:val="hybridMultilevel"/>
    <w:tmpl w:val="F1A04546"/>
    <w:lvl w:ilvl="0" w:tplc="1ADCAE7E">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C2343E1"/>
    <w:multiLevelType w:val="hybridMultilevel"/>
    <w:tmpl w:val="48D6C326"/>
    <w:lvl w:ilvl="0" w:tplc="E0604598">
      <w:numFmt w:val="bullet"/>
      <w:lvlText w:val="-"/>
      <w:lvlJc w:val="left"/>
      <w:pPr>
        <w:ind w:left="405" w:hanging="360"/>
      </w:pPr>
      <w:rPr>
        <w:rFonts w:ascii="Calibri" w:eastAsia="Times New Roman" w:hAnsi="Calibri"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7">
    <w:nsid w:val="4950581C"/>
    <w:multiLevelType w:val="hybridMultilevel"/>
    <w:tmpl w:val="D702001C"/>
    <w:lvl w:ilvl="0" w:tplc="4C9C7AD6">
      <w:start w:val="1"/>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nsid w:val="735141C2"/>
    <w:multiLevelType w:val="hybridMultilevel"/>
    <w:tmpl w:val="EB1E7E4C"/>
    <w:lvl w:ilvl="0" w:tplc="FFFFFFFF">
      <w:start w:val="1"/>
      <w:numFmt w:val="decimal"/>
      <w:pStyle w:val="AINotes"/>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F1B0FA6"/>
    <w:multiLevelType w:val="hybridMultilevel"/>
    <w:tmpl w:val="85E05738"/>
    <w:lvl w:ilvl="0" w:tplc="1A02202E">
      <w:start w:val="1"/>
      <w:numFmt w:val="lowerLetter"/>
      <w:pStyle w:val="Tabletextindenta"/>
      <w:lvlText w:val="%1."/>
      <w:lvlJc w:val="left"/>
      <w:pPr>
        <w:tabs>
          <w:tab w:val="num" w:pos="360"/>
        </w:tabs>
        <w:ind w:left="357" w:hanging="357"/>
      </w:pPr>
      <w:rPr>
        <w:rFonts w:hint="default"/>
      </w:rPr>
    </w:lvl>
    <w:lvl w:ilvl="1" w:tplc="DA127982" w:tentative="1">
      <w:start w:val="1"/>
      <w:numFmt w:val="lowerLetter"/>
      <w:lvlText w:val="%2."/>
      <w:lvlJc w:val="left"/>
      <w:pPr>
        <w:tabs>
          <w:tab w:val="num" w:pos="1440"/>
        </w:tabs>
        <w:ind w:left="1440" w:hanging="360"/>
      </w:pPr>
    </w:lvl>
    <w:lvl w:ilvl="2" w:tplc="E182C63C" w:tentative="1">
      <w:start w:val="1"/>
      <w:numFmt w:val="lowerRoman"/>
      <w:lvlText w:val="%3."/>
      <w:lvlJc w:val="right"/>
      <w:pPr>
        <w:tabs>
          <w:tab w:val="num" w:pos="2160"/>
        </w:tabs>
        <w:ind w:left="2160" w:hanging="180"/>
      </w:pPr>
    </w:lvl>
    <w:lvl w:ilvl="3" w:tplc="A5E82E16" w:tentative="1">
      <w:start w:val="1"/>
      <w:numFmt w:val="decimal"/>
      <w:lvlText w:val="%4."/>
      <w:lvlJc w:val="left"/>
      <w:pPr>
        <w:tabs>
          <w:tab w:val="num" w:pos="2880"/>
        </w:tabs>
        <w:ind w:left="2880" w:hanging="360"/>
      </w:pPr>
    </w:lvl>
    <w:lvl w:ilvl="4" w:tplc="82766CFA" w:tentative="1">
      <w:start w:val="1"/>
      <w:numFmt w:val="lowerLetter"/>
      <w:lvlText w:val="%5."/>
      <w:lvlJc w:val="left"/>
      <w:pPr>
        <w:tabs>
          <w:tab w:val="num" w:pos="3600"/>
        </w:tabs>
        <w:ind w:left="3600" w:hanging="360"/>
      </w:pPr>
    </w:lvl>
    <w:lvl w:ilvl="5" w:tplc="2ACADF74" w:tentative="1">
      <w:start w:val="1"/>
      <w:numFmt w:val="lowerRoman"/>
      <w:lvlText w:val="%6."/>
      <w:lvlJc w:val="right"/>
      <w:pPr>
        <w:tabs>
          <w:tab w:val="num" w:pos="4320"/>
        </w:tabs>
        <w:ind w:left="4320" w:hanging="180"/>
      </w:pPr>
    </w:lvl>
    <w:lvl w:ilvl="6" w:tplc="0CF20064" w:tentative="1">
      <w:start w:val="1"/>
      <w:numFmt w:val="decimal"/>
      <w:lvlText w:val="%7."/>
      <w:lvlJc w:val="left"/>
      <w:pPr>
        <w:tabs>
          <w:tab w:val="num" w:pos="5040"/>
        </w:tabs>
        <w:ind w:left="5040" w:hanging="360"/>
      </w:pPr>
    </w:lvl>
    <w:lvl w:ilvl="7" w:tplc="6DCE0C30" w:tentative="1">
      <w:start w:val="1"/>
      <w:numFmt w:val="lowerLetter"/>
      <w:lvlText w:val="%8."/>
      <w:lvlJc w:val="left"/>
      <w:pPr>
        <w:tabs>
          <w:tab w:val="num" w:pos="5760"/>
        </w:tabs>
        <w:ind w:left="5760" w:hanging="360"/>
      </w:pPr>
    </w:lvl>
    <w:lvl w:ilvl="8" w:tplc="DACC5934"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3"/>
  </w:num>
  <w:num w:numId="8">
    <w:abstractNumId w:val="19"/>
  </w:num>
  <w:num w:numId="9">
    <w:abstractNumId w:val="21"/>
  </w:num>
  <w:num w:numId="10">
    <w:abstractNumId w:val="22"/>
  </w:num>
  <w:num w:numId="11">
    <w:abstractNumId w:val="10"/>
  </w:num>
  <w:num w:numId="12">
    <w:abstractNumId w:val="14"/>
  </w:num>
  <w:num w:numId="13">
    <w:abstractNumId w:val="1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24"/>
  </w:num>
  <w:num w:numId="27">
    <w:abstractNumId w:val="12"/>
  </w:num>
  <w:num w:numId="28">
    <w:abstractNumId w:val="21"/>
  </w:num>
  <w:num w:numId="29">
    <w:abstractNumId w:val="13"/>
  </w:num>
  <w:num w:numId="30">
    <w:abstractNumId w:val="21"/>
    <w:lvlOverride w:ilvl="0">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5"/>
  </w:num>
  <w:num w:numId="38">
    <w:abstractNumId w:val="15"/>
  </w:num>
  <w:num w:numId="39">
    <w:abstractNumId w:val="10"/>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16"/>
  </w:num>
  <w:num w:numId="45">
    <w:abstractNumId w:val="10"/>
  </w:num>
  <w:num w:numId="46">
    <w:abstractNumId w:val="10"/>
  </w:num>
  <w:num w:numId="47">
    <w:abstractNumId w:val="10"/>
  </w:num>
  <w:num w:numId="48">
    <w:abstractNumId w:val="10"/>
  </w:num>
  <w:num w:numId="49">
    <w:abstractNumId w:val="10"/>
  </w:num>
  <w:num w:numId="50">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rsids>
    <w:rsidRoot w:val="005F6AC5"/>
    <w:rsid w:val="00000A1B"/>
    <w:rsid w:val="00006557"/>
    <w:rsid w:val="00007913"/>
    <w:rsid w:val="000444E8"/>
    <w:rsid w:val="00056F08"/>
    <w:rsid w:val="00070844"/>
    <w:rsid w:val="00084D03"/>
    <w:rsid w:val="000951FF"/>
    <w:rsid w:val="000A0D96"/>
    <w:rsid w:val="000A596D"/>
    <w:rsid w:val="000B3702"/>
    <w:rsid w:val="000C366E"/>
    <w:rsid w:val="000C5A81"/>
    <w:rsid w:val="000D561A"/>
    <w:rsid w:val="000D583B"/>
    <w:rsid w:val="000D7EB1"/>
    <w:rsid w:val="000E6B49"/>
    <w:rsid w:val="000F670A"/>
    <w:rsid w:val="00100E5F"/>
    <w:rsid w:val="00105297"/>
    <w:rsid w:val="00114A8F"/>
    <w:rsid w:val="001236F4"/>
    <w:rsid w:val="00127FD3"/>
    <w:rsid w:val="001475DD"/>
    <w:rsid w:val="0015127F"/>
    <w:rsid w:val="001527FA"/>
    <w:rsid w:val="001543E1"/>
    <w:rsid w:val="00171477"/>
    <w:rsid w:val="001811A2"/>
    <w:rsid w:val="00193C37"/>
    <w:rsid w:val="001961EA"/>
    <w:rsid w:val="0019684B"/>
    <w:rsid w:val="001A447D"/>
    <w:rsid w:val="001A459D"/>
    <w:rsid w:val="001B1B71"/>
    <w:rsid w:val="001C077A"/>
    <w:rsid w:val="001C583E"/>
    <w:rsid w:val="001C7C21"/>
    <w:rsid w:val="001D3116"/>
    <w:rsid w:val="002164D6"/>
    <w:rsid w:val="00224E3B"/>
    <w:rsid w:val="00233FD6"/>
    <w:rsid w:val="00247C87"/>
    <w:rsid w:val="00265DAF"/>
    <w:rsid w:val="002720D2"/>
    <w:rsid w:val="0028042C"/>
    <w:rsid w:val="0028718D"/>
    <w:rsid w:val="0029396F"/>
    <w:rsid w:val="002A0E34"/>
    <w:rsid w:val="002B29FB"/>
    <w:rsid w:val="002B4218"/>
    <w:rsid w:val="002C1A82"/>
    <w:rsid w:val="002C51F8"/>
    <w:rsid w:val="002C57B7"/>
    <w:rsid w:val="002C6D16"/>
    <w:rsid w:val="002D3A7E"/>
    <w:rsid w:val="002D6866"/>
    <w:rsid w:val="002E5693"/>
    <w:rsid w:val="002F7FEF"/>
    <w:rsid w:val="003005A8"/>
    <w:rsid w:val="00306930"/>
    <w:rsid w:val="00312F4B"/>
    <w:rsid w:val="00317551"/>
    <w:rsid w:val="00342466"/>
    <w:rsid w:val="003467C3"/>
    <w:rsid w:val="00362397"/>
    <w:rsid w:val="003643CB"/>
    <w:rsid w:val="00382D2D"/>
    <w:rsid w:val="003924FE"/>
    <w:rsid w:val="003A45CD"/>
    <w:rsid w:val="003A76F4"/>
    <w:rsid w:val="003B7925"/>
    <w:rsid w:val="003F1E26"/>
    <w:rsid w:val="003F33F8"/>
    <w:rsid w:val="004036A2"/>
    <w:rsid w:val="00416A3F"/>
    <w:rsid w:val="00421CD9"/>
    <w:rsid w:val="00425524"/>
    <w:rsid w:val="004317EE"/>
    <w:rsid w:val="004336C3"/>
    <w:rsid w:val="0043649E"/>
    <w:rsid w:val="00445BC4"/>
    <w:rsid w:val="00464EB9"/>
    <w:rsid w:val="00465111"/>
    <w:rsid w:val="00467391"/>
    <w:rsid w:val="0047078C"/>
    <w:rsid w:val="00477595"/>
    <w:rsid w:val="0048520C"/>
    <w:rsid w:val="00491109"/>
    <w:rsid w:val="004917C0"/>
    <w:rsid w:val="004C123A"/>
    <w:rsid w:val="004E2CD7"/>
    <w:rsid w:val="004F6DF4"/>
    <w:rsid w:val="00500B2D"/>
    <w:rsid w:val="00535F21"/>
    <w:rsid w:val="00556722"/>
    <w:rsid w:val="00573958"/>
    <w:rsid w:val="00574854"/>
    <w:rsid w:val="005A0F90"/>
    <w:rsid w:val="005C1114"/>
    <w:rsid w:val="005D1ECA"/>
    <w:rsid w:val="005E03E2"/>
    <w:rsid w:val="005E18F5"/>
    <w:rsid w:val="005E357B"/>
    <w:rsid w:val="005F4A8E"/>
    <w:rsid w:val="005F6AC5"/>
    <w:rsid w:val="006167C0"/>
    <w:rsid w:val="00630DFA"/>
    <w:rsid w:val="00641685"/>
    <w:rsid w:val="0064555F"/>
    <w:rsid w:val="006521F2"/>
    <w:rsid w:val="00654AA4"/>
    <w:rsid w:val="0066271A"/>
    <w:rsid w:val="0068563D"/>
    <w:rsid w:val="006955FE"/>
    <w:rsid w:val="006A446B"/>
    <w:rsid w:val="006A53BB"/>
    <w:rsid w:val="006A79EE"/>
    <w:rsid w:val="006B40A0"/>
    <w:rsid w:val="006D03C4"/>
    <w:rsid w:val="006E7B5B"/>
    <w:rsid w:val="006F1A4D"/>
    <w:rsid w:val="00700A02"/>
    <w:rsid w:val="0071166B"/>
    <w:rsid w:val="00730B01"/>
    <w:rsid w:val="00735434"/>
    <w:rsid w:val="007454F3"/>
    <w:rsid w:val="007470DA"/>
    <w:rsid w:val="00747BB8"/>
    <w:rsid w:val="007574C5"/>
    <w:rsid w:val="00795E15"/>
    <w:rsid w:val="00796EEB"/>
    <w:rsid w:val="007A575E"/>
    <w:rsid w:val="007C101B"/>
    <w:rsid w:val="007C7654"/>
    <w:rsid w:val="007D4C1E"/>
    <w:rsid w:val="007E0612"/>
    <w:rsid w:val="007E18FA"/>
    <w:rsid w:val="007E3351"/>
    <w:rsid w:val="007E7F13"/>
    <w:rsid w:val="007F1E16"/>
    <w:rsid w:val="00810DFB"/>
    <w:rsid w:val="0082116B"/>
    <w:rsid w:val="008213AC"/>
    <w:rsid w:val="00843BEB"/>
    <w:rsid w:val="00864936"/>
    <w:rsid w:val="00866A0B"/>
    <w:rsid w:val="00875DF1"/>
    <w:rsid w:val="008807AC"/>
    <w:rsid w:val="00884EEC"/>
    <w:rsid w:val="00894591"/>
    <w:rsid w:val="008948A6"/>
    <w:rsid w:val="008A6137"/>
    <w:rsid w:val="008A6C44"/>
    <w:rsid w:val="008B341B"/>
    <w:rsid w:val="008D55E0"/>
    <w:rsid w:val="0090028B"/>
    <w:rsid w:val="00901674"/>
    <w:rsid w:val="00913C47"/>
    <w:rsid w:val="00916737"/>
    <w:rsid w:val="00917977"/>
    <w:rsid w:val="00920149"/>
    <w:rsid w:val="0092184F"/>
    <w:rsid w:val="00921951"/>
    <w:rsid w:val="00925159"/>
    <w:rsid w:val="00940D23"/>
    <w:rsid w:val="0094547D"/>
    <w:rsid w:val="00954585"/>
    <w:rsid w:val="00956E80"/>
    <w:rsid w:val="0096613C"/>
    <w:rsid w:val="00977CF2"/>
    <w:rsid w:val="00981576"/>
    <w:rsid w:val="009855C4"/>
    <w:rsid w:val="009B6326"/>
    <w:rsid w:val="009C1432"/>
    <w:rsid w:val="009D2849"/>
    <w:rsid w:val="009F52BE"/>
    <w:rsid w:val="009F6F1D"/>
    <w:rsid w:val="00A03176"/>
    <w:rsid w:val="00A07641"/>
    <w:rsid w:val="00A3433E"/>
    <w:rsid w:val="00A363C9"/>
    <w:rsid w:val="00A75C97"/>
    <w:rsid w:val="00A778BB"/>
    <w:rsid w:val="00A819C1"/>
    <w:rsid w:val="00A873E1"/>
    <w:rsid w:val="00A87B6B"/>
    <w:rsid w:val="00AA3688"/>
    <w:rsid w:val="00AB7AE6"/>
    <w:rsid w:val="00AD3A57"/>
    <w:rsid w:val="00AD5970"/>
    <w:rsid w:val="00AE2DFA"/>
    <w:rsid w:val="00AE3814"/>
    <w:rsid w:val="00AE4FB8"/>
    <w:rsid w:val="00AF4110"/>
    <w:rsid w:val="00B16F65"/>
    <w:rsid w:val="00B23440"/>
    <w:rsid w:val="00B275E0"/>
    <w:rsid w:val="00B32E6B"/>
    <w:rsid w:val="00B34F29"/>
    <w:rsid w:val="00B531A6"/>
    <w:rsid w:val="00B57A58"/>
    <w:rsid w:val="00B63F7F"/>
    <w:rsid w:val="00B73981"/>
    <w:rsid w:val="00B755D3"/>
    <w:rsid w:val="00B94365"/>
    <w:rsid w:val="00B948B0"/>
    <w:rsid w:val="00BA0954"/>
    <w:rsid w:val="00BD20CF"/>
    <w:rsid w:val="00BD6AC8"/>
    <w:rsid w:val="00BD6D06"/>
    <w:rsid w:val="00BE1790"/>
    <w:rsid w:val="00BF282A"/>
    <w:rsid w:val="00BF50EC"/>
    <w:rsid w:val="00BF7CA2"/>
    <w:rsid w:val="00C129A0"/>
    <w:rsid w:val="00C23380"/>
    <w:rsid w:val="00C2428D"/>
    <w:rsid w:val="00C245E6"/>
    <w:rsid w:val="00C40124"/>
    <w:rsid w:val="00C4482C"/>
    <w:rsid w:val="00C542F0"/>
    <w:rsid w:val="00C6185C"/>
    <w:rsid w:val="00C71559"/>
    <w:rsid w:val="00C87193"/>
    <w:rsid w:val="00C9625E"/>
    <w:rsid w:val="00CB5FE4"/>
    <w:rsid w:val="00CC2315"/>
    <w:rsid w:val="00CD5706"/>
    <w:rsid w:val="00CE14C9"/>
    <w:rsid w:val="00CE258D"/>
    <w:rsid w:val="00CF4EFF"/>
    <w:rsid w:val="00D02CD8"/>
    <w:rsid w:val="00D02E79"/>
    <w:rsid w:val="00D27B1C"/>
    <w:rsid w:val="00D34388"/>
    <w:rsid w:val="00D40934"/>
    <w:rsid w:val="00D50498"/>
    <w:rsid w:val="00D57B6B"/>
    <w:rsid w:val="00D62A7F"/>
    <w:rsid w:val="00D6704A"/>
    <w:rsid w:val="00D74B1E"/>
    <w:rsid w:val="00D930BD"/>
    <w:rsid w:val="00D948B1"/>
    <w:rsid w:val="00DA165A"/>
    <w:rsid w:val="00DA5159"/>
    <w:rsid w:val="00DA6F32"/>
    <w:rsid w:val="00DB7595"/>
    <w:rsid w:val="00DC4557"/>
    <w:rsid w:val="00DC48D3"/>
    <w:rsid w:val="00DC5B18"/>
    <w:rsid w:val="00DD1EA5"/>
    <w:rsid w:val="00DD2887"/>
    <w:rsid w:val="00DE7ADB"/>
    <w:rsid w:val="00DF0DA3"/>
    <w:rsid w:val="00DF619D"/>
    <w:rsid w:val="00DF64EF"/>
    <w:rsid w:val="00DF7F77"/>
    <w:rsid w:val="00E007DF"/>
    <w:rsid w:val="00E00C52"/>
    <w:rsid w:val="00E21C67"/>
    <w:rsid w:val="00E346BD"/>
    <w:rsid w:val="00E3476B"/>
    <w:rsid w:val="00E416C4"/>
    <w:rsid w:val="00E43F49"/>
    <w:rsid w:val="00E53A01"/>
    <w:rsid w:val="00E610A5"/>
    <w:rsid w:val="00E629EE"/>
    <w:rsid w:val="00E73B17"/>
    <w:rsid w:val="00E772CC"/>
    <w:rsid w:val="00E82936"/>
    <w:rsid w:val="00E83990"/>
    <w:rsid w:val="00E91166"/>
    <w:rsid w:val="00EA73E3"/>
    <w:rsid w:val="00EB133D"/>
    <w:rsid w:val="00EB3CBB"/>
    <w:rsid w:val="00EC1FF6"/>
    <w:rsid w:val="00EC3565"/>
    <w:rsid w:val="00EE0E18"/>
    <w:rsid w:val="00EE232B"/>
    <w:rsid w:val="00EE4527"/>
    <w:rsid w:val="00EF625F"/>
    <w:rsid w:val="00F07C75"/>
    <w:rsid w:val="00F1486F"/>
    <w:rsid w:val="00F3407D"/>
    <w:rsid w:val="00F556BA"/>
    <w:rsid w:val="00F56A7A"/>
    <w:rsid w:val="00F76C98"/>
    <w:rsid w:val="00F831E0"/>
    <w:rsid w:val="00F83A70"/>
    <w:rsid w:val="00F91ED1"/>
    <w:rsid w:val="00F96A6E"/>
    <w:rsid w:val="00F9785F"/>
    <w:rsid w:val="00FA3EE6"/>
    <w:rsid w:val="00FA67DB"/>
    <w:rsid w:val="00FD3AE5"/>
    <w:rsid w:val="00FD73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uiPriority="99" w:qFormat="1"/>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958"/>
    <w:rPr>
      <w:rFonts w:ascii="Calibri" w:hAnsi="Calibri"/>
      <w:sz w:val="24"/>
      <w:lang w:eastAsia="en-US"/>
    </w:rPr>
  </w:style>
  <w:style w:type="paragraph" w:styleId="Heading1">
    <w:name w:val="heading 1"/>
    <w:basedOn w:val="Normal"/>
    <w:next w:val="BodyText"/>
    <w:qFormat/>
    <w:rsid w:val="00573958"/>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573958"/>
    <w:pPr>
      <w:keepNext/>
      <w:spacing w:before="60" w:after="60"/>
      <w:jc w:val="center"/>
      <w:outlineLvl w:val="1"/>
    </w:pPr>
    <w:rPr>
      <w:b/>
      <w:snapToGrid w:val="0"/>
      <w:sz w:val="20"/>
    </w:rPr>
  </w:style>
  <w:style w:type="paragraph" w:styleId="Heading3">
    <w:name w:val="heading 3"/>
    <w:basedOn w:val="Normal"/>
    <w:next w:val="BodyText"/>
    <w:link w:val="Heading3Char"/>
    <w:qFormat/>
    <w:rsid w:val="00573958"/>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uiPriority w:val="99"/>
    <w:qFormat/>
    <w:rsid w:val="00573958"/>
    <w:pPr>
      <w:keepNext/>
      <w:keepLines/>
      <w:spacing w:before="240" w:after="120"/>
      <w:outlineLvl w:val="3"/>
    </w:pPr>
    <w:rPr>
      <w:i/>
    </w:rPr>
  </w:style>
  <w:style w:type="paragraph" w:styleId="Heading5">
    <w:name w:val="heading 5"/>
    <w:basedOn w:val="Normal"/>
    <w:next w:val="Normal"/>
    <w:autoRedefine/>
    <w:qFormat/>
    <w:rsid w:val="00573958"/>
    <w:pPr>
      <w:keepNext/>
      <w:numPr>
        <w:ilvl w:val="4"/>
        <w:numId w:val="14"/>
      </w:numPr>
      <w:outlineLvl w:val="4"/>
    </w:pPr>
    <w:rPr>
      <w:b/>
      <w:i/>
      <w:sz w:val="20"/>
    </w:rPr>
  </w:style>
  <w:style w:type="paragraph" w:styleId="Heading6">
    <w:name w:val="heading 6"/>
    <w:basedOn w:val="Normal"/>
    <w:next w:val="Normal"/>
    <w:qFormat/>
    <w:rsid w:val="00573958"/>
    <w:pPr>
      <w:keepNext/>
      <w:jc w:val="right"/>
      <w:outlineLvl w:val="5"/>
    </w:pPr>
    <w:rPr>
      <w:b/>
      <w:sz w:val="20"/>
    </w:rPr>
  </w:style>
  <w:style w:type="paragraph" w:styleId="Heading7">
    <w:name w:val="heading 7"/>
    <w:basedOn w:val="Normal"/>
    <w:next w:val="Normal"/>
    <w:link w:val="Heading7Char"/>
    <w:qFormat/>
    <w:rsid w:val="00573958"/>
    <w:pPr>
      <w:keepNext/>
      <w:ind w:left="159" w:hanging="159"/>
      <w:outlineLvl w:val="6"/>
    </w:pPr>
    <w:rPr>
      <w:b/>
      <w:sz w:val="20"/>
    </w:rPr>
  </w:style>
  <w:style w:type="paragraph" w:styleId="Heading8">
    <w:name w:val="heading 8"/>
    <w:basedOn w:val="Normal"/>
    <w:next w:val="Normal"/>
    <w:qFormat/>
    <w:rsid w:val="00573958"/>
    <w:pPr>
      <w:keepNext/>
      <w:numPr>
        <w:ilvl w:val="7"/>
        <w:numId w:val="14"/>
      </w:numPr>
      <w:outlineLvl w:val="7"/>
    </w:pPr>
    <w:rPr>
      <w:rFonts w:ascii="Arial" w:hAnsi="Arial"/>
      <w:b/>
      <w:snapToGrid w:val="0"/>
      <w:color w:val="000000"/>
      <w:sz w:val="20"/>
    </w:rPr>
  </w:style>
  <w:style w:type="paragraph" w:styleId="Heading9">
    <w:name w:val="heading 9"/>
    <w:basedOn w:val="Normal"/>
    <w:next w:val="Normal"/>
    <w:uiPriority w:val="99"/>
    <w:qFormat/>
    <w:rsid w:val="00573958"/>
    <w:pPr>
      <w:keepNext/>
      <w:numPr>
        <w:ilvl w:val="8"/>
        <w:numId w:val="14"/>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573958"/>
    <w:pPr>
      <w:keepNext/>
      <w:jc w:val="center"/>
    </w:pPr>
    <w:rPr>
      <w:b/>
      <w:sz w:val="20"/>
    </w:rPr>
  </w:style>
  <w:style w:type="character" w:customStyle="1" w:styleId="Heading3Char1">
    <w:name w:val="Heading 3 Char1"/>
    <w:basedOn w:val="DefaultParagraphFont"/>
    <w:link w:val="Heading3"/>
    <w:rsid w:val="005A0F90"/>
    <w:rPr>
      <w:rFonts w:ascii="Arial" w:hAnsi="Arial" w:cs="Arial"/>
      <w:b/>
      <w:bCs/>
      <w:sz w:val="24"/>
      <w:szCs w:val="26"/>
      <w:lang w:val="en-AU" w:eastAsia="en-US" w:bidi="ar-SA"/>
    </w:rPr>
  </w:style>
  <w:style w:type="paragraph" w:styleId="BodyText">
    <w:name w:val="Body Text"/>
    <w:basedOn w:val="Normal"/>
    <w:link w:val="BodyTextChar"/>
    <w:uiPriority w:val="99"/>
    <w:rsid w:val="00573958"/>
    <w:pPr>
      <w:keepNext/>
      <w:keepLines/>
      <w:spacing w:before="120" w:after="120"/>
      <w:jc w:val="both"/>
    </w:pPr>
  </w:style>
  <w:style w:type="paragraph" w:styleId="BodyTextIndent">
    <w:name w:val="Body Text Indent"/>
    <w:basedOn w:val="Normal"/>
    <w:next w:val="BodyText"/>
    <w:link w:val="BodyTextIndentChar"/>
    <w:rsid w:val="00573958"/>
    <w:pPr>
      <w:numPr>
        <w:numId w:val="1"/>
      </w:numPr>
      <w:spacing w:after="120"/>
      <w:jc w:val="both"/>
    </w:pPr>
    <w:rPr>
      <w:szCs w:val="24"/>
    </w:rPr>
  </w:style>
  <w:style w:type="paragraph" w:styleId="BodyTextIndent2">
    <w:name w:val="Body Text Indent 2"/>
    <w:basedOn w:val="Normal"/>
    <w:rsid w:val="00573958"/>
    <w:pPr>
      <w:keepNext/>
      <w:keepLines/>
      <w:numPr>
        <w:numId w:val="11"/>
      </w:numPr>
      <w:spacing w:after="120"/>
      <w:jc w:val="both"/>
    </w:pPr>
  </w:style>
  <w:style w:type="paragraph" w:styleId="BodyTextIndent3">
    <w:name w:val="Body Text Indent 3"/>
    <w:basedOn w:val="Normal"/>
    <w:rsid w:val="00573958"/>
    <w:pPr>
      <w:keepNext/>
      <w:keepLines/>
      <w:numPr>
        <w:numId w:val="12"/>
      </w:numPr>
      <w:tabs>
        <w:tab w:val="left" w:pos="1134"/>
      </w:tabs>
      <w:spacing w:after="120"/>
      <w:jc w:val="both"/>
    </w:pPr>
    <w:rPr>
      <w:szCs w:val="24"/>
    </w:rPr>
  </w:style>
  <w:style w:type="paragraph" w:customStyle="1" w:styleId="BodyTextIndent4">
    <w:name w:val="Body Text Indent 4"/>
    <w:basedOn w:val="BodyText"/>
    <w:next w:val="BodyText"/>
    <w:rsid w:val="00573958"/>
    <w:pPr>
      <w:numPr>
        <w:numId w:val="13"/>
      </w:numPr>
      <w:spacing w:before="0"/>
    </w:pPr>
  </w:style>
  <w:style w:type="paragraph" w:customStyle="1" w:styleId="SIHeading1">
    <w:name w:val="SI Heading 1"/>
    <w:basedOn w:val="Normal"/>
    <w:next w:val="BodyText"/>
    <w:uiPriority w:val="99"/>
    <w:rsid w:val="00573958"/>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uiPriority w:val="99"/>
    <w:rsid w:val="00573958"/>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573958"/>
    <w:pPr>
      <w:numPr>
        <w:numId w:val="26"/>
      </w:numPr>
      <w:spacing w:before="60"/>
    </w:pPr>
    <w:rPr>
      <w:kern w:val="16"/>
      <w:sz w:val="20"/>
      <w:szCs w:val="24"/>
    </w:rPr>
  </w:style>
  <w:style w:type="paragraph" w:customStyle="1" w:styleId="TableTextRightBold">
    <w:name w:val="Table Text Right Bold"/>
    <w:basedOn w:val="Normal"/>
    <w:rsid w:val="00573958"/>
    <w:pPr>
      <w:ind w:left="357" w:hanging="357"/>
      <w:jc w:val="right"/>
    </w:pPr>
    <w:rPr>
      <w:b/>
      <w:sz w:val="20"/>
    </w:rPr>
  </w:style>
  <w:style w:type="paragraph" w:customStyle="1" w:styleId="TableHeadingRight">
    <w:name w:val="Table Heading Right"/>
    <w:basedOn w:val="Normal"/>
    <w:rsid w:val="00573958"/>
    <w:pPr>
      <w:keepNext/>
      <w:jc w:val="right"/>
    </w:pPr>
    <w:rPr>
      <w:b/>
      <w:sz w:val="20"/>
      <w:szCs w:val="24"/>
    </w:rPr>
  </w:style>
  <w:style w:type="paragraph" w:customStyle="1" w:styleId="NoteText">
    <w:name w:val="Note Text"/>
    <w:basedOn w:val="Normal"/>
    <w:uiPriority w:val="99"/>
    <w:rsid w:val="00573958"/>
    <w:pPr>
      <w:jc w:val="both"/>
    </w:pPr>
    <w:rPr>
      <w:iCs/>
      <w:sz w:val="16"/>
    </w:rPr>
  </w:style>
  <w:style w:type="paragraph" w:styleId="Header">
    <w:name w:val="header"/>
    <w:basedOn w:val="Normal"/>
    <w:semiHidden/>
    <w:rsid w:val="00573958"/>
    <w:pPr>
      <w:tabs>
        <w:tab w:val="center" w:pos="4153"/>
        <w:tab w:val="right" w:pos="8306"/>
      </w:tabs>
    </w:pPr>
  </w:style>
  <w:style w:type="paragraph" w:customStyle="1" w:styleId="Noteheading">
    <w:name w:val="Note heading"/>
    <w:basedOn w:val="Normal"/>
    <w:autoRedefine/>
    <w:uiPriority w:val="99"/>
    <w:semiHidden/>
    <w:rsid w:val="00573958"/>
    <w:pPr>
      <w:spacing w:before="120"/>
      <w:ind w:left="28"/>
    </w:pPr>
    <w:rPr>
      <w:b/>
      <w:bCs/>
      <w:sz w:val="20"/>
    </w:rPr>
  </w:style>
  <w:style w:type="character" w:customStyle="1" w:styleId="BodyTextIndentChar1">
    <w:name w:val="Body Text Indent Char1"/>
    <w:basedOn w:val="DefaultParagraphFont"/>
    <w:link w:val="BodyTextIndent"/>
    <w:rsid w:val="005A0F90"/>
    <w:rPr>
      <w:sz w:val="24"/>
      <w:szCs w:val="24"/>
      <w:lang w:val="en-AU" w:eastAsia="en-US" w:bidi="ar-SA"/>
    </w:rPr>
  </w:style>
  <w:style w:type="paragraph" w:customStyle="1" w:styleId="TableHeadingLeft">
    <w:name w:val="Table Heading Left"/>
    <w:basedOn w:val="Normal"/>
    <w:link w:val="TableHeadingLeftChar"/>
    <w:rsid w:val="00573958"/>
    <w:pPr>
      <w:keepNext/>
    </w:pPr>
    <w:rPr>
      <w:b/>
      <w:sz w:val="20"/>
      <w:lang w:eastAsia="en-AU"/>
    </w:rPr>
  </w:style>
  <w:style w:type="paragraph" w:customStyle="1" w:styleId="TableTextRight">
    <w:name w:val="Table Text Right"/>
    <w:basedOn w:val="Normal"/>
    <w:rsid w:val="00573958"/>
    <w:pPr>
      <w:ind w:left="357" w:hanging="357"/>
      <w:jc w:val="right"/>
    </w:pPr>
    <w:rPr>
      <w:sz w:val="20"/>
    </w:rPr>
  </w:style>
  <w:style w:type="paragraph" w:customStyle="1" w:styleId="TableTextLeftBold">
    <w:name w:val="Table Text Left Bold"/>
    <w:basedOn w:val="Normal"/>
    <w:link w:val="TableTextLeftBoldChar"/>
    <w:rsid w:val="00573958"/>
    <w:pPr>
      <w:ind w:left="357" w:hanging="357"/>
    </w:pPr>
    <w:rPr>
      <w:b/>
      <w:sz w:val="20"/>
    </w:rPr>
  </w:style>
  <w:style w:type="paragraph" w:customStyle="1" w:styleId="TableTextLeft">
    <w:name w:val="Table Text Left"/>
    <w:basedOn w:val="Normal"/>
    <w:rsid w:val="00573958"/>
    <w:pPr>
      <w:ind w:left="357" w:hanging="357"/>
    </w:pPr>
    <w:rPr>
      <w:sz w:val="20"/>
      <w:szCs w:val="18"/>
    </w:rPr>
  </w:style>
  <w:style w:type="paragraph" w:customStyle="1" w:styleId="TableNumbersRight">
    <w:name w:val="Table Numbers Right"/>
    <w:basedOn w:val="TableHeadingRight"/>
    <w:rsid w:val="00573958"/>
    <w:rPr>
      <w:b w:val="0"/>
    </w:rPr>
  </w:style>
  <w:style w:type="character" w:customStyle="1" w:styleId="TableHeadingLeftChar">
    <w:name w:val="Table Heading Left Char"/>
    <w:basedOn w:val="DefaultParagraphFont"/>
    <w:link w:val="TableHeadingLeft"/>
    <w:rsid w:val="005A0F90"/>
    <w:rPr>
      <w:rFonts w:ascii="Calibri" w:hAnsi="Calibri"/>
      <w:b/>
    </w:rPr>
  </w:style>
  <w:style w:type="paragraph" w:customStyle="1" w:styleId="FooterBP">
    <w:name w:val="Footer BP"/>
    <w:basedOn w:val="Normal"/>
    <w:next w:val="Normal"/>
    <w:rsid w:val="00573958"/>
    <w:pPr>
      <w:pBdr>
        <w:top w:val="single" w:sz="4" w:space="1" w:color="auto"/>
      </w:pBdr>
      <w:tabs>
        <w:tab w:val="center" w:pos="4536"/>
        <w:tab w:val="right" w:pos="9356"/>
      </w:tabs>
      <w:ind w:left="-284" w:right="-329"/>
    </w:pPr>
    <w:rPr>
      <w:i/>
      <w:sz w:val="20"/>
    </w:rPr>
  </w:style>
  <w:style w:type="paragraph" w:styleId="Footer">
    <w:name w:val="footer"/>
    <w:basedOn w:val="Normal"/>
    <w:link w:val="FooterChar"/>
    <w:uiPriority w:val="99"/>
    <w:rsid w:val="00573958"/>
    <w:pPr>
      <w:tabs>
        <w:tab w:val="center" w:pos="4153"/>
        <w:tab w:val="right" w:pos="8306"/>
      </w:tabs>
    </w:pPr>
  </w:style>
  <w:style w:type="character" w:customStyle="1" w:styleId="TableTextLeftBoldChar">
    <w:name w:val="Table Text Left Bold Char"/>
    <w:basedOn w:val="DefaultParagraphFont"/>
    <w:link w:val="TableTextLeftBold"/>
    <w:rsid w:val="005A0F90"/>
    <w:rPr>
      <w:rFonts w:ascii="Calibri" w:hAnsi="Calibri"/>
      <w:b/>
      <w:lang w:eastAsia="en-US"/>
    </w:rPr>
  </w:style>
  <w:style w:type="paragraph" w:customStyle="1" w:styleId="Heading3TopofPage">
    <w:name w:val="Heading 3 Top of Page"/>
    <w:basedOn w:val="Heading3"/>
    <w:next w:val="BodyText"/>
    <w:uiPriority w:val="99"/>
    <w:rsid w:val="00573958"/>
    <w:pPr>
      <w:spacing w:before="0"/>
    </w:pPr>
    <w:rPr>
      <w:rFonts w:cs="Times New Roman"/>
      <w:lang w:eastAsia="en-AU"/>
    </w:rPr>
  </w:style>
  <w:style w:type="paragraph" w:customStyle="1" w:styleId="Heading3Centred">
    <w:name w:val="Heading 3 Centred"/>
    <w:basedOn w:val="Heading3"/>
    <w:next w:val="BodyText"/>
    <w:uiPriority w:val="99"/>
    <w:rsid w:val="00573958"/>
    <w:pPr>
      <w:spacing w:before="0"/>
      <w:jc w:val="center"/>
    </w:pPr>
    <w:rPr>
      <w:rFonts w:cs="Times New Roman"/>
      <w:lang w:eastAsia="en-AU"/>
    </w:rPr>
  </w:style>
  <w:style w:type="numbering" w:styleId="ArticleSection">
    <w:name w:val="Outline List 3"/>
    <w:basedOn w:val="NoList"/>
    <w:semiHidden/>
    <w:rsid w:val="00573958"/>
    <w:pPr>
      <w:numPr>
        <w:numId w:val="10"/>
      </w:numPr>
    </w:pPr>
  </w:style>
  <w:style w:type="paragraph" w:styleId="BodyText2">
    <w:name w:val="Body Text 2"/>
    <w:basedOn w:val="Normal"/>
    <w:semiHidden/>
    <w:rsid w:val="00573958"/>
    <w:pPr>
      <w:spacing w:after="120" w:line="480" w:lineRule="auto"/>
    </w:pPr>
  </w:style>
  <w:style w:type="paragraph" w:customStyle="1" w:styleId="SinglePara">
    <w:name w:val="Single Para"/>
    <w:basedOn w:val="Normal"/>
    <w:semiHidden/>
    <w:rsid w:val="00573958"/>
  </w:style>
  <w:style w:type="paragraph" w:customStyle="1" w:styleId="xl25">
    <w:name w:val="xl25"/>
    <w:basedOn w:val="Normal"/>
    <w:semiHidden/>
    <w:rsid w:val="00573958"/>
    <w:pPr>
      <w:spacing w:before="100" w:beforeAutospacing="1" w:after="100" w:afterAutospacing="1"/>
    </w:pPr>
    <w:rPr>
      <w:rFonts w:eastAsia="Arial Unicode MS"/>
      <w:sz w:val="18"/>
      <w:szCs w:val="18"/>
    </w:rPr>
  </w:style>
  <w:style w:type="paragraph" w:styleId="PlainText">
    <w:name w:val="Plain Text"/>
    <w:basedOn w:val="Normal"/>
    <w:semiHidden/>
    <w:rsid w:val="00573958"/>
    <w:rPr>
      <w:sz w:val="20"/>
      <w:lang w:val="en-US"/>
    </w:rPr>
  </w:style>
  <w:style w:type="paragraph" w:styleId="BalloonText">
    <w:name w:val="Balloon Text"/>
    <w:basedOn w:val="Normal"/>
    <w:semiHidden/>
    <w:rsid w:val="00573958"/>
    <w:rPr>
      <w:rFonts w:ascii="Tahoma" w:hAnsi="Tahoma" w:cs="Tahoma"/>
      <w:sz w:val="16"/>
      <w:szCs w:val="16"/>
    </w:rPr>
  </w:style>
  <w:style w:type="paragraph" w:customStyle="1" w:styleId="Sub-Heading">
    <w:name w:val="Sub-Heading"/>
    <w:basedOn w:val="Normal"/>
    <w:next w:val="BodyText"/>
    <w:rsid w:val="00573958"/>
    <w:pPr>
      <w:keepNext/>
      <w:spacing w:before="240" w:after="120"/>
      <w:outlineLvl w:val="0"/>
    </w:pPr>
    <w:rPr>
      <w:rFonts w:ascii="Arial" w:hAnsi="Arial"/>
      <w:i/>
    </w:rPr>
  </w:style>
  <w:style w:type="paragraph" w:customStyle="1" w:styleId="Sub-Heading2">
    <w:name w:val="Sub-Heading 2"/>
    <w:basedOn w:val="BodyText"/>
    <w:semiHidden/>
    <w:rsid w:val="00573958"/>
    <w:rPr>
      <w:i/>
    </w:rPr>
  </w:style>
  <w:style w:type="paragraph" w:customStyle="1" w:styleId="TableName">
    <w:name w:val="Table Name"/>
    <w:basedOn w:val="Normal"/>
    <w:rsid w:val="00573958"/>
    <w:pPr>
      <w:keepNext/>
      <w:keepLines/>
      <w:spacing w:after="120"/>
      <w:jc w:val="center"/>
    </w:pPr>
    <w:rPr>
      <w:rFonts w:ascii="Arial" w:hAnsi="Arial"/>
      <w:b/>
      <w:sz w:val="20"/>
    </w:rPr>
  </w:style>
  <w:style w:type="paragraph" w:customStyle="1" w:styleId="AIblurb">
    <w:name w:val="AI blurb"/>
    <w:basedOn w:val="Normal"/>
    <w:rsid w:val="00573958"/>
    <w:pPr>
      <w:spacing w:before="120" w:after="240"/>
      <w:ind w:left="380"/>
      <w:jc w:val="both"/>
    </w:pPr>
    <w:rPr>
      <w:sz w:val="20"/>
    </w:rPr>
  </w:style>
  <w:style w:type="paragraph" w:styleId="BodyText3">
    <w:name w:val="Body Text 3"/>
    <w:basedOn w:val="Normal"/>
    <w:semiHidden/>
    <w:rsid w:val="00573958"/>
    <w:pPr>
      <w:spacing w:after="120"/>
    </w:pPr>
    <w:rPr>
      <w:sz w:val="16"/>
      <w:szCs w:val="16"/>
    </w:rPr>
  </w:style>
  <w:style w:type="paragraph" w:customStyle="1" w:styleId="AINotes">
    <w:name w:val="AI Notes"/>
    <w:basedOn w:val="Normal"/>
    <w:link w:val="AINotesChar"/>
    <w:rsid w:val="00573958"/>
    <w:pPr>
      <w:numPr>
        <w:numId w:val="9"/>
      </w:numPr>
      <w:jc w:val="both"/>
    </w:pPr>
    <w:rPr>
      <w:sz w:val="16"/>
    </w:rPr>
  </w:style>
  <w:style w:type="paragraph" w:customStyle="1" w:styleId="n">
    <w:name w:val="n"/>
    <w:basedOn w:val="Normal"/>
    <w:semiHidden/>
    <w:rsid w:val="00573958"/>
    <w:pPr>
      <w:jc w:val="both"/>
    </w:pPr>
    <w:rPr>
      <w:sz w:val="16"/>
      <w:szCs w:val="24"/>
    </w:rPr>
  </w:style>
  <w:style w:type="paragraph" w:customStyle="1" w:styleId="Notes">
    <w:name w:val="Notes"/>
    <w:basedOn w:val="Normal"/>
    <w:rsid w:val="00573958"/>
    <w:pPr>
      <w:spacing w:before="120"/>
      <w:ind w:left="28"/>
    </w:pPr>
    <w:rPr>
      <w:b/>
      <w:sz w:val="20"/>
      <w:szCs w:val="24"/>
    </w:rPr>
  </w:style>
  <w:style w:type="numbering" w:styleId="1ai">
    <w:name w:val="Outline List 1"/>
    <w:basedOn w:val="NoList"/>
    <w:semiHidden/>
    <w:rsid w:val="00573958"/>
    <w:pPr>
      <w:numPr>
        <w:numId w:val="8"/>
      </w:numPr>
    </w:pPr>
  </w:style>
  <w:style w:type="numbering" w:styleId="111111">
    <w:name w:val="Outline List 2"/>
    <w:basedOn w:val="NoList"/>
    <w:semiHidden/>
    <w:rsid w:val="00573958"/>
    <w:pPr>
      <w:numPr>
        <w:numId w:val="7"/>
      </w:numPr>
    </w:pPr>
  </w:style>
  <w:style w:type="paragraph" w:styleId="BlockText">
    <w:name w:val="Block Text"/>
    <w:basedOn w:val="Normal"/>
    <w:semiHidden/>
    <w:rsid w:val="00573958"/>
    <w:pPr>
      <w:spacing w:after="120"/>
      <w:ind w:left="1440" w:right="1440"/>
    </w:pPr>
  </w:style>
  <w:style w:type="paragraph" w:styleId="BodyTextFirstIndent">
    <w:name w:val="Body Text First Indent"/>
    <w:basedOn w:val="BodyText"/>
    <w:semiHidden/>
    <w:rsid w:val="00573958"/>
    <w:pPr>
      <w:spacing w:before="0"/>
      <w:ind w:firstLine="210"/>
      <w:jc w:val="left"/>
    </w:pPr>
  </w:style>
  <w:style w:type="paragraph" w:styleId="BodyTextFirstIndent2">
    <w:name w:val="Body Text First Indent 2"/>
    <w:basedOn w:val="BodyTextIndent"/>
    <w:semiHidden/>
    <w:rsid w:val="00573958"/>
    <w:pPr>
      <w:numPr>
        <w:numId w:val="0"/>
      </w:numPr>
      <w:ind w:left="283" w:firstLine="210"/>
      <w:jc w:val="left"/>
    </w:pPr>
  </w:style>
  <w:style w:type="paragraph" w:styleId="Closing">
    <w:name w:val="Closing"/>
    <w:basedOn w:val="Normal"/>
    <w:semiHidden/>
    <w:rsid w:val="00573958"/>
    <w:pPr>
      <w:ind w:left="4252"/>
    </w:pPr>
  </w:style>
  <w:style w:type="paragraph" w:styleId="Date">
    <w:name w:val="Date"/>
    <w:basedOn w:val="Normal"/>
    <w:next w:val="Normal"/>
    <w:semiHidden/>
    <w:rsid w:val="00573958"/>
  </w:style>
  <w:style w:type="paragraph" w:styleId="E-mailSignature">
    <w:name w:val="E-mail Signature"/>
    <w:basedOn w:val="Normal"/>
    <w:semiHidden/>
    <w:rsid w:val="00573958"/>
  </w:style>
  <w:style w:type="character" w:styleId="Emphasis">
    <w:name w:val="Emphasis"/>
    <w:basedOn w:val="DefaultParagraphFont"/>
    <w:qFormat/>
    <w:rsid w:val="00573958"/>
    <w:rPr>
      <w:rFonts w:ascii="Calibri" w:hAnsi="Calibri"/>
      <w:i/>
      <w:iCs/>
    </w:rPr>
  </w:style>
  <w:style w:type="paragraph" w:styleId="EnvelopeAddress">
    <w:name w:val="envelope address"/>
    <w:basedOn w:val="Normal"/>
    <w:semiHidden/>
    <w:rsid w:val="00573958"/>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573958"/>
    <w:rPr>
      <w:rFonts w:ascii="Arial" w:hAnsi="Arial" w:cs="Arial"/>
      <w:sz w:val="20"/>
    </w:rPr>
  </w:style>
  <w:style w:type="character" w:styleId="FollowedHyperlink">
    <w:name w:val="FollowedHyperlink"/>
    <w:basedOn w:val="DefaultParagraphFont"/>
    <w:semiHidden/>
    <w:rsid w:val="00573958"/>
    <w:rPr>
      <w:color w:val="800080"/>
      <w:u w:val="single"/>
    </w:rPr>
  </w:style>
  <w:style w:type="character" w:styleId="HTMLAcronym">
    <w:name w:val="HTML Acronym"/>
    <w:basedOn w:val="DefaultParagraphFont"/>
    <w:semiHidden/>
    <w:rsid w:val="00573958"/>
  </w:style>
  <w:style w:type="paragraph" w:styleId="HTMLAddress">
    <w:name w:val="HTML Address"/>
    <w:basedOn w:val="Normal"/>
    <w:semiHidden/>
    <w:rsid w:val="00573958"/>
    <w:rPr>
      <w:i/>
      <w:iCs/>
    </w:rPr>
  </w:style>
  <w:style w:type="character" w:styleId="HTMLCite">
    <w:name w:val="HTML Cite"/>
    <w:basedOn w:val="DefaultParagraphFont"/>
    <w:semiHidden/>
    <w:rsid w:val="00573958"/>
    <w:rPr>
      <w:i/>
      <w:iCs/>
    </w:rPr>
  </w:style>
  <w:style w:type="character" w:styleId="HTMLCode">
    <w:name w:val="HTML Code"/>
    <w:basedOn w:val="DefaultParagraphFont"/>
    <w:semiHidden/>
    <w:rsid w:val="00573958"/>
    <w:rPr>
      <w:rFonts w:ascii="Courier New" w:hAnsi="Courier New" w:cs="Courier New"/>
      <w:sz w:val="20"/>
      <w:szCs w:val="20"/>
    </w:rPr>
  </w:style>
  <w:style w:type="character" w:styleId="HTMLDefinition">
    <w:name w:val="HTML Definition"/>
    <w:basedOn w:val="DefaultParagraphFont"/>
    <w:semiHidden/>
    <w:rsid w:val="00573958"/>
    <w:rPr>
      <w:i/>
      <w:iCs/>
    </w:rPr>
  </w:style>
  <w:style w:type="character" w:styleId="HTMLKeyboard">
    <w:name w:val="HTML Keyboard"/>
    <w:basedOn w:val="DefaultParagraphFont"/>
    <w:semiHidden/>
    <w:rsid w:val="00573958"/>
    <w:rPr>
      <w:rFonts w:ascii="Courier New" w:hAnsi="Courier New" w:cs="Courier New"/>
      <w:sz w:val="20"/>
      <w:szCs w:val="20"/>
    </w:rPr>
  </w:style>
  <w:style w:type="paragraph" w:styleId="HTMLPreformatted">
    <w:name w:val="HTML Preformatted"/>
    <w:basedOn w:val="Normal"/>
    <w:semiHidden/>
    <w:rsid w:val="00573958"/>
    <w:rPr>
      <w:rFonts w:ascii="Courier New" w:hAnsi="Courier New" w:cs="Courier New"/>
      <w:sz w:val="20"/>
    </w:rPr>
  </w:style>
  <w:style w:type="character" w:styleId="HTMLSample">
    <w:name w:val="HTML Sample"/>
    <w:basedOn w:val="DefaultParagraphFont"/>
    <w:semiHidden/>
    <w:rsid w:val="00573958"/>
    <w:rPr>
      <w:rFonts w:ascii="Courier New" w:hAnsi="Courier New" w:cs="Courier New"/>
    </w:rPr>
  </w:style>
  <w:style w:type="character" w:styleId="HTMLTypewriter">
    <w:name w:val="HTML Typewriter"/>
    <w:basedOn w:val="DefaultParagraphFont"/>
    <w:semiHidden/>
    <w:rsid w:val="00573958"/>
    <w:rPr>
      <w:rFonts w:ascii="Courier New" w:hAnsi="Courier New" w:cs="Courier New"/>
      <w:sz w:val="20"/>
      <w:szCs w:val="20"/>
    </w:rPr>
  </w:style>
  <w:style w:type="character" w:styleId="HTMLVariable">
    <w:name w:val="HTML Variable"/>
    <w:basedOn w:val="DefaultParagraphFont"/>
    <w:semiHidden/>
    <w:rsid w:val="00573958"/>
    <w:rPr>
      <w:i/>
      <w:iCs/>
    </w:rPr>
  </w:style>
  <w:style w:type="character" w:styleId="Hyperlink">
    <w:name w:val="Hyperlink"/>
    <w:basedOn w:val="DefaultParagraphFont"/>
    <w:semiHidden/>
    <w:rsid w:val="00573958"/>
    <w:rPr>
      <w:color w:val="0000FF"/>
      <w:u w:val="single"/>
    </w:rPr>
  </w:style>
  <w:style w:type="character" w:styleId="LineNumber">
    <w:name w:val="line number"/>
    <w:basedOn w:val="DefaultParagraphFont"/>
    <w:semiHidden/>
    <w:rsid w:val="00573958"/>
  </w:style>
  <w:style w:type="paragraph" w:styleId="List">
    <w:name w:val="List"/>
    <w:basedOn w:val="Normal"/>
    <w:semiHidden/>
    <w:rsid w:val="00573958"/>
    <w:pPr>
      <w:ind w:left="283" w:hanging="283"/>
    </w:pPr>
  </w:style>
  <w:style w:type="paragraph" w:styleId="List2">
    <w:name w:val="List 2"/>
    <w:basedOn w:val="Normal"/>
    <w:semiHidden/>
    <w:rsid w:val="00573958"/>
    <w:pPr>
      <w:ind w:left="566" w:hanging="283"/>
    </w:pPr>
  </w:style>
  <w:style w:type="paragraph" w:styleId="List3">
    <w:name w:val="List 3"/>
    <w:basedOn w:val="Normal"/>
    <w:semiHidden/>
    <w:rsid w:val="00573958"/>
    <w:pPr>
      <w:ind w:left="849" w:hanging="283"/>
    </w:pPr>
  </w:style>
  <w:style w:type="paragraph" w:styleId="List4">
    <w:name w:val="List 4"/>
    <w:basedOn w:val="Normal"/>
    <w:semiHidden/>
    <w:rsid w:val="00573958"/>
    <w:pPr>
      <w:ind w:left="1132" w:hanging="283"/>
    </w:pPr>
  </w:style>
  <w:style w:type="paragraph" w:styleId="List5">
    <w:name w:val="List 5"/>
    <w:basedOn w:val="Normal"/>
    <w:semiHidden/>
    <w:rsid w:val="00573958"/>
    <w:pPr>
      <w:ind w:left="1415" w:hanging="283"/>
    </w:pPr>
  </w:style>
  <w:style w:type="paragraph" w:styleId="ListBullet">
    <w:name w:val="List Bullet"/>
    <w:basedOn w:val="Normal"/>
    <w:semiHidden/>
    <w:rsid w:val="00573958"/>
    <w:pPr>
      <w:numPr>
        <w:numId w:val="15"/>
      </w:numPr>
    </w:pPr>
  </w:style>
  <w:style w:type="paragraph" w:styleId="ListBullet2">
    <w:name w:val="List Bullet 2"/>
    <w:basedOn w:val="Normal"/>
    <w:semiHidden/>
    <w:rsid w:val="00573958"/>
    <w:pPr>
      <w:numPr>
        <w:numId w:val="16"/>
      </w:numPr>
    </w:pPr>
  </w:style>
  <w:style w:type="paragraph" w:styleId="ListBullet3">
    <w:name w:val="List Bullet 3"/>
    <w:basedOn w:val="Normal"/>
    <w:semiHidden/>
    <w:rsid w:val="00573958"/>
    <w:pPr>
      <w:numPr>
        <w:numId w:val="17"/>
      </w:numPr>
    </w:pPr>
  </w:style>
  <w:style w:type="paragraph" w:styleId="ListBullet4">
    <w:name w:val="List Bullet 4"/>
    <w:basedOn w:val="Normal"/>
    <w:semiHidden/>
    <w:rsid w:val="00573958"/>
    <w:pPr>
      <w:numPr>
        <w:numId w:val="18"/>
      </w:numPr>
    </w:pPr>
  </w:style>
  <w:style w:type="paragraph" w:styleId="ListBullet5">
    <w:name w:val="List Bullet 5"/>
    <w:basedOn w:val="Normal"/>
    <w:semiHidden/>
    <w:rsid w:val="00573958"/>
    <w:pPr>
      <w:numPr>
        <w:numId w:val="19"/>
      </w:numPr>
    </w:pPr>
  </w:style>
  <w:style w:type="paragraph" w:styleId="ListContinue">
    <w:name w:val="List Continue"/>
    <w:basedOn w:val="Normal"/>
    <w:semiHidden/>
    <w:rsid w:val="00573958"/>
    <w:pPr>
      <w:spacing w:after="120"/>
      <w:ind w:left="283"/>
    </w:pPr>
  </w:style>
  <w:style w:type="paragraph" w:styleId="ListContinue2">
    <w:name w:val="List Continue 2"/>
    <w:basedOn w:val="Normal"/>
    <w:semiHidden/>
    <w:rsid w:val="00573958"/>
    <w:pPr>
      <w:spacing w:after="120"/>
      <w:ind w:left="566"/>
    </w:pPr>
  </w:style>
  <w:style w:type="paragraph" w:styleId="ListContinue3">
    <w:name w:val="List Continue 3"/>
    <w:basedOn w:val="Normal"/>
    <w:semiHidden/>
    <w:rsid w:val="00573958"/>
    <w:pPr>
      <w:spacing w:after="120"/>
      <w:ind w:left="849"/>
    </w:pPr>
  </w:style>
  <w:style w:type="paragraph" w:styleId="ListContinue4">
    <w:name w:val="List Continue 4"/>
    <w:basedOn w:val="Normal"/>
    <w:semiHidden/>
    <w:rsid w:val="00573958"/>
    <w:pPr>
      <w:spacing w:after="120"/>
      <w:ind w:left="1132"/>
    </w:pPr>
  </w:style>
  <w:style w:type="paragraph" w:styleId="ListContinue5">
    <w:name w:val="List Continue 5"/>
    <w:basedOn w:val="Normal"/>
    <w:semiHidden/>
    <w:rsid w:val="00573958"/>
    <w:pPr>
      <w:spacing w:after="120"/>
      <w:ind w:left="1415"/>
    </w:pPr>
  </w:style>
  <w:style w:type="paragraph" w:styleId="ListNumber">
    <w:name w:val="List Number"/>
    <w:basedOn w:val="Normal"/>
    <w:semiHidden/>
    <w:rsid w:val="00573958"/>
    <w:pPr>
      <w:numPr>
        <w:numId w:val="20"/>
      </w:numPr>
    </w:pPr>
  </w:style>
  <w:style w:type="paragraph" w:styleId="ListNumber2">
    <w:name w:val="List Number 2"/>
    <w:basedOn w:val="Normal"/>
    <w:semiHidden/>
    <w:rsid w:val="00573958"/>
    <w:pPr>
      <w:numPr>
        <w:numId w:val="21"/>
      </w:numPr>
    </w:pPr>
  </w:style>
  <w:style w:type="paragraph" w:styleId="ListNumber3">
    <w:name w:val="List Number 3"/>
    <w:basedOn w:val="Normal"/>
    <w:semiHidden/>
    <w:rsid w:val="00573958"/>
    <w:pPr>
      <w:numPr>
        <w:numId w:val="22"/>
      </w:numPr>
    </w:pPr>
  </w:style>
  <w:style w:type="paragraph" w:styleId="ListNumber4">
    <w:name w:val="List Number 4"/>
    <w:basedOn w:val="Normal"/>
    <w:semiHidden/>
    <w:rsid w:val="00573958"/>
    <w:pPr>
      <w:numPr>
        <w:numId w:val="23"/>
      </w:numPr>
    </w:pPr>
  </w:style>
  <w:style w:type="paragraph" w:styleId="ListNumber5">
    <w:name w:val="List Number 5"/>
    <w:basedOn w:val="Normal"/>
    <w:semiHidden/>
    <w:rsid w:val="00573958"/>
    <w:pPr>
      <w:numPr>
        <w:numId w:val="24"/>
      </w:numPr>
    </w:pPr>
  </w:style>
  <w:style w:type="paragraph" w:styleId="MessageHeader">
    <w:name w:val="Message Header"/>
    <w:basedOn w:val="Normal"/>
    <w:semiHidden/>
    <w:rsid w:val="005739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573958"/>
    <w:rPr>
      <w:szCs w:val="24"/>
    </w:rPr>
  </w:style>
  <w:style w:type="paragraph" w:styleId="NormalIndent">
    <w:name w:val="Normal Indent"/>
    <w:basedOn w:val="Normal"/>
    <w:semiHidden/>
    <w:rsid w:val="00573958"/>
    <w:pPr>
      <w:ind w:left="720"/>
    </w:pPr>
  </w:style>
  <w:style w:type="character" w:styleId="PageNumber">
    <w:name w:val="page number"/>
    <w:basedOn w:val="DefaultParagraphFont"/>
    <w:semiHidden/>
    <w:rsid w:val="00573958"/>
  </w:style>
  <w:style w:type="paragraph" w:styleId="Salutation">
    <w:name w:val="Salutation"/>
    <w:basedOn w:val="Normal"/>
    <w:next w:val="Normal"/>
    <w:semiHidden/>
    <w:rsid w:val="00573958"/>
  </w:style>
  <w:style w:type="paragraph" w:styleId="Signature">
    <w:name w:val="Signature"/>
    <w:basedOn w:val="Normal"/>
    <w:semiHidden/>
    <w:rsid w:val="00573958"/>
    <w:pPr>
      <w:ind w:left="4252"/>
    </w:pPr>
  </w:style>
  <w:style w:type="character" w:styleId="Strong">
    <w:name w:val="Strong"/>
    <w:basedOn w:val="DefaultParagraphFont"/>
    <w:qFormat/>
    <w:rsid w:val="00573958"/>
    <w:rPr>
      <w:b/>
      <w:bCs/>
    </w:rPr>
  </w:style>
  <w:style w:type="paragraph" w:styleId="Subtitle">
    <w:name w:val="Subtitle"/>
    <w:basedOn w:val="Normal"/>
    <w:qFormat/>
    <w:rsid w:val="00573958"/>
    <w:pPr>
      <w:spacing w:after="60"/>
      <w:jc w:val="center"/>
      <w:outlineLvl w:val="1"/>
    </w:pPr>
    <w:rPr>
      <w:rFonts w:ascii="Arial" w:hAnsi="Arial" w:cs="Arial"/>
      <w:szCs w:val="24"/>
    </w:rPr>
  </w:style>
  <w:style w:type="table" w:styleId="Table3Deffects1">
    <w:name w:val="Table 3D effects 1"/>
    <w:basedOn w:val="TableNormal"/>
    <w:semiHidden/>
    <w:rsid w:val="0057395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7395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7395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739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739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7395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7395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7395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739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7395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7395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7395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7395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7395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7395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7395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7395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739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739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7395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7395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7395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7395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7395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7395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7395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7395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7395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7395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7395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7395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7395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7395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7395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739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7395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7395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7395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7395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7395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739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7395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7395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7395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573958"/>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573958"/>
    <w:pPr>
      <w:spacing w:before="120"/>
    </w:pPr>
    <w:rPr>
      <w:b/>
      <w:sz w:val="16"/>
    </w:rPr>
  </w:style>
  <w:style w:type="paragraph" w:customStyle="1" w:styleId="TableNumber">
    <w:name w:val="Table Number"/>
    <w:basedOn w:val="TableName"/>
    <w:next w:val="TableName"/>
    <w:rsid w:val="00573958"/>
    <w:pPr>
      <w:spacing w:before="60" w:after="0"/>
    </w:pPr>
  </w:style>
  <w:style w:type="paragraph" w:customStyle="1" w:styleId="TableTextIndent">
    <w:name w:val="Table Text Indent"/>
    <w:rsid w:val="00573958"/>
    <w:pPr>
      <w:numPr>
        <w:numId w:val="25"/>
      </w:numPr>
      <w:spacing w:before="60"/>
    </w:pPr>
    <w:rPr>
      <w:rFonts w:ascii="Calibri" w:hAnsi="Calibri"/>
      <w:szCs w:val="24"/>
      <w:lang w:eastAsia="en-US"/>
    </w:rPr>
  </w:style>
  <w:style w:type="character" w:customStyle="1" w:styleId="Heading3Char">
    <w:name w:val="Heading 3 Char"/>
    <w:basedOn w:val="DefaultParagraphFont"/>
    <w:link w:val="Heading3"/>
    <w:rsid w:val="005A0F90"/>
    <w:rPr>
      <w:rFonts w:ascii="Arial" w:hAnsi="Arial" w:cs="Arial"/>
      <w:b/>
      <w:bCs/>
      <w:sz w:val="24"/>
      <w:szCs w:val="26"/>
      <w:lang w:val="en-AU" w:eastAsia="en-US" w:bidi="ar-SA"/>
    </w:rPr>
  </w:style>
  <w:style w:type="character" w:customStyle="1" w:styleId="Heading7Char">
    <w:name w:val="Heading 7 Char"/>
    <w:basedOn w:val="DefaultParagraphFont"/>
    <w:link w:val="Heading7"/>
    <w:locked/>
    <w:rsid w:val="005A0F90"/>
    <w:rPr>
      <w:rFonts w:ascii="Calibri" w:hAnsi="Calibri"/>
      <w:b/>
      <w:lang w:eastAsia="en-US"/>
    </w:rPr>
  </w:style>
  <w:style w:type="paragraph" w:customStyle="1" w:styleId="TableTextLeftBold-BP410pt">
    <w:name w:val="Table Text Left Bold - BP4 10pt"/>
    <w:basedOn w:val="TableTextLeftBold-BP4"/>
    <w:rsid w:val="00573958"/>
    <w:rPr>
      <w:sz w:val="20"/>
    </w:rPr>
  </w:style>
  <w:style w:type="paragraph" w:customStyle="1" w:styleId="TableTextRight-BP410pt">
    <w:name w:val="Table Text Right - BP4 10pt"/>
    <w:basedOn w:val="TableTextRight-BP4"/>
    <w:rsid w:val="00573958"/>
    <w:rPr>
      <w:sz w:val="20"/>
    </w:rPr>
  </w:style>
  <w:style w:type="paragraph" w:customStyle="1" w:styleId="TableTextRightBold-BP410pt">
    <w:name w:val="Table Text Right Bold - BP4 10pt"/>
    <w:basedOn w:val="TableTextRightBold-BP4"/>
    <w:rsid w:val="00573958"/>
    <w:rPr>
      <w:sz w:val="20"/>
    </w:rPr>
  </w:style>
  <w:style w:type="character" w:customStyle="1" w:styleId="AINotesChar">
    <w:name w:val="AI Notes Char"/>
    <w:basedOn w:val="DefaultParagraphFont"/>
    <w:link w:val="AINotes"/>
    <w:rsid w:val="005A0F90"/>
    <w:rPr>
      <w:rFonts w:ascii="Calibri" w:hAnsi="Calibri"/>
      <w:sz w:val="16"/>
      <w:lang w:eastAsia="en-US"/>
    </w:rPr>
  </w:style>
  <w:style w:type="paragraph" w:styleId="DocumentMap">
    <w:name w:val="Document Map"/>
    <w:basedOn w:val="Normal"/>
    <w:semiHidden/>
    <w:rsid w:val="005A0F90"/>
    <w:pPr>
      <w:shd w:val="clear" w:color="auto" w:fill="000080"/>
    </w:pPr>
    <w:rPr>
      <w:rFonts w:ascii="Tahoma" w:hAnsi="Tahoma" w:cs="Tahoma"/>
      <w:sz w:val="20"/>
    </w:rPr>
  </w:style>
  <w:style w:type="paragraph" w:customStyle="1" w:styleId="TableHeadingCentre-BP410pt">
    <w:name w:val="Table Heading Centre - BP4 10pt"/>
    <w:basedOn w:val="TableHeadingCentre-BP4"/>
    <w:rsid w:val="00573958"/>
    <w:rPr>
      <w:sz w:val="20"/>
    </w:rPr>
  </w:style>
  <w:style w:type="paragraph" w:customStyle="1" w:styleId="AIBlurb0">
    <w:name w:val="AI Blurb"/>
    <w:basedOn w:val="Normal"/>
    <w:rsid w:val="005A0F90"/>
    <w:pPr>
      <w:spacing w:before="60" w:after="60"/>
      <w:ind w:left="380"/>
      <w:jc w:val="both"/>
    </w:pPr>
    <w:rPr>
      <w:sz w:val="20"/>
    </w:rPr>
  </w:style>
  <w:style w:type="paragraph" w:customStyle="1" w:styleId="TableText1">
    <w:name w:val="Table Text 1"/>
    <w:basedOn w:val="Normal"/>
    <w:rsid w:val="005A0F90"/>
    <w:rPr>
      <w:sz w:val="18"/>
      <w:lang w:eastAsia="en-AU"/>
    </w:rPr>
  </w:style>
  <w:style w:type="paragraph" w:customStyle="1" w:styleId="TableHeadingCentre-BP4">
    <w:name w:val="Table Heading Centre - BP4"/>
    <w:basedOn w:val="Normal"/>
    <w:rsid w:val="00573958"/>
    <w:pPr>
      <w:keepNext/>
      <w:jc w:val="center"/>
    </w:pPr>
    <w:rPr>
      <w:b/>
      <w:sz w:val="18"/>
    </w:rPr>
  </w:style>
  <w:style w:type="character" w:customStyle="1" w:styleId="BodyTextIndentChar">
    <w:name w:val="Body Text Indent Char"/>
    <w:basedOn w:val="DefaultParagraphFont"/>
    <w:link w:val="BodyTextIndent"/>
    <w:rsid w:val="00573958"/>
    <w:rPr>
      <w:rFonts w:ascii="Calibri" w:hAnsi="Calibri"/>
      <w:sz w:val="24"/>
      <w:szCs w:val="24"/>
      <w:lang w:eastAsia="en-US"/>
    </w:rPr>
  </w:style>
  <w:style w:type="paragraph" w:customStyle="1" w:styleId="TableHeadingRight-BP4">
    <w:name w:val="Table Heading Right - BP4"/>
    <w:basedOn w:val="Normal"/>
    <w:uiPriority w:val="99"/>
    <w:rsid w:val="00573958"/>
    <w:pPr>
      <w:keepNext/>
      <w:jc w:val="right"/>
    </w:pPr>
    <w:rPr>
      <w:b/>
      <w:sz w:val="18"/>
      <w:szCs w:val="24"/>
    </w:rPr>
  </w:style>
  <w:style w:type="paragraph" w:customStyle="1" w:styleId="TableHeadingLeft-BP4">
    <w:name w:val="Table Heading Left - BP4"/>
    <w:basedOn w:val="Normal"/>
    <w:link w:val="TableHeadingLeft-BP4CharChar"/>
    <w:uiPriority w:val="99"/>
    <w:rsid w:val="00573958"/>
    <w:pPr>
      <w:keepNext/>
    </w:pPr>
    <w:rPr>
      <w:b/>
      <w:sz w:val="18"/>
      <w:lang w:eastAsia="en-AU"/>
    </w:rPr>
  </w:style>
  <w:style w:type="character" w:customStyle="1" w:styleId="TableHeadingLeft-BP4CharChar">
    <w:name w:val="Table Heading Left - BP4 Char Char"/>
    <w:basedOn w:val="DefaultParagraphFont"/>
    <w:link w:val="TableHeadingLeft-BP4"/>
    <w:uiPriority w:val="99"/>
    <w:rsid w:val="005A0F90"/>
    <w:rPr>
      <w:rFonts w:ascii="Calibri" w:hAnsi="Calibri"/>
      <w:b/>
      <w:sz w:val="18"/>
    </w:rPr>
  </w:style>
  <w:style w:type="paragraph" w:customStyle="1" w:styleId="TableTextLeft-BP4">
    <w:name w:val="Table Text Left - BP4"/>
    <w:basedOn w:val="Normal"/>
    <w:uiPriority w:val="99"/>
    <w:rsid w:val="00573958"/>
    <w:pPr>
      <w:ind w:left="142" w:hanging="142"/>
    </w:pPr>
    <w:rPr>
      <w:sz w:val="18"/>
      <w:szCs w:val="18"/>
    </w:rPr>
  </w:style>
  <w:style w:type="paragraph" w:customStyle="1" w:styleId="TableNumbersRight-BP4">
    <w:name w:val="Table Numbers Right - BP4"/>
    <w:basedOn w:val="Normal"/>
    <w:rsid w:val="00573958"/>
    <w:pPr>
      <w:jc w:val="right"/>
    </w:pPr>
    <w:rPr>
      <w:sz w:val="18"/>
    </w:rPr>
  </w:style>
  <w:style w:type="character" w:customStyle="1" w:styleId="SIHeading2Char">
    <w:name w:val="SI Heading 2 Char"/>
    <w:basedOn w:val="DefaultParagraphFont"/>
    <w:link w:val="SIHeading2"/>
    <w:uiPriority w:val="99"/>
    <w:rsid w:val="005A0F90"/>
    <w:rPr>
      <w:rFonts w:ascii="Arial" w:hAnsi="Arial"/>
      <w:kern w:val="28"/>
      <w:lang w:eastAsia="en-US"/>
    </w:rPr>
  </w:style>
  <w:style w:type="paragraph" w:customStyle="1" w:styleId="1n">
    <w:name w:val="1. n"/>
    <w:basedOn w:val="n"/>
    <w:rsid w:val="00573958"/>
    <w:rPr>
      <w:iCs/>
      <w:szCs w:val="20"/>
    </w:rPr>
  </w:style>
  <w:style w:type="paragraph" w:customStyle="1" w:styleId="an">
    <w:name w:val="a. n"/>
    <w:basedOn w:val="n"/>
    <w:rsid w:val="00573958"/>
    <w:rPr>
      <w:iCs/>
      <w:szCs w:val="20"/>
    </w:rPr>
  </w:style>
  <w:style w:type="paragraph" w:customStyle="1" w:styleId="AIIndent">
    <w:name w:val="AI Indent"/>
    <w:basedOn w:val="Normal"/>
    <w:rsid w:val="00573958"/>
    <w:pPr>
      <w:tabs>
        <w:tab w:val="num" w:pos="360"/>
      </w:tabs>
      <w:ind w:left="357" w:hanging="357"/>
    </w:pPr>
    <w:rPr>
      <w:sz w:val="20"/>
    </w:rPr>
  </w:style>
  <w:style w:type="paragraph" w:customStyle="1" w:styleId="AITableText">
    <w:name w:val="AI Table Text"/>
    <w:basedOn w:val="Normal"/>
    <w:rsid w:val="00573958"/>
    <w:pPr>
      <w:jc w:val="right"/>
    </w:pPr>
    <w:rPr>
      <w:sz w:val="20"/>
      <w:szCs w:val="24"/>
    </w:rPr>
  </w:style>
  <w:style w:type="character" w:customStyle="1" w:styleId="CharChar">
    <w:name w:val="Char Char"/>
    <w:basedOn w:val="DefaultParagraphFont"/>
    <w:rsid w:val="00573958"/>
    <w:rPr>
      <w:rFonts w:ascii="Calibri" w:hAnsi="Calibri"/>
      <w:sz w:val="24"/>
      <w:lang w:val="en-AU" w:eastAsia="en-US" w:bidi="ar-SA"/>
    </w:rPr>
  </w:style>
  <w:style w:type="character" w:customStyle="1" w:styleId="CharChar1">
    <w:name w:val="Char Char1"/>
    <w:basedOn w:val="DefaultParagraphFont"/>
    <w:rsid w:val="00573958"/>
    <w:rPr>
      <w:rFonts w:ascii="Arial" w:hAnsi="Arial" w:cs="Arial"/>
      <w:b/>
      <w:bCs/>
      <w:sz w:val="24"/>
      <w:szCs w:val="26"/>
      <w:lang w:val="en-AU" w:eastAsia="en-US" w:bidi="ar-SA"/>
    </w:rPr>
  </w:style>
  <w:style w:type="table" w:styleId="ColorfulGrid-Accent2">
    <w:name w:val="Colorful Grid Accent 2"/>
    <w:basedOn w:val="TableNormal"/>
    <w:uiPriority w:val="73"/>
    <w:rsid w:val="0057395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7395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7395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7395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7395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573958"/>
    <w:rPr>
      <w:rFonts w:ascii="Calibri" w:hAnsi="Calibri"/>
      <w:sz w:val="16"/>
      <w:szCs w:val="16"/>
    </w:rPr>
  </w:style>
  <w:style w:type="paragraph" w:styleId="CommentText">
    <w:name w:val="annotation text"/>
    <w:basedOn w:val="Normal"/>
    <w:link w:val="CommentTextChar"/>
    <w:rsid w:val="00573958"/>
    <w:rPr>
      <w:sz w:val="20"/>
    </w:rPr>
  </w:style>
  <w:style w:type="character" w:customStyle="1" w:styleId="CommentTextChar">
    <w:name w:val="Comment Text Char"/>
    <w:basedOn w:val="DefaultParagraphFont"/>
    <w:link w:val="CommentText"/>
    <w:rsid w:val="00573958"/>
    <w:rPr>
      <w:rFonts w:ascii="Calibri" w:hAnsi="Calibri"/>
      <w:lang w:eastAsia="en-US"/>
    </w:rPr>
  </w:style>
  <w:style w:type="paragraph" w:styleId="CommentSubject">
    <w:name w:val="annotation subject"/>
    <w:basedOn w:val="CommentText"/>
    <w:next w:val="CommentText"/>
    <w:link w:val="CommentSubjectChar"/>
    <w:rsid w:val="00573958"/>
    <w:rPr>
      <w:b/>
      <w:bCs/>
    </w:rPr>
  </w:style>
  <w:style w:type="character" w:customStyle="1" w:styleId="CommentSubjectChar">
    <w:name w:val="Comment Subject Char"/>
    <w:basedOn w:val="CommentTextChar"/>
    <w:link w:val="CommentSubject"/>
    <w:rsid w:val="00573958"/>
    <w:rPr>
      <w:b/>
      <w:bCs/>
    </w:rPr>
  </w:style>
  <w:style w:type="character" w:styleId="EndnoteReference">
    <w:name w:val="endnote reference"/>
    <w:basedOn w:val="DefaultParagraphFont"/>
    <w:rsid w:val="00573958"/>
    <w:rPr>
      <w:rFonts w:ascii="Calibri" w:hAnsi="Calibri"/>
      <w:vertAlign w:val="superscript"/>
    </w:rPr>
  </w:style>
  <w:style w:type="paragraph" w:styleId="EndnoteText">
    <w:name w:val="endnote text"/>
    <w:basedOn w:val="Normal"/>
    <w:link w:val="EndnoteTextChar"/>
    <w:rsid w:val="00573958"/>
    <w:rPr>
      <w:sz w:val="20"/>
    </w:rPr>
  </w:style>
  <w:style w:type="character" w:customStyle="1" w:styleId="EndnoteTextChar">
    <w:name w:val="Endnote Text Char"/>
    <w:basedOn w:val="DefaultParagraphFont"/>
    <w:link w:val="EndnoteText"/>
    <w:rsid w:val="00573958"/>
    <w:rPr>
      <w:rFonts w:ascii="Calibri" w:hAnsi="Calibri"/>
      <w:lang w:eastAsia="en-US"/>
    </w:rPr>
  </w:style>
  <w:style w:type="character" w:styleId="FootnoteReference">
    <w:name w:val="footnote reference"/>
    <w:basedOn w:val="DefaultParagraphFont"/>
    <w:rsid w:val="00573958"/>
    <w:rPr>
      <w:rFonts w:ascii="Calibri" w:hAnsi="Calibri"/>
      <w:vertAlign w:val="superscript"/>
    </w:rPr>
  </w:style>
  <w:style w:type="paragraph" w:styleId="FootnoteText">
    <w:name w:val="footnote text"/>
    <w:basedOn w:val="Normal"/>
    <w:link w:val="FootnoteTextChar"/>
    <w:rsid w:val="00573958"/>
    <w:rPr>
      <w:sz w:val="20"/>
    </w:rPr>
  </w:style>
  <w:style w:type="character" w:customStyle="1" w:styleId="FootnoteTextChar">
    <w:name w:val="Footnote Text Char"/>
    <w:basedOn w:val="DefaultParagraphFont"/>
    <w:link w:val="FootnoteText"/>
    <w:rsid w:val="00573958"/>
    <w:rPr>
      <w:rFonts w:ascii="Calibri" w:hAnsi="Calibri"/>
      <w:lang w:eastAsia="en-US"/>
    </w:rPr>
  </w:style>
  <w:style w:type="paragraph" w:styleId="Index1">
    <w:name w:val="index 1"/>
    <w:basedOn w:val="Normal"/>
    <w:next w:val="Normal"/>
    <w:autoRedefine/>
    <w:rsid w:val="00573958"/>
    <w:pPr>
      <w:ind w:left="240" w:hanging="240"/>
    </w:pPr>
  </w:style>
  <w:style w:type="paragraph" w:styleId="Index2">
    <w:name w:val="index 2"/>
    <w:basedOn w:val="Normal"/>
    <w:next w:val="Normal"/>
    <w:autoRedefine/>
    <w:rsid w:val="00573958"/>
    <w:pPr>
      <w:ind w:left="480" w:hanging="240"/>
    </w:pPr>
  </w:style>
  <w:style w:type="paragraph" w:styleId="Index3">
    <w:name w:val="index 3"/>
    <w:basedOn w:val="Normal"/>
    <w:next w:val="Normal"/>
    <w:autoRedefine/>
    <w:rsid w:val="00573958"/>
    <w:pPr>
      <w:ind w:left="720" w:hanging="240"/>
    </w:pPr>
  </w:style>
  <w:style w:type="paragraph" w:styleId="Index4">
    <w:name w:val="index 4"/>
    <w:basedOn w:val="Normal"/>
    <w:next w:val="Normal"/>
    <w:autoRedefine/>
    <w:rsid w:val="00573958"/>
    <w:pPr>
      <w:ind w:left="960" w:hanging="240"/>
    </w:pPr>
  </w:style>
  <w:style w:type="paragraph" w:styleId="Index5">
    <w:name w:val="index 5"/>
    <w:basedOn w:val="Normal"/>
    <w:next w:val="Normal"/>
    <w:autoRedefine/>
    <w:rsid w:val="00573958"/>
    <w:pPr>
      <w:ind w:left="1200" w:hanging="240"/>
    </w:pPr>
  </w:style>
  <w:style w:type="paragraph" w:styleId="Index6">
    <w:name w:val="index 6"/>
    <w:basedOn w:val="Normal"/>
    <w:next w:val="Normal"/>
    <w:autoRedefine/>
    <w:rsid w:val="00573958"/>
    <w:pPr>
      <w:ind w:left="1440" w:hanging="240"/>
    </w:pPr>
  </w:style>
  <w:style w:type="paragraph" w:styleId="Index7">
    <w:name w:val="index 7"/>
    <w:basedOn w:val="Normal"/>
    <w:next w:val="Normal"/>
    <w:autoRedefine/>
    <w:rsid w:val="00573958"/>
    <w:pPr>
      <w:ind w:left="1680" w:hanging="240"/>
    </w:pPr>
  </w:style>
  <w:style w:type="paragraph" w:styleId="Index8">
    <w:name w:val="index 8"/>
    <w:basedOn w:val="Normal"/>
    <w:next w:val="Normal"/>
    <w:autoRedefine/>
    <w:rsid w:val="00573958"/>
    <w:pPr>
      <w:ind w:left="1920" w:hanging="240"/>
    </w:pPr>
  </w:style>
  <w:style w:type="paragraph" w:styleId="Index9">
    <w:name w:val="index 9"/>
    <w:basedOn w:val="Normal"/>
    <w:next w:val="Normal"/>
    <w:autoRedefine/>
    <w:rsid w:val="00573958"/>
    <w:pPr>
      <w:ind w:left="2160" w:hanging="240"/>
    </w:pPr>
  </w:style>
  <w:style w:type="paragraph" w:styleId="IndexHeading">
    <w:name w:val="index heading"/>
    <w:basedOn w:val="Normal"/>
    <w:next w:val="Index1"/>
    <w:rsid w:val="00573958"/>
    <w:rPr>
      <w:b/>
      <w:bCs/>
    </w:rPr>
  </w:style>
  <w:style w:type="paragraph" w:styleId="ListParagraph">
    <w:name w:val="List Paragraph"/>
    <w:basedOn w:val="Normal"/>
    <w:qFormat/>
    <w:rsid w:val="00573958"/>
    <w:pPr>
      <w:ind w:left="720"/>
    </w:pPr>
    <w:rPr>
      <w:szCs w:val="24"/>
    </w:rPr>
  </w:style>
  <w:style w:type="paragraph" w:customStyle="1" w:styleId="TableHeadingCentre-BP3">
    <w:name w:val="Table Heading Centre - BP3"/>
    <w:basedOn w:val="TableHeadingCentre-BP4"/>
    <w:rsid w:val="00573958"/>
    <w:rPr>
      <w:sz w:val="20"/>
    </w:rPr>
  </w:style>
  <w:style w:type="paragraph" w:customStyle="1" w:styleId="TableHeadingLeft-BP3">
    <w:name w:val="Table Heading Left - BP3"/>
    <w:basedOn w:val="TableHeadingLeft-BP4"/>
    <w:rsid w:val="00573958"/>
    <w:rPr>
      <w:sz w:val="20"/>
    </w:rPr>
  </w:style>
  <w:style w:type="paragraph" w:customStyle="1" w:styleId="TableHeadingLeft-BP410pt">
    <w:name w:val="Table Heading Left - BP4 10pt"/>
    <w:basedOn w:val="TableHeadingLeft-BP4"/>
    <w:rsid w:val="00573958"/>
    <w:rPr>
      <w:sz w:val="20"/>
    </w:rPr>
  </w:style>
  <w:style w:type="paragraph" w:customStyle="1" w:styleId="TableHeadingRight-BP3">
    <w:name w:val="Table Heading Right - BP3"/>
    <w:basedOn w:val="TableHeadingRight-BP4"/>
    <w:rsid w:val="00573958"/>
    <w:rPr>
      <w:sz w:val="20"/>
    </w:rPr>
  </w:style>
  <w:style w:type="paragraph" w:customStyle="1" w:styleId="TableHeadingRight-BP410pt">
    <w:name w:val="Table Heading Right - BP4 10pt"/>
    <w:basedOn w:val="TableHeadingRight-BP4"/>
    <w:rsid w:val="00573958"/>
    <w:rPr>
      <w:sz w:val="20"/>
    </w:rPr>
  </w:style>
  <w:style w:type="paragraph" w:customStyle="1" w:styleId="TableNumbersRight-BP3">
    <w:name w:val="Table Numbers Right - BP3"/>
    <w:basedOn w:val="TableNumbersRight-BP4"/>
    <w:rsid w:val="00573958"/>
    <w:rPr>
      <w:sz w:val="20"/>
    </w:rPr>
  </w:style>
  <w:style w:type="paragraph" w:styleId="TableofAuthorities">
    <w:name w:val="table of authorities"/>
    <w:basedOn w:val="Normal"/>
    <w:next w:val="Normal"/>
    <w:rsid w:val="00573958"/>
    <w:pPr>
      <w:ind w:left="240" w:hanging="240"/>
    </w:pPr>
  </w:style>
  <w:style w:type="paragraph" w:styleId="TableofFigures">
    <w:name w:val="table of figures"/>
    <w:basedOn w:val="Normal"/>
    <w:next w:val="Normal"/>
    <w:rsid w:val="00573958"/>
  </w:style>
  <w:style w:type="paragraph" w:customStyle="1" w:styleId="TableTextLeft-BP3">
    <w:name w:val="Table Text Left - BP3"/>
    <w:basedOn w:val="TableTextLeft-BP4"/>
    <w:rsid w:val="00573958"/>
    <w:rPr>
      <w:sz w:val="20"/>
    </w:rPr>
  </w:style>
  <w:style w:type="paragraph" w:customStyle="1" w:styleId="TableTextLeft-BP410pt">
    <w:name w:val="Table Text Left - BP4 10pt"/>
    <w:basedOn w:val="TableTextLeft-BP4"/>
    <w:rsid w:val="00573958"/>
    <w:rPr>
      <w:sz w:val="20"/>
    </w:rPr>
  </w:style>
  <w:style w:type="paragraph" w:customStyle="1" w:styleId="TableTextLeft-BP4FS">
    <w:name w:val="Table Text Left - BP4 FS"/>
    <w:basedOn w:val="TableTextLeft-BP4"/>
    <w:rsid w:val="00573958"/>
    <w:pPr>
      <w:ind w:left="227"/>
    </w:pPr>
  </w:style>
  <w:style w:type="paragraph" w:customStyle="1" w:styleId="TableTextLeftBold-BP4">
    <w:name w:val="Table Text Left Bold - BP4"/>
    <w:basedOn w:val="Normal"/>
    <w:rsid w:val="00573958"/>
    <w:pPr>
      <w:ind w:left="142" w:hanging="142"/>
    </w:pPr>
    <w:rPr>
      <w:b/>
      <w:sz w:val="18"/>
    </w:rPr>
  </w:style>
  <w:style w:type="paragraph" w:customStyle="1" w:styleId="TableTextLeftBold-BP3">
    <w:name w:val="Table Text Left Bold - BP3"/>
    <w:basedOn w:val="TableTextLeftBold-BP4"/>
    <w:rsid w:val="00573958"/>
    <w:rPr>
      <w:sz w:val="20"/>
    </w:rPr>
  </w:style>
  <w:style w:type="paragraph" w:customStyle="1" w:styleId="TableTextRight-BP4">
    <w:name w:val="Table Text Right - BP4"/>
    <w:basedOn w:val="Normal"/>
    <w:rsid w:val="00573958"/>
    <w:pPr>
      <w:jc w:val="right"/>
    </w:pPr>
    <w:rPr>
      <w:sz w:val="18"/>
    </w:rPr>
  </w:style>
  <w:style w:type="paragraph" w:customStyle="1" w:styleId="TableTextRight-BP3">
    <w:name w:val="Table Text Right - BP3"/>
    <w:basedOn w:val="TableTextRight-BP4"/>
    <w:rsid w:val="00573958"/>
    <w:rPr>
      <w:sz w:val="20"/>
    </w:rPr>
  </w:style>
  <w:style w:type="paragraph" w:customStyle="1" w:styleId="TableTextRightBold-BP4">
    <w:name w:val="Table Text Right Bold - BP4"/>
    <w:basedOn w:val="Normal"/>
    <w:rsid w:val="00573958"/>
    <w:pPr>
      <w:jc w:val="right"/>
    </w:pPr>
    <w:rPr>
      <w:b/>
      <w:sz w:val="18"/>
    </w:rPr>
  </w:style>
  <w:style w:type="paragraph" w:customStyle="1" w:styleId="TableTextRightBold-BP3">
    <w:name w:val="Table Text Right Bold - BP3"/>
    <w:basedOn w:val="TableTextRightBold-BP4"/>
    <w:rsid w:val="00573958"/>
  </w:style>
  <w:style w:type="paragraph" w:styleId="TOAHeading">
    <w:name w:val="toa heading"/>
    <w:basedOn w:val="Normal"/>
    <w:next w:val="Normal"/>
    <w:rsid w:val="00573958"/>
    <w:pPr>
      <w:spacing w:before="120"/>
    </w:pPr>
    <w:rPr>
      <w:b/>
      <w:bCs/>
      <w:szCs w:val="24"/>
    </w:rPr>
  </w:style>
  <w:style w:type="paragraph" w:styleId="TOC1">
    <w:name w:val="toc 1"/>
    <w:basedOn w:val="Normal"/>
    <w:next w:val="Normal"/>
    <w:autoRedefine/>
    <w:rsid w:val="00573958"/>
  </w:style>
  <w:style w:type="paragraph" w:styleId="TOC2">
    <w:name w:val="toc 2"/>
    <w:basedOn w:val="Normal"/>
    <w:next w:val="Normal"/>
    <w:autoRedefine/>
    <w:rsid w:val="00573958"/>
    <w:pPr>
      <w:ind w:left="240"/>
    </w:pPr>
  </w:style>
  <w:style w:type="paragraph" w:styleId="TOC3">
    <w:name w:val="toc 3"/>
    <w:basedOn w:val="Normal"/>
    <w:next w:val="Normal"/>
    <w:autoRedefine/>
    <w:rsid w:val="00573958"/>
    <w:pPr>
      <w:ind w:left="480"/>
    </w:pPr>
  </w:style>
  <w:style w:type="paragraph" w:styleId="TOC4">
    <w:name w:val="toc 4"/>
    <w:basedOn w:val="Normal"/>
    <w:next w:val="Normal"/>
    <w:autoRedefine/>
    <w:rsid w:val="00573958"/>
    <w:pPr>
      <w:ind w:left="720"/>
    </w:pPr>
  </w:style>
  <w:style w:type="paragraph" w:styleId="TOC5">
    <w:name w:val="toc 5"/>
    <w:basedOn w:val="Normal"/>
    <w:next w:val="Normal"/>
    <w:autoRedefine/>
    <w:rsid w:val="00573958"/>
    <w:pPr>
      <w:ind w:left="960"/>
    </w:pPr>
  </w:style>
  <w:style w:type="paragraph" w:styleId="TOC6">
    <w:name w:val="toc 6"/>
    <w:basedOn w:val="Normal"/>
    <w:next w:val="Normal"/>
    <w:autoRedefine/>
    <w:rsid w:val="00573958"/>
    <w:pPr>
      <w:ind w:left="1200"/>
    </w:pPr>
  </w:style>
  <w:style w:type="paragraph" w:styleId="TOC7">
    <w:name w:val="toc 7"/>
    <w:basedOn w:val="Normal"/>
    <w:next w:val="Normal"/>
    <w:autoRedefine/>
    <w:rsid w:val="00573958"/>
    <w:pPr>
      <w:ind w:left="1440"/>
    </w:pPr>
  </w:style>
  <w:style w:type="paragraph" w:styleId="TOC8">
    <w:name w:val="toc 8"/>
    <w:basedOn w:val="Normal"/>
    <w:next w:val="Normal"/>
    <w:autoRedefine/>
    <w:rsid w:val="00573958"/>
    <w:pPr>
      <w:ind w:left="1680"/>
    </w:pPr>
  </w:style>
  <w:style w:type="paragraph" w:styleId="TOC9">
    <w:name w:val="toc 9"/>
    <w:basedOn w:val="Normal"/>
    <w:next w:val="Normal"/>
    <w:autoRedefine/>
    <w:rsid w:val="00573958"/>
    <w:pPr>
      <w:ind w:left="1920"/>
    </w:pPr>
  </w:style>
  <w:style w:type="character" w:customStyle="1" w:styleId="BodyTextChar">
    <w:name w:val="Body Text Char"/>
    <w:basedOn w:val="DefaultParagraphFont"/>
    <w:link w:val="BodyText"/>
    <w:uiPriority w:val="99"/>
    <w:locked/>
    <w:rsid w:val="00007913"/>
    <w:rPr>
      <w:rFonts w:ascii="Calibri" w:hAnsi="Calibri"/>
      <w:sz w:val="24"/>
      <w:lang w:eastAsia="en-US"/>
    </w:rPr>
  </w:style>
  <w:style w:type="character" w:customStyle="1" w:styleId="FooterChar">
    <w:name w:val="Footer Char"/>
    <w:basedOn w:val="DefaultParagraphFont"/>
    <w:link w:val="Footer"/>
    <w:uiPriority w:val="99"/>
    <w:rsid w:val="002D3A7E"/>
    <w:rPr>
      <w:rFonts w:ascii="Calibri" w:hAnsi="Calibri"/>
      <w:sz w:val="24"/>
      <w:lang w:eastAsia="en-US"/>
    </w:rPr>
  </w:style>
  <w:style w:type="character" w:customStyle="1" w:styleId="Heading4Char">
    <w:name w:val="Heading 4 Char"/>
    <w:basedOn w:val="DefaultParagraphFont"/>
    <w:link w:val="Heading4"/>
    <w:uiPriority w:val="99"/>
    <w:locked/>
    <w:rsid w:val="00864936"/>
    <w:rPr>
      <w:rFonts w:ascii="Calibri" w:hAnsi="Calibri"/>
      <w:i/>
      <w:sz w:val="24"/>
      <w:lang w:eastAsia="en-US"/>
    </w:rPr>
  </w:style>
</w:styles>
</file>

<file path=word/webSettings.xml><?xml version="1.0" encoding="utf-8"?>
<w:webSettings xmlns:r="http://schemas.openxmlformats.org/officeDocument/2006/relationships" xmlns:w="http://schemas.openxmlformats.org/wordprocessingml/2006/main">
  <w:divs>
    <w:div w:id="54147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B6C6F-6E0D-4B06-A1BB-08D2EB33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4721</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HOUSING ACT</vt:lpstr>
    </vt:vector>
  </TitlesOfParts>
  <Company>ACT Government</Company>
  <LinksUpToDate>false</LinksUpToDate>
  <CharactersWithSpaces>33022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Housing ACT</dc:title>
  <dc:subject>Housing ACT</dc:subject>
  <dc:creator>Chief Minister and Treasury Directorate</dc:creator>
  <cp:lastModifiedBy>Keaton Paterson</cp:lastModifiedBy>
  <cp:revision>3</cp:revision>
  <cp:lastPrinted>2013-05-26T06:14:00Z</cp:lastPrinted>
  <dcterms:created xsi:type="dcterms:W3CDTF">2013-05-28T10:29:00Z</dcterms:created>
  <dcterms:modified xsi:type="dcterms:W3CDTF">2013-05-30T03:01:00Z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