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9DF37" w14:textId="47113725" w:rsidR="000A2FFC" w:rsidRDefault="00E753AA">
      <w:bookmarkStart w:id="0" w:name="_Hlk70693919"/>
      <w:bookmarkEnd w:id="0"/>
      <w:r>
        <w:rPr>
          <w:noProof/>
        </w:rPr>
        <w:drawing>
          <wp:anchor distT="0" distB="0" distL="114300" distR="114300" simplePos="0" relativeHeight="251683840" behindDoc="1" locked="0" layoutInCell="1" allowOverlap="1" wp14:anchorId="6A5DBD08" wp14:editId="12A35AE6">
            <wp:simplePos x="0" y="0"/>
            <wp:positionH relativeFrom="page">
              <wp:posOffset>-11069</wp:posOffset>
            </wp:positionH>
            <wp:positionV relativeFrom="page">
              <wp:posOffset>-38100</wp:posOffset>
            </wp:positionV>
            <wp:extent cx="7619913" cy="10778490"/>
            <wp:effectExtent l="0" t="0" r="635" b="381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7619913" cy="10778490"/>
                    </a:xfrm>
                    <a:prstGeom prst="rect">
                      <a:avLst/>
                    </a:prstGeom>
                    <a:noFill/>
                  </pic:spPr>
                </pic:pic>
              </a:graphicData>
            </a:graphic>
          </wp:anchor>
        </w:drawing>
      </w:r>
      <w:r w:rsidR="00172A75">
        <w:rPr>
          <w:noProof/>
        </w:rPr>
        <w:drawing>
          <wp:anchor distT="0" distB="0" distL="114300" distR="114300" simplePos="0" relativeHeight="251687936" behindDoc="0" locked="0" layoutInCell="1" allowOverlap="1" wp14:anchorId="7A7D66CC" wp14:editId="37DD9094">
            <wp:simplePos x="0" y="0"/>
            <wp:positionH relativeFrom="margin">
              <wp:posOffset>0</wp:posOffset>
            </wp:positionH>
            <wp:positionV relativeFrom="margin">
              <wp:posOffset>285750</wp:posOffset>
            </wp:positionV>
            <wp:extent cx="1414780" cy="720090"/>
            <wp:effectExtent l="0" t="0" r="0" b="3810"/>
            <wp:wrapSquare wrapText="bothSides"/>
            <wp:docPr id="1325313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13760" name="Picture 1325313760"/>
                    <pic:cNvPicPr/>
                  </pic:nvPicPr>
                  <pic:blipFill>
                    <a:blip r:embed="rId12"/>
                    <a:stretch>
                      <a:fillRect/>
                    </a:stretch>
                  </pic:blipFill>
                  <pic:spPr>
                    <a:xfrm>
                      <a:off x="0" y="0"/>
                      <a:ext cx="1414780" cy="720090"/>
                    </a:xfrm>
                    <a:prstGeom prst="rect">
                      <a:avLst/>
                    </a:prstGeom>
                  </pic:spPr>
                </pic:pic>
              </a:graphicData>
            </a:graphic>
            <wp14:sizeRelH relativeFrom="margin">
              <wp14:pctWidth>0</wp14:pctWidth>
            </wp14:sizeRelH>
            <wp14:sizeRelV relativeFrom="margin">
              <wp14:pctHeight>0</wp14:pctHeight>
            </wp14:sizeRelV>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36"/>
        </w:rPr>
      </w:sdtEndPr>
      <w:sdtContent>
        <w:p w14:paraId="7D553A83" w14:textId="77777777" w:rsidR="00F875BD" w:rsidRDefault="00F875BD"/>
        <w:p w14:paraId="49B2A568" w14:textId="3A4CAC3D" w:rsidR="00F875BD" w:rsidRDefault="007B3A0E">
          <w:pPr>
            <w:spacing w:line="276" w:lineRule="auto"/>
            <w:rPr>
              <w:rFonts w:asciiTheme="majorHAnsi" w:eastAsia="Times New Roman" w:hAnsiTheme="majorHAnsi"/>
              <w:caps/>
              <w:noProof/>
              <w:color w:val="482D8C" w:themeColor="background2"/>
              <w:sz w:val="36"/>
              <w:szCs w:val="40"/>
            </w:rPr>
          </w:pPr>
          <w:r>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7456" behindDoc="0" locked="0" layoutInCell="1" allowOverlap="1" wp14:anchorId="19CC4138" wp14:editId="47AD7A66">
                    <wp:simplePos x="0" y="0"/>
                    <wp:positionH relativeFrom="margin">
                      <wp:posOffset>-210185</wp:posOffset>
                    </wp:positionH>
                    <wp:positionV relativeFrom="page">
                      <wp:posOffset>8462010</wp:posOffset>
                    </wp:positionV>
                    <wp:extent cx="2929255" cy="916940"/>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9A790" w14:textId="6B2C3AC3" w:rsidR="0094757A" w:rsidRPr="000016B9" w:rsidRDefault="0094757A" w:rsidP="0089332C">
                                <w:pPr>
                                  <w:pStyle w:val="Intro"/>
                                  <w:rPr>
                                    <w:caps/>
                                    <w:color w:val="FFFFFF"/>
                                  </w:rPr>
                                </w:pPr>
                                <w:r>
                                  <w:rPr>
                                    <w:color w:val="FFFFFF"/>
                                  </w:rPr>
                                  <w:t>Chief Minister, Treasury and Economic Development Directorate</w:t>
                                </w:r>
                              </w:p>
                              <w:p w14:paraId="4B1E4223" w14:textId="1D9984E3" w:rsidR="0094757A" w:rsidRPr="000016B9" w:rsidRDefault="003524AE" w:rsidP="0089332C">
                                <w:pPr>
                                  <w:pStyle w:val="Intro"/>
                                  <w:rPr>
                                    <w:caps/>
                                    <w:color w:val="FFFFFF"/>
                                  </w:rPr>
                                </w:pPr>
                                <w:r>
                                  <w:rPr>
                                    <w:color w:val="FFFFFF"/>
                                  </w:rPr>
                                  <w:t xml:space="preserve">Updated </w:t>
                                </w:r>
                                <w:r w:rsidR="00172A75">
                                  <w:rPr>
                                    <w:color w:val="FFFFFF"/>
                                  </w:rPr>
                                  <w:t>p</w:t>
                                </w:r>
                                <w:r w:rsidR="0094757A">
                                  <w:rPr>
                                    <w:color w:val="FFFFFF"/>
                                  </w:rPr>
                                  <w:t xml:space="preserve">olicy start date: </w:t>
                                </w:r>
                                <w:r w:rsidR="00CE23E5">
                                  <w:rPr>
                                    <w:color w:val="FFFFFF"/>
                                  </w:rPr>
                                  <w:t>Ju</w:t>
                                </w:r>
                                <w:r w:rsidR="004D6E65">
                                  <w:rPr>
                                    <w:color w:val="FFFFFF"/>
                                  </w:rPr>
                                  <w:t>ly</w:t>
                                </w:r>
                                <w:r w:rsidR="0094757A">
                                  <w:rPr>
                                    <w:color w:val="FFFFFF"/>
                                  </w:rPr>
                                  <w:t xml:space="preserve"> 202</w:t>
                                </w:r>
                                <w:r w:rsidR="006F0F58">
                                  <w:rPr>
                                    <w:color w:val="FFFFFF"/>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CC4138" id="_x0000_t202" coordsize="21600,21600" o:spt="202" path="m,l,21600r21600,l21600,xe">
                    <v:stroke joinstyle="miter"/>
                    <v:path gradientshapeok="t" o:connecttype="rect"/>
                  </v:shapetype>
                  <v:shape id="Text Box 10" o:spid="_x0000_s1026" type="#_x0000_t202" style="position:absolute;margin-left:-16.55pt;margin-top:666.3pt;width:230.65pt;height:72.2pt;z-index:251667456;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" filled="f" stroked="f">
                    <v:textbox style="mso-fit-shape-to-text:t">
                      <w:txbxContent>
                        <w:p w14:paraId="7979A790" w14:textId="6B2C3AC3" w:rsidR="0094757A" w:rsidRPr="000016B9" w:rsidRDefault="0094757A" w:rsidP="0089332C">
                          <w:pPr>
                            <w:pStyle w:val="Intro"/>
                            <w:rPr>
                              <w:caps/>
                              <w:color w:val="FFFFFF"/>
                            </w:rPr>
                          </w:pPr>
                          <w:r>
                            <w:rPr>
                              <w:color w:val="FFFFFF"/>
                            </w:rPr>
                            <w:t>Chief Minister, Treasury and Economic Development Directorate</w:t>
                          </w:r>
                        </w:p>
                        <w:p w14:paraId="4B1E4223" w14:textId="1D9984E3" w:rsidR="0094757A" w:rsidRPr="000016B9" w:rsidRDefault="003524AE" w:rsidP="0089332C">
                          <w:pPr>
                            <w:pStyle w:val="Intro"/>
                            <w:rPr>
                              <w:caps/>
                              <w:color w:val="FFFFFF"/>
                            </w:rPr>
                          </w:pPr>
                          <w:r>
                            <w:rPr>
                              <w:color w:val="FFFFFF"/>
                            </w:rPr>
                            <w:t xml:space="preserve">Updated </w:t>
                          </w:r>
                          <w:r w:rsidR="00172A75">
                            <w:rPr>
                              <w:color w:val="FFFFFF"/>
                            </w:rPr>
                            <w:t>p</w:t>
                          </w:r>
                          <w:r w:rsidR="0094757A">
                            <w:rPr>
                              <w:color w:val="FFFFFF"/>
                            </w:rPr>
                            <w:t xml:space="preserve">olicy start date: </w:t>
                          </w:r>
                          <w:r w:rsidR="00CE23E5">
                            <w:rPr>
                              <w:color w:val="FFFFFF"/>
                            </w:rPr>
                            <w:t>Ju</w:t>
                          </w:r>
                          <w:r w:rsidR="004D6E65">
                            <w:rPr>
                              <w:color w:val="FFFFFF"/>
                            </w:rPr>
                            <w:t>ly</w:t>
                          </w:r>
                          <w:r w:rsidR="0094757A">
                            <w:rPr>
                              <w:color w:val="FFFFFF"/>
                            </w:rPr>
                            <w:t xml:space="preserve"> 202</w:t>
                          </w:r>
                          <w:r w:rsidR="006F0F58">
                            <w:rPr>
                              <w:color w:val="FFFFFF"/>
                            </w:rPr>
                            <w:t>6</w:t>
                          </w:r>
                        </w:p>
                      </w:txbxContent>
                    </v:textbox>
                    <w10:wrap anchorx="margin" anchory="page"/>
                  </v:shape>
                </w:pict>
              </mc:Fallback>
            </mc:AlternateContent>
          </w:r>
          <w:r w:rsidR="006779E6">
            <w:rPr>
              <w:rFonts w:asciiTheme="majorHAnsi" w:eastAsia="Times New Roman" w:hAnsiTheme="majorHAnsi"/>
              <w:caps/>
              <w:noProof/>
              <w:color w:val="482D8C" w:themeColor="background2"/>
              <w:sz w:val="36"/>
              <w:szCs w:val="40"/>
            </w:rPr>
            <mc:AlternateContent>
              <mc:Choice Requires="wps">
                <w:drawing>
                  <wp:anchor distT="0" distB="0" distL="114300" distR="114300" simplePos="0" relativeHeight="251666432" behindDoc="0" locked="0" layoutInCell="1" allowOverlap="1" wp14:anchorId="21171CE4" wp14:editId="5E1B17C0">
                    <wp:simplePos x="0" y="0"/>
                    <wp:positionH relativeFrom="margin">
                      <wp:posOffset>-38100</wp:posOffset>
                    </wp:positionH>
                    <wp:positionV relativeFrom="page">
                      <wp:posOffset>2505075</wp:posOffset>
                    </wp:positionV>
                    <wp:extent cx="6248400" cy="5501640"/>
                    <wp:effectExtent l="0" t="0" r="0" b="381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50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23BB5" w14:textId="7B66E1AD" w:rsidR="00BA5DFE" w:rsidRDefault="006779E6" w:rsidP="00853A2B">
                                <w:pPr>
                                  <w:pStyle w:val="Title"/>
                                  <w:jc w:val="center"/>
                                  <w:rPr>
                                    <w:b/>
                                    <w:bCs/>
                                    <w:color w:val="FFFFFF"/>
                                    <w:sz w:val="60"/>
                                    <w:szCs w:val="60"/>
                                  </w:rPr>
                                </w:pPr>
                                <w:bookmarkStart w:id="1" w:name="_Toc234290670"/>
                                <w:bookmarkStart w:id="2" w:name="_Toc45264665"/>
                                <w:r w:rsidRPr="00BA5DFE">
                                  <w:rPr>
                                    <w:b/>
                                    <w:bCs/>
                                    <w:color w:val="FFFFFF"/>
                                    <w:sz w:val="60"/>
                                    <w:szCs w:val="60"/>
                                  </w:rPr>
                                  <w:t>AADP 3</w:t>
                                </w:r>
                                <w:r w:rsidR="00A32F33">
                                  <w:rPr>
                                    <w:b/>
                                    <w:bCs/>
                                    <w:color w:val="FFFFFF"/>
                                    <w:sz w:val="60"/>
                                    <w:szCs w:val="60"/>
                                  </w:rPr>
                                  <w:t>1</w:t>
                                </w:r>
                                <w:r w:rsidR="006F0F58">
                                  <w:rPr>
                                    <w:b/>
                                    <w:bCs/>
                                    <w:color w:val="FFFFFF"/>
                                    <w:sz w:val="60"/>
                                    <w:szCs w:val="60"/>
                                  </w:rPr>
                                  <w:t>1</w:t>
                                </w:r>
                                <w:r w:rsidRPr="00BA5DFE">
                                  <w:rPr>
                                    <w:b/>
                                    <w:bCs/>
                                    <w:color w:val="FFFFFF"/>
                                    <w:sz w:val="60"/>
                                    <w:szCs w:val="60"/>
                                  </w:rPr>
                                  <w:t xml:space="preserve"> </w:t>
                                </w:r>
                              </w:p>
                              <w:p w14:paraId="130A42F6" w14:textId="5D6A1205" w:rsidR="006779E6" w:rsidRPr="00BA5DFE" w:rsidRDefault="006779E6" w:rsidP="00853A2B">
                                <w:pPr>
                                  <w:pStyle w:val="Title"/>
                                  <w:jc w:val="center"/>
                                  <w:rPr>
                                    <w:b/>
                                    <w:bCs/>
                                    <w:color w:val="FFFFFF"/>
                                    <w:sz w:val="60"/>
                                    <w:szCs w:val="60"/>
                                  </w:rPr>
                                </w:pPr>
                                <w:r w:rsidRPr="00BA5DFE">
                                  <w:rPr>
                                    <w:b/>
                                    <w:bCs/>
                                    <w:color w:val="FFFFFF"/>
                                    <w:sz w:val="60"/>
                                    <w:szCs w:val="60"/>
                                  </w:rPr>
                                  <w:t xml:space="preserve">ACT Accounting Disclosure Paper </w:t>
                                </w:r>
                              </w:p>
                              <w:p w14:paraId="1B537246" w14:textId="77777777" w:rsidR="006779E6" w:rsidRPr="00BA5DFE" w:rsidRDefault="006779E6" w:rsidP="007B3A0E">
                                <w:pPr>
                                  <w:pStyle w:val="Title"/>
                                  <w:spacing w:before="240" w:after="240"/>
                                  <w:jc w:val="center"/>
                                  <w:rPr>
                                    <w:b/>
                                    <w:bCs/>
                                    <w:color w:val="FFFFFF"/>
                                    <w:sz w:val="60"/>
                                    <w:szCs w:val="60"/>
                                  </w:rPr>
                                </w:pPr>
                                <w:r w:rsidRPr="00BA5DFE">
                                  <w:rPr>
                                    <w:b/>
                                    <w:bCs/>
                                    <w:color w:val="FFFFFF"/>
                                    <w:sz w:val="60"/>
                                    <w:szCs w:val="60"/>
                                  </w:rPr>
                                  <w:t xml:space="preserve">on </w:t>
                                </w:r>
                              </w:p>
                              <w:p w14:paraId="174472EC" w14:textId="0C094CFA" w:rsidR="006779E6" w:rsidRPr="00BA5DFE" w:rsidRDefault="006779E6" w:rsidP="00853A2B">
                                <w:pPr>
                                  <w:pStyle w:val="Title"/>
                                  <w:jc w:val="center"/>
                                  <w:rPr>
                                    <w:b/>
                                    <w:bCs/>
                                    <w:color w:val="FFFFFF"/>
                                    <w:sz w:val="60"/>
                                    <w:szCs w:val="60"/>
                                  </w:rPr>
                                </w:pPr>
                                <w:r w:rsidRPr="00BA5DFE">
                                  <w:rPr>
                                    <w:b/>
                                    <w:bCs/>
                                    <w:color w:val="FFFFFF"/>
                                    <w:sz w:val="60"/>
                                    <w:szCs w:val="60"/>
                                  </w:rPr>
                                  <w:t>the 202</w:t>
                                </w:r>
                                <w:r w:rsidR="006F0F58">
                                  <w:rPr>
                                    <w:b/>
                                    <w:bCs/>
                                    <w:color w:val="FFFFFF"/>
                                    <w:sz w:val="60"/>
                                    <w:szCs w:val="60"/>
                                  </w:rPr>
                                  <w:t>5</w:t>
                                </w:r>
                                <w:r w:rsidRPr="00BA5DFE">
                                  <w:rPr>
                                    <w:b/>
                                    <w:bCs/>
                                    <w:color w:val="FFFFFF"/>
                                    <w:sz w:val="60"/>
                                    <w:szCs w:val="60"/>
                                  </w:rPr>
                                  <w:t>-2</w:t>
                                </w:r>
                                <w:r w:rsidR="006F0F58">
                                  <w:rPr>
                                    <w:b/>
                                    <w:bCs/>
                                    <w:color w:val="FFFFFF"/>
                                    <w:sz w:val="60"/>
                                    <w:szCs w:val="60"/>
                                  </w:rPr>
                                  <w:t>6</w:t>
                                </w:r>
                                <w:r w:rsidRPr="00BA5DFE">
                                  <w:rPr>
                                    <w:b/>
                                    <w:bCs/>
                                    <w:color w:val="FFFFFF"/>
                                    <w:sz w:val="60"/>
                                    <w:szCs w:val="60"/>
                                  </w:rPr>
                                  <w:t xml:space="preserve"> </w:t>
                                </w:r>
                                <w:r w:rsidR="00BA5DFE" w:rsidRPr="00BA5DFE">
                                  <w:rPr>
                                    <w:b/>
                                    <w:bCs/>
                                    <w:color w:val="FFFFFF"/>
                                    <w:sz w:val="60"/>
                                    <w:szCs w:val="60"/>
                                  </w:rPr>
                                  <w:t>AASB Standards issued</w:t>
                                </w:r>
                                <w:r w:rsidR="00BA5DFE" w:rsidRPr="00BA5DFE">
                                  <w:rPr>
                                    <w:b/>
                                    <w:bCs/>
                                    <w:color w:val="FFFFFF"/>
                                    <w:sz w:val="60"/>
                                    <w:szCs w:val="60"/>
                                  </w:rPr>
                                  <w:br/>
                                </w:r>
                                <w:r w:rsidR="00A6573D">
                                  <w:rPr>
                                    <w:b/>
                                    <w:bCs/>
                                    <w:color w:val="FFFFFF"/>
                                    <w:sz w:val="60"/>
                                    <w:szCs w:val="60"/>
                                  </w:rPr>
                                  <w:t>but</w:t>
                                </w:r>
                                <w:r w:rsidR="00BA5DFE" w:rsidRPr="00BA5DFE">
                                  <w:rPr>
                                    <w:b/>
                                    <w:bCs/>
                                    <w:color w:val="FFFFFF"/>
                                    <w:sz w:val="60"/>
                                    <w:szCs w:val="60"/>
                                  </w:rPr>
                                  <w:t xml:space="preserve"> yet </w:t>
                                </w:r>
                                <w:r w:rsidR="00A6573D">
                                  <w:rPr>
                                    <w:b/>
                                    <w:bCs/>
                                    <w:color w:val="FFFFFF"/>
                                    <w:sz w:val="60"/>
                                    <w:szCs w:val="60"/>
                                  </w:rPr>
                                  <w:t>to be Applied</w:t>
                                </w:r>
                              </w:p>
                              <w:bookmarkEnd w:id="1"/>
                              <w:bookmarkEnd w:id="2"/>
                              <w:p w14:paraId="3A03AEF1" w14:textId="77777777" w:rsidR="00853A2B" w:rsidRPr="00BA5DFE" w:rsidRDefault="00853A2B" w:rsidP="00853A2B">
                                <w:pPr>
                                  <w:pStyle w:val="Title"/>
                                  <w:jc w:val="center"/>
                                  <w:rPr>
                                    <w:color w:val="FFFFFF"/>
                                    <w:sz w:val="60"/>
                                    <w:szCs w:val="60"/>
                                  </w:rPr>
                                </w:pPr>
                              </w:p>
                              <w:p w14:paraId="309B196E" w14:textId="40EE5155" w:rsidR="0094757A" w:rsidRPr="00BA5DFE" w:rsidRDefault="00853A2B" w:rsidP="00853A2B">
                                <w:pPr>
                                  <w:pStyle w:val="Title"/>
                                  <w:jc w:val="center"/>
                                  <w:rPr>
                                    <w:color w:val="FFFFFF"/>
                                    <w:sz w:val="60"/>
                                    <w:szCs w:val="60"/>
                                    <w:lang w:val="en-US"/>
                                  </w:rPr>
                                </w:pPr>
                                <w:bookmarkStart w:id="3" w:name="_Toc234290671"/>
                                <w:bookmarkStart w:id="4" w:name="_Toc45264666"/>
                                <w:r w:rsidRPr="00BA5DFE">
                                  <w:rPr>
                                    <w:b/>
                                    <w:bCs/>
                                    <w:color w:val="FFFFFF"/>
                                    <w:sz w:val="60"/>
                                    <w:szCs w:val="60"/>
                                  </w:rPr>
                                  <w:t xml:space="preserve">For THE reporting period endED </w:t>
                                </w:r>
                                <w:r w:rsidRPr="00BA5DFE">
                                  <w:rPr>
                                    <w:b/>
                                    <w:bCs/>
                                    <w:color w:val="FFFFFF"/>
                                    <w:sz w:val="60"/>
                                    <w:szCs w:val="60"/>
                                  </w:rPr>
                                  <w:br/>
                                  <w:t xml:space="preserve">30 June </w:t>
                                </w:r>
                                <w:bookmarkEnd w:id="3"/>
                                <w:r w:rsidRPr="00BA5DFE">
                                  <w:rPr>
                                    <w:b/>
                                    <w:bCs/>
                                    <w:color w:val="FFFFFF"/>
                                    <w:sz w:val="60"/>
                                    <w:szCs w:val="60"/>
                                  </w:rPr>
                                  <w:t>202</w:t>
                                </w:r>
                                <w:bookmarkEnd w:id="4"/>
                                <w:r w:rsidR="006F0F58">
                                  <w:rPr>
                                    <w:b/>
                                    <w:bCs/>
                                    <w:color w:val="FFFFFF"/>
                                    <w:sz w:val="60"/>
                                    <w:szCs w:val="60"/>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171CE4" id="Text Box 9" o:spid="_x0000_s1027" type="#_x0000_t202" style="position:absolute;margin-left:-3pt;margin-top:197.25pt;width:492pt;height:433.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" filled="f" stroked="f">
                    <v:textbox>
                      <w:txbxContent>
                        <w:p w14:paraId="49423BB5" w14:textId="7B66E1AD" w:rsidR="00BA5DFE" w:rsidRDefault="006779E6" w:rsidP="00853A2B">
                          <w:pPr>
                            <w:pStyle w:val="Title"/>
                            <w:jc w:val="center"/>
                            <w:rPr>
                              <w:b/>
                              <w:bCs/>
                              <w:color w:val="FFFFFF"/>
                              <w:sz w:val="60"/>
                              <w:szCs w:val="60"/>
                            </w:rPr>
                          </w:pPr>
                          <w:bookmarkStart w:id="5" w:name="_Toc234290670"/>
                          <w:bookmarkStart w:id="6" w:name="_Toc45264665"/>
                          <w:r w:rsidRPr="00BA5DFE">
                            <w:rPr>
                              <w:b/>
                              <w:bCs/>
                              <w:color w:val="FFFFFF"/>
                              <w:sz w:val="60"/>
                              <w:szCs w:val="60"/>
                            </w:rPr>
                            <w:t>AADP 3</w:t>
                          </w:r>
                          <w:r w:rsidR="00A32F33">
                            <w:rPr>
                              <w:b/>
                              <w:bCs/>
                              <w:color w:val="FFFFFF"/>
                              <w:sz w:val="60"/>
                              <w:szCs w:val="60"/>
                            </w:rPr>
                            <w:t>1</w:t>
                          </w:r>
                          <w:r w:rsidR="006F0F58">
                            <w:rPr>
                              <w:b/>
                              <w:bCs/>
                              <w:color w:val="FFFFFF"/>
                              <w:sz w:val="60"/>
                              <w:szCs w:val="60"/>
                            </w:rPr>
                            <w:t>1</w:t>
                          </w:r>
                          <w:r w:rsidRPr="00BA5DFE">
                            <w:rPr>
                              <w:b/>
                              <w:bCs/>
                              <w:color w:val="FFFFFF"/>
                              <w:sz w:val="60"/>
                              <w:szCs w:val="60"/>
                            </w:rPr>
                            <w:t xml:space="preserve"> </w:t>
                          </w:r>
                        </w:p>
                        <w:p w14:paraId="130A42F6" w14:textId="5D6A1205" w:rsidR="006779E6" w:rsidRPr="00BA5DFE" w:rsidRDefault="006779E6" w:rsidP="00853A2B">
                          <w:pPr>
                            <w:pStyle w:val="Title"/>
                            <w:jc w:val="center"/>
                            <w:rPr>
                              <w:b/>
                              <w:bCs/>
                              <w:color w:val="FFFFFF"/>
                              <w:sz w:val="60"/>
                              <w:szCs w:val="60"/>
                            </w:rPr>
                          </w:pPr>
                          <w:r w:rsidRPr="00BA5DFE">
                            <w:rPr>
                              <w:b/>
                              <w:bCs/>
                              <w:color w:val="FFFFFF"/>
                              <w:sz w:val="60"/>
                              <w:szCs w:val="60"/>
                            </w:rPr>
                            <w:t xml:space="preserve">ACT Accounting Disclosure Paper </w:t>
                          </w:r>
                        </w:p>
                        <w:p w14:paraId="1B537246" w14:textId="77777777" w:rsidR="006779E6" w:rsidRPr="00BA5DFE" w:rsidRDefault="006779E6" w:rsidP="007B3A0E">
                          <w:pPr>
                            <w:pStyle w:val="Title"/>
                            <w:spacing w:before="240" w:after="240"/>
                            <w:jc w:val="center"/>
                            <w:rPr>
                              <w:b/>
                              <w:bCs/>
                              <w:color w:val="FFFFFF"/>
                              <w:sz w:val="60"/>
                              <w:szCs w:val="60"/>
                            </w:rPr>
                          </w:pPr>
                          <w:r w:rsidRPr="00BA5DFE">
                            <w:rPr>
                              <w:b/>
                              <w:bCs/>
                              <w:color w:val="FFFFFF"/>
                              <w:sz w:val="60"/>
                              <w:szCs w:val="60"/>
                            </w:rPr>
                            <w:t xml:space="preserve">on </w:t>
                          </w:r>
                        </w:p>
                        <w:p w14:paraId="174472EC" w14:textId="0C094CFA" w:rsidR="006779E6" w:rsidRPr="00BA5DFE" w:rsidRDefault="006779E6" w:rsidP="00853A2B">
                          <w:pPr>
                            <w:pStyle w:val="Title"/>
                            <w:jc w:val="center"/>
                            <w:rPr>
                              <w:b/>
                              <w:bCs/>
                              <w:color w:val="FFFFFF"/>
                              <w:sz w:val="60"/>
                              <w:szCs w:val="60"/>
                            </w:rPr>
                          </w:pPr>
                          <w:r w:rsidRPr="00BA5DFE">
                            <w:rPr>
                              <w:b/>
                              <w:bCs/>
                              <w:color w:val="FFFFFF"/>
                              <w:sz w:val="60"/>
                              <w:szCs w:val="60"/>
                            </w:rPr>
                            <w:t>the 202</w:t>
                          </w:r>
                          <w:r w:rsidR="006F0F58">
                            <w:rPr>
                              <w:b/>
                              <w:bCs/>
                              <w:color w:val="FFFFFF"/>
                              <w:sz w:val="60"/>
                              <w:szCs w:val="60"/>
                            </w:rPr>
                            <w:t>5</w:t>
                          </w:r>
                          <w:r w:rsidRPr="00BA5DFE">
                            <w:rPr>
                              <w:b/>
                              <w:bCs/>
                              <w:color w:val="FFFFFF"/>
                              <w:sz w:val="60"/>
                              <w:szCs w:val="60"/>
                            </w:rPr>
                            <w:t>-2</w:t>
                          </w:r>
                          <w:r w:rsidR="006F0F58">
                            <w:rPr>
                              <w:b/>
                              <w:bCs/>
                              <w:color w:val="FFFFFF"/>
                              <w:sz w:val="60"/>
                              <w:szCs w:val="60"/>
                            </w:rPr>
                            <w:t>6</w:t>
                          </w:r>
                          <w:r w:rsidRPr="00BA5DFE">
                            <w:rPr>
                              <w:b/>
                              <w:bCs/>
                              <w:color w:val="FFFFFF"/>
                              <w:sz w:val="60"/>
                              <w:szCs w:val="60"/>
                            </w:rPr>
                            <w:t xml:space="preserve"> </w:t>
                          </w:r>
                          <w:r w:rsidR="00BA5DFE" w:rsidRPr="00BA5DFE">
                            <w:rPr>
                              <w:b/>
                              <w:bCs/>
                              <w:color w:val="FFFFFF"/>
                              <w:sz w:val="60"/>
                              <w:szCs w:val="60"/>
                            </w:rPr>
                            <w:t>AASB Standards issued</w:t>
                          </w:r>
                          <w:r w:rsidR="00BA5DFE" w:rsidRPr="00BA5DFE">
                            <w:rPr>
                              <w:b/>
                              <w:bCs/>
                              <w:color w:val="FFFFFF"/>
                              <w:sz w:val="60"/>
                              <w:szCs w:val="60"/>
                            </w:rPr>
                            <w:br/>
                          </w:r>
                          <w:r w:rsidR="00A6573D">
                            <w:rPr>
                              <w:b/>
                              <w:bCs/>
                              <w:color w:val="FFFFFF"/>
                              <w:sz w:val="60"/>
                              <w:szCs w:val="60"/>
                            </w:rPr>
                            <w:t>but</w:t>
                          </w:r>
                          <w:r w:rsidR="00BA5DFE" w:rsidRPr="00BA5DFE">
                            <w:rPr>
                              <w:b/>
                              <w:bCs/>
                              <w:color w:val="FFFFFF"/>
                              <w:sz w:val="60"/>
                              <w:szCs w:val="60"/>
                            </w:rPr>
                            <w:t xml:space="preserve"> yet </w:t>
                          </w:r>
                          <w:r w:rsidR="00A6573D">
                            <w:rPr>
                              <w:b/>
                              <w:bCs/>
                              <w:color w:val="FFFFFF"/>
                              <w:sz w:val="60"/>
                              <w:szCs w:val="60"/>
                            </w:rPr>
                            <w:t>to be Applied</w:t>
                          </w:r>
                        </w:p>
                        <w:bookmarkEnd w:id="5"/>
                        <w:bookmarkEnd w:id="6"/>
                        <w:p w14:paraId="3A03AEF1" w14:textId="77777777" w:rsidR="00853A2B" w:rsidRPr="00BA5DFE" w:rsidRDefault="00853A2B" w:rsidP="00853A2B">
                          <w:pPr>
                            <w:pStyle w:val="Title"/>
                            <w:jc w:val="center"/>
                            <w:rPr>
                              <w:color w:val="FFFFFF"/>
                              <w:sz w:val="60"/>
                              <w:szCs w:val="60"/>
                            </w:rPr>
                          </w:pPr>
                        </w:p>
                        <w:p w14:paraId="309B196E" w14:textId="40EE5155" w:rsidR="0094757A" w:rsidRPr="00BA5DFE" w:rsidRDefault="00853A2B" w:rsidP="00853A2B">
                          <w:pPr>
                            <w:pStyle w:val="Title"/>
                            <w:jc w:val="center"/>
                            <w:rPr>
                              <w:color w:val="FFFFFF"/>
                              <w:sz w:val="60"/>
                              <w:szCs w:val="60"/>
                              <w:lang w:val="en-US"/>
                            </w:rPr>
                          </w:pPr>
                          <w:bookmarkStart w:id="7" w:name="_Toc234290671"/>
                          <w:bookmarkStart w:id="8" w:name="_Toc45264666"/>
                          <w:r w:rsidRPr="00BA5DFE">
                            <w:rPr>
                              <w:b/>
                              <w:bCs/>
                              <w:color w:val="FFFFFF"/>
                              <w:sz w:val="60"/>
                              <w:szCs w:val="60"/>
                            </w:rPr>
                            <w:t xml:space="preserve">For THE reporting period endED </w:t>
                          </w:r>
                          <w:r w:rsidRPr="00BA5DFE">
                            <w:rPr>
                              <w:b/>
                              <w:bCs/>
                              <w:color w:val="FFFFFF"/>
                              <w:sz w:val="60"/>
                              <w:szCs w:val="60"/>
                            </w:rPr>
                            <w:br/>
                            <w:t xml:space="preserve">30 June </w:t>
                          </w:r>
                          <w:bookmarkEnd w:id="7"/>
                          <w:r w:rsidRPr="00BA5DFE">
                            <w:rPr>
                              <w:b/>
                              <w:bCs/>
                              <w:color w:val="FFFFFF"/>
                              <w:sz w:val="60"/>
                              <w:szCs w:val="60"/>
                            </w:rPr>
                            <w:t>202</w:t>
                          </w:r>
                          <w:bookmarkEnd w:id="8"/>
                          <w:r w:rsidR="006F0F58">
                            <w:rPr>
                              <w:b/>
                              <w:bCs/>
                              <w:color w:val="FFFFFF"/>
                              <w:sz w:val="60"/>
                              <w:szCs w:val="60"/>
                            </w:rPr>
                            <w:t>6</w:t>
                          </w:r>
                        </w:p>
                      </w:txbxContent>
                    </v:textbox>
                    <w10:wrap anchorx="margin" anchory="page"/>
                  </v:shape>
                </w:pict>
              </mc:Fallback>
            </mc:AlternateContent>
          </w:r>
          <w:r w:rsidR="00F875BD">
            <w:rPr>
              <w:rFonts w:asciiTheme="majorHAnsi" w:eastAsia="Times New Roman" w:hAnsiTheme="majorHAnsi"/>
              <w:caps/>
              <w:noProof/>
              <w:color w:val="482D8C" w:themeColor="background2"/>
              <w:sz w:val="36"/>
              <w:szCs w:val="40"/>
            </w:rPr>
            <w:br w:type="page"/>
          </w:r>
        </w:p>
      </w:sdtContent>
    </w:sdt>
    <w:p w14:paraId="4B75A17B" w14:textId="77777777" w:rsidR="00B17580" w:rsidRDefault="00A65782" w:rsidP="00A65782">
      <w:pPr>
        <w:pStyle w:val="Normal1"/>
        <w:jc w:val="center"/>
      </w:pPr>
      <w:bookmarkStart w:id="5" w:name="_Toc64020120"/>
      <w:r>
        <w:rPr>
          <w:color w:val="7270D0" w:themeColor="accent4" w:themeTint="99"/>
          <w:sz w:val="72"/>
          <w:szCs w:val="72"/>
        </w:rPr>
        <w:lastRenderedPageBreak/>
        <w:t xml:space="preserve">TABLE OF </w:t>
      </w:r>
      <w:r w:rsidR="002D33BC" w:rsidRPr="00A65782">
        <w:rPr>
          <w:color w:val="7270D0" w:themeColor="accent4" w:themeTint="99"/>
          <w:sz w:val="72"/>
          <w:szCs w:val="72"/>
        </w:rPr>
        <w:t>C</w:t>
      </w:r>
      <w:r w:rsidRPr="00A65782">
        <w:rPr>
          <w:color w:val="7270D0" w:themeColor="accent4" w:themeTint="99"/>
          <w:sz w:val="72"/>
          <w:szCs w:val="72"/>
        </w:rPr>
        <w:t>ONTENTS</w:t>
      </w:r>
      <w:bookmarkEnd w:id="5"/>
      <w:r w:rsidR="00DD7FA7" w:rsidRPr="00C52E3C">
        <w:rPr>
          <w:sz w:val="72"/>
          <w:szCs w:val="72"/>
        </w:rPr>
        <w:fldChar w:fldCharType="begin"/>
      </w:r>
      <w:r w:rsidR="0096313F" w:rsidRPr="00A65782">
        <w:rPr>
          <w:sz w:val="72"/>
          <w:szCs w:val="72"/>
        </w:rPr>
        <w:instrText xml:space="preserve"> TOC \o "1-4" \u </w:instrText>
      </w:r>
      <w:r w:rsidR="00DD7FA7" w:rsidRPr="00C52E3C">
        <w:rPr>
          <w:sz w:val="72"/>
          <w:szCs w:val="72"/>
        </w:rPr>
        <w:fldChar w:fldCharType="separate"/>
      </w:r>
    </w:p>
    <w:p w14:paraId="7AC0BFE6" w14:textId="778B0CB6" w:rsidR="00B17580" w:rsidRDefault="00B17580">
      <w:pPr>
        <w:pStyle w:val="TOC1"/>
        <w:rPr>
          <w:rFonts w:eastAsiaTheme="minorEastAsia" w:cstheme="minorBidi"/>
          <w:b w:val="0"/>
          <w:caps w:val="0"/>
          <w:color w:val="auto"/>
          <w:kern w:val="2"/>
          <w:sz w:val="24"/>
          <w:szCs w:val="24"/>
          <w14:ligatures w14:val="standardContextual"/>
        </w:rPr>
      </w:pPr>
      <w:r>
        <w:t>1.</w:t>
      </w:r>
      <w:r>
        <w:rPr>
          <w:rFonts w:eastAsiaTheme="minorEastAsia" w:cstheme="minorBidi"/>
          <w:b w:val="0"/>
          <w:caps w:val="0"/>
          <w:color w:val="auto"/>
          <w:kern w:val="2"/>
          <w:sz w:val="24"/>
          <w:szCs w:val="24"/>
          <w14:ligatures w14:val="standardContextual"/>
        </w:rPr>
        <w:tab/>
      </w:r>
      <w:r>
        <w:t>Introduction</w:t>
      </w:r>
      <w:r>
        <w:tab/>
      </w:r>
      <w:r>
        <w:fldChar w:fldCharType="begin"/>
      </w:r>
      <w:r>
        <w:instrText xml:space="preserve"> PAGEREF _Toc233635540 \h </w:instrText>
      </w:r>
      <w:r>
        <w:fldChar w:fldCharType="separate"/>
      </w:r>
      <w:r>
        <w:t>4</w:t>
      </w:r>
      <w:r>
        <w:fldChar w:fldCharType="end"/>
      </w:r>
    </w:p>
    <w:p w14:paraId="4F8EE10D" w14:textId="6A1301F3" w:rsidR="00B17580" w:rsidRDefault="00B17580">
      <w:pPr>
        <w:pStyle w:val="TOC2"/>
        <w:tabs>
          <w:tab w:val="left" w:pos="960"/>
        </w:tabs>
        <w:rPr>
          <w:rFonts w:eastAsiaTheme="minorEastAsia" w:cstheme="minorBidi"/>
          <w:color w:val="auto"/>
          <w:kern w:val="2"/>
          <w:sz w:val="24"/>
          <w:szCs w:val="24"/>
          <w14:ligatures w14:val="standardContextual"/>
        </w:rPr>
      </w:pPr>
      <w:r>
        <w:t>1.1</w:t>
      </w:r>
      <w:r>
        <w:rPr>
          <w:rFonts w:eastAsiaTheme="minorEastAsia" w:cstheme="minorBidi"/>
          <w:color w:val="auto"/>
          <w:kern w:val="2"/>
          <w:sz w:val="24"/>
          <w:szCs w:val="24"/>
          <w14:ligatures w14:val="standardContextual"/>
        </w:rPr>
        <w:tab/>
      </w:r>
      <w:r>
        <w:t>APPLICATION</w:t>
      </w:r>
      <w:r>
        <w:tab/>
      </w:r>
      <w:r>
        <w:fldChar w:fldCharType="begin"/>
      </w:r>
      <w:r>
        <w:instrText xml:space="preserve"> PAGEREF _Toc233635541 \h </w:instrText>
      </w:r>
      <w:r>
        <w:fldChar w:fldCharType="separate"/>
      </w:r>
      <w:r>
        <w:t>4</w:t>
      </w:r>
      <w:r>
        <w:fldChar w:fldCharType="end"/>
      </w:r>
    </w:p>
    <w:p w14:paraId="375C8B5C" w14:textId="5E7DCDA0" w:rsidR="00B17580" w:rsidRDefault="00B17580">
      <w:pPr>
        <w:pStyle w:val="TOC3"/>
        <w:rPr>
          <w:kern w:val="2"/>
          <w14:ligatures w14:val="standardContextual"/>
        </w:rPr>
      </w:pPr>
      <w:r>
        <w:t>1.1.1</w:t>
      </w:r>
      <w:r>
        <w:rPr>
          <w:kern w:val="2"/>
          <w14:ligatures w14:val="standardContextual"/>
        </w:rPr>
        <w:tab/>
      </w:r>
      <w:r w:rsidRPr="00F52758">
        <w:rPr>
          <w:bCs/>
        </w:rPr>
        <w:t>Background</w:t>
      </w:r>
      <w:r>
        <w:tab/>
      </w:r>
      <w:r>
        <w:fldChar w:fldCharType="begin"/>
      </w:r>
      <w:r>
        <w:instrText xml:space="preserve"> PAGEREF _Toc233635542 \h </w:instrText>
      </w:r>
      <w:r>
        <w:fldChar w:fldCharType="separate"/>
      </w:r>
      <w:r>
        <w:t>4</w:t>
      </w:r>
      <w:r>
        <w:fldChar w:fldCharType="end"/>
      </w:r>
    </w:p>
    <w:p w14:paraId="745B27E1" w14:textId="75A41323" w:rsidR="00B17580" w:rsidRDefault="00B17580">
      <w:pPr>
        <w:pStyle w:val="TOC3"/>
        <w:rPr>
          <w:kern w:val="2"/>
          <w14:ligatures w14:val="standardContextual"/>
        </w:rPr>
      </w:pPr>
      <w:r>
        <w:t>1.1.2</w:t>
      </w:r>
      <w:r>
        <w:rPr>
          <w:kern w:val="2"/>
          <w14:ligatures w14:val="standardContextual"/>
        </w:rPr>
        <w:tab/>
      </w:r>
      <w:r>
        <w:t>Application Date</w:t>
      </w:r>
      <w:r>
        <w:tab/>
      </w:r>
      <w:r>
        <w:fldChar w:fldCharType="begin"/>
      </w:r>
      <w:r>
        <w:instrText xml:space="preserve"> PAGEREF _Toc233635543 \h </w:instrText>
      </w:r>
      <w:r>
        <w:fldChar w:fldCharType="separate"/>
      </w:r>
      <w:r>
        <w:t>4</w:t>
      </w:r>
      <w:r>
        <w:fldChar w:fldCharType="end"/>
      </w:r>
    </w:p>
    <w:p w14:paraId="6815CC4F" w14:textId="520403F2" w:rsidR="00B17580" w:rsidRDefault="00B17580">
      <w:pPr>
        <w:pStyle w:val="TOC3"/>
        <w:rPr>
          <w:kern w:val="2"/>
          <w14:ligatures w14:val="standardContextual"/>
        </w:rPr>
      </w:pPr>
      <w:r>
        <w:t>1.1.3</w:t>
      </w:r>
      <w:r>
        <w:rPr>
          <w:kern w:val="2"/>
          <w14:ligatures w14:val="standardContextual"/>
        </w:rPr>
        <w:tab/>
      </w:r>
      <w:r w:rsidRPr="00F52758">
        <w:rPr>
          <w:bCs/>
        </w:rPr>
        <w:t>Agencies Covered by this Paper</w:t>
      </w:r>
      <w:r>
        <w:tab/>
      </w:r>
      <w:r>
        <w:fldChar w:fldCharType="begin"/>
      </w:r>
      <w:r>
        <w:instrText xml:space="preserve"> PAGEREF _Toc233635544 \h </w:instrText>
      </w:r>
      <w:r>
        <w:fldChar w:fldCharType="separate"/>
      </w:r>
      <w:r>
        <w:t>4</w:t>
      </w:r>
      <w:r>
        <w:fldChar w:fldCharType="end"/>
      </w:r>
    </w:p>
    <w:p w14:paraId="274BF05B" w14:textId="60982BAB" w:rsidR="00B17580" w:rsidRDefault="00B17580">
      <w:pPr>
        <w:pStyle w:val="TOC3"/>
        <w:rPr>
          <w:kern w:val="2"/>
          <w14:ligatures w14:val="standardContextual"/>
        </w:rPr>
      </w:pPr>
      <w:r>
        <w:t>1.1.4</w:t>
      </w:r>
      <w:r>
        <w:rPr>
          <w:kern w:val="2"/>
          <w14:ligatures w14:val="standardContextual"/>
        </w:rPr>
        <w:tab/>
      </w:r>
      <w:r>
        <w:t>Contact</w:t>
      </w:r>
      <w:r>
        <w:tab/>
      </w:r>
      <w:r>
        <w:fldChar w:fldCharType="begin"/>
      </w:r>
      <w:r>
        <w:instrText xml:space="preserve"> PAGEREF _Toc233635545 \h </w:instrText>
      </w:r>
      <w:r>
        <w:fldChar w:fldCharType="separate"/>
      </w:r>
      <w:r>
        <w:t>4</w:t>
      </w:r>
      <w:r>
        <w:fldChar w:fldCharType="end"/>
      </w:r>
    </w:p>
    <w:p w14:paraId="27509DFD" w14:textId="75EC7DE9" w:rsidR="00B17580" w:rsidRDefault="00B17580">
      <w:pPr>
        <w:pStyle w:val="TOC3"/>
        <w:rPr>
          <w:kern w:val="2"/>
          <w14:ligatures w14:val="standardContextual"/>
        </w:rPr>
      </w:pPr>
      <w:r>
        <w:t>1.1.5</w:t>
      </w:r>
      <w:r>
        <w:rPr>
          <w:kern w:val="2"/>
          <w14:ligatures w14:val="standardContextual"/>
        </w:rPr>
        <w:tab/>
      </w:r>
      <w:r>
        <w:t>Standards Issued that are Not Yet Applicable After the Release of this Disclosure Paper</w:t>
      </w:r>
      <w:r>
        <w:tab/>
      </w:r>
      <w:r>
        <w:fldChar w:fldCharType="begin"/>
      </w:r>
      <w:r>
        <w:instrText xml:space="preserve"> PAGEREF _Toc233635546 \h </w:instrText>
      </w:r>
      <w:r>
        <w:fldChar w:fldCharType="separate"/>
      </w:r>
      <w:r>
        <w:t>4</w:t>
      </w:r>
      <w:r>
        <w:fldChar w:fldCharType="end"/>
      </w:r>
    </w:p>
    <w:p w14:paraId="5AC9BEF6" w14:textId="094B88F7" w:rsidR="00B17580" w:rsidRDefault="00B17580">
      <w:pPr>
        <w:pStyle w:val="TOC3"/>
        <w:rPr>
          <w:kern w:val="2"/>
          <w14:ligatures w14:val="standardContextual"/>
        </w:rPr>
      </w:pPr>
      <w:r>
        <w:t>1.1.6</w:t>
      </w:r>
      <w:r>
        <w:rPr>
          <w:kern w:val="2"/>
          <w14:ligatures w14:val="standardContextual"/>
        </w:rPr>
        <w:tab/>
      </w:r>
      <w:r>
        <w:t>Application of the Paper</w:t>
      </w:r>
      <w:r>
        <w:tab/>
      </w:r>
      <w:r>
        <w:fldChar w:fldCharType="begin"/>
      </w:r>
      <w:r>
        <w:instrText xml:space="preserve"> PAGEREF _Toc233635547 \h </w:instrText>
      </w:r>
      <w:r>
        <w:fldChar w:fldCharType="separate"/>
      </w:r>
      <w:r>
        <w:t>4</w:t>
      </w:r>
      <w:r>
        <w:fldChar w:fldCharType="end"/>
      </w:r>
    </w:p>
    <w:p w14:paraId="08AFCB39" w14:textId="62D93EE2" w:rsidR="00B17580" w:rsidRDefault="00B17580">
      <w:pPr>
        <w:pStyle w:val="TOC1"/>
        <w:rPr>
          <w:rFonts w:eastAsiaTheme="minorEastAsia" w:cstheme="minorBidi"/>
          <w:b w:val="0"/>
          <w:caps w:val="0"/>
          <w:color w:val="auto"/>
          <w:kern w:val="2"/>
          <w:sz w:val="24"/>
          <w:szCs w:val="24"/>
          <w14:ligatures w14:val="standardContextual"/>
        </w:rPr>
      </w:pPr>
      <w:r>
        <w:t>2. Treatment of AASB Standards Issued but Yet to be Applied</w:t>
      </w:r>
      <w:r>
        <w:tab/>
      </w:r>
      <w:r>
        <w:fldChar w:fldCharType="begin"/>
      </w:r>
      <w:r>
        <w:instrText xml:space="preserve"> PAGEREF _Toc233635548 \h </w:instrText>
      </w:r>
      <w:r>
        <w:fldChar w:fldCharType="separate"/>
      </w:r>
      <w:r>
        <w:t>5</w:t>
      </w:r>
      <w:r>
        <w:fldChar w:fldCharType="end"/>
      </w:r>
    </w:p>
    <w:p w14:paraId="5B13F3BE" w14:textId="2FCFC881" w:rsidR="00B17580" w:rsidRDefault="00B17580">
      <w:pPr>
        <w:pStyle w:val="TOC2"/>
        <w:rPr>
          <w:rFonts w:eastAsiaTheme="minorEastAsia" w:cstheme="minorBidi"/>
          <w:color w:val="auto"/>
          <w:kern w:val="2"/>
          <w:sz w:val="24"/>
          <w:szCs w:val="24"/>
          <w14:ligatures w14:val="standardContextual"/>
        </w:rPr>
      </w:pPr>
      <w:r>
        <w:t xml:space="preserve">2.1 </w:t>
      </w:r>
      <w:r w:rsidRPr="00F52758">
        <w:rPr>
          <w:rFonts w:cs="Calibri"/>
        </w:rPr>
        <w:t>Disclosures Required for Standards Issued but yet to be applie</w:t>
      </w:r>
      <w:r>
        <w:t>d</w:t>
      </w:r>
      <w:r>
        <w:tab/>
      </w:r>
      <w:r>
        <w:fldChar w:fldCharType="begin"/>
      </w:r>
      <w:r>
        <w:instrText xml:space="preserve"> PAGEREF _Toc233635549 \h </w:instrText>
      </w:r>
      <w:r>
        <w:fldChar w:fldCharType="separate"/>
      </w:r>
      <w:r>
        <w:t>5</w:t>
      </w:r>
      <w:r>
        <w:fldChar w:fldCharType="end"/>
      </w:r>
    </w:p>
    <w:p w14:paraId="277A960B" w14:textId="61BB5420" w:rsidR="00B17580" w:rsidRDefault="00B17580">
      <w:pPr>
        <w:pStyle w:val="TOC1"/>
        <w:rPr>
          <w:rFonts w:eastAsiaTheme="minorEastAsia" w:cstheme="minorBidi"/>
          <w:b w:val="0"/>
          <w:caps w:val="0"/>
          <w:color w:val="auto"/>
          <w:kern w:val="2"/>
          <w:sz w:val="24"/>
          <w:szCs w:val="24"/>
          <w14:ligatures w14:val="standardContextual"/>
        </w:rPr>
      </w:pPr>
      <w:r>
        <w:t>3.</w:t>
      </w:r>
      <w:r>
        <w:rPr>
          <w:rFonts w:eastAsiaTheme="minorEastAsia" w:cstheme="minorBidi"/>
          <w:b w:val="0"/>
          <w:caps w:val="0"/>
          <w:color w:val="auto"/>
          <w:kern w:val="2"/>
          <w:sz w:val="24"/>
          <w:szCs w:val="24"/>
          <w14:ligatures w14:val="standardContextual"/>
        </w:rPr>
        <w:tab/>
      </w:r>
      <w:r w:rsidRPr="00F52758">
        <w:rPr>
          <w:rFonts w:cs="Calibri"/>
        </w:rPr>
        <w:t>Summary of Changes to Standards and Interpretations Issued but yet TO BE APPLIED</w:t>
      </w:r>
      <w:r>
        <w:tab/>
      </w:r>
      <w:r>
        <w:fldChar w:fldCharType="begin"/>
      </w:r>
      <w:r>
        <w:instrText xml:space="preserve"> PAGEREF _Toc233635550 \h </w:instrText>
      </w:r>
      <w:r>
        <w:fldChar w:fldCharType="separate"/>
      </w:r>
      <w:r>
        <w:t>5</w:t>
      </w:r>
      <w:r>
        <w:fldChar w:fldCharType="end"/>
      </w:r>
    </w:p>
    <w:p w14:paraId="24DAEB8E" w14:textId="487CB998" w:rsidR="00B17580" w:rsidRDefault="00B17580">
      <w:pPr>
        <w:pStyle w:val="TOC2"/>
        <w:tabs>
          <w:tab w:val="left" w:pos="960"/>
        </w:tabs>
        <w:rPr>
          <w:rFonts w:eastAsiaTheme="minorEastAsia" w:cstheme="minorBidi"/>
          <w:color w:val="auto"/>
          <w:kern w:val="2"/>
          <w:sz w:val="24"/>
          <w:szCs w:val="24"/>
          <w14:ligatures w14:val="standardContextual"/>
        </w:rPr>
      </w:pPr>
      <w:r>
        <w:t>3.1</w:t>
      </w:r>
      <w:r>
        <w:rPr>
          <w:rFonts w:eastAsiaTheme="minorEastAsia" w:cstheme="minorBidi"/>
          <w:color w:val="auto"/>
          <w:kern w:val="2"/>
          <w:sz w:val="24"/>
          <w:szCs w:val="24"/>
          <w14:ligatures w14:val="standardContextual"/>
        </w:rPr>
        <w:tab/>
      </w:r>
      <w:r>
        <w:t>Relevant Standards that are considered not to have a Material Financial Impact on Most Agencies</w:t>
      </w:r>
      <w:r>
        <w:tab/>
      </w:r>
      <w:r>
        <w:fldChar w:fldCharType="begin"/>
      </w:r>
      <w:r>
        <w:instrText xml:space="preserve"> PAGEREF _Toc233635551 \h </w:instrText>
      </w:r>
      <w:r>
        <w:fldChar w:fldCharType="separate"/>
      </w:r>
      <w:r>
        <w:t>6</w:t>
      </w:r>
      <w:r>
        <w:fldChar w:fldCharType="end"/>
      </w:r>
    </w:p>
    <w:p w14:paraId="7D8B6BF7" w14:textId="4790E1CD" w:rsidR="00B17580" w:rsidRDefault="00B17580">
      <w:pPr>
        <w:pStyle w:val="TOC3"/>
        <w:rPr>
          <w:kern w:val="2"/>
          <w14:ligatures w14:val="standardContextual"/>
        </w:rPr>
      </w:pPr>
      <w:r w:rsidRPr="00F52758">
        <w:rPr>
          <w:bCs/>
        </w:rPr>
        <w:t>3.1.1</w:t>
      </w:r>
      <w:r>
        <w:rPr>
          <w:kern w:val="2"/>
          <w14:ligatures w14:val="standardContextual"/>
        </w:rPr>
        <w:tab/>
      </w:r>
      <w:r w:rsidRPr="00F52758">
        <w:rPr>
          <w:iCs/>
        </w:rPr>
        <w:t xml:space="preserve">AASB 18 </w:t>
      </w:r>
      <w:r>
        <w:t>Presentation and Disclosure in Financial Statements (appl. 1 January</w:t>
      </w:r>
      <w:r w:rsidRPr="00F52758">
        <w:rPr>
          <w:iCs/>
        </w:rPr>
        <w:t xml:space="preserve"> 2027 for for-profit entities however appl. 1 January 2028 for not-for-profit public sector entities)</w:t>
      </w:r>
      <w:r>
        <w:tab/>
      </w:r>
      <w:r>
        <w:fldChar w:fldCharType="begin"/>
      </w:r>
      <w:r>
        <w:instrText xml:space="preserve"> PAGEREF _Toc233635552 \h </w:instrText>
      </w:r>
      <w:r>
        <w:fldChar w:fldCharType="separate"/>
      </w:r>
      <w:r>
        <w:t>7</w:t>
      </w:r>
      <w:r>
        <w:fldChar w:fldCharType="end"/>
      </w:r>
    </w:p>
    <w:p w14:paraId="68B9EA93" w14:textId="770946A5" w:rsidR="00B17580" w:rsidRDefault="00B17580">
      <w:pPr>
        <w:pStyle w:val="TOC3"/>
        <w:rPr>
          <w:kern w:val="2"/>
          <w14:ligatures w14:val="standardContextual"/>
        </w:rPr>
      </w:pPr>
      <w:r w:rsidRPr="00F52758">
        <w:rPr>
          <w:bCs/>
        </w:rPr>
        <w:t>3.1.2</w:t>
      </w:r>
      <w:r>
        <w:rPr>
          <w:kern w:val="2"/>
          <w14:ligatures w14:val="standardContextual"/>
        </w:rPr>
        <w:tab/>
      </w:r>
      <w:r w:rsidRPr="00F52758">
        <w:rPr>
          <w:iCs/>
        </w:rPr>
        <w:t xml:space="preserve">AASB 2024-2 Amendments to Australian Accounting Standards – Classification and Measurement of Financial Instruments </w:t>
      </w:r>
      <w:r>
        <w:t>(appl. 1 January</w:t>
      </w:r>
      <w:r w:rsidRPr="00F52758">
        <w:rPr>
          <w:iCs/>
        </w:rPr>
        <w:t xml:space="preserve"> 2026)</w:t>
      </w:r>
      <w:r>
        <w:tab/>
      </w:r>
      <w:r>
        <w:fldChar w:fldCharType="begin"/>
      </w:r>
      <w:r>
        <w:instrText xml:space="preserve"> PAGEREF _Toc233635553 \h </w:instrText>
      </w:r>
      <w:r>
        <w:fldChar w:fldCharType="separate"/>
      </w:r>
      <w:r>
        <w:t>9</w:t>
      </w:r>
      <w:r>
        <w:fldChar w:fldCharType="end"/>
      </w:r>
    </w:p>
    <w:p w14:paraId="3F68EF61" w14:textId="1AC06089" w:rsidR="00B17580" w:rsidRDefault="00B17580">
      <w:pPr>
        <w:pStyle w:val="TOC3"/>
        <w:rPr>
          <w:kern w:val="2"/>
          <w14:ligatures w14:val="standardContextual"/>
        </w:rPr>
      </w:pPr>
      <w:r w:rsidRPr="00F52758">
        <w:rPr>
          <w:bCs/>
        </w:rPr>
        <w:t>3.1.3</w:t>
      </w:r>
      <w:r>
        <w:rPr>
          <w:kern w:val="2"/>
          <w14:ligatures w14:val="standardContextual"/>
        </w:rPr>
        <w:tab/>
      </w:r>
      <w:r w:rsidRPr="00F52758">
        <w:rPr>
          <w:iCs/>
        </w:rPr>
        <w:t xml:space="preserve">AASB 2024-3 </w:t>
      </w:r>
      <w:r>
        <w:t>Presentation Amendments to Australian Accounting Standards – Annual Improvements Volume 11 (appl. 1 January</w:t>
      </w:r>
      <w:r w:rsidRPr="00F52758">
        <w:rPr>
          <w:iCs/>
        </w:rPr>
        <w:t xml:space="preserve"> 2026)</w:t>
      </w:r>
      <w:r>
        <w:tab/>
      </w:r>
      <w:r>
        <w:fldChar w:fldCharType="begin"/>
      </w:r>
      <w:r>
        <w:instrText xml:space="preserve"> PAGEREF _Toc233635554 \h </w:instrText>
      </w:r>
      <w:r>
        <w:fldChar w:fldCharType="separate"/>
      </w:r>
      <w:r>
        <w:t>10</w:t>
      </w:r>
      <w:r>
        <w:fldChar w:fldCharType="end"/>
      </w:r>
    </w:p>
    <w:p w14:paraId="37B43E3F" w14:textId="0E939D84" w:rsidR="00B17580" w:rsidRDefault="00B17580">
      <w:pPr>
        <w:pStyle w:val="TOC3"/>
        <w:rPr>
          <w:kern w:val="2"/>
          <w14:ligatures w14:val="standardContextual"/>
        </w:rPr>
      </w:pPr>
      <w:r>
        <w:t>3.1.4</w:t>
      </w:r>
      <w:r>
        <w:rPr>
          <w:kern w:val="2"/>
          <w14:ligatures w14:val="standardContextual"/>
        </w:rPr>
        <w:tab/>
      </w:r>
      <w:r w:rsidRPr="00F52758">
        <w:rPr>
          <w:iCs/>
        </w:rPr>
        <w:t>AASB 2026-2 Amendments to Australian Accounting Standards – Extending the Application of the Conceptual Framework and Limiting the Ability of Not-for-Profit Entities to Prepare Special Purpose Financial Statements (</w:t>
      </w:r>
      <w:r>
        <w:t>appl. 1 July</w:t>
      </w:r>
      <w:r w:rsidRPr="00F52758">
        <w:rPr>
          <w:iCs/>
        </w:rPr>
        <w:t xml:space="preserve"> 2029)</w:t>
      </w:r>
      <w:r>
        <w:tab/>
      </w:r>
      <w:r>
        <w:fldChar w:fldCharType="begin"/>
      </w:r>
      <w:r>
        <w:instrText xml:space="preserve"> PAGEREF _Toc233635555 \h </w:instrText>
      </w:r>
      <w:r>
        <w:fldChar w:fldCharType="separate"/>
      </w:r>
      <w:r>
        <w:t>10</w:t>
      </w:r>
      <w:r>
        <w:fldChar w:fldCharType="end"/>
      </w:r>
    </w:p>
    <w:p w14:paraId="18C4C0D8" w14:textId="59EC8B42" w:rsidR="00B17580" w:rsidRDefault="00B17580">
      <w:pPr>
        <w:pStyle w:val="TOC2"/>
        <w:tabs>
          <w:tab w:val="left" w:pos="960"/>
        </w:tabs>
        <w:rPr>
          <w:rFonts w:eastAsiaTheme="minorEastAsia" w:cstheme="minorBidi"/>
          <w:color w:val="auto"/>
          <w:kern w:val="2"/>
          <w:sz w:val="24"/>
          <w:szCs w:val="24"/>
          <w14:ligatures w14:val="standardContextual"/>
        </w:rPr>
      </w:pPr>
      <w:r>
        <w:t>3.2</w:t>
      </w:r>
      <w:r>
        <w:rPr>
          <w:rFonts w:eastAsiaTheme="minorEastAsia" w:cstheme="minorBidi"/>
          <w:color w:val="auto"/>
          <w:kern w:val="2"/>
          <w:sz w:val="24"/>
          <w:szCs w:val="24"/>
          <w14:ligatures w14:val="standardContextual"/>
        </w:rPr>
        <w:tab/>
      </w:r>
      <w:r>
        <w:t>Standards that are not considered Applicable to Most Agencies</w:t>
      </w:r>
      <w:r>
        <w:tab/>
      </w:r>
      <w:r>
        <w:fldChar w:fldCharType="begin"/>
      </w:r>
      <w:r>
        <w:instrText xml:space="preserve"> PAGEREF _Toc233635556 \h </w:instrText>
      </w:r>
      <w:r>
        <w:fldChar w:fldCharType="separate"/>
      </w:r>
      <w:r>
        <w:t>12</w:t>
      </w:r>
      <w:r>
        <w:fldChar w:fldCharType="end"/>
      </w:r>
    </w:p>
    <w:p w14:paraId="4F26DCA9" w14:textId="4727F4D4" w:rsidR="00B17580" w:rsidRDefault="00B17580">
      <w:pPr>
        <w:pStyle w:val="TOC3"/>
        <w:rPr>
          <w:kern w:val="2"/>
          <w14:ligatures w14:val="standardContextual"/>
        </w:rPr>
      </w:pPr>
      <w:r>
        <w:t>3.2.1</w:t>
      </w:r>
      <w:r>
        <w:rPr>
          <w:kern w:val="2"/>
          <w14:ligatures w14:val="standardContextual"/>
        </w:rPr>
        <w:tab/>
      </w:r>
      <w:r w:rsidRPr="00F52758">
        <w:rPr>
          <w:iCs/>
        </w:rPr>
        <w:t>AASB 17 Insurance Contracts (originally appl. 1 January 2021</w:t>
      </w:r>
      <w:r w:rsidRPr="00F52758">
        <w:rPr>
          <w:rFonts w:cstheme="minorHAnsi"/>
          <w:iCs/>
        </w:rPr>
        <w:t xml:space="preserve"> then delayed </w:t>
      </w:r>
      <w:r w:rsidRPr="00F52758">
        <w:rPr>
          <w:iCs/>
        </w:rPr>
        <w:t xml:space="preserve">to appl. 1 January 2023 due to issue of AASB 2020-5 however now appl. 1 July 2026 due to issue of </w:t>
      </w:r>
      <w:r>
        <w:t>AASB 2022</w:t>
      </w:r>
      <w:r>
        <w:noBreakHyphen/>
        <w:t>8/AASB 2022-9</w:t>
      </w:r>
      <w:r w:rsidRPr="00F52758">
        <w:rPr>
          <w:iCs/>
        </w:rPr>
        <w:t>)</w:t>
      </w:r>
      <w:r>
        <w:tab/>
      </w:r>
      <w:r>
        <w:fldChar w:fldCharType="begin"/>
      </w:r>
      <w:r>
        <w:instrText xml:space="preserve"> PAGEREF _Toc233635557 \h </w:instrText>
      </w:r>
      <w:r>
        <w:fldChar w:fldCharType="separate"/>
      </w:r>
      <w:r>
        <w:t>12</w:t>
      </w:r>
      <w:r>
        <w:fldChar w:fldCharType="end"/>
      </w:r>
    </w:p>
    <w:p w14:paraId="1BBA3EC1" w14:textId="77777777" w:rsidR="00EB1B93" w:rsidRDefault="00EB1B93">
      <w:pPr>
        <w:spacing w:line="276" w:lineRule="auto"/>
        <w:rPr>
          <w:rFonts w:eastAsiaTheme="minorEastAsia" w:cstheme="minorBidi"/>
          <w:bCs/>
          <w:noProof/>
          <w:sz w:val="24"/>
          <w:szCs w:val="24"/>
        </w:rPr>
      </w:pPr>
      <w:r>
        <w:rPr>
          <w:bCs/>
        </w:rPr>
        <w:br w:type="page"/>
      </w:r>
    </w:p>
    <w:p w14:paraId="20EC1018" w14:textId="0A8497A5" w:rsidR="00B17580" w:rsidRDefault="00B17580">
      <w:pPr>
        <w:pStyle w:val="TOC3"/>
        <w:rPr>
          <w:kern w:val="2"/>
          <w14:ligatures w14:val="standardContextual"/>
        </w:rPr>
      </w:pPr>
      <w:r w:rsidRPr="00F52758">
        <w:rPr>
          <w:bCs/>
        </w:rPr>
        <w:lastRenderedPageBreak/>
        <w:t>3.2.2</w:t>
      </w:r>
      <w:r>
        <w:rPr>
          <w:kern w:val="2"/>
          <w14:ligatures w14:val="standardContextual"/>
        </w:rPr>
        <w:tab/>
      </w:r>
      <w:r w:rsidRPr="00F52758">
        <w:rPr>
          <w:iCs/>
        </w:rPr>
        <w:t xml:space="preserve">AASB 2014-10 Amendments to Australian Accounting Standards – Sale or Contribution of Assets between an Investor and its Associate or Joint Venture (originally appl. 1 January 2016, then delayed </w:t>
      </w:r>
      <w:r w:rsidRPr="00F52758">
        <w:rPr>
          <w:rFonts w:cstheme="minorHAnsi"/>
        </w:rPr>
        <w:t>to appl. 1 January 2018 through AASB 2015-10, then delayed</w:t>
      </w:r>
      <w:r w:rsidRPr="00F52758">
        <w:rPr>
          <w:rFonts w:cstheme="minorHAnsi"/>
          <w:i/>
          <w:iCs/>
        </w:rPr>
        <w:t xml:space="preserve"> </w:t>
      </w:r>
      <w:r w:rsidRPr="00F52758">
        <w:rPr>
          <w:iCs/>
        </w:rPr>
        <w:t xml:space="preserve">to appl. 1 January 2025 due to issue of </w:t>
      </w:r>
      <w:r>
        <w:t>AASB 2021-7c, however now appl. 1 January 2028 due to issue of AASB 2024-4b</w:t>
      </w:r>
      <w:r w:rsidRPr="00F52758">
        <w:rPr>
          <w:iCs/>
        </w:rPr>
        <w:t>)</w:t>
      </w:r>
      <w:r>
        <w:tab/>
      </w:r>
      <w:r>
        <w:fldChar w:fldCharType="begin"/>
      </w:r>
      <w:r>
        <w:instrText xml:space="preserve"> PAGEREF _Toc233635558 \h </w:instrText>
      </w:r>
      <w:r>
        <w:fldChar w:fldCharType="separate"/>
      </w:r>
      <w:r>
        <w:t>12</w:t>
      </w:r>
      <w:r>
        <w:fldChar w:fldCharType="end"/>
      </w:r>
    </w:p>
    <w:p w14:paraId="1B323440" w14:textId="7496D820" w:rsidR="00B17580" w:rsidRDefault="00B17580">
      <w:pPr>
        <w:pStyle w:val="TOC3"/>
        <w:rPr>
          <w:kern w:val="2"/>
          <w14:ligatures w14:val="standardContextual"/>
        </w:rPr>
      </w:pPr>
      <w:r>
        <w:t>3.2.3</w:t>
      </w:r>
      <w:r>
        <w:rPr>
          <w:kern w:val="2"/>
          <w14:ligatures w14:val="standardContextual"/>
        </w:rPr>
        <w:tab/>
      </w:r>
      <w:r>
        <w:t>AASB 2022-9 Amendments to Australian Accounting Standards – Insurance Contracts in the Public Sector (appl. 1 July 2026)</w:t>
      </w:r>
      <w:r>
        <w:tab/>
      </w:r>
      <w:r>
        <w:fldChar w:fldCharType="begin"/>
      </w:r>
      <w:r>
        <w:instrText xml:space="preserve"> PAGEREF _Toc233635559 \h </w:instrText>
      </w:r>
      <w:r>
        <w:fldChar w:fldCharType="separate"/>
      </w:r>
      <w:r>
        <w:t>13</w:t>
      </w:r>
      <w:r>
        <w:fldChar w:fldCharType="end"/>
      </w:r>
    </w:p>
    <w:p w14:paraId="700B3252" w14:textId="240BF502" w:rsidR="00B17580" w:rsidRDefault="00B17580">
      <w:pPr>
        <w:pStyle w:val="TOC3"/>
        <w:rPr>
          <w:kern w:val="2"/>
          <w14:ligatures w14:val="standardContextual"/>
        </w:rPr>
      </w:pPr>
      <w:r>
        <w:t>3.2.4</w:t>
      </w:r>
      <w:r>
        <w:rPr>
          <w:kern w:val="2"/>
          <w14:ligatures w14:val="standardContextual"/>
        </w:rPr>
        <w:tab/>
      </w:r>
      <w:r>
        <w:t>AASB 2024-4b Amendments to Australian Accounting Standards – Effective Date of Amendments to AASB 10 and AASB 128 (originally appl. 1 January 2025 but further deferred to appl. 1 January 2028)</w:t>
      </w:r>
      <w:r>
        <w:tab/>
      </w:r>
      <w:r>
        <w:fldChar w:fldCharType="begin"/>
      </w:r>
      <w:r>
        <w:instrText xml:space="preserve"> PAGEREF _Toc233635560 \h </w:instrText>
      </w:r>
      <w:r>
        <w:fldChar w:fldCharType="separate"/>
      </w:r>
      <w:r>
        <w:t>14</w:t>
      </w:r>
      <w:r>
        <w:fldChar w:fldCharType="end"/>
      </w:r>
    </w:p>
    <w:p w14:paraId="78966108" w14:textId="4A230D47" w:rsidR="00B17580" w:rsidRDefault="00B17580">
      <w:pPr>
        <w:pStyle w:val="TOC3"/>
        <w:rPr>
          <w:kern w:val="2"/>
          <w14:ligatures w14:val="standardContextual"/>
        </w:rPr>
      </w:pPr>
      <w:r>
        <w:t>3.2.5</w:t>
      </w:r>
      <w:r>
        <w:rPr>
          <w:kern w:val="2"/>
          <w14:ligatures w14:val="standardContextual"/>
        </w:rPr>
        <w:tab/>
      </w:r>
      <w:r>
        <w:t>AASB 2025-1 Amendments to Australian Accounting Standards – Contracts Referencing Nature-dependent Electricity (appl. 1 January 2026)</w:t>
      </w:r>
      <w:r>
        <w:tab/>
      </w:r>
      <w:r>
        <w:fldChar w:fldCharType="begin"/>
      </w:r>
      <w:r>
        <w:instrText xml:space="preserve"> PAGEREF _Toc233635561 \h </w:instrText>
      </w:r>
      <w:r>
        <w:fldChar w:fldCharType="separate"/>
      </w:r>
      <w:r>
        <w:t>15</w:t>
      </w:r>
      <w:r>
        <w:fldChar w:fldCharType="end"/>
      </w:r>
    </w:p>
    <w:p w14:paraId="3C1569D1" w14:textId="371D84C0" w:rsidR="00B17580" w:rsidRDefault="00B17580">
      <w:pPr>
        <w:pStyle w:val="TOC3"/>
        <w:rPr>
          <w:kern w:val="2"/>
          <w14:ligatures w14:val="standardContextual"/>
        </w:rPr>
      </w:pPr>
      <w:r>
        <w:t>3.2.6</w:t>
      </w:r>
      <w:r>
        <w:rPr>
          <w:kern w:val="2"/>
          <w14:ligatures w14:val="standardContextual"/>
        </w:rPr>
        <w:tab/>
      </w:r>
      <w:r>
        <w:t>AASB 2025-2 Amendments to Australian Accounting Standards – Classification and Measurement of Financial Instruments: Tier 2 Disclosures (appl. 1 January 2026)</w:t>
      </w:r>
      <w:r>
        <w:tab/>
      </w:r>
      <w:r>
        <w:fldChar w:fldCharType="begin"/>
      </w:r>
      <w:r>
        <w:instrText xml:space="preserve"> PAGEREF _Toc233635562 \h </w:instrText>
      </w:r>
      <w:r>
        <w:fldChar w:fldCharType="separate"/>
      </w:r>
      <w:r>
        <w:t>15</w:t>
      </w:r>
      <w:r>
        <w:fldChar w:fldCharType="end"/>
      </w:r>
    </w:p>
    <w:p w14:paraId="1C893EC9" w14:textId="325D6676" w:rsidR="00B17580" w:rsidRDefault="00B17580">
      <w:pPr>
        <w:pStyle w:val="TOC3"/>
        <w:rPr>
          <w:kern w:val="2"/>
          <w14:ligatures w14:val="standardContextual"/>
        </w:rPr>
      </w:pPr>
      <w:r>
        <w:t>3.2.7</w:t>
      </w:r>
      <w:r>
        <w:rPr>
          <w:kern w:val="2"/>
          <w14:ligatures w14:val="standardContextual"/>
        </w:rPr>
        <w:tab/>
      </w:r>
      <w:r>
        <w:t>AASB 2025-3 Amendments to Australian Accounting Standards – Contracts Referencing Nature-dependent Electricity: Tier 2 Disclosures (appl. 1 January 2026)</w:t>
      </w:r>
      <w:r>
        <w:tab/>
      </w:r>
      <w:r>
        <w:fldChar w:fldCharType="begin"/>
      </w:r>
      <w:r>
        <w:instrText xml:space="preserve"> PAGEREF _Toc233635563 \h </w:instrText>
      </w:r>
      <w:r>
        <w:fldChar w:fldCharType="separate"/>
      </w:r>
      <w:r>
        <w:t>16</w:t>
      </w:r>
      <w:r>
        <w:fldChar w:fldCharType="end"/>
      </w:r>
    </w:p>
    <w:p w14:paraId="583A5FE9" w14:textId="1585D847" w:rsidR="00B17580" w:rsidRDefault="00B17580">
      <w:pPr>
        <w:pStyle w:val="TOC3"/>
        <w:rPr>
          <w:kern w:val="2"/>
          <w14:ligatures w14:val="standardContextual"/>
        </w:rPr>
      </w:pPr>
      <w:r>
        <w:t>3.2.8</w:t>
      </w:r>
      <w:r>
        <w:rPr>
          <w:kern w:val="2"/>
          <w14:ligatures w14:val="standardContextual"/>
        </w:rPr>
        <w:tab/>
      </w:r>
      <w:r>
        <w:t>AASB 2025-4 Amendments to Australian Accounting Standards – Translation to a Hyperinflationary Presentation Currency (appl. 1 January 2027)</w:t>
      </w:r>
      <w:r>
        <w:tab/>
      </w:r>
      <w:r>
        <w:fldChar w:fldCharType="begin"/>
      </w:r>
      <w:r>
        <w:instrText xml:space="preserve"> PAGEREF _Toc233635564 \h </w:instrText>
      </w:r>
      <w:r>
        <w:fldChar w:fldCharType="separate"/>
      </w:r>
      <w:r>
        <w:t>17</w:t>
      </w:r>
      <w:r>
        <w:fldChar w:fldCharType="end"/>
      </w:r>
    </w:p>
    <w:p w14:paraId="527E6501" w14:textId="4B5A5596" w:rsidR="00B17580" w:rsidRDefault="00B17580">
      <w:pPr>
        <w:pStyle w:val="TOC1"/>
        <w:rPr>
          <w:rFonts w:eastAsiaTheme="minorEastAsia" w:cstheme="minorBidi"/>
          <w:b w:val="0"/>
          <w:caps w:val="0"/>
          <w:color w:val="auto"/>
          <w:kern w:val="2"/>
          <w:sz w:val="24"/>
          <w:szCs w:val="24"/>
          <w14:ligatures w14:val="standardContextual"/>
        </w:rPr>
      </w:pPr>
      <w:r>
        <w:t>ATTACHMENT A – 2025-26 Model Financial Statement Disclosures for STANDARDS ISSUED BUT YET TO BE APPLIED</w:t>
      </w:r>
      <w:r>
        <w:tab/>
      </w:r>
      <w:r>
        <w:fldChar w:fldCharType="begin"/>
      </w:r>
      <w:r>
        <w:instrText xml:space="preserve"> PAGEREF _Toc233635565 \h </w:instrText>
      </w:r>
      <w:r>
        <w:fldChar w:fldCharType="separate"/>
      </w:r>
      <w:r>
        <w:t>18</w:t>
      </w:r>
      <w:r>
        <w:fldChar w:fldCharType="end"/>
      </w:r>
    </w:p>
    <w:p w14:paraId="25546D5C" w14:textId="0A7E8D38" w:rsidR="00C403DB" w:rsidRPr="007276E4" w:rsidRDefault="00DD7FA7" w:rsidP="00D07C66">
      <w:pPr>
        <w:pStyle w:val="Heading1"/>
        <w:numPr>
          <w:ilvl w:val="0"/>
          <w:numId w:val="0"/>
        </w:numPr>
        <w:spacing w:before="0" w:after="0" w:line="276" w:lineRule="auto"/>
        <w:ind w:hanging="284"/>
        <w:jc w:val="both"/>
      </w:pPr>
      <w:r w:rsidRPr="00C52E3C">
        <w:rPr>
          <w:rFonts w:asciiTheme="majorHAnsi" w:hAnsiTheme="majorHAnsi"/>
          <w:noProof/>
          <w:sz w:val="21"/>
          <w:szCs w:val="21"/>
        </w:rPr>
        <w:fldChar w:fldCharType="end"/>
      </w:r>
      <w:r w:rsidR="00C34A60">
        <w:br w:type="page"/>
      </w:r>
      <w:bookmarkStart w:id="6" w:name="_Toc233635540"/>
      <w:r w:rsidR="004D2EBC" w:rsidRPr="007276E4">
        <w:lastRenderedPageBreak/>
        <w:t>1.</w:t>
      </w:r>
      <w:bookmarkStart w:id="7" w:name="_Toc91480210"/>
      <w:bookmarkStart w:id="8" w:name="_Toc98757559"/>
      <w:bookmarkStart w:id="9" w:name="_Toc98821839"/>
      <w:bookmarkStart w:id="10" w:name="_Toc98826654"/>
      <w:bookmarkStart w:id="11" w:name="_Toc98826841"/>
      <w:bookmarkStart w:id="12" w:name="_Toc101586632"/>
      <w:bookmarkStart w:id="13" w:name="_Toc58146757"/>
      <w:r w:rsidR="00F74050">
        <w:tab/>
      </w:r>
      <w:r w:rsidR="00C403DB" w:rsidRPr="007276E4">
        <w:t>Introduction</w:t>
      </w:r>
      <w:bookmarkEnd w:id="6"/>
      <w:bookmarkEnd w:id="7"/>
      <w:bookmarkEnd w:id="8"/>
      <w:bookmarkEnd w:id="9"/>
      <w:bookmarkEnd w:id="10"/>
      <w:bookmarkEnd w:id="11"/>
      <w:bookmarkEnd w:id="12"/>
      <w:bookmarkEnd w:id="13"/>
    </w:p>
    <w:p w14:paraId="012CF44E" w14:textId="3955D704" w:rsidR="00B22CD5" w:rsidRPr="00F74050" w:rsidRDefault="00C403DB" w:rsidP="00D07C66">
      <w:pPr>
        <w:pStyle w:val="Heading2"/>
        <w:ind w:left="851" w:hanging="851"/>
        <w:jc w:val="both"/>
      </w:pPr>
      <w:bookmarkStart w:id="14" w:name="_Toc233635541"/>
      <w:bookmarkStart w:id="15" w:name="_Toc58146758"/>
      <w:r w:rsidRPr="00F74050">
        <w:t>1.1</w:t>
      </w:r>
      <w:r w:rsidR="00CE23E5" w:rsidRPr="00F74050">
        <w:tab/>
      </w:r>
      <w:r w:rsidR="00B22CD5" w:rsidRPr="00F74050">
        <w:t>APPLICATION</w:t>
      </w:r>
      <w:bookmarkEnd w:id="14"/>
      <w:r w:rsidRPr="00F74050">
        <w:t xml:space="preserve"> </w:t>
      </w:r>
    </w:p>
    <w:bookmarkEnd w:id="15"/>
    <w:p w14:paraId="01854B5E" w14:textId="3EB662C1" w:rsidR="006A7B38" w:rsidRPr="003A6F39" w:rsidRDefault="00C403DB" w:rsidP="00A32F33">
      <w:pPr>
        <w:pStyle w:val="Heading3"/>
        <w:spacing w:before="480" w:line="240" w:lineRule="auto"/>
        <w:ind w:left="992" w:hanging="357"/>
        <w:jc w:val="both"/>
        <w:rPr>
          <w:b w:val="0"/>
          <w:bCs/>
        </w:rPr>
      </w:pPr>
      <w:r w:rsidRPr="000362BF">
        <w:rPr>
          <w:sz w:val="22"/>
          <w:szCs w:val="22"/>
        </w:rPr>
        <w:t xml:space="preserve"> </w:t>
      </w:r>
      <w:bookmarkStart w:id="16" w:name="_Toc233635542"/>
      <w:r w:rsidR="006A7B38">
        <w:rPr>
          <w:rStyle w:val="Heading3Char"/>
          <w:b/>
          <w:bCs/>
        </w:rPr>
        <w:t>Background</w:t>
      </w:r>
      <w:bookmarkEnd w:id="16"/>
      <w:r w:rsidR="006A7B38">
        <w:rPr>
          <w:rStyle w:val="Heading3Char"/>
          <w:b/>
          <w:bCs/>
        </w:rPr>
        <w:t xml:space="preserve"> </w:t>
      </w:r>
    </w:p>
    <w:p w14:paraId="45FC0304" w14:textId="7A93DEA6" w:rsidR="00C403DB" w:rsidRDefault="00856D37" w:rsidP="00CE23E5">
      <w:pPr>
        <w:pStyle w:val="Footer"/>
        <w:tabs>
          <w:tab w:val="clear" w:pos="4513"/>
        </w:tabs>
        <w:spacing w:before="120" w:after="120" w:line="276" w:lineRule="auto"/>
        <w:jc w:val="both"/>
        <w:rPr>
          <w:sz w:val="22"/>
          <w:szCs w:val="22"/>
        </w:rPr>
      </w:pPr>
      <w:r w:rsidRPr="00FE3BDC">
        <w:rPr>
          <w:rFonts w:cs="Calibri"/>
          <w:sz w:val="22"/>
          <w:szCs w:val="22"/>
        </w:rPr>
        <w:t xml:space="preserve">This </w:t>
      </w:r>
      <w:r w:rsidR="00743BE5">
        <w:rPr>
          <w:rFonts w:cs="Calibri"/>
          <w:sz w:val="22"/>
          <w:szCs w:val="22"/>
        </w:rPr>
        <w:t>disclosure paper</w:t>
      </w:r>
      <w:r w:rsidRPr="00FE3BDC">
        <w:rPr>
          <w:sz w:val="22"/>
          <w:szCs w:val="22"/>
        </w:rPr>
        <w:t xml:space="preserve"> covers Australian Accounting Standards and Interpretations which have been issued as at </w:t>
      </w:r>
      <w:r w:rsidR="00A70B7B">
        <w:rPr>
          <w:sz w:val="22"/>
          <w:szCs w:val="22"/>
        </w:rPr>
        <w:t xml:space="preserve">30 </w:t>
      </w:r>
      <w:r w:rsidR="00CE23E5">
        <w:rPr>
          <w:sz w:val="22"/>
          <w:szCs w:val="22"/>
        </w:rPr>
        <w:t>June</w:t>
      </w:r>
      <w:r w:rsidRPr="00FE3BDC">
        <w:rPr>
          <w:sz w:val="22"/>
          <w:szCs w:val="22"/>
        </w:rPr>
        <w:t> 202</w:t>
      </w:r>
      <w:r w:rsidR="00F535DC">
        <w:rPr>
          <w:sz w:val="22"/>
          <w:szCs w:val="22"/>
        </w:rPr>
        <w:t>6</w:t>
      </w:r>
      <w:r w:rsidRPr="00FE3BDC">
        <w:rPr>
          <w:sz w:val="22"/>
          <w:szCs w:val="22"/>
        </w:rPr>
        <w:t xml:space="preserve"> that are yet to be applied. These standards and interpretations will apply during </w:t>
      </w:r>
      <w:r w:rsidR="006F7698">
        <w:rPr>
          <w:sz w:val="22"/>
          <w:szCs w:val="22"/>
        </w:rPr>
        <w:t xml:space="preserve">the </w:t>
      </w:r>
      <w:r w:rsidR="006F7698" w:rsidRPr="00FE3BDC">
        <w:rPr>
          <w:sz w:val="22"/>
          <w:szCs w:val="22"/>
        </w:rPr>
        <w:t>202</w:t>
      </w:r>
      <w:r w:rsidR="00F535DC">
        <w:rPr>
          <w:sz w:val="22"/>
          <w:szCs w:val="22"/>
        </w:rPr>
        <w:t>6</w:t>
      </w:r>
      <w:r w:rsidR="006F7698" w:rsidRPr="00FE3BDC">
        <w:rPr>
          <w:sz w:val="22"/>
          <w:szCs w:val="22"/>
        </w:rPr>
        <w:t>-2</w:t>
      </w:r>
      <w:r w:rsidR="00F535DC">
        <w:rPr>
          <w:sz w:val="22"/>
          <w:szCs w:val="22"/>
        </w:rPr>
        <w:t>7</w:t>
      </w:r>
      <w:r w:rsidR="006F7698">
        <w:rPr>
          <w:sz w:val="22"/>
          <w:szCs w:val="22"/>
        </w:rPr>
        <w:t xml:space="preserve"> </w:t>
      </w:r>
      <w:r w:rsidRPr="00FE3BDC">
        <w:rPr>
          <w:sz w:val="22"/>
          <w:szCs w:val="22"/>
        </w:rPr>
        <w:t>reporting period</w:t>
      </w:r>
      <w:r w:rsidR="006F7698">
        <w:rPr>
          <w:sz w:val="22"/>
          <w:szCs w:val="22"/>
        </w:rPr>
        <w:t xml:space="preserve"> or later reporting periods</w:t>
      </w:r>
      <w:r w:rsidRPr="00FE3BDC">
        <w:rPr>
          <w:sz w:val="22"/>
          <w:szCs w:val="22"/>
        </w:rPr>
        <w:t>.</w:t>
      </w:r>
    </w:p>
    <w:p w14:paraId="74F3F068" w14:textId="3698ED16" w:rsidR="00A32F33" w:rsidRPr="00A32F33" w:rsidRDefault="00A32F33" w:rsidP="00A32F33">
      <w:pPr>
        <w:pStyle w:val="Heading3"/>
        <w:spacing w:before="480" w:line="240" w:lineRule="auto"/>
        <w:ind w:left="993" w:hanging="357"/>
      </w:pPr>
      <w:bookmarkStart w:id="17" w:name="_Toc233635543"/>
      <w:r w:rsidRPr="00A32F33">
        <w:rPr>
          <w:rStyle w:val="Heading3Char"/>
          <w:b/>
        </w:rPr>
        <w:t>Application Date</w:t>
      </w:r>
      <w:bookmarkEnd w:id="17"/>
    </w:p>
    <w:p w14:paraId="4E552401" w14:textId="23109051" w:rsidR="00A32F33" w:rsidRPr="00EF4637" w:rsidRDefault="00A32F33" w:rsidP="00CE23E5">
      <w:pPr>
        <w:pStyle w:val="Footer"/>
        <w:tabs>
          <w:tab w:val="clear" w:pos="4513"/>
        </w:tabs>
        <w:spacing w:before="120" w:after="120" w:line="276" w:lineRule="auto"/>
        <w:jc w:val="both"/>
        <w:rPr>
          <w:sz w:val="22"/>
          <w:szCs w:val="22"/>
        </w:rPr>
      </w:pPr>
      <w:r w:rsidRPr="00A32F33">
        <w:rPr>
          <w:sz w:val="22"/>
          <w:szCs w:val="22"/>
        </w:rPr>
        <w:t xml:space="preserve">This </w:t>
      </w:r>
      <w:r>
        <w:rPr>
          <w:sz w:val="22"/>
          <w:szCs w:val="22"/>
        </w:rPr>
        <w:t>disclosure p</w:t>
      </w:r>
      <w:r w:rsidRPr="00A32F33">
        <w:rPr>
          <w:sz w:val="22"/>
          <w:szCs w:val="22"/>
        </w:rPr>
        <w:t xml:space="preserve">aper applies </w:t>
      </w:r>
      <w:r>
        <w:rPr>
          <w:sz w:val="22"/>
          <w:szCs w:val="22"/>
        </w:rPr>
        <w:t xml:space="preserve">to the </w:t>
      </w:r>
      <w:r w:rsidR="00A70B7B">
        <w:rPr>
          <w:sz w:val="22"/>
          <w:szCs w:val="22"/>
        </w:rPr>
        <w:t>preparation of f</w:t>
      </w:r>
      <w:r>
        <w:rPr>
          <w:sz w:val="22"/>
          <w:szCs w:val="22"/>
        </w:rPr>
        <w:t xml:space="preserve">inancial </w:t>
      </w:r>
      <w:r w:rsidR="00A70B7B">
        <w:rPr>
          <w:sz w:val="22"/>
          <w:szCs w:val="22"/>
        </w:rPr>
        <w:t xml:space="preserve">statements for the </w:t>
      </w:r>
      <w:r w:rsidR="00172A75">
        <w:rPr>
          <w:sz w:val="22"/>
          <w:szCs w:val="22"/>
        </w:rPr>
        <w:t>f</w:t>
      </w:r>
      <w:r w:rsidR="00A70B7B">
        <w:rPr>
          <w:sz w:val="22"/>
          <w:szCs w:val="22"/>
        </w:rPr>
        <w:t xml:space="preserve">inancial </w:t>
      </w:r>
      <w:r w:rsidR="00172A75">
        <w:rPr>
          <w:sz w:val="22"/>
          <w:szCs w:val="22"/>
        </w:rPr>
        <w:t>y</w:t>
      </w:r>
      <w:r w:rsidR="00A70B7B">
        <w:rPr>
          <w:sz w:val="22"/>
          <w:szCs w:val="22"/>
        </w:rPr>
        <w:t>ear</w:t>
      </w:r>
      <w:r w:rsidR="007D0ED5">
        <w:rPr>
          <w:sz w:val="22"/>
          <w:szCs w:val="22"/>
        </w:rPr>
        <w:t xml:space="preserve"> </w:t>
      </w:r>
      <w:r w:rsidR="001732A0">
        <w:rPr>
          <w:sz w:val="22"/>
          <w:szCs w:val="22"/>
        </w:rPr>
        <w:t>e</w:t>
      </w:r>
      <w:r w:rsidR="007D0ED5">
        <w:rPr>
          <w:sz w:val="22"/>
          <w:szCs w:val="22"/>
        </w:rPr>
        <w:t>nded 30 June 202</w:t>
      </w:r>
      <w:r w:rsidR="00F535DC">
        <w:rPr>
          <w:sz w:val="22"/>
          <w:szCs w:val="22"/>
        </w:rPr>
        <w:t>6</w:t>
      </w:r>
      <w:r>
        <w:rPr>
          <w:sz w:val="22"/>
          <w:szCs w:val="22"/>
        </w:rPr>
        <w:t>.</w:t>
      </w:r>
    </w:p>
    <w:p w14:paraId="2E331920" w14:textId="2B1D707E" w:rsidR="00C403DB" w:rsidRPr="003A6F39" w:rsidRDefault="00C403DB" w:rsidP="00054BAA">
      <w:pPr>
        <w:pStyle w:val="Heading3"/>
        <w:spacing w:before="480" w:line="240" w:lineRule="auto"/>
        <w:ind w:left="992" w:hanging="357"/>
        <w:jc w:val="both"/>
        <w:rPr>
          <w:b w:val="0"/>
          <w:bCs/>
        </w:rPr>
      </w:pPr>
      <w:bookmarkStart w:id="18" w:name="_Toc58146760"/>
      <w:bookmarkStart w:id="19" w:name="_Toc233635544"/>
      <w:r w:rsidRPr="003A6F39">
        <w:rPr>
          <w:rStyle w:val="Heading3Char"/>
          <w:b/>
          <w:bCs/>
        </w:rPr>
        <w:t xml:space="preserve">Agencies Covered by this </w:t>
      </w:r>
      <w:r w:rsidR="00743BE5">
        <w:rPr>
          <w:rStyle w:val="Heading3Char"/>
          <w:b/>
          <w:bCs/>
        </w:rPr>
        <w:t>Paper</w:t>
      </w:r>
      <w:bookmarkEnd w:id="18"/>
      <w:bookmarkEnd w:id="19"/>
    </w:p>
    <w:p w14:paraId="33CD0768" w14:textId="4C02ACCA" w:rsidR="00932354" w:rsidRPr="000362BF" w:rsidRDefault="00932354" w:rsidP="00CE23E5">
      <w:pPr>
        <w:pStyle w:val="Footer"/>
        <w:spacing w:before="120" w:after="120" w:line="276" w:lineRule="auto"/>
        <w:jc w:val="both"/>
        <w:rPr>
          <w:sz w:val="22"/>
          <w:szCs w:val="22"/>
        </w:rPr>
      </w:pPr>
      <w:r w:rsidRPr="000362BF">
        <w:rPr>
          <w:sz w:val="22"/>
          <w:szCs w:val="22"/>
        </w:rPr>
        <w:t xml:space="preserve">This </w:t>
      </w:r>
      <w:r w:rsidR="00743BE5">
        <w:rPr>
          <w:sz w:val="22"/>
          <w:szCs w:val="22"/>
        </w:rPr>
        <w:t>disclosure</w:t>
      </w:r>
      <w:r w:rsidR="006A7B38">
        <w:rPr>
          <w:sz w:val="22"/>
          <w:szCs w:val="22"/>
        </w:rPr>
        <w:t xml:space="preserve"> paper applies to </w:t>
      </w:r>
      <w:r w:rsidRPr="000362BF">
        <w:rPr>
          <w:sz w:val="22"/>
          <w:szCs w:val="22"/>
        </w:rPr>
        <w:t xml:space="preserve">ACT Government </w:t>
      </w:r>
      <w:r w:rsidR="00DF1F88">
        <w:rPr>
          <w:sz w:val="22"/>
          <w:szCs w:val="22"/>
        </w:rPr>
        <w:t>a</w:t>
      </w:r>
      <w:r w:rsidRPr="000362BF">
        <w:rPr>
          <w:sz w:val="22"/>
          <w:szCs w:val="22"/>
        </w:rPr>
        <w:t>gencies, that is</w:t>
      </w:r>
      <w:r w:rsidR="00A70B7B">
        <w:rPr>
          <w:sz w:val="22"/>
          <w:szCs w:val="22"/>
        </w:rPr>
        <w:t>, all</w:t>
      </w:r>
      <w:r w:rsidRPr="000362BF">
        <w:rPr>
          <w:sz w:val="22"/>
          <w:szCs w:val="22"/>
        </w:rPr>
        <w:t xml:space="preserve"> directorates and territory authorities.</w:t>
      </w:r>
    </w:p>
    <w:p w14:paraId="248035DF" w14:textId="5852C768" w:rsidR="00856D37" w:rsidRPr="00856D37" w:rsidRDefault="00C403DB" w:rsidP="00054BAA">
      <w:pPr>
        <w:pStyle w:val="Heading3"/>
        <w:spacing w:before="480" w:after="0" w:line="240" w:lineRule="auto"/>
        <w:ind w:left="992" w:hanging="357"/>
        <w:jc w:val="both"/>
      </w:pPr>
      <w:bookmarkStart w:id="20" w:name="_Toc58146761"/>
      <w:bookmarkStart w:id="21" w:name="_Toc233635545"/>
      <w:r w:rsidRPr="00CF5CC6">
        <w:t>Contact</w:t>
      </w:r>
      <w:bookmarkEnd w:id="20"/>
      <w:bookmarkEnd w:id="21"/>
    </w:p>
    <w:p w14:paraId="3C91D7CF" w14:textId="5AAAAF8D" w:rsidR="00C403DB" w:rsidRDefault="00C403DB" w:rsidP="00CE23E5">
      <w:pPr>
        <w:spacing w:before="120" w:after="120" w:line="276" w:lineRule="auto"/>
        <w:jc w:val="both"/>
        <w:rPr>
          <w:sz w:val="22"/>
          <w:szCs w:val="22"/>
        </w:rPr>
      </w:pPr>
      <w:r w:rsidRPr="00EF4637">
        <w:rPr>
          <w:sz w:val="22"/>
          <w:szCs w:val="22"/>
        </w:rPr>
        <w:t xml:space="preserve">If you have any questions regarding this </w:t>
      </w:r>
      <w:r w:rsidR="00743BE5">
        <w:rPr>
          <w:sz w:val="22"/>
          <w:szCs w:val="22"/>
        </w:rPr>
        <w:t>paper</w:t>
      </w:r>
      <w:r w:rsidRPr="00EF4637">
        <w:rPr>
          <w:sz w:val="22"/>
          <w:szCs w:val="22"/>
        </w:rPr>
        <w:t xml:space="preserve">, please contact the Financial Reporting and Framework (FRF) Branch to </w:t>
      </w:r>
      <w:r w:rsidR="007D0ED5">
        <w:rPr>
          <w:sz w:val="22"/>
          <w:szCs w:val="22"/>
        </w:rPr>
        <w:t>receive</w:t>
      </w:r>
      <w:r w:rsidRPr="00EF4637">
        <w:rPr>
          <w:sz w:val="22"/>
          <w:szCs w:val="22"/>
        </w:rPr>
        <w:t xml:space="preserve"> further clarification. Contact details are listed on the</w:t>
      </w:r>
      <w:r w:rsidR="006F7698">
        <w:rPr>
          <w:sz w:val="22"/>
          <w:szCs w:val="22"/>
        </w:rPr>
        <w:t xml:space="preserve"> Accounting in the ACT</w:t>
      </w:r>
      <w:r w:rsidR="007D0ED5">
        <w:rPr>
          <w:sz w:val="22"/>
          <w:szCs w:val="22"/>
        </w:rPr>
        <w:t xml:space="preserve"> Government </w:t>
      </w:r>
      <w:r w:rsidRPr="00EF4637">
        <w:rPr>
          <w:sz w:val="22"/>
          <w:szCs w:val="22"/>
        </w:rPr>
        <w:t xml:space="preserve">website: </w:t>
      </w:r>
      <w:hyperlink r:id="rId13" w:history="1">
        <w:r w:rsidR="00B22F1A" w:rsidRPr="007470C5">
          <w:rPr>
            <w:rStyle w:val="Hyperlink"/>
            <w:sz w:val="22"/>
            <w:szCs w:val="22"/>
          </w:rPr>
          <w:t>https://www.treasury.act.gov.au/accounting/</w:t>
        </w:r>
      </w:hyperlink>
      <w:r w:rsidRPr="00EF4637">
        <w:rPr>
          <w:sz w:val="22"/>
          <w:szCs w:val="22"/>
        </w:rPr>
        <w:t>.</w:t>
      </w:r>
    </w:p>
    <w:p w14:paraId="3D03495C" w14:textId="77777777" w:rsidR="00054BAA" w:rsidRPr="00DB315A" w:rsidRDefault="00054BAA" w:rsidP="00533A6C">
      <w:pPr>
        <w:pStyle w:val="Heading3"/>
        <w:spacing w:before="480" w:line="240" w:lineRule="auto"/>
        <w:ind w:left="992" w:hanging="357"/>
      </w:pPr>
      <w:bookmarkStart w:id="22" w:name="_Toc139622555"/>
      <w:bookmarkStart w:id="23" w:name="_Toc233635546"/>
      <w:r>
        <w:t>S</w:t>
      </w:r>
      <w:r w:rsidRPr="0040190A">
        <w:t xml:space="preserve">tandards </w:t>
      </w:r>
      <w:r>
        <w:t>I</w:t>
      </w:r>
      <w:r w:rsidRPr="0040190A">
        <w:t xml:space="preserve">ssued </w:t>
      </w:r>
      <w:r>
        <w:t>that</w:t>
      </w:r>
      <w:r w:rsidRPr="0040190A">
        <w:t xml:space="preserve"> are </w:t>
      </w:r>
      <w:r>
        <w:t>N</w:t>
      </w:r>
      <w:r w:rsidRPr="0040190A">
        <w:t xml:space="preserve">ot </w:t>
      </w:r>
      <w:r>
        <w:t>Y</w:t>
      </w:r>
      <w:r w:rsidRPr="0040190A">
        <w:t xml:space="preserve">et </w:t>
      </w:r>
      <w:r>
        <w:t>A</w:t>
      </w:r>
      <w:r w:rsidRPr="0040190A">
        <w:t xml:space="preserve">pplicable </w:t>
      </w:r>
      <w:r>
        <w:t>After the Release of this Disclosure Paper</w:t>
      </w:r>
      <w:bookmarkEnd w:id="22"/>
      <w:bookmarkEnd w:id="23"/>
    </w:p>
    <w:p w14:paraId="0CCCE648" w14:textId="368453CE" w:rsidR="00533A6C" w:rsidRDefault="00054BAA" w:rsidP="006F0980">
      <w:pPr>
        <w:spacing w:before="120" w:after="120" w:line="276" w:lineRule="auto"/>
        <w:jc w:val="both"/>
        <w:rPr>
          <w:sz w:val="22"/>
          <w:szCs w:val="22"/>
        </w:rPr>
      </w:pPr>
      <w:r>
        <w:rPr>
          <w:sz w:val="22"/>
          <w:szCs w:val="22"/>
        </w:rPr>
        <w:t>A</w:t>
      </w:r>
      <w:r w:rsidRPr="00A46135">
        <w:rPr>
          <w:sz w:val="22"/>
          <w:szCs w:val="22"/>
        </w:rPr>
        <w:t>dditional standards may be issued which are</w:t>
      </w:r>
      <w:r>
        <w:rPr>
          <w:sz w:val="22"/>
          <w:szCs w:val="22"/>
        </w:rPr>
        <w:t xml:space="preserve"> not yet</w:t>
      </w:r>
      <w:r w:rsidRPr="00A46135">
        <w:rPr>
          <w:sz w:val="22"/>
          <w:szCs w:val="22"/>
        </w:rPr>
        <w:t xml:space="preserve"> applicable between </w:t>
      </w:r>
      <w:r>
        <w:rPr>
          <w:sz w:val="22"/>
          <w:szCs w:val="22"/>
        </w:rPr>
        <w:t>30 June 202</w:t>
      </w:r>
      <w:r w:rsidR="00F535DC">
        <w:rPr>
          <w:sz w:val="22"/>
          <w:szCs w:val="22"/>
        </w:rPr>
        <w:t>6</w:t>
      </w:r>
      <w:r>
        <w:rPr>
          <w:sz w:val="22"/>
          <w:szCs w:val="22"/>
        </w:rPr>
        <w:t xml:space="preserve"> </w:t>
      </w:r>
      <w:r w:rsidRPr="00A46135">
        <w:rPr>
          <w:sz w:val="22"/>
          <w:szCs w:val="22"/>
        </w:rPr>
        <w:t xml:space="preserve">and the date of signing of the financial statements and therefore these standards may need to be included in an agency’s </w:t>
      </w:r>
      <w:r>
        <w:rPr>
          <w:sz w:val="22"/>
          <w:szCs w:val="22"/>
        </w:rPr>
        <w:t>financial statements</w:t>
      </w:r>
      <w:r w:rsidRPr="00A46135">
        <w:rPr>
          <w:sz w:val="22"/>
          <w:szCs w:val="22"/>
        </w:rPr>
        <w:t>.</w:t>
      </w:r>
      <w:r>
        <w:rPr>
          <w:sz w:val="22"/>
          <w:szCs w:val="22"/>
        </w:rPr>
        <w:t xml:space="preserve"> As such, a</w:t>
      </w:r>
      <w:r w:rsidRPr="00A46135">
        <w:rPr>
          <w:sz w:val="22"/>
          <w:szCs w:val="22"/>
        </w:rPr>
        <w:t xml:space="preserve">gencies should monitor for any further standards issued after the </w:t>
      </w:r>
      <w:r>
        <w:rPr>
          <w:sz w:val="22"/>
          <w:szCs w:val="22"/>
        </w:rPr>
        <w:t xml:space="preserve">FRF Branch releases this paper in </w:t>
      </w:r>
      <w:r w:rsidR="00BA3B45">
        <w:rPr>
          <w:sz w:val="22"/>
          <w:szCs w:val="22"/>
        </w:rPr>
        <w:t xml:space="preserve">early </w:t>
      </w:r>
      <w:r w:rsidRPr="00A46135">
        <w:rPr>
          <w:sz w:val="22"/>
          <w:szCs w:val="22"/>
        </w:rPr>
        <w:t xml:space="preserve">July until their financial statements are signed. </w:t>
      </w:r>
      <w:r>
        <w:rPr>
          <w:sz w:val="22"/>
          <w:szCs w:val="22"/>
        </w:rPr>
        <w:t>If there are any further standards issued during this time, a</w:t>
      </w:r>
      <w:r w:rsidRPr="00A46135">
        <w:rPr>
          <w:sz w:val="22"/>
          <w:szCs w:val="22"/>
        </w:rPr>
        <w:t xml:space="preserve">gencies need to assess each </w:t>
      </w:r>
      <w:r>
        <w:rPr>
          <w:sz w:val="22"/>
          <w:szCs w:val="22"/>
        </w:rPr>
        <w:t>s</w:t>
      </w:r>
      <w:r w:rsidRPr="00A46135">
        <w:rPr>
          <w:sz w:val="22"/>
          <w:szCs w:val="22"/>
        </w:rPr>
        <w:t xml:space="preserve">tandard issued but not yet applicable and disclose these standards </w:t>
      </w:r>
      <w:r>
        <w:rPr>
          <w:sz w:val="22"/>
          <w:szCs w:val="22"/>
        </w:rPr>
        <w:t xml:space="preserve">in </w:t>
      </w:r>
      <w:r w:rsidR="00114047">
        <w:rPr>
          <w:sz w:val="22"/>
          <w:szCs w:val="22"/>
        </w:rPr>
        <w:t>the ‘</w:t>
      </w:r>
      <w:r w:rsidR="00114047" w:rsidRPr="00114047">
        <w:rPr>
          <w:sz w:val="22"/>
          <w:szCs w:val="22"/>
        </w:rPr>
        <w:t>Impact of Accounting Standards Issued But Yet to be Applied</w:t>
      </w:r>
      <w:r w:rsidR="00114047">
        <w:rPr>
          <w:sz w:val="22"/>
          <w:szCs w:val="22"/>
        </w:rPr>
        <w:t xml:space="preserve">’ </w:t>
      </w:r>
      <w:r>
        <w:rPr>
          <w:sz w:val="22"/>
          <w:szCs w:val="22"/>
        </w:rPr>
        <w:t xml:space="preserve">Note </w:t>
      </w:r>
      <w:r w:rsidR="00114047">
        <w:rPr>
          <w:sz w:val="22"/>
          <w:szCs w:val="22"/>
        </w:rPr>
        <w:t>(usually Note 3)</w:t>
      </w:r>
      <w:r>
        <w:rPr>
          <w:sz w:val="22"/>
          <w:szCs w:val="22"/>
        </w:rPr>
        <w:t xml:space="preserve"> of their financial statements </w:t>
      </w:r>
      <w:r w:rsidRPr="00A46135">
        <w:rPr>
          <w:sz w:val="22"/>
          <w:szCs w:val="22"/>
        </w:rPr>
        <w:t xml:space="preserve">if they are relevant and if their adoption is likely to have a material financial impact or their </w:t>
      </w:r>
      <w:r w:rsidR="00B269D0">
        <w:rPr>
          <w:sz w:val="22"/>
          <w:szCs w:val="22"/>
        </w:rPr>
        <w:t xml:space="preserve">financial </w:t>
      </w:r>
      <w:r w:rsidR="005C7E99">
        <w:rPr>
          <w:sz w:val="22"/>
          <w:szCs w:val="22"/>
        </w:rPr>
        <w:t xml:space="preserve">impact </w:t>
      </w:r>
      <w:r w:rsidR="005C7E99" w:rsidRPr="005C7E99">
        <w:rPr>
          <w:sz w:val="22"/>
          <w:szCs w:val="22"/>
        </w:rPr>
        <w:t>cannot be determined or reliably estimated</w:t>
      </w:r>
      <w:r>
        <w:rPr>
          <w:sz w:val="22"/>
          <w:szCs w:val="22"/>
        </w:rPr>
        <w:t>.</w:t>
      </w:r>
      <w:bookmarkStart w:id="24" w:name="_Toc58146762"/>
    </w:p>
    <w:p w14:paraId="3B2D4AD7" w14:textId="20768938" w:rsidR="00533A6C" w:rsidRPr="00533A6C" w:rsidRDefault="00533A6C" w:rsidP="00533A6C">
      <w:pPr>
        <w:pStyle w:val="Heading3"/>
        <w:spacing w:before="480" w:line="240" w:lineRule="auto"/>
        <w:ind w:left="714" w:hanging="357"/>
      </w:pPr>
      <w:bookmarkStart w:id="25" w:name="_Toc233635547"/>
      <w:r w:rsidRPr="00533A6C">
        <w:t xml:space="preserve">Application of </w:t>
      </w:r>
      <w:r>
        <w:t>the Paper</w:t>
      </w:r>
      <w:bookmarkEnd w:id="25"/>
      <w:r w:rsidRPr="00533A6C">
        <w:t xml:space="preserve"> </w:t>
      </w:r>
    </w:p>
    <w:p w14:paraId="5F0C90EC" w14:textId="5E989C1C" w:rsidR="006F0980" w:rsidRDefault="00533A6C" w:rsidP="006F0980">
      <w:pPr>
        <w:spacing w:before="120" w:after="120" w:line="276" w:lineRule="auto"/>
        <w:jc w:val="both"/>
        <w:rPr>
          <w:sz w:val="22"/>
          <w:szCs w:val="22"/>
        </w:rPr>
      </w:pPr>
      <w:r w:rsidRPr="00533A6C">
        <w:rPr>
          <w:sz w:val="22"/>
          <w:szCs w:val="22"/>
        </w:rPr>
        <w:t xml:space="preserve">Requirements of this </w:t>
      </w:r>
      <w:r>
        <w:rPr>
          <w:sz w:val="22"/>
          <w:szCs w:val="22"/>
        </w:rPr>
        <w:t>paper</w:t>
      </w:r>
      <w:r w:rsidRPr="00533A6C">
        <w:rPr>
          <w:sz w:val="22"/>
          <w:szCs w:val="22"/>
        </w:rPr>
        <w:t xml:space="preserve"> are included in bold text, with un-bolded text being background information/commentary. </w:t>
      </w:r>
      <w:r w:rsidR="006F0980">
        <w:rPr>
          <w:sz w:val="22"/>
          <w:szCs w:val="22"/>
        </w:rPr>
        <w:br w:type="page"/>
      </w:r>
    </w:p>
    <w:p w14:paraId="1B63CDF2" w14:textId="597F1783" w:rsidR="00A27027" w:rsidRPr="00DB315A" w:rsidRDefault="00207B68" w:rsidP="006F0980">
      <w:pPr>
        <w:pStyle w:val="Heading1"/>
        <w:numPr>
          <w:ilvl w:val="0"/>
          <w:numId w:val="0"/>
        </w:numPr>
        <w:ind w:left="426" w:hanging="426"/>
      </w:pPr>
      <w:bookmarkStart w:id="26" w:name="_Toc233635548"/>
      <w:r>
        <w:lastRenderedPageBreak/>
        <w:t xml:space="preserve">2. </w:t>
      </w:r>
      <w:bookmarkStart w:id="27" w:name="_Toc234228963"/>
      <w:r w:rsidR="00D446ED" w:rsidRPr="00E056F8">
        <w:t xml:space="preserve">Treatment of AASB Standards Issued </w:t>
      </w:r>
      <w:r w:rsidR="006F0980">
        <w:t>but</w:t>
      </w:r>
      <w:r w:rsidR="00D446ED" w:rsidRPr="00E056F8">
        <w:t xml:space="preserve"> Yet </w:t>
      </w:r>
      <w:bookmarkEnd w:id="27"/>
      <w:r w:rsidR="00D446ED">
        <w:t xml:space="preserve">to be </w:t>
      </w:r>
      <w:r w:rsidR="006F0980">
        <w:t>A</w:t>
      </w:r>
      <w:r w:rsidR="00D446ED">
        <w:t>pplie</w:t>
      </w:r>
      <w:r w:rsidR="006F0980">
        <w:t>d</w:t>
      </w:r>
      <w:bookmarkEnd w:id="26"/>
      <w:r w:rsidR="003C58A9" w:rsidRPr="00610F6E">
        <w:t xml:space="preserve"> </w:t>
      </w:r>
      <w:bookmarkEnd w:id="24"/>
    </w:p>
    <w:p w14:paraId="02D3A325" w14:textId="10575C0F" w:rsidR="00EF4637" w:rsidRPr="00F93023" w:rsidRDefault="00EF4637" w:rsidP="00D07C66">
      <w:pPr>
        <w:pStyle w:val="Heading2"/>
        <w:spacing w:before="480" w:line="240" w:lineRule="auto"/>
        <w:ind w:left="851" w:hanging="851"/>
        <w:jc w:val="both"/>
      </w:pPr>
      <w:bookmarkStart w:id="28" w:name="_Toc233635549"/>
      <w:r>
        <w:t>2.</w:t>
      </w:r>
      <w:r w:rsidR="007D649B">
        <w:t>1</w:t>
      </w:r>
      <w:r>
        <w:t xml:space="preserve"> </w:t>
      </w:r>
      <w:bookmarkStart w:id="29" w:name="_Toc234228964"/>
      <w:r w:rsidR="00DB315A" w:rsidRPr="00E056F8">
        <w:rPr>
          <w:rFonts w:cs="Calibri"/>
        </w:rPr>
        <w:t xml:space="preserve">Disclosures Required for Standards Issued but yet </w:t>
      </w:r>
      <w:bookmarkEnd w:id="29"/>
      <w:r w:rsidR="00DB315A">
        <w:rPr>
          <w:rFonts w:cs="Calibri"/>
        </w:rPr>
        <w:t>to be applie</w:t>
      </w:r>
      <w:r>
        <w:t>d</w:t>
      </w:r>
      <w:bookmarkEnd w:id="28"/>
    </w:p>
    <w:p w14:paraId="0F2C3AE9" w14:textId="434E5C24" w:rsidR="006F0980" w:rsidRDefault="00DB315A" w:rsidP="006F0980">
      <w:pPr>
        <w:pStyle w:val="BodyText2"/>
        <w:spacing w:before="120" w:line="276" w:lineRule="auto"/>
        <w:jc w:val="both"/>
        <w:rPr>
          <w:rFonts w:cs="Calibri"/>
          <w:sz w:val="22"/>
          <w:szCs w:val="22"/>
        </w:rPr>
      </w:pPr>
      <w:r w:rsidRPr="00FE3BDC">
        <w:rPr>
          <w:rFonts w:cs="Calibri"/>
          <w:sz w:val="22"/>
          <w:szCs w:val="22"/>
        </w:rPr>
        <w:t xml:space="preserve">When a directorate or territory authority has not early adopted a new accounting standard, and the standard is mandatorily effective in a later reporting period, AASB 108 </w:t>
      </w:r>
      <w:r w:rsidRPr="00FE3BDC">
        <w:rPr>
          <w:rFonts w:cs="Calibri"/>
          <w:i/>
          <w:sz w:val="22"/>
          <w:szCs w:val="22"/>
        </w:rPr>
        <w:t>Accounting Policies, Changes in Accounting Estimates and Errors</w:t>
      </w:r>
      <w:r w:rsidRPr="00FE3BDC">
        <w:rPr>
          <w:rFonts w:cs="Calibri"/>
          <w:sz w:val="22"/>
          <w:szCs w:val="22"/>
        </w:rPr>
        <w:t xml:space="preserve"> requires disclosure of details regarding the adoption of that standard.</w:t>
      </w:r>
      <w:r w:rsidR="0040190A">
        <w:rPr>
          <w:rFonts w:cs="Calibri"/>
          <w:sz w:val="22"/>
          <w:szCs w:val="22"/>
        </w:rPr>
        <w:t xml:space="preserve"> </w:t>
      </w:r>
      <w:r w:rsidRPr="00FE3BDC">
        <w:rPr>
          <w:rFonts w:cs="Calibri"/>
          <w:sz w:val="22"/>
          <w:szCs w:val="22"/>
        </w:rPr>
        <w:t>This includes the potential financial impact on the financial statements which may occur when the standard is applied. AASB 108 para 30 and 31 contain the disclosure requirements.</w:t>
      </w:r>
    </w:p>
    <w:p w14:paraId="4032D918" w14:textId="6C658F02" w:rsidR="00DB315A" w:rsidRPr="00FE3BDC" w:rsidRDefault="00DB315A" w:rsidP="00CE23E5">
      <w:pPr>
        <w:spacing w:before="120" w:after="120" w:line="276" w:lineRule="auto"/>
        <w:jc w:val="both"/>
        <w:rPr>
          <w:rFonts w:cs="Calibri"/>
          <w:sz w:val="22"/>
          <w:szCs w:val="22"/>
        </w:rPr>
      </w:pPr>
      <w:r w:rsidRPr="00FE3BDC">
        <w:rPr>
          <w:rFonts w:cs="Calibri"/>
          <w:sz w:val="22"/>
          <w:szCs w:val="22"/>
        </w:rPr>
        <w:t xml:space="preserve">This </w:t>
      </w:r>
      <w:r w:rsidR="00B752BB">
        <w:rPr>
          <w:rFonts w:cs="Calibri"/>
          <w:sz w:val="22"/>
          <w:szCs w:val="22"/>
        </w:rPr>
        <w:t>disclosure</w:t>
      </w:r>
      <w:r w:rsidRPr="00FE3BDC">
        <w:rPr>
          <w:rFonts w:cs="Calibri"/>
          <w:sz w:val="22"/>
          <w:szCs w:val="22"/>
        </w:rPr>
        <w:t xml:space="preserve"> paper has been developed to assist agencies in making these disclosures. It provides an indication of what changes have been </w:t>
      </w:r>
      <w:r w:rsidR="0040190A">
        <w:rPr>
          <w:rFonts w:cs="Calibri"/>
          <w:sz w:val="22"/>
          <w:szCs w:val="22"/>
        </w:rPr>
        <w:t xml:space="preserve">made to </w:t>
      </w:r>
      <w:r w:rsidRPr="00FE3BDC">
        <w:rPr>
          <w:rFonts w:cs="Calibri"/>
          <w:sz w:val="22"/>
          <w:szCs w:val="22"/>
        </w:rPr>
        <w:t xml:space="preserve">standards which have been issued but are yet to be applied. This will assist agencies in identifying which of the standards may have a potential material financial impact on them when they are applied.  </w:t>
      </w:r>
    </w:p>
    <w:p w14:paraId="79BF3AAB" w14:textId="77777777" w:rsidR="00DB315A" w:rsidRPr="00FE3BDC" w:rsidRDefault="00DB315A" w:rsidP="00CE23E5">
      <w:pPr>
        <w:spacing w:before="120" w:after="120" w:line="276" w:lineRule="auto"/>
        <w:jc w:val="both"/>
        <w:rPr>
          <w:rFonts w:cs="Calibri"/>
          <w:b/>
          <w:sz w:val="22"/>
          <w:szCs w:val="22"/>
        </w:rPr>
      </w:pPr>
      <w:r w:rsidRPr="00FE3BDC">
        <w:rPr>
          <w:rFonts w:cs="Calibri"/>
          <w:b/>
          <w:sz w:val="22"/>
          <w:szCs w:val="22"/>
        </w:rPr>
        <w:t>Agencies are required to:</w:t>
      </w:r>
    </w:p>
    <w:p w14:paraId="383AA0DE" w14:textId="1E633BBA" w:rsidR="00DB315A" w:rsidRPr="00FE3BDC" w:rsidRDefault="00056F66" w:rsidP="007C6CBE">
      <w:pPr>
        <w:numPr>
          <w:ilvl w:val="0"/>
          <w:numId w:val="13"/>
        </w:numPr>
        <w:spacing w:before="120" w:after="120" w:line="276" w:lineRule="auto"/>
        <w:jc w:val="both"/>
        <w:rPr>
          <w:rFonts w:cs="Calibri"/>
          <w:b/>
          <w:sz w:val="22"/>
          <w:szCs w:val="22"/>
        </w:rPr>
      </w:pPr>
      <w:r>
        <w:rPr>
          <w:rFonts w:cs="Calibri"/>
          <w:b/>
          <w:sz w:val="22"/>
          <w:szCs w:val="22"/>
        </w:rPr>
        <w:t>i</w:t>
      </w:r>
      <w:r w:rsidR="00DB315A" w:rsidRPr="00FE3BDC">
        <w:rPr>
          <w:rFonts w:cs="Calibri"/>
          <w:b/>
          <w:sz w:val="22"/>
          <w:szCs w:val="22"/>
        </w:rPr>
        <w:t xml:space="preserve">dentify those standards that will apply to their agency; </w:t>
      </w:r>
    </w:p>
    <w:p w14:paraId="3C3A2A1C" w14:textId="250A5605" w:rsidR="00DB315A" w:rsidRPr="00FE3BDC" w:rsidRDefault="00056F66" w:rsidP="007C6CBE">
      <w:pPr>
        <w:numPr>
          <w:ilvl w:val="0"/>
          <w:numId w:val="13"/>
        </w:numPr>
        <w:spacing w:before="120" w:after="120" w:line="276" w:lineRule="auto"/>
        <w:jc w:val="both"/>
        <w:rPr>
          <w:rFonts w:cs="Calibri"/>
          <w:b/>
          <w:sz w:val="22"/>
          <w:szCs w:val="22"/>
        </w:rPr>
      </w:pPr>
      <w:r>
        <w:rPr>
          <w:rFonts w:cs="Calibri"/>
          <w:b/>
          <w:sz w:val="22"/>
          <w:szCs w:val="22"/>
        </w:rPr>
        <w:t>a</w:t>
      </w:r>
      <w:r w:rsidR="00DB315A" w:rsidRPr="00FE3BDC">
        <w:rPr>
          <w:rFonts w:cs="Calibri"/>
          <w:b/>
          <w:sz w:val="22"/>
          <w:szCs w:val="22"/>
        </w:rPr>
        <w:t>ssess whether there may be a material financial impact upon the agency</w:t>
      </w:r>
      <w:r w:rsidR="00304B2D">
        <w:rPr>
          <w:rFonts w:cs="Calibri"/>
          <w:b/>
          <w:sz w:val="22"/>
          <w:szCs w:val="22"/>
        </w:rPr>
        <w:t>’s financial statements</w:t>
      </w:r>
      <w:r w:rsidR="00DB315A" w:rsidRPr="00FE3BDC">
        <w:rPr>
          <w:rFonts w:cs="Calibri"/>
          <w:b/>
          <w:sz w:val="22"/>
          <w:szCs w:val="22"/>
        </w:rPr>
        <w:t xml:space="preserve"> by reviewing the changes listed in this </w:t>
      </w:r>
      <w:r w:rsidR="00743BE5">
        <w:rPr>
          <w:rFonts w:cs="Calibri"/>
          <w:b/>
          <w:sz w:val="22"/>
          <w:szCs w:val="22"/>
        </w:rPr>
        <w:t>paper</w:t>
      </w:r>
      <w:r w:rsidR="00DB315A" w:rsidRPr="00FE3BDC">
        <w:rPr>
          <w:rFonts w:cs="Calibri"/>
          <w:b/>
          <w:sz w:val="22"/>
          <w:szCs w:val="22"/>
        </w:rPr>
        <w:t xml:space="preserve"> </w:t>
      </w:r>
      <w:r w:rsidR="00DB315A" w:rsidRPr="00FE3BDC">
        <w:rPr>
          <w:rFonts w:cs="Calibri"/>
          <w:b/>
          <w:sz w:val="22"/>
          <w:szCs w:val="22"/>
          <w:u w:val="single"/>
        </w:rPr>
        <w:t>and</w:t>
      </w:r>
      <w:r w:rsidR="00DB315A" w:rsidRPr="00FE3BDC">
        <w:rPr>
          <w:rFonts w:cs="Calibri"/>
          <w:b/>
          <w:sz w:val="22"/>
          <w:szCs w:val="22"/>
        </w:rPr>
        <w:t xml:space="preserve"> referring directly to the standards and/or interpretations (this assessment should be clearly documented in </w:t>
      </w:r>
      <w:r w:rsidR="00191560">
        <w:rPr>
          <w:rFonts w:cs="Calibri"/>
          <w:b/>
          <w:sz w:val="22"/>
          <w:szCs w:val="22"/>
        </w:rPr>
        <w:t>financial statement</w:t>
      </w:r>
      <w:r w:rsidR="00DB315A" w:rsidRPr="00FE3BDC">
        <w:rPr>
          <w:rFonts w:cs="Calibri"/>
          <w:b/>
          <w:sz w:val="22"/>
          <w:szCs w:val="22"/>
        </w:rPr>
        <w:t xml:space="preserve"> work papers);</w:t>
      </w:r>
      <w:bookmarkStart w:id="30" w:name="_Hlk74744172"/>
    </w:p>
    <w:p w14:paraId="1E6E3643" w14:textId="52E40B29" w:rsidR="00DB315A" w:rsidRPr="00A577B7" w:rsidRDefault="00056F66" w:rsidP="00A577B7">
      <w:pPr>
        <w:numPr>
          <w:ilvl w:val="0"/>
          <w:numId w:val="13"/>
        </w:numPr>
        <w:spacing w:before="120" w:after="120" w:line="276" w:lineRule="auto"/>
        <w:jc w:val="both"/>
        <w:rPr>
          <w:rFonts w:cs="Calibri"/>
          <w:b/>
          <w:sz w:val="22"/>
          <w:szCs w:val="22"/>
        </w:rPr>
      </w:pPr>
      <w:r>
        <w:rPr>
          <w:rFonts w:cs="Calibri"/>
          <w:b/>
          <w:sz w:val="22"/>
          <w:szCs w:val="22"/>
        </w:rPr>
        <w:t>o</w:t>
      </w:r>
      <w:r w:rsidR="00A577B7" w:rsidRPr="00FE3BDC">
        <w:rPr>
          <w:rFonts w:cs="Calibri"/>
          <w:b/>
          <w:sz w:val="22"/>
          <w:szCs w:val="22"/>
        </w:rPr>
        <w:t xml:space="preserve">nly </w:t>
      </w:r>
      <w:r w:rsidR="00A577B7" w:rsidRPr="00FE3BDC">
        <w:rPr>
          <w:rFonts w:cs="Calibri"/>
          <w:b/>
          <w:color w:val="000000"/>
          <w:sz w:val="22"/>
          <w:szCs w:val="22"/>
        </w:rPr>
        <w:t>disclose</w:t>
      </w:r>
      <w:r w:rsidR="00A577B7" w:rsidRPr="00FE3BDC">
        <w:rPr>
          <w:rFonts w:cs="Calibri"/>
          <w:b/>
          <w:sz w:val="22"/>
          <w:szCs w:val="22"/>
        </w:rPr>
        <w:t xml:space="preserve"> details of the standards and interpretations which apply </w:t>
      </w:r>
      <w:r w:rsidR="00A577B7" w:rsidRPr="00FE3BDC">
        <w:rPr>
          <w:rFonts w:cs="Calibri"/>
          <w:b/>
          <w:color w:val="000000"/>
          <w:sz w:val="22"/>
          <w:szCs w:val="22"/>
        </w:rPr>
        <w:t>and</w:t>
      </w:r>
      <w:r w:rsidR="00A577B7" w:rsidRPr="00FE3BDC">
        <w:rPr>
          <w:rFonts w:cs="Calibri"/>
          <w:b/>
          <w:sz w:val="22"/>
          <w:szCs w:val="22"/>
        </w:rPr>
        <w:t xml:space="preserve"> are assessed as having a material financial impact on the</w:t>
      </w:r>
      <w:r w:rsidR="00A577B7">
        <w:rPr>
          <w:rFonts w:cs="Calibri"/>
          <w:b/>
          <w:sz w:val="22"/>
          <w:szCs w:val="22"/>
        </w:rPr>
        <w:t xml:space="preserve"> </w:t>
      </w:r>
      <w:r w:rsidR="00304B2D" w:rsidRPr="00FE3BDC">
        <w:rPr>
          <w:rFonts w:cs="Calibri"/>
          <w:b/>
          <w:sz w:val="22"/>
          <w:szCs w:val="22"/>
        </w:rPr>
        <w:t>agency</w:t>
      </w:r>
      <w:r w:rsidR="00304B2D">
        <w:rPr>
          <w:rFonts w:cs="Calibri"/>
          <w:b/>
          <w:sz w:val="22"/>
          <w:szCs w:val="22"/>
        </w:rPr>
        <w:t>’s financial statements</w:t>
      </w:r>
      <w:r w:rsidR="00A577B7" w:rsidRPr="00FE3BDC">
        <w:rPr>
          <w:rFonts w:cs="Calibri"/>
          <w:b/>
          <w:sz w:val="22"/>
          <w:szCs w:val="22"/>
        </w:rPr>
        <w:t xml:space="preserve">, </w:t>
      </w:r>
      <w:bookmarkStart w:id="31" w:name="_Hlk170163084"/>
      <w:r w:rsidR="00A577B7" w:rsidRPr="00FE3BDC">
        <w:rPr>
          <w:rFonts w:cs="Calibri"/>
          <w:b/>
          <w:sz w:val="22"/>
          <w:szCs w:val="22"/>
        </w:rPr>
        <w:t xml:space="preserve">or </w:t>
      </w:r>
      <w:r w:rsidR="00A577B7">
        <w:rPr>
          <w:rFonts w:cs="Calibri"/>
          <w:b/>
          <w:sz w:val="22"/>
          <w:szCs w:val="22"/>
        </w:rPr>
        <w:t>where</w:t>
      </w:r>
      <w:r w:rsidR="00A577B7" w:rsidRPr="00FE3BDC">
        <w:rPr>
          <w:b/>
          <w:bCs/>
          <w:sz w:val="22"/>
          <w:szCs w:val="22"/>
        </w:rPr>
        <w:t xml:space="preserve"> </w:t>
      </w:r>
      <w:r w:rsidR="00A577B7">
        <w:rPr>
          <w:b/>
          <w:bCs/>
          <w:sz w:val="22"/>
          <w:szCs w:val="22"/>
        </w:rPr>
        <w:t xml:space="preserve">their </w:t>
      </w:r>
      <w:r w:rsidR="00B269D0">
        <w:rPr>
          <w:b/>
          <w:bCs/>
          <w:sz w:val="22"/>
          <w:szCs w:val="22"/>
        </w:rPr>
        <w:t xml:space="preserve">financial </w:t>
      </w:r>
      <w:r w:rsidR="00A577B7" w:rsidRPr="00B269D0">
        <w:rPr>
          <w:rFonts w:cs="Calibri"/>
          <w:b/>
          <w:sz w:val="22"/>
          <w:szCs w:val="22"/>
        </w:rPr>
        <w:t xml:space="preserve">impact </w:t>
      </w:r>
      <w:bookmarkEnd w:id="31"/>
      <w:r w:rsidR="00B269D0" w:rsidRPr="00B269D0">
        <w:rPr>
          <w:rFonts w:cs="Calibri"/>
          <w:b/>
          <w:sz w:val="22"/>
          <w:szCs w:val="22"/>
        </w:rPr>
        <w:t>cannot yet be determined or reliably estimated</w:t>
      </w:r>
      <w:r w:rsidR="00A577B7" w:rsidRPr="00FE3BDC">
        <w:rPr>
          <w:rFonts w:cs="Calibri"/>
          <w:b/>
          <w:sz w:val="22"/>
          <w:szCs w:val="22"/>
        </w:rPr>
        <w:t xml:space="preserve">. If the impact </w:t>
      </w:r>
      <w:r w:rsidR="00B269D0" w:rsidRPr="00B269D0">
        <w:rPr>
          <w:rFonts w:cs="Calibri"/>
          <w:b/>
          <w:sz w:val="22"/>
          <w:szCs w:val="22"/>
        </w:rPr>
        <w:t>cannot be determined or reliably estimated</w:t>
      </w:r>
      <w:r w:rsidR="00A577B7" w:rsidRPr="00FE3BDC">
        <w:rPr>
          <w:rFonts w:cs="Calibri"/>
          <w:b/>
          <w:sz w:val="22"/>
          <w:szCs w:val="22"/>
        </w:rPr>
        <w:t xml:space="preserve">, then this should be </w:t>
      </w:r>
      <w:r w:rsidR="00A577B7">
        <w:rPr>
          <w:rFonts w:cs="Calibri"/>
          <w:b/>
          <w:sz w:val="22"/>
          <w:szCs w:val="22"/>
        </w:rPr>
        <w:t>noted</w:t>
      </w:r>
      <w:r w:rsidR="00DB315A" w:rsidRPr="00A577B7">
        <w:rPr>
          <w:rFonts w:cs="Calibri"/>
          <w:b/>
          <w:sz w:val="22"/>
          <w:szCs w:val="22"/>
        </w:rPr>
        <w:t xml:space="preserve">; and </w:t>
      </w:r>
    </w:p>
    <w:bookmarkEnd w:id="30"/>
    <w:p w14:paraId="052463C3" w14:textId="6BC06681" w:rsidR="00DB315A" w:rsidRPr="00FE3BDC" w:rsidRDefault="00056F66" w:rsidP="007C6CBE">
      <w:pPr>
        <w:numPr>
          <w:ilvl w:val="0"/>
          <w:numId w:val="13"/>
        </w:numPr>
        <w:spacing w:before="120" w:after="120" w:line="276" w:lineRule="auto"/>
        <w:ind w:left="357" w:hanging="357"/>
        <w:jc w:val="both"/>
        <w:rPr>
          <w:b/>
          <w:bCs/>
          <w:sz w:val="22"/>
          <w:szCs w:val="22"/>
        </w:rPr>
      </w:pPr>
      <w:r>
        <w:rPr>
          <w:rFonts w:cs="Calibri"/>
          <w:b/>
          <w:color w:val="000000"/>
          <w:sz w:val="22"/>
          <w:szCs w:val="22"/>
        </w:rPr>
        <w:t>n</w:t>
      </w:r>
      <w:r w:rsidR="00DB315A" w:rsidRPr="00FE3BDC">
        <w:rPr>
          <w:rFonts w:cs="Calibri"/>
          <w:b/>
          <w:color w:val="000000"/>
          <w:sz w:val="22"/>
          <w:szCs w:val="22"/>
        </w:rPr>
        <w:t>ot disclos</w:t>
      </w:r>
      <w:r w:rsidR="00292D4F">
        <w:rPr>
          <w:rFonts w:cs="Calibri"/>
          <w:b/>
          <w:color w:val="000000"/>
          <w:sz w:val="22"/>
          <w:szCs w:val="22"/>
        </w:rPr>
        <w:t>e</w:t>
      </w:r>
      <w:r w:rsidR="00DB315A" w:rsidRPr="00FE3BDC">
        <w:rPr>
          <w:rFonts w:cs="Calibri"/>
          <w:b/>
          <w:color w:val="000000"/>
          <w:sz w:val="22"/>
          <w:szCs w:val="22"/>
        </w:rPr>
        <w:t xml:space="preserve"> details of the standards and interpretations which either do not apply or which apply but are assessed as not having a material </w:t>
      </w:r>
      <w:r w:rsidR="00C2463F">
        <w:rPr>
          <w:rFonts w:cs="Calibri"/>
          <w:b/>
          <w:color w:val="000000"/>
          <w:sz w:val="22"/>
          <w:szCs w:val="22"/>
        </w:rPr>
        <w:t xml:space="preserve">financial </w:t>
      </w:r>
      <w:r w:rsidR="00DB315A" w:rsidRPr="00FE3BDC">
        <w:rPr>
          <w:rFonts w:cs="Calibri"/>
          <w:b/>
          <w:color w:val="000000"/>
          <w:sz w:val="22"/>
          <w:szCs w:val="22"/>
        </w:rPr>
        <w:t>impact on the</w:t>
      </w:r>
      <w:r w:rsidR="0021123B">
        <w:rPr>
          <w:rFonts w:cs="Calibri"/>
          <w:b/>
          <w:color w:val="000000"/>
          <w:sz w:val="22"/>
          <w:szCs w:val="22"/>
        </w:rPr>
        <w:t xml:space="preserve"> </w:t>
      </w:r>
      <w:r w:rsidR="00C2463F" w:rsidRPr="00FE3BDC">
        <w:rPr>
          <w:rFonts w:cs="Calibri"/>
          <w:b/>
          <w:sz w:val="22"/>
          <w:szCs w:val="22"/>
        </w:rPr>
        <w:t>agency</w:t>
      </w:r>
      <w:r w:rsidR="00C2463F">
        <w:rPr>
          <w:rFonts w:cs="Calibri"/>
          <w:b/>
          <w:sz w:val="22"/>
          <w:szCs w:val="22"/>
        </w:rPr>
        <w:t>’s financial statements</w:t>
      </w:r>
      <w:r w:rsidR="00DB315A" w:rsidRPr="00FE3BDC">
        <w:rPr>
          <w:rFonts w:cs="Calibri"/>
          <w:b/>
          <w:color w:val="000000"/>
          <w:sz w:val="22"/>
          <w:szCs w:val="22"/>
        </w:rPr>
        <w:t>.</w:t>
      </w:r>
    </w:p>
    <w:p w14:paraId="6013E4E3" w14:textId="2BE0E4FF" w:rsidR="00DB315A" w:rsidRPr="00413787" w:rsidRDefault="00DB315A" w:rsidP="00CE23E5">
      <w:pPr>
        <w:spacing w:before="120" w:after="120" w:line="276" w:lineRule="auto"/>
        <w:jc w:val="both"/>
        <w:rPr>
          <w:rFonts w:cs="Calibri"/>
          <w:color w:val="000000"/>
          <w:szCs w:val="22"/>
        </w:rPr>
      </w:pPr>
      <w:r w:rsidRPr="00FE3BDC">
        <w:rPr>
          <w:rFonts w:cs="Calibri"/>
          <w:sz w:val="22"/>
          <w:szCs w:val="22"/>
        </w:rPr>
        <w:t xml:space="preserve">Agencies should refer to Section 3 </w:t>
      </w:r>
      <w:r>
        <w:rPr>
          <w:rFonts w:cs="Calibri"/>
          <w:sz w:val="22"/>
          <w:szCs w:val="22"/>
        </w:rPr>
        <w:t>and</w:t>
      </w:r>
      <w:r w:rsidRPr="00FE3BDC">
        <w:rPr>
          <w:rFonts w:cs="Calibri"/>
          <w:sz w:val="22"/>
          <w:szCs w:val="22"/>
        </w:rPr>
        <w:t xml:space="preserve"> </w:t>
      </w:r>
      <w:r w:rsidRPr="00044EF8">
        <w:rPr>
          <w:rFonts w:cs="Calibri"/>
          <w:b/>
          <w:bCs/>
          <w:sz w:val="22"/>
          <w:szCs w:val="22"/>
          <w:u w:val="single"/>
        </w:rPr>
        <w:t>Attachment</w:t>
      </w:r>
      <w:r w:rsidR="005F34BF">
        <w:rPr>
          <w:rFonts w:cs="Calibri"/>
          <w:b/>
          <w:bCs/>
          <w:sz w:val="22"/>
          <w:szCs w:val="22"/>
          <w:u w:val="single"/>
        </w:rPr>
        <w:t> </w:t>
      </w:r>
      <w:r w:rsidRPr="00044EF8">
        <w:rPr>
          <w:rFonts w:cs="Calibri"/>
          <w:b/>
          <w:bCs/>
          <w:sz w:val="22"/>
          <w:szCs w:val="22"/>
          <w:u w:val="single"/>
        </w:rPr>
        <w:t>A</w:t>
      </w:r>
      <w:r w:rsidRPr="00FE3BDC">
        <w:rPr>
          <w:rFonts w:cs="Calibri"/>
          <w:sz w:val="22"/>
          <w:szCs w:val="22"/>
        </w:rPr>
        <w:t xml:space="preserve"> of this </w:t>
      </w:r>
      <w:r w:rsidR="00292D4F">
        <w:rPr>
          <w:rFonts w:cs="Calibri"/>
          <w:sz w:val="22"/>
          <w:szCs w:val="22"/>
        </w:rPr>
        <w:t>Disclosure</w:t>
      </w:r>
      <w:r w:rsidRPr="00FE3BDC">
        <w:rPr>
          <w:rFonts w:cs="Calibri"/>
          <w:sz w:val="22"/>
          <w:szCs w:val="22"/>
        </w:rPr>
        <w:t xml:space="preserve"> Paper which provide the disclosure guidance agencies </w:t>
      </w:r>
      <w:r w:rsidR="0040190A">
        <w:rPr>
          <w:rFonts w:cs="Calibri"/>
          <w:sz w:val="22"/>
          <w:szCs w:val="22"/>
        </w:rPr>
        <w:t xml:space="preserve">should </w:t>
      </w:r>
      <w:r w:rsidRPr="00FE3BDC">
        <w:rPr>
          <w:rFonts w:cs="Calibri"/>
          <w:sz w:val="22"/>
          <w:szCs w:val="22"/>
        </w:rPr>
        <w:t>be aware of when preparing their 202</w:t>
      </w:r>
      <w:r w:rsidR="00F535DC">
        <w:rPr>
          <w:rFonts w:cs="Calibri"/>
          <w:sz w:val="22"/>
          <w:szCs w:val="22"/>
        </w:rPr>
        <w:t>5</w:t>
      </w:r>
      <w:r w:rsidRPr="00FE3BDC">
        <w:rPr>
          <w:rFonts w:cs="Calibri"/>
          <w:sz w:val="22"/>
          <w:szCs w:val="22"/>
        </w:rPr>
        <w:t>-2</w:t>
      </w:r>
      <w:r w:rsidR="00F535DC">
        <w:rPr>
          <w:rFonts w:cs="Calibri"/>
          <w:sz w:val="22"/>
          <w:szCs w:val="22"/>
        </w:rPr>
        <w:t>6</w:t>
      </w:r>
      <w:r w:rsidRPr="00FE3BDC">
        <w:rPr>
          <w:rFonts w:cs="Calibri"/>
          <w:sz w:val="22"/>
          <w:szCs w:val="22"/>
        </w:rPr>
        <w:t xml:space="preserve"> Financial Statements</w:t>
      </w:r>
      <w:r>
        <w:rPr>
          <w:rFonts w:cs="Calibri"/>
          <w:sz w:val="22"/>
          <w:szCs w:val="22"/>
        </w:rPr>
        <w:t>.</w:t>
      </w:r>
      <w:r w:rsidRPr="00FE3BDC">
        <w:rPr>
          <w:rFonts w:cs="Calibri"/>
          <w:sz w:val="22"/>
          <w:szCs w:val="22"/>
        </w:rPr>
        <w:t xml:space="preserve">  </w:t>
      </w:r>
    </w:p>
    <w:p w14:paraId="54F6008D" w14:textId="76B8719B" w:rsidR="0037340A" w:rsidRPr="00DB315A" w:rsidRDefault="00DB315A" w:rsidP="00CE23E5">
      <w:pPr>
        <w:spacing w:before="120" w:after="120" w:line="276" w:lineRule="auto"/>
        <w:jc w:val="both"/>
        <w:rPr>
          <w:sz w:val="22"/>
          <w:szCs w:val="22"/>
        </w:rPr>
      </w:pPr>
      <w:r w:rsidRPr="00FE3BDC">
        <w:rPr>
          <w:rFonts w:cs="Calibri"/>
          <w:b/>
          <w:bCs/>
          <w:sz w:val="22"/>
          <w:szCs w:val="22"/>
        </w:rPr>
        <w:t>It is important for each agency to verify that this assessment is correct for their circumstances.</w:t>
      </w:r>
      <w:r w:rsidR="002D24E0">
        <w:rPr>
          <w:sz w:val="22"/>
          <w:szCs w:val="22"/>
        </w:rPr>
        <w:t xml:space="preserve">  </w:t>
      </w:r>
    </w:p>
    <w:p w14:paraId="1FD4E5FA" w14:textId="504A004D" w:rsidR="003C58A9" w:rsidRDefault="00DB315A" w:rsidP="00D07C66">
      <w:pPr>
        <w:pStyle w:val="Heading1"/>
        <w:numPr>
          <w:ilvl w:val="0"/>
          <w:numId w:val="9"/>
        </w:numPr>
        <w:spacing w:before="480" w:after="60" w:line="240" w:lineRule="auto"/>
        <w:ind w:left="425" w:hanging="357"/>
        <w:jc w:val="both"/>
      </w:pPr>
      <w:bookmarkStart w:id="32" w:name="_Toc234228966"/>
      <w:bookmarkStart w:id="33" w:name="_Toc58146764"/>
      <w:bookmarkStart w:id="34" w:name="_Toc233635550"/>
      <w:r w:rsidRPr="00E056F8">
        <w:rPr>
          <w:rFonts w:cs="Calibri"/>
        </w:rPr>
        <w:t>Summar</w:t>
      </w:r>
      <w:r w:rsidR="00114047">
        <w:rPr>
          <w:rFonts w:cs="Calibri"/>
        </w:rPr>
        <w:t>y</w:t>
      </w:r>
      <w:r w:rsidRPr="00E056F8">
        <w:rPr>
          <w:rFonts w:cs="Calibri"/>
        </w:rPr>
        <w:t xml:space="preserve"> of Changes to Standards </w:t>
      </w:r>
      <w:r w:rsidRPr="00E056F8">
        <w:rPr>
          <w:rFonts w:cs="Calibri"/>
          <w:szCs w:val="24"/>
        </w:rPr>
        <w:t>and Interpretations</w:t>
      </w:r>
      <w:r w:rsidRPr="00E056F8">
        <w:rPr>
          <w:rFonts w:cs="Calibri"/>
        </w:rPr>
        <w:t xml:space="preserve"> Issued but yet </w:t>
      </w:r>
      <w:bookmarkEnd w:id="32"/>
      <w:r>
        <w:rPr>
          <w:rFonts w:cs="Calibri"/>
        </w:rPr>
        <w:t xml:space="preserve">TO BE </w:t>
      </w:r>
      <w:bookmarkEnd w:id="33"/>
      <w:r>
        <w:rPr>
          <w:rFonts w:cs="Calibri"/>
        </w:rPr>
        <w:t>APPLIED</w:t>
      </w:r>
      <w:bookmarkEnd w:id="34"/>
    </w:p>
    <w:p w14:paraId="065459A9" w14:textId="29602914" w:rsidR="00DB315A" w:rsidRPr="00362844" w:rsidRDefault="00DB315A" w:rsidP="00CE23E5">
      <w:pPr>
        <w:pStyle w:val="BodyText2"/>
        <w:keepNext/>
        <w:spacing w:before="120" w:line="276" w:lineRule="auto"/>
        <w:jc w:val="both"/>
        <w:rPr>
          <w:rFonts w:cs="Calibri"/>
          <w:sz w:val="22"/>
          <w:szCs w:val="22"/>
        </w:rPr>
      </w:pPr>
      <w:r w:rsidRPr="00FE3BDC">
        <w:rPr>
          <w:rFonts w:cs="Calibri"/>
          <w:sz w:val="22"/>
          <w:szCs w:val="22"/>
        </w:rPr>
        <w:t xml:space="preserve">The below are all standards and interpretations, currently issued by the AASB, which apply to reporting </w:t>
      </w:r>
      <w:r w:rsidRPr="00362844">
        <w:rPr>
          <w:rFonts w:cs="Calibri"/>
          <w:sz w:val="22"/>
          <w:szCs w:val="22"/>
        </w:rPr>
        <w:t>periods beginning on or after 1 July 202</w:t>
      </w:r>
      <w:r w:rsidR="00F535DC">
        <w:rPr>
          <w:rFonts w:cs="Calibri"/>
          <w:sz w:val="22"/>
          <w:szCs w:val="22"/>
        </w:rPr>
        <w:t>6</w:t>
      </w:r>
      <w:r w:rsidRPr="00362844">
        <w:rPr>
          <w:rFonts w:cs="Calibri"/>
          <w:sz w:val="22"/>
          <w:szCs w:val="22"/>
        </w:rPr>
        <w:t xml:space="preserve">: </w:t>
      </w:r>
    </w:p>
    <w:p w14:paraId="6D004983" w14:textId="77777777" w:rsidR="00DB315A" w:rsidRPr="00EF3FAB" w:rsidRDefault="00DB315A" w:rsidP="00304B2D">
      <w:pPr>
        <w:pStyle w:val="BodyText2"/>
        <w:spacing w:before="120" w:line="276" w:lineRule="auto"/>
        <w:ind w:left="1560" w:hanging="1560"/>
        <w:jc w:val="both"/>
        <w:rPr>
          <w:rFonts w:cs="Calibri"/>
          <w:sz w:val="22"/>
          <w:szCs w:val="22"/>
        </w:rPr>
      </w:pPr>
      <w:r w:rsidRPr="00EF3FAB">
        <w:rPr>
          <w:sz w:val="22"/>
          <w:szCs w:val="22"/>
        </w:rPr>
        <w:t xml:space="preserve">AASB 17 </w:t>
      </w:r>
      <w:r w:rsidRPr="00EF3FAB">
        <w:rPr>
          <w:sz w:val="22"/>
          <w:szCs w:val="22"/>
        </w:rPr>
        <w:tab/>
      </w:r>
      <w:r w:rsidRPr="00EF3FAB">
        <w:rPr>
          <w:i/>
          <w:iCs/>
          <w:sz w:val="22"/>
          <w:szCs w:val="22"/>
        </w:rPr>
        <w:t>Insurance Contracts;</w:t>
      </w:r>
    </w:p>
    <w:p w14:paraId="503CA57E" w14:textId="2CAA2DA2" w:rsidR="006113C1" w:rsidRPr="00EF3FAB" w:rsidRDefault="00DB315A" w:rsidP="00EF3FAB">
      <w:pPr>
        <w:pStyle w:val="BodyText2"/>
        <w:tabs>
          <w:tab w:val="left" w:pos="1560"/>
        </w:tabs>
        <w:spacing w:before="120" w:line="276" w:lineRule="auto"/>
        <w:ind w:left="1560" w:hanging="1560"/>
        <w:jc w:val="both"/>
        <w:rPr>
          <w:rFonts w:cs="Calibri"/>
          <w:i/>
          <w:iCs/>
          <w:sz w:val="22"/>
          <w:szCs w:val="22"/>
        </w:rPr>
      </w:pPr>
      <w:bookmarkStart w:id="35" w:name="_Toc487644364"/>
      <w:bookmarkStart w:id="36" w:name="_Toc45264676"/>
      <w:r w:rsidRPr="00EF3FAB">
        <w:rPr>
          <w:rFonts w:cs="Calibri"/>
          <w:sz w:val="22"/>
          <w:szCs w:val="22"/>
        </w:rPr>
        <w:lastRenderedPageBreak/>
        <w:t>AASB 2014-10</w:t>
      </w:r>
      <w:r w:rsidRPr="00EF3FAB">
        <w:rPr>
          <w:rFonts w:cs="Calibri"/>
          <w:sz w:val="22"/>
          <w:szCs w:val="22"/>
        </w:rPr>
        <w:tab/>
      </w:r>
      <w:r w:rsidRPr="00EF3FAB">
        <w:rPr>
          <w:rFonts w:cs="Calibri"/>
          <w:i/>
          <w:iCs/>
          <w:sz w:val="22"/>
          <w:szCs w:val="22"/>
        </w:rPr>
        <w:t xml:space="preserve">Amendments to Australian Accounting Standards – Sale or Contribution of Assets between an Investor and </w:t>
      </w:r>
      <w:r w:rsidR="005C7A52" w:rsidRPr="00EF3FAB">
        <w:rPr>
          <w:rFonts w:cs="Calibri"/>
          <w:i/>
          <w:iCs/>
          <w:sz w:val="22"/>
          <w:szCs w:val="22"/>
        </w:rPr>
        <w:t>i</w:t>
      </w:r>
      <w:r w:rsidRPr="00EF3FAB">
        <w:rPr>
          <w:rFonts w:cs="Calibri"/>
          <w:i/>
          <w:iCs/>
          <w:sz w:val="22"/>
          <w:szCs w:val="22"/>
        </w:rPr>
        <w:t>ts Associate or Joint Venture</w:t>
      </w:r>
      <w:bookmarkEnd w:id="35"/>
      <w:bookmarkEnd w:id="36"/>
      <w:r w:rsidRPr="00EF3FAB">
        <w:rPr>
          <w:rFonts w:cs="Calibri"/>
          <w:i/>
          <w:iCs/>
          <w:sz w:val="22"/>
          <w:szCs w:val="22"/>
        </w:rPr>
        <w:t>;</w:t>
      </w:r>
    </w:p>
    <w:p w14:paraId="09D627E1" w14:textId="6DF44D0C" w:rsidR="00DD72A5" w:rsidRPr="00EF3FAB" w:rsidRDefault="00DD72A5" w:rsidP="003600E3">
      <w:pPr>
        <w:spacing w:before="120" w:after="120" w:line="276" w:lineRule="auto"/>
        <w:ind w:left="1560" w:hanging="1560"/>
        <w:jc w:val="both"/>
        <w:rPr>
          <w:rFonts w:cs="Calibri"/>
          <w:sz w:val="22"/>
          <w:szCs w:val="22"/>
        </w:rPr>
      </w:pPr>
      <w:r w:rsidRPr="00EF3FAB">
        <w:rPr>
          <w:rFonts w:cs="Calibri"/>
          <w:sz w:val="22"/>
          <w:szCs w:val="22"/>
        </w:rPr>
        <w:t>AASB 2022-9</w:t>
      </w:r>
      <w:r w:rsidRPr="00EF3FAB">
        <w:rPr>
          <w:rFonts w:cs="Calibri"/>
          <w:sz w:val="22"/>
          <w:szCs w:val="22"/>
        </w:rPr>
        <w:tab/>
      </w:r>
      <w:r w:rsidRPr="00EF3FAB">
        <w:rPr>
          <w:rFonts w:cs="Calibri"/>
          <w:i/>
          <w:iCs/>
          <w:sz w:val="22"/>
          <w:szCs w:val="22"/>
        </w:rPr>
        <w:t>Amendments to Australian Accounting Standards – Insurance Contracts in the Public Sector</w:t>
      </w:r>
      <w:r w:rsidRPr="00EF3FAB">
        <w:rPr>
          <w:rFonts w:cs="Calibri"/>
          <w:sz w:val="22"/>
          <w:szCs w:val="22"/>
        </w:rPr>
        <w:t xml:space="preserve">; </w:t>
      </w:r>
    </w:p>
    <w:p w14:paraId="0CA1C18D" w14:textId="277965BC" w:rsidR="0068675E" w:rsidRPr="00EF3FAB" w:rsidRDefault="0068675E" w:rsidP="003600E3">
      <w:pPr>
        <w:spacing w:before="120" w:after="120" w:line="276" w:lineRule="auto"/>
        <w:ind w:left="1559" w:hanging="1559"/>
        <w:jc w:val="both"/>
        <w:rPr>
          <w:rFonts w:cs="Calibri"/>
          <w:i/>
          <w:iCs/>
          <w:sz w:val="22"/>
          <w:szCs w:val="22"/>
        </w:rPr>
      </w:pPr>
      <w:r w:rsidRPr="00EF3FAB">
        <w:rPr>
          <w:rFonts w:cs="Calibri"/>
          <w:sz w:val="22"/>
          <w:szCs w:val="22"/>
        </w:rPr>
        <w:t>AASB 18</w:t>
      </w:r>
      <w:r w:rsidRPr="00EF3FAB">
        <w:rPr>
          <w:rFonts w:cs="Calibri"/>
          <w:sz w:val="22"/>
          <w:szCs w:val="22"/>
        </w:rPr>
        <w:tab/>
      </w:r>
      <w:r w:rsidRPr="00EF3FAB">
        <w:rPr>
          <w:rFonts w:cs="Calibri"/>
          <w:i/>
          <w:iCs/>
          <w:sz w:val="22"/>
          <w:szCs w:val="22"/>
        </w:rPr>
        <w:t>Presentation and Disclosure in Financial Statements (Appendix D)</w:t>
      </w:r>
      <w:r w:rsidR="00255F22" w:rsidRPr="00EF3FAB">
        <w:rPr>
          <w:rFonts w:cs="Calibri"/>
          <w:i/>
          <w:iCs/>
          <w:sz w:val="22"/>
          <w:szCs w:val="22"/>
        </w:rPr>
        <w:t>;</w:t>
      </w:r>
    </w:p>
    <w:p w14:paraId="48DBE1A4" w14:textId="7740A29A" w:rsidR="00280E3B" w:rsidRPr="00EF3FAB" w:rsidRDefault="00280E3B" w:rsidP="003600E3">
      <w:pPr>
        <w:spacing w:before="120" w:after="120" w:line="276" w:lineRule="auto"/>
        <w:ind w:left="1559" w:hanging="1559"/>
        <w:jc w:val="both"/>
        <w:rPr>
          <w:rFonts w:cs="Calibri"/>
          <w:i/>
          <w:iCs/>
          <w:sz w:val="22"/>
          <w:szCs w:val="22"/>
        </w:rPr>
      </w:pPr>
      <w:r w:rsidRPr="00EF3FAB">
        <w:rPr>
          <w:rFonts w:cs="Calibri"/>
          <w:sz w:val="22"/>
          <w:szCs w:val="22"/>
        </w:rPr>
        <w:t>AASB 2024-2</w:t>
      </w:r>
      <w:r w:rsidRPr="00EF3FAB">
        <w:rPr>
          <w:rFonts w:cs="Calibri"/>
          <w:i/>
          <w:iCs/>
          <w:sz w:val="22"/>
          <w:szCs w:val="22"/>
        </w:rPr>
        <w:tab/>
        <w:t>Amendments to Australian Accounting Standards – Classification and Measurement of Financial Instruments</w:t>
      </w:r>
      <w:r w:rsidR="00255F22" w:rsidRPr="00EF3FAB">
        <w:rPr>
          <w:rFonts w:cs="Calibri"/>
          <w:i/>
          <w:iCs/>
          <w:sz w:val="22"/>
          <w:szCs w:val="22"/>
        </w:rPr>
        <w:t>;</w:t>
      </w:r>
    </w:p>
    <w:p w14:paraId="59D7F4FE" w14:textId="05AAEED3" w:rsidR="006B5171" w:rsidRPr="00EF3FAB" w:rsidRDefault="006B5171" w:rsidP="003600E3">
      <w:pPr>
        <w:spacing w:before="120" w:after="120" w:line="276" w:lineRule="auto"/>
        <w:ind w:left="1559" w:hanging="1559"/>
        <w:jc w:val="both"/>
        <w:rPr>
          <w:sz w:val="22"/>
          <w:szCs w:val="22"/>
        </w:rPr>
      </w:pPr>
      <w:r w:rsidRPr="00EF3FAB">
        <w:rPr>
          <w:sz w:val="22"/>
          <w:szCs w:val="22"/>
        </w:rPr>
        <w:t>AASB 2024-3</w:t>
      </w:r>
      <w:r w:rsidRPr="00EF3FAB">
        <w:rPr>
          <w:sz w:val="22"/>
          <w:szCs w:val="22"/>
        </w:rPr>
        <w:tab/>
      </w:r>
      <w:r w:rsidR="00CC1B8B" w:rsidRPr="00EF3FAB">
        <w:rPr>
          <w:i/>
          <w:iCs/>
          <w:sz w:val="22"/>
          <w:szCs w:val="22"/>
        </w:rPr>
        <w:t>Amendments to Australian Accounting Standards – Annual Improvements Volume 11</w:t>
      </w:r>
      <w:r w:rsidR="00255F22" w:rsidRPr="00EF3FAB">
        <w:rPr>
          <w:i/>
          <w:iCs/>
          <w:sz w:val="22"/>
          <w:szCs w:val="22"/>
        </w:rPr>
        <w:t>;</w:t>
      </w:r>
    </w:p>
    <w:p w14:paraId="1822717A" w14:textId="0998D851" w:rsidR="00CC1B8B" w:rsidRPr="00EF3FAB" w:rsidRDefault="00CC1B8B" w:rsidP="003600E3">
      <w:pPr>
        <w:spacing w:before="120" w:after="120" w:line="276" w:lineRule="auto"/>
        <w:ind w:left="1559" w:hanging="1559"/>
        <w:jc w:val="both"/>
        <w:rPr>
          <w:sz w:val="22"/>
          <w:szCs w:val="22"/>
        </w:rPr>
      </w:pPr>
      <w:r w:rsidRPr="00EF3FAB">
        <w:rPr>
          <w:sz w:val="22"/>
          <w:szCs w:val="22"/>
        </w:rPr>
        <w:t>AASB 2024-4</w:t>
      </w:r>
      <w:r w:rsidR="00255F22" w:rsidRPr="00EF3FAB">
        <w:rPr>
          <w:sz w:val="22"/>
          <w:szCs w:val="22"/>
        </w:rPr>
        <w:t>b</w:t>
      </w:r>
      <w:r w:rsidRPr="00EF3FAB">
        <w:rPr>
          <w:sz w:val="22"/>
          <w:szCs w:val="22"/>
        </w:rPr>
        <w:tab/>
      </w:r>
      <w:r w:rsidRPr="00EF3FAB">
        <w:rPr>
          <w:i/>
          <w:iCs/>
          <w:sz w:val="22"/>
          <w:szCs w:val="22"/>
        </w:rPr>
        <w:t>Amendments to Australian Accounting Standards – Effective Date of Amendments to AASB 10 and AASB 128</w:t>
      </w:r>
      <w:r w:rsidR="00255F22" w:rsidRPr="00EF3FAB">
        <w:rPr>
          <w:i/>
          <w:iCs/>
          <w:sz w:val="22"/>
          <w:szCs w:val="22"/>
        </w:rPr>
        <w:t>;</w:t>
      </w:r>
    </w:p>
    <w:p w14:paraId="7C13B0E2" w14:textId="78CB2284" w:rsidR="006B5171" w:rsidRPr="00EF3FAB" w:rsidRDefault="00CC1B8B" w:rsidP="003600E3">
      <w:pPr>
        <w:spacing w:before="120" w:after="120" w:line="276" w:lineRule="auto"/>
        <w:ind w:left="1559" w:hanging="1559"/>
        <w:jc w:val="both"/>
        <w:rPr>
          <w:rFonts w:cs="Calibri"/>
          <w:i/>
          <w:iCs/>
          <w:sz w:val="22"/>
          <w:szCs w:val="22"/>
        </w:rPr>
      </w:pPr>
      <w:r w:rsidRPr="00EF3FAB">
        <w:rPr>
          <w:rFonts w:cs="Calibri"/>
          <w:sz w:val="22"/>
          <w:szCs w:val="22"/>
        </w:rPr>
        <w:t>AASB 2025-1</w:t>
      </w:r>
      <w:r w:rsidRPr="00EF3FAB">
        <w:rPr>
          <w:rFonts w:cs="Calibri"/>
          <w:i/>
          <w:iCs/>
          <w:sz w:val="22"/>
          <w:szCs w:val="22"/>
        </w:rPr>
        <w:tab/>
        <w:t>Amendments to Australian Accounting Standards – Contracts Referencing Nature-dependent Electricity</w:t>
      </w:r>
      <w:r w:rsidR="00C928AE">
        <w:rPr>
          <w:rFonts w:cs="Calibri"/>
          <w:i/>
          <w:iCs/>
          <w:sz w:val="22"/>
          <w:szCs w:val="22"/>
        </w:rPr>
        <w:t>;</w:t>
      </w:r>
    </w:p>
    <w:p w14:paraId="3CED81BF" w14:textId="7F9134CE" w:rsidR="00CC1B8B" w:rsidRPr="00EF3FAB" w:rsidRDefault="00CC1B8B" w:rsidP="003600E3">
      <w:pPr>
        <w:spacing w:before="120" w:after="120" w:line="276" w:lineRule="auto"/>
        <w:ind w:left="1559" w:hanging="1559"/>
        <w:jc w:val="both"/>
        <w:rPr>
          <w:rFonts w:cs="Calibri"/>
          <w:i/>
          <w:iCs/>
          <w:sz w:val="22"/>
          <w:szCs w:val="22"/>
        </w:rPr>
      </w:pPr>
      <w:r w:rsidRPr="00EF3FAB">
        <w:rPr>
          <w:rFonts w:cs="Calibri"/>
          <w:sz w:val="22"/>
          <w:szCs w:val="22"/>
        </w:rPr>
        <w:t>AASB 2025-2</w:t>
      </w:r>
      <w:r w:rsidRPr="00EF3FAB">
        <w:rPr>
          <w:rFonts w:cs="Calibri"/>
          <w:i/>
          <w:iCs/>
          <w:sz w:val="22"/>
          <w:szCs w:val="22"/>
        </w:rPr>
        <w:tab/>
        <w:t>Amendments to Australian Accounting Standards – Classification and Measurement of Financial Instruments: Tier 2 Disclosures</w:t>
      </w:r>
      <w:r w:rsidR="00C928AE">
        <w:rPr>
          <w:rFonts w:cs="Calibri"/>
          <w:i/>
          <w:iCs/>
          <w:sz w:val="22"/>
          <w:szCs w:val="22"/>
        </w:rPr>
        <w:t>;</w:t>
      </w:r>
    </w:p>
    <w:p w14:paraId="507C0F2C" w14:textId="00A3C8F6" w:rsidR="00F535DC" w:rsidRPr="00EF3FAB" w:rsidRDefault="00F535DC" w:rsidP="003600E3">
      <w:pPr>
        <w:spacing w:before="120" w:after="120" w:line="276" w:lineRule="auto"/>
        <w:ind w:left="1559" w:hanging="1559"/>
        <w:jc w:val="both"/>
        <w:rPr>
          <w:rFonts w:cs="Calibri"/>
          <w:sz w:val="22"/>
          <w:szCs w:val="22"/>
        </w:rPr>
      </w:pPr>
      <w:r w:rsidRPr="00EF3FAB">
        <w:rPr>
          <w:rFonts w:cs="Calibri"/>
          <w:sz w:val="22"/>
          <w:szCs w:val="22"/>
        </w:rPr>
        <w:t>AASB 2025-3</w:t>
      </w:r>
      <w:r w:rsidR="005A3C8C" w:rsidRPr="00EF3FAB">
        <w:rPr>
          <w:rFonts w:cs="Calibri"/>
          <w:sz w:val="22"/>
          <w:szCs w:val="22"/>
        </w:rPr>
        <w:tab/>
      </w:r>
      <w:r w:rsidR="005A3C8C" w:rsidRPr="00EF3FAB">
        <w:rPr>
          <w:rFonts w:cs="Calibri"/>
          <w:i/>
          <w:iCs/>
          <w:sz w:val="22"/>
          <w:szCs w:val="22"/>
        </w:rPr>
        <w:t>Amendments to Australian Accounting Standards – Contracts Referencing Nature-dependent Electricity: Tier 2 Disclosures</w:t>
      </w:r>
      <w:r w:rsidR="00C928AE">
        <w:rPr>
          <w:rFonts w:cs="Calibri"/>
          <w:i/>
          <w:iCs/>
          <w:sz w:val="22"/>
          <w:szCs w:val="22"/>
        </w:rPr>
        <w:t>;</w:t>
      </w:r>
    </w:p>
    <w:p w14:paraId="4507BD59" w14:textId="63B06287" w:rsidR="00FA633E" w:rsidRPr="00EF3FAB" w:rsidRDefault="00F535DC" w:rsidP="005E0D05">
      <w:pPr>
        <w:spacing w:before="120" w:after="120" w:line="276" w:lineRule="auto"/>
        <w:ind w:left="1559" w:hanging="1559"/>
        <w:jc w:val="both"/>
        <w:rPr>
          <w:rFonts w:cs="Calibri"/>
          <w:sz w:val="22"/>
          <w:szCs w:val="22"/>
        </w:rPr>
      </w:pPr>
      <w:r w:rsidRPr="00EF3FAB">
        <w:rPr>
          <w:rFonts w:cs="Calibri"/>
          <w:sz w:val="22"/>
          <w:szCs w:val="22"/>
        </w:rPr>
        <w:t>AASB 2025-4</w:t>
      </w:r>
      <w:r w:rsidR="005A3C8C" w:rsidRPr="00EF3FAB">
        <w:rPr>
          <w:rFonts w:cs="Calibri"/>
          <w:sz w:val="22"/>
          <w:szCs w:val="22"/>
        </w:rPr>
        <w:tab/>
      </w:r>
      <w:r w:rsidR="005A3C8C" w:rsidRPr="00C928AE">
        <w:rPr>
          <w:rFonts w:cs="Calibri"/>
          <w:i/>
          <w:iCs/>
          <w:sz w:val="22"/>
          <w:szCs w:val="22"/>
        </w:rPr>
        <w:t>Amendments to Australian Accounting Standards – Translation to a Hyperinflationary Presentation Currency</w:t>
      </w:r>
      <w:r w:rsidR="00C928AE">
        <w:rPr>
          <w:rFonts w:cs="Calibri"/>
          <w:sz w:val="22"/>
          <w:szCs w:val="22"/>
        </w:rPr>
        <w:t>; and</w:t>
      </w:r>
    </w:p>
    <w:p w14:paraId="4FB3546C" w14:textId="00C0C1D8" w:rsidR="005A3C8C" w:rsidRPr="00FA633E" w:rsidRDefault="005A3C8C" w:rsidP="003600E3">
      <w:pPr>
        <w:spacing w:before="120" w:after="120" w:line="276" w:lineRule="auto"/>
        <w:ind w:left="1559" w:hanging="1559"/>
        <w:jc w:val="both"/>
        <w:rPr>
          <w:rFonts w:cs="Calibri"/>
          <w:sz w:val="22"/>
          <w:szCs w:val="22"/>
        </w:rPr>
      </w:pPr>
      <w:r w:rsidRPr="00EF3FAB">
        <w:rPr>
          <w:rFonts w:cs="Calibri"/>
          <w:sz w:val="22"/>
          <w:szCs w:val="22"/>
        </w:rPr>
        <w:t>AASB 2026-2</w:t>
      </w:r>
      <w:r>
        <w:rPr>
          <w:rFonts w:cs="Calibri"/>
          <w:sz w:val="22"/>
          <w:szCs w:val="22"/>
        </w:rPr>
        <w:tab/>
      </w:r>
      <w:r w:rsidRPr="005A3C8C">
        <w:rPr>
          <w:rFonts w:cs="Calibri"/>
          <w:i/>
          <w:iCs/>
          <w:sz w:val="22"/>
          <w:szCs w:val="22"/>
        </w:rPr>
        <w:t>Amendments to Australian Accounting Standards – Extending the Application of the Conceptual Framework and Limiting the Ability of Not-for-Profit Entities to Prepare Special Purpose Financial Statements</w:t>
      </w:r>
      <w:r w:rsidR="005E0D05">
        <w:rPr>
          <w:rFonts w:cs="Calibri"/>
          <w:i/>
          <w:iCs/>
          <w:sz w:val="22"/>
          <w:szCs w:val="22"/>
        </w:rPr>
        <w:t>.</w:t>
      </w:r>
    </w:p>
    <w:p w14:paraId="758AEDDB" w14:textId="24E6D4A2" w:rsidR="003C58A9" w:rsidRDefault="005756D7" w:rsidP="00D07C66">
      <w:pPr>
        <w:pStyle w:val="Heading2"/>
        <w:numPr>
          <w:ilvl w:val="1"/>
          <w:numId w:val="9"/>
        </w:numPr>
        <w:spacing w:before="480" w:line="240" w:lineRule="auto"/>
        <w:ind w:left="851" w:hanging="862"/>
        <w:jc w:val="both"/>
      </w:pPr>
      <w:bookmarkStart w:id="37" w:name="_Toc73625865"/>
      <w:bookmarkStart w:id="38" w:name="_Toc58146765"/>
      <w:bookmarkStart w:id="39" w:name="_Toc233635551"/>
      <w:r w:rsidRPr="004F1E62">
        <w:t>Relevant</w:t>
      </w:r>
      <w:r w:rsidRPr="00566C60">
        <w:t xml:space="preserve"> Stan</w:t>
      </w:r>
      <w:r>
        <w:t>d</w:t>
      </w:r>
      <w:r w:rsidRPr="00566C60">
        <w:t>ards that are consider</w:t>
      </w:r>
      <w:r w:rsidR="00304B2D">
        <w:t>ed</w:t>
      </w:r>
      <w:r w:rsidRPr="00566C60">
        <w:t xml:space="preserve"> not to have a Material Financial Impact</w:t>
      </w:r>
      <w:bookmarkEnd w:id="37"/>
      <w:r w:rsidRPr="002778B5">
        <w:t xml:space="preserve"> </w:t>
      </w:r>
      <w:r w:rsidR="00F74050">
        <w:t>on</w:t>
      </w:r>
      <w:r w:rsidRPr="00566C60">
        <w:t xml:space="preserve"> </w:t>
      </w:r>
      <w:r>
        <w:t>Most Agencies</w:t>
      </w:r>
      <w:bookmarkEnd w:id="38"/>
      <w:bookmarkEnd w:id="39"/>
    </w:p>
    <w:p w14:paraId="4706922E" w14:textId="129977A0" w:rsidR="005756D7" w:rsidRDefault="005756D7" w:rsidP="00CE23E5">
      <w:pPr>
        <w:spacing w:before="120" w:after="120" w:line="276" w:lineRule="auto"/>
        <w:jc w:val="both"/>
        <w:rPr>
          <w:sz w:val="22"/>
          <w:szCs w:val="22"/>
        </w:rPr>
      </w:pPr>
      <w:r w:rsidRPr="005756D7">
        <w:rPr>
          <w:sz w:val="22"/>
          <w:szCs w:val="22"/>
        </w:rPr>
        <w:t xml:space="preserve">The following standards are considered relevant to most ACT Government agencies, however it is considered </w:t>
      </w:r>
      <w:r w:rsidRPr="00BC2F87">
        <w:rPr>
          <w:sz w:val="22"/>
          <w:szCs w:val="22"/>
        </w:rPr>
        <w:t xml:space="preserve">that they will </w:t>
      </w:r>
      <w:r w:rsidRPr="00BC2F87">
        <w:rPr>
          <w:sz w:val="22"/>
          <w:szCs w:val="22"/>
          <w:u w:val="single"/>
        </w:rPr>
        <w:t>not</w:t>
      </w:r>
      <w:r w:rsidRPr="00BC2F87">
        <w:rPr>
          <w:sz w:val="22"/>
          <w:szCs w:val="22"/>
        </w:rPr>
        <w:t xml:space="preserve"> have a material financial impact on most ACT Government agencies.</w:t>
      </w:r>
    </w:p>
    <w:p w14:paraId="245E217B" w14:textId="4137481C" w:rsidR="00C928AE" w:rsidRDefault="00C928AE" w:rsidP="00CE23E5">
      <w:pPr>
        <w:spacing w:before="120" w:after="120" w:line="276" w:lineRule="auto"/>
        <w:jc w:val="both"/>
        <w:rPr>
          <w:sz w:val="22"/>
          <w:szCs w:val="22"/>
        </w:rPr>
      </w:pPr>
      <w:r>
        <w:rPr>
          <w:sz w:val="22"/>
          <w:szCs w:val="22"/>
        </w:rPr>
        <w:br w:type="page"/>
      </w:r>
    </w:p>
    <w:p w14:paraId="6C3B7690" w14:textId="626F74BA" w:rsidR="00963B3A" w:rsidRPr="009C7CBA" w:rsidRDefault="00963B3A" w:rsidP="003D1E38">
      <w:pPr>
        <w:pStyle w:val="Heading3"/>
        <w:numPr>
          <w:ilvl w:val="2"/>
          <w:numId w:val="17"/>
        </w:numPr>
        <w:spacing w:before="480" w:after="120" w:line="240" w:lineRule="auto"/>
        <w:ind w:left="1134"/>
        <w:jc w:val="both"/>
        <w:rPr>
          <w:b w:val="0"/>
          <w:bCs/>
          <w:i/>
          <w:iCs/>
        </w:rPr>
      </w:pPr>
      <w:bookmarkStart w:id="40" w:name="_Toc233635552"/>
      <w:r w:rsidRPr="00BC2F87">
        <w:rPr>
          <w:iCs/>
        </w:rPr>
        <w:lastRenderedPageBreak/>
        <w:t xml:space="preserve">AASB </w:t>
      </w:r>
      <w:r>
        <w:rPr>
          <w:iCs/>
        </w:rPr>
        <w:t>18</w:t>
      </w:r>
      <w:r w:rsidRPr="00BC2F87">
        <w:rPr>
          <w:iCs/>
        </w:rPr>
        <w:t xml:space="preserve"> </w:t>
      </w:r>
      <w:r w:rsidR="001C6AE4">
        <w:t xml:space="preserve">Presentation and Disclosure in Financial Statements </w:t>
      </w:r>
      <w:r w:rsidRPr="001C6AE4">
        <w:t>(appl. 1 January</w:t>
      </w:r>
      <w:r w:rsidRPr="009C7CBA">
        <w:rPr>
          <w:iCs/>
        </w:rPr>
        <w:t xml:space="preserve"> 202</w:t>
      </w:r>
      <w:r>
        <w:rPr>
          <w:iCs/>
        </w:rPr>
        <w:t xml:space="preserve">7 </w:t>
      </w:r>
      <w:r w:rsidR="00C928AE">
        <w:rPr>
          <w:iCs/>
        </w:rPr>
        <w:t xml:space="preserve">for for-profit entities </w:t>
      </w:r>
      <w:r w:rsidR="001242D3">
        <w:rPr>
          <w:iCs/>
        </w:rPr>
        <w:t xml:space="preserve">however appl. </w:t>
      </w:r>
      <w:r>
        <w:rPr>
          <w:iCs/>
        </w:rPr>
        <w:t>1 January 2028 for not-for-profit public sector entities</w:t>
      </w:r>
      <w:r w:rsidRPr="009C7CBA">
        <w:rPr>
          <w:iCs/>
        </w:rPr>
        <w:t>)</w:t>
      </w:r>
      <w:bookmarkEnd w:id="40"/>
    </w:p>
    <w:p w14:paraId="1BF30B67" w14:textId="77777777" w:rsidR="00963B3A" w:rsidRPr="00533A6C" w:rsidRDefault="00963B3A" w:rsidP="00963B3A">
      <w:pPr>
        <w:pStyle w:val="ListParagraph"/>
        <w:spacing w:before="120" w:after="120" w:line="276" w:lineRule="auto"/>
        <w:ind w:left="0"/>
        <w:jc w:val="both"/>
        <w:rPr>
          <w:rFonts w:ascii="Lato" w:eastAsia="Times New Roman" w:hAnsi="Lato"/>
          <w:bCs/>
          <w:color w:val="333333"/>
          <w:sz w:val="24"/>
          <w:szCs w:val="24"/>
          <w:u w:val="single"/>
        </w:rPr>
      </w:pPr>
      <w:r w:rsidRPr="00533A6C">
        <w:rPr>
          <w:bCs/>
          <w:sz w:val="22"/>
          <w:szCs w:val="22"/>
          <w:u w:val="single"/>
        </w:rPr>
        <w:t>Background</w:t>
      </w:r>
    </w:p>
    <w:p w14:paraId="4901B270" w14:textId="77777777" w:rsidR="00A14966" w:rsidRPr="00A14966" w:rsidRDefault="00A14966" w:rsidP="00A14966">
      <w:pPr>
        <w:pStyle w:val="ListParagraph"/>
        <w:spacing w:before="120" w:after="120" w:line="276" w:lineRule="auto"/>
        <w:ind w:left="0"/>
        <w:contextualSpacing w:val="0"/>
        <w:jc w:val="both"/>
        <w:rPr>
          <w:sz w:val="22"/>
          <w:szCs w:val="22"/>
        </w:rPr>
      </w:pPr>
      <w:r w:rsidRPr="00A14966">
        <w:rPr>
          <w:sz w:val="22"/>
          <w:szCs w:val="22"/>
        </w:rPr>
        <w:t xml:space="preserve">In April 2024, the International Accounting Standards Board issued IFRS 18 </w:t>
      </w:r>
      <w:r w:rsidRPr="00741885">
        <w:rPr>
          <w:i/>
          <w:iCs/>
          <w:sz w:val="22"/>
          <w:szCs w:val="22"/>
        </w:rPr>
        <w:t>Presentation and Disclosure in Financial Statements</w:t>
      </w:r>
      <w:r w:rsidRPr="00A14966">
        <w:rPr>
          <w:sz w:val="22"/>
          <w:szCs w:val="22"/>
        </w:rPr>
        <w:t xml:space="preserve">. IFRS 18 aims to improve how entities communicate in their financial statements, with a focus on information about financial performance in the operating statement. Better information will contribute to efficient and resilient capital markets by enabling financial statement users to make better decisions. The Standard responds to stakeholder feedback that: </w:t>
      </w:r>
    </w:p>
    <w:p w14:paraId="398201CE" w14:textId="1BC1C225" w:rsidR="00A14966" w:rsidRDefault="00A14966" w:rsidP="001E7B4C">
      <w:pPr>
        <w:pStyle w:val="ListParagraph"/>
        <w:numPr>
          <w:ilvl w:val="0"/>
          <w:numId w:val="22"/>
        </w:numPr>
        <w:spacing w:before="120" w:after="120" w:line="276" w:lineRule="auto"/>
        <w:contextualSpacing w:val="0"/>
        <w:jc w:val="both"/>
        <w:rPr>
          <w:sz w:val="22"/>
          <w:szCs w:val="22"/>
        </w:rPr>
      </w:pPr>
      <w:r w:rsidRPr="00A14966">
        <w:rPr>
          <w:sz w:val="22"/>
          <w:szCs w:val="22"/>
        </w:rPr>
        <w:t xml:space="preserve">operating statements varied in structure and content; </w:t>
      </w:r>
    </w:p>
    <w:p w14:paraId="572B6AE6" w14:textId="65E0584B" w:rsidR="00A14966" w:rsidRDefault="00A14966" w:rsidP="001E7B4C">
      <w:pPr>
        <w:pStyle w:val="ListParagraph"/>
        <w:numPr>
          <w:ilvl w:val="0"/>
          <w:numId w:val="22"/>
        </w:numPr>
        <w:spacing w:before="120" w:after="120" w:line="276" w:lineRule="auto"/>
        <w:contextualSpacing w:val="0"/>
        <w:jc w:val="both"/>
        <w:rPr>
          <w:sz w:val="22"/>
          <w:szCs w:val="22"/>
        </w:rPr>
      </w:pPr>
      <w:r w:rsidRPr="00A14966">
        <w:rPr>
          <w:sz w:val="22"/>
          <w:szCs w:val="22"/>
        </w:rPr>
        <w:t xml:space="preserve">measures defined by management are useful to investors, but </w:t>
      </w:r>
      <w:r w:rsidR="00741885">
        <w:rPr>
          <w:sz w:val="22"/>
          <w:szCs w:val="22"/>
        </w:rPr>
        <w:t>entities</w:t>
      </w:r>
      <w:r w:rsidRPr="00A14966">
        <w:rPr>
          <w:sz w:val="22"/>
          <w:szCs w:val="22"/>
        </w:rPr>
        <w:t xml:space="preserve"> might not explain how these measures are calculated and why they are used; and </w:t>
      </w:r>
    </w:p>
    <w:p w14:paraId="51F4D000" w14:textId="77777777" w:rsidR="00741885" w:rsidRDefault="00A14966" w:rsidP="001E7B4C">
      <w:pPr>
        <w:pStyle w:val="ListParagraph"/>
        <w:numPr>
          <w:ilvl w:val="0"/>
          <w:numId w:val="22"/>
        </w:numPr>
        <w:spacing w:before="120" w:after="120" w:line="276" w:lineRule="auto"/>
        <w:contextualSpacing w:val="0"/>
        <w:jc w:val="both"/>
        <w:rPr>
          <w:sz w:val="22"/>
          <w:szCs w:val="22"/>
        </w:rPr>
      </w:pPr>
      <w:r w:rsidRPr="00A14966">
        <w:rPr>
          <w:sz w:val="22"/>
          <w:szCs w:val="22"/>
        </w:rPr>
        <w:t xml:space="preserve">investors would like to see information more appropriately grouped (aggregated or disaggregated) in the financial statements. </w:t>
      </w:r>
    </w:p>
    <w:p w14:paraId="77A312B0" w14:textId="6AA8348C" w:rsidR="001C6AE4" w:rsidRPr="00741885" w:rsidRDefault="00A14966" w:rsidP="00741885">
      <w:pPr>
        <w:spacing w:before="120" w:after="120" w:line="276" w:lineRule="auto"/>
        <w:jc w:val="both"/>
        <w:rPr>
          <w:sz w:val="22"/>
          <w:szCs w:val="22"/>
        </w:rPr>
      </w:pPr>
      <w:r w:rsidRPr="00741885">
        <w:rPr>
          <w:sz w:val="22"/>
          <w:szCs w:val="22"/>
        </w:rPr>
        <w:t xml:space="preserve">AASB 18 </w:t>
      </w:r>
      <w:r w:rsidRPr="00741885">
        <w:rPr>
          <w:i/>
          <w:iCs/>
          <w:sz w:val="22"/>
          <w:szCs w:val="22"/>
        </w:rPr>
        <w:t>Presentation and Disclosure in Financial Statements</w:t>
      </w:r>
      <w:r w:rsidRPr="00741885">
        <w:rPr>
          <w:sz w:val="22"/>
          <w:szCs w:val="22"/>
        </w:rPr>
        <w:t xml:space="preserve"> is the Australian equivalent of IFRS 18.</w:t>
      </w:r>
    </w:p>
    <w:p w14:paraId="4DE3AFD1" w14:textId="77777777" w:rsidR="00A14966" w:rsidRPr="00EA74FA" w:rsidRDefault="001C6AE4" w:rsidP="00A14966">
      <w:pPr>
        <w:pStyle w:val="ListParagraph"/>
        <w:spacing w:before="120" w:after="120" w:line="276" w:lineRule="auto"/>
        <w:ind w:left="0"/>
        <w:contextualSpacing w:val="0"/>
        <w:jc w:val="both"/>
        <w:rPr>
          <w:sz w:val="22"/>
          <w:szCs w:val="22"/>
        </w:rPr>
      </w:pPr>
      <w:r w:rsidRPr="00EA74FA">
        <w:rPr>
          <w:sz w:val="22"/>
          <w:szCs w:val="22"/>
        </w:rPr>
        <w:t xml:space="preserve">The key presentation and disclosure requirements established by AASB 18 are: </w:t>
      </w:r>
    </w:p>
    <w:p w14:paraId="5AD6E821" w14:textId="46E184AE" w:rsidR="00A14966" w:rsidRPr="00EA74FA" w:rsidRDefault="001C6AE4" w:rsidP="001E7B4C">
      <w:pPr>
        <w:pStyle w:val="ListParagraph"/>
        <w:numPr>
          <w:ilvl w:val="0"/>
          <w:numId w:val="23"/>
        </w:numPr>
        <w:spacing w:before="120" w:after="120" w:line="276" w:lineRule="auto"/>
        <w:contextualSpacing w:val="0"/>
        <w:jc w:val="both"/>
        <w:rPr>
          <w:sz w:val="22"/>
          <w:szCs w:val="22"/>
        </w:rPr>
      </w:pPr>
      <w:r w:rsidRPr="00EA74FA">
        <w:rPr>
          <w:sz w:val="22"/>
          <w:szCs w:val="22"/>
        </w:rPr>
        <w:t xml:space="preserve">the presentation of newly defined subtotals in the </w:t>
      </w:r>
      <w:r w:rsidR="004D2CC8" w:rsidRPr="00EA74FA">
        <w:rPr>
          <w:sz w:val="22"/>
          <w:szCs w:val="22"/>
        </w:rPr>
        <w:t xml:space="preserve">operating </w:t>
      </w:r>
      <w:r w:rsidRPr="00EA74FA">
        <w:rPr>
          <w:sz w:val="22"/>
          <w:szCs w:val="22"/>
        </w:rPr>
        <w:t xml:space="preserve">statement. AASB 18 requires an </w:t>
      </w:r>
      <w:r w:rsidR="004D2CC8" w:rsidRPr="00EA74FA">
        <w:rPr>
          <w:sz w:val="22"/>
          <w:szCs w:val="22"/>
        </w:rPr>
        <w:t>agency</w:t>
      </w:r>
      <w:r w:rsidRPr="00EA74FA">
        <w:rPr>
          <w:sz w:val="22"/>
          <w:szCs w:val="22"/>
        </w:rPr>
        <w:t xml:space="preserve"> to: </w:t>
      </w:r>
    </w:p>
    <w:p w14:paraId="2D0DCC8C" w14:textId="6E76928E" w:rsidR="00A14966" w:rsidRPr="00EA74FA" w:rsidRDefault="001C6AE4" w:rsidP="001E7B4C">
      <w:pPr>
        <w:pStyle w:val="ListParagraph"/>
        <w:numPr>
          <w:ilvl w:val="0"/>
          <w:numId w:val="24"/>
        </w:numPr>
        <w:spacing w:before="120" w:after="120" w:line="276" w:lineRule="auto"/>
        <w:ind w:left="1418" w:hanging="425"/>
        <w:contextualSpacing w:val="0"/>
        <w:jc w:val="both"/>
        <w:rPr>
          <w:sz w:val="22"/>
          <w:szCs w:val="22"/>
        </w:rPr>
      </w:pPr>
      <w:r w:rsidRPr="00EA74FA">
        <w:rPr>
          <w:sz w:val="22"/>
          <w:szCs w:val="22"/>
        </w:rPr>
        <w:t xml:space="preserve">classify income and expenses into operating, investing and financing categories in the </w:t>
      </w:r>
      <w:r w:rsidR="004D2CC8" w:rsidRPr="00EA74FA">
        <w:rPr>
          <w:sz w:val="22"/>
          <w:szCs w:val="22"/>
        </w:rPr>
        <w:t xml:space="preserve">operating </w:t>
      </w:r>
      <w:r w:rsidRPr="00EA74FA">
        <w:rPr>
          <w:sz w:val="22"/>
          <w:szCs w:val="22"/>
        </w:rPr>
        <w:t xml:space="preserve">statement – plus income taxes and discontinued operations; and </w:t>
      </w:r>
    </w:p>
    <w:p w14:paraId="3A92574B" w14:textId="247BD5BB" w:rsidR="00A14966" w:rsidRPr="00EA74FA" w:rsidRDefault="001C6AE4" w:rsidP="001E7B4C">
      <w:pPr>
        <w:pStyle w:val="ListParagraph"/>
        <w:numPr>
          <w:ilvl w:val="0"/>
          <w:numId w:val="24"/>
        </w:numPr>
        <w:spacing w:before="120" w:after="120" w:line="276" w:lineRule="auto"/>
        <w:ind w:left="1418" w:hanging="425"/>
        <w:contextualSpacing w:val="0"/>
        <w:jc w:val="both"/>
        <w:rPr>
          <w:sz w:val="22"/>
          <w:szCs w:val="22"/>
        </w:rPr>
      </w:pPr>
      <w:r w:rsidRPr="00EA74FA">
        <w:rPr>
          <w:sz w:val="22"/>
          <w:szCs w:val="22"/>
        </w:rPr>
        <w:t xml:space="preserve">present two newly defined subtotals – operating profit and profit before financing and income taxes; </w:t>
      </w:r>
    </w:p>
    <w:p w14:paraId="771DCEF8" w14:textId="7933DC8E" w:rsidR="00A14966" w:rsidRPr="00EA74FA" w:rsidRDefault="001C6AE4" w:rsidP="001E7B4C">
      <w:pPr>
        <w:pStyle w:val="ListParagraph"/>
        <w:numPr>
          <w:ilvl w:val="0"/>
          <w:numId w:val="23"/>
        </w:numPr>
        <w:spacing w:before="120" w:after="120" w:line="276" w:lineRule="auto"/>
        <w:contextualSpacing w:val="0"/>
        <w:jc w:val="both"/>
        <w:rPr>
          <w:sz w:val="22"/>
          <w:szCs w:val="22"/>
        </w:rPr>
      </w:pPr>
      <w:r w:rsidRPr="00EA74FA">
        <w:rPr>
          <w:sz w:val="22"/>
          <w:szCs w:val="22"/>
        </w:rPr>
        <w:t xml:space="preserve">the disclosure of management-defined performance measures. Management-defined performance measures are alternative or non-GAAP performance measures (that is, measures that are not defined by Australian Accounting Standards) that are subtotals of income and expenses used in public communications. AASB 18 requires disclosure of reconciliation between those measures and the subtotals required by AASB Standards; and </w:t>
      </w:r>
    </w:p>
    <w:p w14:paraId="270D40BD" w14:textId="537C1305" w:rsidR="00A14966" w:rsidRPr="00EA74FA" w:rsidRDefault="001C6AE4" w:rsidP="001E7B4C">
      <w:pPr>
        <w:pStyle w:val="ListParagraph"/>
        <w:numPr>
          <w:ilvl w:val="0"/>
          <w:numId w:val="23"/>
        </w:numPr>
        <w:spacing w:before="120" w:after="120" w:line="276" w:lineRule="auto"/>
        <w:contextualSpacing w:val="0"/>
        <w:jc w:val="both"/>
        <w:rPr>
          <w:sz w:val="22"/>
          <w:szCs w:val="22"/>
        </w:rPr>
      </w:pPr>
      <w:r w:rsidRPr="001F3413">
        <w:rPr>
          <w:sz w:val="22"/>
          <w:szCs w:val="22"/>
        </w:rPr>
        <w:t>enhanced requirements</w:t>
      </w:r>
      <w:r w:rsidRPr="00EA74FA">
        <w:rPr>
          <w:sz w:val="22"/>
          <w:szCs w:val="22"/>
        </w:rPr>
        <w:t xml:space="preserve"> for grouping (aggregation and disaggregation) of information. AASB</w:t>
      </w:r>
      <w:r w:rsidR="006F0980">
        <w:rPr>
          <w:sz w:val="22"/>
          <w:szCs w:val="22"/>
        </w:rPr>
        <w:t> </w:t>
      </w:r>
      <w:r w:rsidRPr="00EA74FA">
        <w:rPr>
          <w:sz w:val="22"/>
          <w:szCs w:val="22"/>
        </w:rPr>
        <w:t xml:space="preserve">18 provides guidance for </w:t>
      </w:r>
      <w:r w:rsidR="00C14F6E" w:rsidRPr="00EA74FA">
        <w:rPr>
          <w:sz w:val="22"/>
          <w:szCs w:val="22"/>
        </w:rPr>
        <w:t xml:space="preserve">agencies </w:t>
      </w:r>
      <w:r w:rsidRPr="00EA74FA">
        <w:rPr>
          <w:sz w:val="22"/>
          <w:szCs w:val="22"/>
        </w:rPr>
        <w:t xml:space="preserve">on grouping transactions and other events into the line items in the primary financial statements and information disclosed in the notes. These principles generally require </w:t>
      </w:r>
      <w:r w:rsidR="006C4896">
        <w:rPr>
          <w:sz w:val="22"/>
          <w:szCs w:val="22"/>
        </w:rPr>
        <w:t>agencies</w:t>
      </w:r>
      <w:r w:rsidRPr="00EA74FA">
        <w:rPr>
          <w:sz w:val="22"/>
          <w:szCs w:val="22"/>
        </w:rPr>
        <w:t xml:space="preserve"> to: </w:t>
      </w:r>
    </w:p>
    <w:p w14:paraId="45197522" w14:textId="5AC82AD3" w:rsidR="00A14966" w:rsidRPr="00EA74FA" w:rsidRDefault="001C6AE4" w:rsidP="001E7B4C">
      <w:pPr>
        <w:pStyle w:val="ListParagraph"/>
        <w:numPr>
          <w:ilvl w:val="0"/>
          <w:numId w:val="25"/>
        </w:numPr>
        <w:spacing w:before="120" w:after="120" w:line="276" w:lineRule="auto"/>
        <w:ind w:left="1418" w:hanging="425"/>
        <w:contextualSpacing w:val="0"/>
        <w:jc w:val="both"/>
        <w:rPr>
          <w:sz w:val="22"/>
          <w:szCs w:val="22"/>
        </w:rPr>
      </w:pPr>
      <w:r w:rsidRPr="00EA74FA">
        <w:rPr>
          <w:sz w:val="22"/>
          <w:szCs w:val="22"/>
        </w:rPr>
        <w:t xml:space="preserve">aggregate items that share characteristics and disaggregate items that have different characteristics; </w:t>
      </w:r>
    </w:p>
    <w:p w14:paraId="7047E2F7" w14:textId="70C66023" w:rsidR="00A14966" w:rsidRPr="00EA74FA" w:rsidRDefault="001C6AE4" w:rsidP="001E7B4C">
      <w:pPr>
        <w:pStyle w:val="ListParagraph"/>
        <w:numPr>
          <w:ilvl w:val="0"/>
          <w:numId w:val="25"/>
        </w:numPr>
        <w:spacing w:before="120" w:after="120" w:line="276" w:lineRule="auto"/>
        <w:ind w:left="1418" w:hanging="425"/>
        <w:contextualSpacing w:val="0"/>
        <w:jc w:val="both"/>
        <w:rPr>
          <w:sz w:val="22"/>
          <w:szCs w:val="22"/>
        </w:rPr>
      </w:pPr>
      <w:r w:rsidRPr="00EA74FA">
        <w:rPr>
          <w:sz w:val="22"/>
          <w:szCs w:val="22"/>
        </w:rPr>
        <w:t xml:space="preserve">group items in a way that does not obscure material information or reduce the understandability of the information presented; and </w:t>
      </w:r>
    </w:p>
    <w:p w14:paraId="6122EFD7" w14:textId="3F8FB5D4" w:rsidR="00A14966" w:rsidRPr="00EA74FA" w:rsidRDefault="001C6AE4" w:rsidP="001E7B4C">
      <w:pPr>
        <w:pStyle w:val="ListParagraph"/>
        <w:numPr>
          <w:ilvl w:val="0"/>
          <w:numId w:val="25"/>
        </w:numPr>
        <w:spacing w:before="120" w:after="120" w:line="276" w:lineRule="auto"/>
        <w:ind w:left="1418" w:hanging="425"/>
        <w:contextualSpacing w:val="0"/>
        <w:jc w:val="both"/>
        <w:rPr>
          <w:sz w:val="22"/>
          <w:szCs w:val="22"/>
        </w:rPr>
      </w:pPr>
      <w:r w:rsidRPr="00EA74FA">
        <w:rPr>
          <w:sz w:val="22"/>
          <w:szCs w:val="22"/>
        </w:rPr>
        <w:t xml:space="preserve">place items in the primary financial statements and the notes to fulfil their complementary roles. </w:t>
      </w:r>
    </w:p>
    <w:p w14:paraId="01438AB0" w14:textId="77777777" w:rsidR="006C4896" w:rsidRDefault="001C6AE4" w:rsidP="00A14966">
      <w:pPr>
        <w:pStyle w:val="ListParagraph"/>
        <w:spacing w:before="120" w:after="120" w:line="276" w:lineRule="auto"/>
        <w:ind w:left="0"/>
        <w:contextualSpacing w:val="0"/>
        <w:jc w:val="both"/>
        <w:rPr>
          <w:sz w:val="22"/>
          <w:szCs w:val="22"/>
        </w:rPr>
      </w:pPr>
      <w:r w:rsidRPr="00EA74FA">
        <w:rPr>
          <w:sz w:val="22"/>
          <w:szCs w:val="22"/>
        </w:rPr>
        <w:lastRenderedPageBreak/>
        <w:t>In combination, these three key sets of requirements strike a balance by introducing defined subtotals that create a consistent structure in the</w:t>
      </w:r>
      <w:r w:rsidR="00C14F6E" w:rsidRPr="00EA74FA">
        <w:rPr>
          <w:sz w:val="22"/>
          <w:szCs w:val="22"/>
        </w:rPr>
        <w:t xml:space="preserve"> operating </w:t>
      </w:r>
      <w:r w:rsidRPr="00EA74FA">
        <w:rPr>
          <w:sz w:val="22"/>
          <w:szCs w:val="22"/>
        </w:rPr>
        <w:t xml:space="preserve">statement to provide a starting point for analysis, while leaving room for </w:t>
      </w:r>
      <w:r w:rsidR="00C14F6E" w:rsidRPr="00EA74FA">
        <w:rPr>
          <w:sz w:val="22"/>
          <w:szCs w:val="22"/>
        </w:rPr>
        <w:t xml:space="preserve">agencies </w:t>
      </w:r>
      <w:r w:rsidRPr="00EA74FA">
        <w:rPr>
          <w:sz w:val="22"/>
          <w:szCs w:val="22"/>
        </w:rPr>
        <w:t xml:space="preserve">to report their own performance measures. The disclosure requirements for management-defined performance measures anchor </w:t>
      </w:r>
      <w:r w:rsidR="00C14F6E" w:rsidRPr="00EA74FA">
        <w:rPr>
          <w:sz w:val="22"/>
          <w:szCs w:val="22"/>
        </w:rPr>
        <w:t>agencies</w:t>
      </w:r>
      <w:r w:rsidRPr="00EA74FA">
        <w:rPr>
          <w:sz w:val="22"/>
          <w:szCs w:val="22"/>
        </w:rPr>
        <w:t xml:space="preserve">’ own performance measures to the defined subtotals, increasing the transparency of these measures. Additionally, the principles for grouping information will help </w:t>
      </w:r>
      <w:r w:rsidR="00C14F6E" w:rsidRPr="00EA74FA">
        <w:rPr>
          <w:sz w:val="22"/>
          <w:szCs w:val="22"/>
        </w:rPr>
        <w:t>agenc</w:t>
      </w:r>
      <w:r w:rsidRPr="00EA74FA">
        <w:rPr>
          <w:sz w:val="22"/>
          <w:szCs w:val="22"/>
        </w:rPr>
        <w:t xml:space="preserve">ies provide more useful information. </w:t>
      </w:r>
    </w:p>
    <w:p w14:paraId="0BA641B3" w14:textId="206296E5" w:rsidR="00A14966" w:rsidRPr="00EA74FA" w:rsidRDefault="001C6AE4" w:rsidP="00A14966">
      <w:pPr>
        <w:pStyle w:val="ListParagraph"/>
        <w:spacing w:before="120" w:after="120" w:line="276" w:lineRule="auto"/>
        <w:ind w:left="0"/>
        <w:contextualSpacing w:val="0"/>
        <w:jc w:val="both"/>
        <w:rPr>
          <w:sz w:val="22"/>
          <w:szCs w:val="22"/>
        </w:rPr>
      </w:pPr>
      <w:r w:rsidRPr="00EA74FA">
        <w:rPr>
          <w:sz w:val="22"/>
          <w:szCs w:val="22"/>
        </w:rPr>
        <w:t xml:space="preserve">AASB 18 replaces AASB 101 </w:t>
      </w:r>
      <w:r w:rsidRPr="00EA74FA">
        <w:rPr>
          <w:i/>
          <w:iCs/>
          <w:sz w:val="22"/>
          <w:szCs w:val="22"/>
        </w:rPr>
        <w:t>Presentation of Financial Statements</w:t>
      </w:r>
      <w:r w:rsidRPr="00EA74FA">
        <w:rPr>
          <w:sz w:val="22"/>
          <w:szCs w:val="22"/>
        </w:rPr>
        <w:t xml:space="preserve">. As a result, the requirements in AASB 101 have been: </w:t>
      </w:r>
    </w:p>
    <w:p w14:paraId="7DCB1DE7" w14:textId="74472A90" w:rsidR="00C14F6E" w:rsidRPr="00EA74FA" w:rsidRDefault="001C6AE4" w:rsidP="001E7B4C">
      <w:pPr>
        <w:pStyle w:val="ListParagraph"/>
        <w:numPr>
          <w:ilvl w:val="0"/>
          <w:numId w:val="26"/>
        </w:numPr>
        <w:spacing w:before="120" w:after="120" w:line="276" w:lineRule="auto"/>
        <w:ind w:left="641" w:hanging="357"/>
        <w:contextualSpacing w:val="0"/>
        <w:jc w:val="both"/>
        <w:rPr>
          <w:sz w:val="22"/>
          <w:szCs w:val="22"/>
        </w:rPr>
      </w:pPr>
      <w:r w:rsidRPr="00EA74FA">
        <w:rPr>
          <w:sz w:val="22"/>
          <w:szCs w:val="22"/>
        </w:rPr>
        <w:t>replaced by new requirements in AASB 18;</w:t>
      </w:r>
    </w:p>
    <w:p w14:paraId="4A37FE9D" w14:textId="1DB4F5AA" w:rsidR="00C14F6E" w:rsidRPr="00EA74FA" w:rsidRDefault="001C6AE4" w:rsidP="001E7B4C">
      <w:pPr>
        <w:pStyle w:val="ListParagraph"/>
        <w:numPr>
          <w:ilvl w:val="0"/>
          <w:numId w:val="26"/>
        </w:numPr>
        <w:spacing w:before="120" w:after="120" w:line="276" w:lineRule="auto"/>
        <w:ind w:left="641" w:hanging="357"/>
        <w:contextualSpacing w:val="0"/>
        <w:jc w:val="both"/>
        <w:rPr>
          <w:sz w:val="22"/>
          <w:szCs w:val="22"/>
        </w:rPr>
      </w:pPr>
      <w:r w:rsidRPr="00EA74FA">
        <w:rPr>
          <w:sz w:val="22"/>
          <w:szCs w:val="22"/>
        </w:rPr>
        <w:t xml:space="preserve"> transferred to AASB 18 with only limited wording changes; or</w:t>
      </w:r>
    </w:p>
    <w:p w14:paraId="428BB770" w14:textId="6DD61D89" w:rsidR="00A14966" w:rsidRPr="00EA74FA" w:rsidRDefault="001C6AE4" w:rsidP="001E7B4C">
      <w:pPr>
        <w:pStyle w:val="ListParagraph"/>
        <w:numPr>
          <w:ilvl w:val="0"/>
          <w:numId w:val="26"/>
        </w:numPr>
        <w:spacing w:before="120" w:after="120" w:line="276" w:lineRule="auto"/>
        <w:ind w:left="641" w:hanging="357"/>
        <w:contextualSpacing w:val="0"/>
        <w:jc w:val="both"/>
        <w:rPr>
          <w:sz w:val="22"/>
          <w:szCs w:val="22"/>
        </w:rPr>
      </w:pPr>
      <w:r w:rsidRPr="00EA74FA">
        <w:rPr>
          <w:sz w:val="22"/>
          <w:szCs w:val="22"/>
        </w:rPr>
        <w:t xml:space="preserve">moved to AASB 108 </w:t>
      </w:r>
      <w:r w:rsidRPr="00EA74FA">
        <w:rPr>
          <w:i/>
          <w:iCs/>
          <w:sz w:val="22"/>
          <w:szCs w:val="22"/>
        </w:rPr>
        <w:t>Basis of Preparation of Financial Statements</w:t>
      </w:r>
      <w:r w:rsidR="00C14F6E" w:rsidRPr="00EA74FA">
        <w:rPr>
          <w:i/>
          <w:iCs/>
          <w:sz w:val="22"/>
          <w:szCs w:val="22"/>
        </w:rPr>
        <w:t xml:space="preserve"> </w:t>
      </w:r>
      <w:r w:rsidR="00C14F6E" w:rsidRPr="00F91EE5">
        <w:rPr>
          <w:sz w:val="22"/>
          <w:szCs w:val="22"/>
        </w:rPr>
        <w:t xml:space="preserve">(Previously AASB 108 </w:t>
      </w:r>
      <w:r w:rsidR="00C14F6E" w:rsidRPr="006C4896">
        <w:rPr>
          <w:i/>
          <w:iCs/>
          <w:sz w:val="22"/>
          <w:szCs w:val="22"/>
        </w:rPr>
        <w:t>Accounting Policies, Changes in Accounting Estimates and Errors</w:t>
      </w:r>
      <w:r w:rsidR="00C14F6E" w:rsidRPr="00F91EE5">
        <w:rPr>
          <w:sz w:val="22"/>
          <w:szCs w:val="22"/>
        </w:rPr>
        <w:t>)</w:t>
      </w:r>
      <w:r w:rsidRPr="00EA74FA">
        <w:rPr>
          <w:sz w:val="22"/>
          <w:szCs w:val="22"/>
        </w:rPr>
        <w:t xml:space="preserve"> </w:t>
      </w:r>
      <w:r w:rsidRPr="00F91EE5">
        <w:rPr>
          <w:sz w:val="22"/>
          <w:szCs w:val="22"/>
        </w:rPr>
        <w:t>or AASB 7</w:t>
      </w:r>
      <w:r w:rsidRPr="00EA74FA">
        <w:rPr>
          <w:i/>
          <w:iCs/>
          <w:sz w:val="22"/>
          <w:szCs w:val="22"/>
        </w:rPr>
        <w:t xml:space="preserve"> Financial Instruments: Disclosures</w:t>
      </w:r>
      <w:r w:rsidRPr="00EA74FA">
        <w:rPr>
          <w:sz w:val="22"/>
          <w:szCs w:val="22"/>
        </w:rPr>
        <w:t xml:space="preserve"> with only limited wording changes. </w:t>
      </w:r>
    </w:p>
    <w:p w14:paraId="6F88CD45" w14:textId="2110BD10" w:rsidR="00963B3A" w:rsidRPr="00EA74FA" w:rsidRDefault="001C6AE4" w:rsidP="00A14966">
      <w:pPr>
        <w:pStyle w:val="ListParagraph"/>
        <w:spacing w:before="120" w:after="120" w:line="276" w:lineRule="auto"/>
        <w:ind w:left="0"/>
        <w:contextualSpacing w:val="0"/>
        <w:jc w:val="both"/>
        <w:rPr>
          <w:sz w:val="22"/>
          <w:szCs w:val="22"/>
        </w:rPr>
      </w:pPr>
      <w:r w:rsidRPr="00EA74FA">
        <w:rPr>
          <w:sz w:val="22"/>
          <w:szCs w:val="22"/>
        </w:rPr>
        <w:t xml:space="preserve">AASB 18 has also introduced changes to other Australian Accounting Standards, including AASB 107 </w:t>
      </w:r>
      <w:r w:rsidRPr="00EA74FA">
        <w:rPr>
          <w:i/>
          <w:iCs/>
          <w:sz w:val="22"/>
          <w:szCs w:val="22"/>
        </w:rPr>
        <w:t>Statement of Cash Flows</w:t>
      </w:r>
      <w:r w:rsidRPr="00EA74FA">
        <w:rPr>
          <w:sz w:val="22"/>
          <w:szCs w:val="22"/>
        </w:rPr>
        <w:t xml:space="preserve">, AASB 133 </w:t>
      </w:r>
      <w:r w:rsidRPr="00EA74FA">
        <w:rPr>
          <w:i/>
          <w:iCs/>
          <w:sz w:val="22"/>
          <w:szCs w:val="22"/>
        </w:rPr>
        <w:t>Earnings per Share</w:t>
      </w:r>
      <w:r w:rsidRPr="00EA74FA">
        <w:rPr>
          <w:sz w:val="22"/>
          <w:szCs w:val="22"/>
        </w:rPr>
        <w:t xml:space="preserve"> and AASB 134 </w:t>
      </w:r>
      <w:r w:rsidRPr="00EA74FA">
        <w:rPr>
          <w:i/>
          <w:iCs/>
          <w:sz w:val="22"/>
          <w:szCs w:val="22"/>
        </w:rPr>
        <w:t>Interim Financial Reporting</w:t>
      </w:r>
      <w:r w:rsidRPr="00EA74FA">
        <w:rPr>
          <w:sz w:val="22"/>
          <w:szCs w:val="22"/>
        </w:rPr>
        <w:t>.</w:t>
      </w:r>
    </w:p>
    <w:p w14:paraId="6E37BE82" w14:textId="77777777" w:rsidR="00963B3A" w:rsidRPr="001732A0" w:rsidRDefault="00963B3A" w:rsidP="001732A0">
      <w:pPr>
        <w:spacing w:before="120" w:after="120" w:line="276" w:lineRule="auto"/>
        <w:jc w:val="both"/>
        <w:rPr>
          <w:bCs/>
          <w:sz w:val="22"/>
          <w:szCs w:val="22"/>
          <w:u w:val="single"/>
        </w:rPr>
      </w:pPr>
      <w:r w:rsidRPr="00533A6C">
        <w:rPr>
          <w:bCs/>
          <w:sz w:val="22"/>
          <w:szCs w:val="22"/>
          <w:u w:val="single"/>
        </w:rPr>
        <w:t>Impact</w:t>
      </w:r>
    </w:p>
    <w:p w14:paraId="493BEBEA" w14:textId="7D9ED16A" w:rsidR="00BC4883" w:rsidRDefault="00892F71" w:rsidP="00842C54">
      <w:pPr>
        <w:pStyle w:val="ListParagraph"/>
        <w:spacing w:before="120" w:after="120" w:line="276" w:lineRule="auto"/>
        <w:ind w:left="0"/>
        <w:contextualSpacing w:val="0"/>
        <w:jc w:val="both"/>
        <w:rPr>
          <w:sz w:val="22"/>
          <w:szCs w:val="22"/>
        </w:rPr>
      </w:pPr>
      <w:r>
        <w:rPr>
          <w:rFonts w:cs="Calibri"/>
          <w:sz w:val="22"/>
          <w:szCs w:val="22"/>
        </w:rPr>
        <w:t>The changes resulting from this standard relate to disclosures and are</w:t>
      </w:r>
      <w:r w:rsidR="00963B3A" w:rsidRPr="00963B3A">
        <w:rPr>
          <w:rFonts w:cs="Calibri"/>
          <w:sz w:val="22"/>
          <w:szCs w:val="22"/>
        </w:rPr>
        <w:t xml:space="preserve"> not expected to have a material financial impact </w:t>
      </w:r>
      <w:r w:rsidR="00E62181">
        <w:rPr>
          <w:rFonts w:cs="Calibri"/>
          <w:sz w:val="22"/>
          <w:szCs w:val="22"/>
        </w:rPr>
        <w:t>for</w:t>
      </w:r>
      <w:r w:rsidR="00963B3A" w:rsidRPr="00963B3A">
        <w:rPr>
          <w:rFonts w:cs="Calibri"/>
          <w:sz w:val="22"/>
          <w:szCs w:val="22"/>
        </w:rPr>
        <w:t xml:space="preserve"> most directorates and territory authorities.</w:t>
      </w:r>
      <w:r w:rsidR="00EA74FA">
        <w:rPr>
          <w:rFonts w:cs="Calibri"/>
          <w:sz w:val="22"/>
          <w:szCs w:val="22"/>
        </w:rPr>
        <w:t xml:space="preserve"> </w:t>
      </w:r>
      <w:r w:rsidR="00EA74FA" w:rsidRPr="00054BAA">
        <w:rPr>
          <w:rFonts w:cs="Calibri"/>
          <w:sz w:val="22"/>
          <w:szCs w:val="22"/>
        </w:rPr>
        <w:t xml:space="preserve">However, </w:t>
      </w:r>
      <w:r w:rsidR="00BC4883" w:rsidRPr="00054BAA">
        <w:rPr>
          <w:rFonts w:cs="Calibri"/>
          <w:sz w:val="22"/>
          <w:szCs w:val="22"/>
        </w:rPr>
        <w:t xml:space="preserve">given </w:t>
      </w:r>
      <w:r w:rsidR="00EA74FA" w:rsidRPr="00054BAA">
        <w:rPr>
          <w:rFonts w:cs="Calibri"/>
          <w:sz w:val="22"/>
          <w:szCs w:val="22"/>
        </w:rPr>
        <w:t xml:space="preserve">the standard </w:t>
      </w:r>
      <w:r w:rsidR="00BC4883" w:rsidRPr="00054BAA">
        <w:rPr>
          <w:rFonts w:cs="Calibri"/>
          <w:sz w:val="22"/>
          <w:szCs w:val="22"/>
        </w:rPr>
        <w:t xml:space="preserve">contains some </w:t>
      </w:r>
      <w:r w:rsidR="004F6201" w:rsidRPr="00054BAA">
        <w:rPr>
          <w:rFonts w:cs="Calibri"/>
          <w:sz w:val="22"/>
          <w:szCs w:val="22"/>
        </w:rPr>
        <w:t>major</w:t>
      </w:r>
      <w:r w:rsidR="00BC4883" w:rsidRPr="00054BAA">
        <w:rPr>
          <w:rFonts w:cs="Calibri"/>
          <w:sz w:val="22"/>
          <w:szCs w:val="22"/>
        </w:rPr>
        <w:t xml:space="preserve"> </w:t>
      </w:r>
      <w:r w:rsidR="005D24FA">
        <w:rPr>
          <w:rFonts w:cs="Calibri"/>
          <w:sz w:val="22"/>
          <w:szCs w:val="22"/>
        </w:rPr>
        <w:t>presentation/</w:t>
      </w:r>
      <w:r w:rsidR="00BC4883" w:rsidRPr="00054BAA">
        <w:rPr>
          <w:rFonts w:cs="Calibri"/>
          <w:sz w:val="22"/>
          <w:szCs w:val="22"/>
        </w:rPr>
        <w:t xml:space="preserve">disclosure changes, </w:t>
      </w:r>
      <w:r w:rsidR="00BC4883" w:rsidRPr="00054BAA">
        <w:rPr>
          <w:sz w:val="22"/>
          <w:szCs w:val="22"/>
        </w:rPr>
        <w:t>it is considered appropriate that agencies outline these changes in their Note 3 disclosure.</w:t>
      </w:r>
    </w:p>
    <w:p w14:paraId="457A6713" w14:textId="1BA2629B" w:rsidR="00C24BFC" w:rsidRDefault="001F3413" w:rsidP="00BC4883">
      <w:pPr>
        <w:pStyle w:val="ListParagraph"/>
        <w:spacing w:before="120" w:after="120" w:line="276" w:lineRule="auto"/>
        <w:ind w:left="0"/>
        <w:jc w:val="both"/>
        <w:rPr>
          <w:sz w:val="22"/>
          <w:szCs w:val="22"/>
        </w:rPr>
      </w:pPr>
      <w:r>
        <w:rPr>
          <w:rFonts w:cs="Calibri"/>
          <w:sz w:val="22"/>
          <w:szCs w:val="22"/>
        </w:rPr>
        <w:t>D</w:t>
      </w:r>
      <w:r w:rsidRPr="00963B3A">
        <w:rPr>
          <w:rFonts w:cs="Calibri"/>
          <w:sz w:val="22"/>
          <w:szCs w:val="22"/>
        </w:rPr>
        <w:t>irectorates and territory authorities</w:t>
      </w:r>
      <w:r w:rsidR="00810F2E">
        <w:rPr>
          <w:sz w:val="22"/>
          <w:szCs w:val="22"/>
        </w:rPr>
        <w:t xml:space="preserve"> should note that the Australian Accounting Standards Board has </w:t>
      </w:r>
      <w:r w:rsidR="007544E6">
        <w:rPr>
          <w:sz w:val="22"/>
          <w:szCs w:val="22"/>
        </w:rPr>
        <w:t>issued</w:t>
      </w:r>
      <w:r w:rsidR="00810F2E" w:rsidRPr="00810F2E">
        <w:rPr>
          <w:sz w:val="22"/>
          <w:szCs w:val="22"/>
        </w:rPr>
        <w:t xml:space="preserve"> </w:t>
      </w:r>
      <w:r w:rsidR="007544E6">
        <w:rPr>
          <w:sz w:val="22"/>
          <w:szCs w:val="22"/>
        </w:rPr>
        <w:t>Exposure Draft (ED) 338</w:t>
      </w:r>
      <w:r w:rsidR="00810F2E">
        <w:rPr>
          <w:sz w:val="22"/>
          <w:szCs w:val="22"/>
        </w:rPr>
        <w:t xml:space="preserve"> </w:t>
      </w:r>
      <w:r w:rsidR="007544E6" w:rsidRPr="007544E6">
        <w:rPr>
          <w:i/>
          <w:iCs/>
          <w:sz w:val="22"/>
          <w:szCs w:val="22"/>
        </w:rPr>
        <w:t>Application of AASB 18 and AASB 107 by Superannuation and Not-for-Profit Entities and Operating Cash Flow Reconciliation</w:t>
      </w:r>
      <w:r w:rsidR="00810F2E">
        <w:rPr>
          <w:sz w:val="22"/>
          <w:szCs w:val="22"/>
        </w:rPr>
        <w:t xml:space="preserve"> </w:t>
      </w:r>
      <w:r w:rsidR="00C24BFC">
        <w:rPr>
          <w:sz w:val="22"/>
          <w:szCs w:val="22"/>
        </w:rPr>
        <w:t xml:space="preserve">which </w:t>
      </w:r>
      <w:r w:rsidR="005F1E88">
        <w:rPr>
          <w:sz w:val="22"/>
          <w:szCs w:val="22"/>
        </w:rPr>
        <w:t>provides r</w:t>
      </w:r>
      <w:r w:rsidR="005F1E88" w:rsidRPr="005F1E88">
        <w:rPr>
          <w:sz w:val="22"/>
          <w:szCs w:val="22"/>
        </w:rPr>
        <w:t xml:space="preserve">elief from many of </w:t>
      </w:r>
      <w:r w:rsidR="005F1E88">
        <w:rPr>
          <w:sz w:val="22"/>
          <w:szCs w:val="22"/>
        </w:rPr>
        <w:t>AASB 18</w:t>
      </w:r>
      <w:r w:rsidR="005F1E88" w:rsidRPr="005F1E88">
        <w:rPr>
          <w:sz w:val="22"/>
          <w:szCs w:val="22"/>
        </w:rPr>
        <w:t xml:space="preserve"> most significant new presentation requirements</w:t>
      </w:r>
      <w:r w:rsidR="005F1E88">
        <w:rPr>
          <w:sz w:val="22"/>
          <w:szCs w:val="22"/>
        </w:rPr>
        <w:t xml:space="preserve">.  The </w:t>
      </w:r>
      <w:r w:rsidR="007544E6">
        <w:rPr>
          <w:sz w:val="22"/>
          <w:szCs w:val="22"/>
        </w:rPr>
        <w:t>propose</w:t>
      </w:r>
      <w:r w:rsidR="005F1E88">
        <w:rPr>
          <w:sz w:val="22"/>
          <w:szCs w:val="22"/>
        </w:rPr>
        <w:t>d</w:t>
      </w:r>
      <w:r w:rsidR="007544E6">
        <w:rPr>
          <w:sz w:val="22"/>
          <w:szCs w:val="22"/>
        </w:rPr>
        <w:t xml:space="preserve"> </w:t>
      </w:r>
      <w:r w:rsidR="005F1E88">
        <w:rPr>
          <w:sz w:val="22"/>
          <w:szCs w:val="22"/>
        </w:rPr>
        <w:t>m</w:t>
      </w:r>
      <w:r w:rsidR="007544E6">
        <w:rPr>
          <w:sz w:val="22"/>
          <w:szCs w:val="22"/>
        </w:rPr>
        <w:t>odifications to AASB 18</w:t>
      </w:r>
      <w:r w:rsidR="00C24BFC">
        <w:rPr>
          <w:sz w:val="22"/>
          <w:szCs w:val="22"/>
        </w:rPr>
        <w:t xml:space="preserve"> for Not-for-Profit </w:t>
      </w:r>
      <w:r>
        <w:rPr>
          <w:sz w:val="22"/>
          <w:szCs w:val="22"/>
        </w:rPr>
        <w:t xml:space="preserve">agencies </w:t>
      </w:r>
      <w:r w:rsidR="00C24BFC">
        <w:rPr>
          <w:sz w:val="22"/>
          <w:szCs w:val="22"/>
        </w:rPr>
        <w:t>allow them:</w:t>
      </w:r>
    </w:p>
    <w:p w14:paraId="06A8A822" w14:textId="0CBA50DA" w:rsidR="00C24BFC" w:rsidRDefault="00923E10" w:rsidP="00C24BFC">
      <w:pPr>
        <w:pStyle w:val="ListParagraph"/>
        <w:numPr>
          <w:ilvl w:val="0"/>
          <w:numId w:val="42"/>
        </w:numPr>
        <w:spacing w:before="120" w:after="120" w:line="276" w:lineRule="auto"/>
        <w:jc w:val="both"/>
        <w:rPr>
          <w:sz w:val="22"/>
          <w:szCs w:val="22"/>
        </w:rPr>
      </w:pPr>
      <w:r>
        <w:rPr>
          <w:sz w:val="22"/>
          <w:szCs w:val="22"/>
        </w:rPr>
        <w:t xml:space="preserve">not to </w:t>
      </w:r>
      <w:r w:rsidR="005F1E88">
        <w:rPr>
          <w:sz w:val="22"/>
          <w:szCs w:val="22"/>
        </w:rPr>
        <w:t xml:space="preserve">have to </w:t>
      </w:r>
      <w:r w:rsidR="00C24BFC" w:rsidRPr="00C24BFC">
        <w:rPr>
          <w:sz w:val="22"/>
          <w:szCs w:val="22"/>
        </w:rPr>
        <w:t>categorise income and expenses into operating, investing and financing categories and to present subtotals for ‘operating profit or loss’ and ‘profit or loss before financing and income taxes’</w:t>
      </w:r>
      <w:r w:rsidR="001F3413">
        <w:rPr>
          <w:sz w:val="22"/>
          <w:szCs w:val="22"/>
        </w:rPr>
        <w:t>;</w:t>
      </w:r>
    </w:p>
    <w:p w14:paraId="66B204C2" w14:textId="63B324E1" w:rsidR="00C24BFC" w:rsidRPr="00736250" w:rsidRDefault="00923E10" w:rsidP="00736250">
      <w:pPr>
        <w:pStyle w:val="ListParagraph"/>
        <w:numPr>
          <w:ilvl w:val="0"/>
          <w:numId w:val="42"/>
        </w:numPr>
        <w:spacing w:before="120" w:after="120" w:line="276" w:lineRule="auto"/>
        <w:jc w:val="both"/>
        <w:rPr>
          <w:sz w:val="22"/>
          <w:szCs w:val="22"/>
        </w:rPr>
      </w:pPr>
      <w:r w:rsidRPr="00736250">
        <w:rPr>
          <w:sz w:val="22"/>
          <w:szCs w:val="22"/>
        </w:rPr>
        <w:t>not to</w:t>
      </w:r>
      <w:r w:rsidR="005F1E88" w:rsidRPr="00736250">
        <w:rPr>
          <w:sz w:val="22"/>
          <w:szCs w:val="22"/>
        </w:rPr>
        <w:t xml:space="preserve"> have to </w:t>
      </w:r>
      <w:r w:rsidR="00C24BFC" w:rsidRPr="00736250">
        <w:rPr>
          <w:sz w:val="22"/>
          <w:szCs w:val="22"/>
        </w:rPr>
        <w:t xml:space="preserve">classify and present </w:t>
      </w:r>
      <w:r w:rsidR="00736250" w:rsidRPr="00736250">
        <w:rPr>
          <w:sz w:val="22"/>
          <w:szCs w:val="22"/>
        </w:rPr>
        <w:t>operating-category expenses in line items in a way that provides the most useful structured summary of its expenses</w:t>
      </w:r>
      <w:r w:rsidR="00736250">
        <w:rPr>
          <w:sz w:val="22"/>
          <w:szCs w:val="22"/>
        </w:rPr>
        <w:t>. I</w:t>
      </w:r>
      <w:r w:rsidR="00736250" w:rsidRPr="00736250">
        <w:rPr>
          <w:sz w:val="22"/>
          <w:szCs w:val="22"/>
        </w:rPr>
        <w:t>nstead</w:t>
      </w:r>
      <w:r w:rsidR="00736250">
        <w:rPr>
          <w:sz w:val="22"/>
          <w:szCs w:val="22"/>
        </w:rPr>
        <w:t>,</w:t>
      </w:r>
      <w:r w:rsidR="00736250" w:rsidRPr="00736250">
        <w:rPr>
          <w:sz w:val="22"/>
          <w:szCs w:val="22"/>
        </w:rPr>
        <w:t xml:space="preserve"> </w:t>
      </w:r>
      <w:r w:rsidR="00736250">
        <w:rPr>
          <w:sz w:val="22"/>
          <w:szCs w:val="22"/>
        </w:rPr>
        <w:t xml:space="preserve">agencies can continue to </w:t>
      </w:r>
      <w:r w:rsidR="00736250" w:rsidRPr="00736250">
        <w:rPr>
          <w:sz w:val="22"/>
          <w:szCs w:val="22"/>
        </w:rPr>
        <w:t xml:space="preserve">present an analysis of expenses using a classification based on either their nature or their function within the </w:t>
      </w:r>
      <w:r w:rsidR="00736250">
        <w:rPr>
          <w:sz w:val="22"/>
          <w:szCs w:val="22"/>
        </w:rPr>
        <w:t>agency</w:t>
      </w:r>
      <w:r w:rsidR="006F60BE" w:rsidRPr="00736250">
        <w:rPr>
          <w:sz w:val="22"/>
          <w:szCs w:val="22"/>
        </w:rPr>
        <w:t>;</w:t>
      </w:r>
    </w:p>
    <w:p w14:paraId="0DCA5004" w14:textId="34CF9202" w:rsidR="00C24BFC" w:rsidRDefault="005F1E88" w:rsidP="00C24BFC">
      <w:pPr>
        <w:pStyle w:val="ListParagraph"/>
        <w:numPr>
          <w:ilvl w:val="0"/>
          <w:numId w:val="42"/>
        </w:numPr>
        <w:spacing w:before="120" w:after="120" w:line="276" w:lineRule="auto"/>
        <w:jc w:val="both"/>
        <w:rPr>
          <w:sz w:val="22"/>
          <w:szCs w:val="22"/>
        </w:rPr>
      </w:pPr>
      <w:r>
        <w:rPr>
          <w:sz w:val="22"/>
          <w:szCs w:val="22"/>
        </w:rPr>
        <w:t>n</w:t>
      </w:r>
      <w:r w:rsidR="00923E10">
        <w:rPr>
          <w:sz w:val="22"/>
          <w:szCs w:val="22"/>
        </w:rPr>
        <w:t xml:space="preserve">ot to </w:t>
      </w:r>
      <w:r>
        <w:rPr>
          <w:sz w:val="22"/>
          <w:szCs w:val="22"/>
        </w:rPr>
        <w:t xml:space="preserve">have to </w:t>
      </w:r>
      <w:r w:rsidR="00C24BFC" w:rsidRPr="00C24BFC">
        <w:rPr>
          <w:sz w:val="22"/>
          <w:szCs w:val="22"/>
        </w:rPr>
        <w:t>disclose information about all measures that meet the definition of ‘management-defined performance measures’ (MPMs)</w:t>
      </w:r>
      <w:r w:rsidR="006F60BE">
        <w:rPr>
          <w:sz w:val="22"/>
          <w:szCs w:val="22"/>
        </w:rPr>
        <w:t>;</w:t>
      </w:r>
    </w:p>
    <w:p w14:paraId="3EAE3130" w14:textId="3C70935F" w:rsidR="00923E10" w:rsidRDefault="005F1E88" w:rsidP="00C24BFC">
      <w:pPr>
        <w:pStyle w:val="ListParagraph"/>
        <w:numPr>
          <w:ilvl w:val="0"/>
          <w:numId w:val="42"/>
        </w:numPr>
        <w:spacing w:before="120" w:after="120" w:line="276" w:lineRule="auto"/>
        <w:jc w:val="both"/>
        <w:rPr>
          <w:sz w:val="22"/>
          <w:szCs w:val="22"/>
        </w:rPr>
      </w:pPr>
      <w:r>
        <w:rPr>
          <w:sz w:val="22"/>
          <w:szCs w:val="22"/>
        </w:rPr>
        <w:t>r</w:t>
      </w:r>
      <w:r w:rsidR="00923E10" w:rsidRPr="00923E10">
        <w:rPr>
          <w:sz w:val="22"/>
          <w:szCs w:val="22"/>
        </w:rPr>
        <w:t>etain the current accounting policy choice to permit N</w:t>
      </w:r>
      <w:r w:rsidR="006F60BE">
        <w:rPr>
          <w:sz w:val="22"/>
          <w:szCs w:val="22"/>
        </w:rPr>
        <w:t>ot-for-Profit</w:t>
      </w:r>
      <w:r w:rsidR="00923E10" w:rsidRPr="00923E10">
        <w:rPr>
          <w:sz w:val="22"/>
          <w:szCs w:val="22"/>
        </w:rPr>
        <w:t xml:space="preserve"> public sector entities to elect to classify dividends received and interest paid and received as operating cash flows</w:t>
      </w:r>
      <w:r w:rsidR="006F60BE">
        <w:rPr>
          <w:sz w:val="22"/>
          <w:szCs w:val="22"/>
        </w:rPr>
        <w:t>; and</w:t>
      </w:r>
    </w:p>
    <w:p w14:paraId="799BD722" w14:textId="671517ED" w:rsidR="00A3749C" w:rsidRDefault="00A3749C" w:rsidP="00C24BFC">
      <w:pPr>
        <w:pStyle w:val="ListParagraph"/>
        <w:numPr>
          <w:ilvl w:val="0"/>
          <w:numId w:val="42"/>
        </w:numPr>
        <w:spacing w:before="120" w:after="120" w:line="276" w:lineRule="auto"/>
        <w:jc w:val="both"/>
        <w:rPr>
          <w:sz w:val="22"/>
          <w:szCs w:val="22"/>
        </w:rPr>
      </w:pPr>
      <w:r w:rsidRPr="00A3749C">
        <w:rPr>
          <w:sz w:val="22"/>
          <w:szCs w:val="22"/>
        </w:rPr>
        <w:t>to continue using the ‘profit or loss’ total as the starting point</w:t>
      </w:r>
      <w:r w:rsidR="00F72214">
        <w:rPr>
          <w:sz w:val="22"/>
          <w:szCs w:val="22"/>
        </w:rPr>
        <w:t xml:space="preserve"> in the Cashflow Reconciliation</w:t>
      </w:r>
      <w:r w:rsidRPr="00A3749C">
        <w:rPr>
          <w:sz w:val="22"/>
          <w:szCs w:val="22"/>
        </w:rPr>
        <w:t xml:space="preserve"> </w:t>
      </w:r>
      <w:r w:rsidR="00F72214">
        <w:rPr>
          <w:sz w:val="22"/>
          <w:szCs w:val="22"/>
        </w:rPr>
        <w:t xml:space="preserve">where the </w:t>
      </w:r>
      <w:r w:rsidRPr="00A3749C">
        <w:rPr>
          <w:sz w:val="22"/>
          <w:szCs w:val="22"/>
        </w:rPr>
        <w:t>indirect method</w:t>
      </w:r>
      <w:r w:rsidR="00F72214">
        <w:rPr>
          <w:sz w:val="22"/>
          <w:szCs w:val="22"/>
        </w:rPr>
        <w:t xml:space="preserve"> is used and</w:t>
      </w:r>
      <w:r w:rsidRPr="00A3749C">
        <w:rPr>
          <w:sz w:val="22"/>
          <w:szCs w:val="22"/>
        </w:rPr>
        <w:t xml:space="preserve"> </w:t>
      </w:r>
      <w:r>
        <w:rPr>
          <w:sz w:val="22"/>
          <w:szCs w:val="22"/>
        </w:rPr>
        <w:t xml:space="preserve">where </w:t>
      </w:r>
      <w:r w:rsidR="00F72214">
        <w:rPr>
          <w:sz w:val="22"/>
          <w:szCs w:val="22"/>
        </w:rPr>
        <w:t>an agency</w:t>
      </w:r>
      <w:r>
        <w:rPr>
          <w:sz w:val="22"/>
          <w:szCs w:val="22"/>
        </w:rPr>
        <w:t xml:space="preserve"> do</w:t>
      </w:r>
      <w:r w:rsidR="00F72214">
        <w:rPr>
          <w:sz w:val="22"/>
          <w:szCs w:val="22"/>
        </w:rPr>
        <w:t>es</w:t>
      </w:r>
      <w:r>
        <w:rPr>
          <w:sz w:val="22"/>
          <w:szCs w:val="22"/>
        </w:rPr>
        <w:t xml:space="preserve"> not present the </w:t>
      </w:r>
      <w:r w:rsidRPr="00A3749C">
        <w:rPr>
          <w:sz w:val="22"/>
          <w:szCs w:val="22"/>
        </w:rPr>
        <w:t>‘operating profit or loss’ subtotal</w:t>
      </w:r>
      <w:r w:rsidR="00F72214">
        <w:rPr>
          <w:sz w:val="22"/>
          <w:szCs w:val="22"/>
        </w:rPr>
        <w:t xml:space="preserve"> in its operating statement</w:t>
      </w:r>
      <w:r w:rsidRPr="00A3749C">
        <w:rPr>
          <w:sz w:val="22"/>
          <w:szCs w:val="22"/>
        </w:rPr>
        <w:t>.</w:t>
      </w:r>
    </w:p>
    <w:p w14:paraId="50BB81DF" w14:textId="1ACFBFFB" w:rsidR="00147708" w:rsidRDefault="00C24BFC" w:rsidP="00BC4883">
      <w:pPr>
        <w:pStyle w:val="ListParagraph"/>
        <w:spacing w:before="120" w:after="120" w:line="276" w:lineRule="auto"/>
        <w:ind w:left="0"/>
        <w:jc w:val="both"/>
        <w:rPr>
          <w:sz w:val="22"/>
          <w:szCs w:val="22"/>
        </w:rPr>
      </w:pPr>
      <w:r>
        <w:rPr>
          <w:sz w:val="22"/>
          <w:szCs w:val="22"/>
        </w:rPr>
        <w:t xml:space="preserve">If the above mentioned </w:t>
      </w:r>
      <w:r w:rsidR="00923E10">
        <w:rPr>
          <w:sz w:val="22"/>
          <w:szCs w:val="22"/>
        </w:rPr>
        <w:t xml:space="preserve">modifications </w:t>
      </w:r>
      <w:r w:rsidR="00F65689">
        <w:rPr>
          <w:sz w:val="22"/>
          <w:szCs w:val="22"/>
        </w:rPr>
        <w:t xml:space="preserve">in ED 338 </w:t>
      </w:r>
      <w:r w:rsidR="00923E10">
        <w:rPr>
          <w:sz w:val="22"/>
          <w:szCs w:val="22"/>
        </w:rPr>
        <w:t>are adopted</w:t>
      </w:r>
      <w:r w:rsidR="00F65689">
        <w:rPr>
          <w:sz w:val="22"/>
          <w:szCs w:val="22"/>
        </w:rPr>
        <w:t>,</w:t>
      </w:r>
      <w:r w:rsidR="00923E10">
        <w:rPr>
          <w:sz w:val="22"/>
          <w:szCs w:val="22"/>
        </w:rPr>
        <w:t xml:space="preserve"> </w:t>
      </w:r>
      <w:r w:rsidR="00842C54">
        <w:rPr>
          <w:sz w:val="22"/>
          <w:szCs w:val="22"/>
        </w:rPr>
        <w:t xml:space="preserve">there will </w:t>
      </w:r>
      <w:r w:rsidR="00F65689">
        <w:rPr>
          <w:sz w:val="22"/>
          <w:szCs w:val="22"/>
        </w:rPr>
        <w:t xml:space="preserve">not </w:t>
      </w:r>
      <w:r w:rsidR="00842C54">
        <w:rPr>
          <w:sz w:val="22"/>
          <w:szCs w:val="22"/>
        </w:rPr>
        <w:t xml:space="preserve">be </w:t>
      </w:r>
      <w:r w:rsidR="00F65689">
        <w:rPr>
          <w:sz w:val="22"/>
          <w:szCs w:val="22"/>
        </w:rPr>
        <w:t>a significant</w:t>
      </w:r>
      <w:r w:rsidR="00842C54">
        <w:rPr>
          <w:sz w:val="22"/>
          <w:szCs w:val="22"/>
        </w:rPr>
        <w:t xml:space="preserve"> change to the current disclosure requirements</w:t>
      </w:r>
      <w:r w:rsidR="00B23068">
        <w:rPr>
          <w:sz w:val="22"/>
          <w:szCs w:val="22"/>
        </w:rPr>
        <w:t xml:space="preserve"> for most </w:t>
      </w:r>
      <w:r w:rsidR="00F65689">
        <w:rPr>
          <w:sz w:val="22"/>
          <w:szCs w:val="22"/>
        </w:rPr>
        <w:t>directorates and territory authorities</w:t>
      </w:r>
      <w:r w:rsidR="00842C54">
        <w:rPr>
          <w:sz w:val="22"/>
          <w:szCs w:val="22"/>
        </w:rPr>
        <w:t>.</w:t>
      </w:r>
      <w:r w:rsidR="002217A8">
        <w:rPr>
          <w:sz w:val="22"/>
          <w:szCs w:val="22"/>
        </w:rPr>
        <w:t xml:space="preserve"> </w:t>
      </w:r>
    </w:p>
    <w:p w14:paraId="59989E9C" w14:textId="422A7033" w:rsidR="00147708" w:rsidRPr="009C7CBA" w:rsidRDefault="00147708" w:rsidP="00147708">
      <w:pPr>
        <w:pStyle w:val="Heading3"/>
        <w:numPr>
          <w:ilvl w:val="2"/>
          <w:numId w:val="35"/>
        </w:numPr>
        <w:spacing w:before="480" w:after="120" w:line="240" w:lineRule="auto"/>
        <w:ind w:left="1134"/>
        <w:jc w:val="both"/>
        <w:rPr>
          <w:b w:val="0"/>
          <w:bCs/>
          <w:i/>
          <w:iCs/>
        </w:rPr>
      </w:pPr>
      <w:bookmarkStart w:id="41" w:name="_Toc233635553"/>
      <w:r>
        <w:rPr>
          <w:iCs/>
        </w:rPr>
        <w:lastRenderedPageBreak/>
        <w:t xml:space="preserve">AASB 2024-2 </w:t>
      </w:r>
      <w:r w:rsidRPr="00C35769">
        <w:rPr>
          <w:iCs/>
        </w:rPr>
        <w:t>Amendments to Australian Accounting Standards – Classification and Measurement of Financial Instruments</w:t>
      </w:r>
      <w:r w:rsidR="0000579D">
        <w:rPr>
          <w:iCs/>
        </w:rPr>
        <w:t xml:space="preserve"> </w:t>
      </w:r>
      <w:r w:rsidR="0000579D" w:rsidRPr="001C6AE4">
        <w:t>(appl. 1 January</w:t>
      </w:r>
      <w:r w:rsidR="0000579D" w:rsidRPr="009C7CBA">
        <w:rPr>
          <w:iCs/>
        </w:rPr>
        <w:t xml:space="preserve"> 202</w:t>
      </w:r>
      <w:r w:rsidR="0000579D">
        <w:rPr>
          <w:iCs/>
        </w:rPr>
        <w:t>6)</w:t>
      </w:r>
      <w:bookmarkEnd w:id="41"/>
    </w:p>
    <w:p w14:paraId="4F09A9A7" w14:textId="77777777" w:rsidR="00147708" w:rsidRPr="00533A6C" w:rsidRDefault="00147708" w:rsidP="00147708">
      <w:pPr>
        <w:spacing w:before="120" w:after="120" w:line="276" w:lineRule="auto"/>
        <w:jc w:val="both"/>
        <w:rPr>
          <w:rFonts w:cs="Calibri"/>
          <w:bCs/>
          <w:sz w:val="22"/>
          <w:szCs w:val="22"/>
          <w:u w:val="single"/>
        </w:rPr>
      </w:pPr>
      <w:r w:rsidRPr="00533A6C">
        <w:rPr>
          <w:bCs/>
          <w:sz w:val="22"/>
          <w:szCs w:val="22"/>
          <w:u w:val="single"/>
        </w:rPr>
        <w:t>Background</w:t>
      </w:r>
    </w:p>
    <w:p w14:paraId="40BE437C" w14:textId="77777777" w:rsidR="00147708" w:rsidRDefault="00147708" w:rsidP="00147708">
      <w:pPr>
        <w:spacing w:before="120" w:after="120" w:line="276" w:lineRule="auto"/>
        <w:jc w:val="both"/>
        <w:rPr>
          <w:sz w:val="22"/>
          <w:szCs w:val="22"/>
        </w:rPr>
      </w:pPr>
      <w:r w:rsidRPr="00C35769">
        <w:rPr>
          <w:sz w:val="22"/>
          <w:szCs w:val="22"/>
        </w:rPr>
        <w:t xml:space="preserve">This Standard amends AASB 7 and AASB 9 in response to feedback from the 2022 Post-implementation Review of the classification and measurement requirements in AASB 9 and related requirements in AASB 7 and the subsequent 2023 Exposure Draft. This Standard amends requirements related to: </w:t>
      </w:r>
    </w:p>
    <w:p w14:paraId="5E2FC164" w14:textId="77777777" w:rsidR="00147708" w:rsidRDefault="00147708" w:rsidP="00147708">
      <w:pPr>
        <w:spacing w:before="120" w:after="120" w:line="276" w:lineRule="auto"/>
        <w:ind w:left="567"/>
        <w:jc w:val="both"/>
        <w:rPr>
          <w:sz w:val="22"/>
          <w:szCs w:val="22"/>
        </w:rPr>
      </w:pPr>
      <w:r w:rsidRPr="00C35769">
        <w:rPr>
          <w:sz w:val="22"/>
          <w:szCs w:val="22"/>
        </w:rPr>
        <w:t xml:space="preserve">(a) settling financial liabilities using an electronic payment system; and </w:t>
      </w:r>
    </w:p>
    <w:p w14:paraId="691AEEE5" w14:textId="77777777" w:rsidR="00147708" w:rsidRDefault="00147708" w:rsidP="00147708">
      <w:pPr>
        <w:spacing w:before="120" w:after="120" w:line="276" w:lineRule="auto"/>
        <w:ind w:left="567"/>
        <w:jc w:val="both"/>
        <w:rPr>
          <w:sz w:val="22"/>
          <w:szCs w:val="22"/>
        </w:rPr>
      </w:pPr>
      <w:r w:rsidRPr="00C35769">
        <w:rPr>
          <w:sz w:val="22"/>
          <w:szCs w:val="22"/>
        </w:rPr>
        <w:t xml:space="preserve">(b) assessing contractual cash flow characteristics of financial assets with environmental, social and corporate governance (ESG) and similar features. </w:t>
      </w:r>
    </w:p>
    <w:p w14:paraId="494BB1AA" w14:textId="77777777" w:rsidR="00147708" w:rsidRPr="00CA4CA6" w:rsidRDefault="00147708" w:rsidP="00147708">
      <w:pPr>
        <w:spacing w:before="120" w:after="120" w:line="276" w:lineRule="auto"/>
        <w:jc w:val="both"/>
        <w:rPr>
          <w:rFonts w:cs="Calibri"/>
          <w:sz w:val="22"/>
          <w:szCs w:val="22"/>
        </w:rPr>
      </w:pPr>
      <w:r w:rsidRPr="00C35769">
        <w:rPr>
          <w:sz w:val="22"/>
          <w:szCs w:val="22"/>
        </w:rPr>
        <w:t>This Standard also amends disclosure requirements relating to investments in equity instruments designated at fair value through other comprehensive income and adds disclosure requirements for financial instruments with contingent features that do not relate directly to basic lending risks and costs.</w:t>
      </w:r>
    </w:p>
    <w:p w14:paraId="77EBA4DD" w14:textId="77777777" w:rsidR="00147708" w:rsidRPr="00533A6C" w:rsidRDefault="00147708" w:rsidP="00147708">
      <w:pPr>
        <w:spacing w:before="120" w:after="120" w:line="276" w:lineRule="auto"/>
        <w:jc w:val="both"/>
        <w:rPr>
          <w:bCs/>
          <w:sz w:val="22"/>
          <w:szCs w:val="22"/>
          <w:u w:val="single"/>
        </w:rPr>
      </w:pPr>
      <w:r w:rsidRPr="00533A6C">
        <w:rPr>
          <w:bCs/>
          <w:sz w:val="22"/>
          <w:szCs w:val="22"/>
          <w:u w:val="single"/>
        </w:rPr>
        <w:t>Impact</w:t>
      </w:r>
    </w:p>
    <w:p w14:paraId="2620B7E2" w14:textId="77777777" w:rsidR="00147708" w:rsidRPr="004A3C16" w:rsidRDefault="00147708" w:rsidP="00147708">
      <w:pPr>
        <w:pStyle w:val="NormalSF"/>
        <w:spacing w:line="276" w:lineRule="auto"/>
        <w:jc w:val="both"/>
        <w:rPr>
          <w:rFonts w:cs="Calibri"/>
          <w:szCs w:val="22"/>
        </w:rPr>
      </w:pPr>
      <w:r w:rsidRPr="004A3C16">
        <w:rPr>
          <w:rFonts w:cs="Calibri"/>
          <w:szCs w:val="22"/>
        </w:rPr>
        <w:t xml:space="preserve">The changes resulting from this standard are not expected to have a material financial impact for most directorates and territory authorities.  </w:t>
      </w:r>
    </w:p>
    <w:p w14:paraId="503B2DD8" w14:textId="3A9410EC" w:rsidR="00147708" w:rsidRPr="004A3C16" w:rsidRDefault="00147708" w:rsidP="00147708">
      <w:pPr>
        <w:pStyle w:val="NormalSF"/>
        <w:spacing w:line="276" w:lineRule="auto"/>
        <w:jc w:val="both"/>
        <w:rPr>
          <w:rFonts w:asciiTheme="minorHAnsi" w:eastAsiaTheme="minorHAnsi" w:hAnsiTheme="minorHAnsi"/>
          <w:szCs w:val="22"/>
          <w:lang w:val="en-AU"/>
        </w:rPr>
      </w:pPr>
      <w:r w:rsidRPr="004A3C16">
        <w:rPr>
          <w:rFonts w:cs="Calibri"/>
          <w:szCs w:val="22"/>
        </w:rPr>
        <w:t xml:space="preserve">This is because, even though the standard requires that financial liabilities settled </w:t>
      </w:r>
      <w:r w:rsidRPr="004A3C16">
        <w:rPr>
          <w:szCs w:val="22"/>
        </w:rPr>
        <w:t>using an electronic payment system</w:t>
      </w:r>
      <w:r w:rsidRPr="004A3C16">
        <w:rPr>
          <w:rFonts w:cs="Calibri"/>
          <w:szCs w:val="22"/>
        </w:rPr>
        <w:t xml:space="preserve"> be derecognised on settlement date, it does provide an exemption allowing financial liabilities t</w:t>
      </w:r>
      <w:r w:rsidRPr="004A3C16">
        <w:rPr>
          <w:rFonts w:asciiTheme="minorHAnsi" w:eastAsiaTheme="minorHAnsi" w:hAnsiTheme="minorHAnsi"/>
          <w:szCs w:val="22"/>
          <w:lang w:val="en-AU"/>
        </w:rPr>
        <w:t>o be derecognise</w:t>
      </w:r>
      <w:r w:rsidR="00172A75">
        <w:rPr>
          <w:rFonts w:asciiTheme="minorHAnsi" w:eastAsiaTheme="minorHAnsi" w:hAnsiTheme="minorHAnsi"/>
          <w:szCs w:val="22"/>
          <w:lang w:val="en-AU"/>
        </w:rPr>
        <w:t>d</w:t>
      </w:r>
      <w:r w:rsidRPr="004A3C16">
        <w:rPr>
          <w:rFonts w:asciiTheme="minorHAnsi" w:eastAsiaTheme="minorHAnsi" w:hAnsiTheme="minorHAnsi"/>
          <w:szCs w:val="22"/>
          <w:lang w:val="en-AU"/>
        </w:rPr>
        <w:t xml:space="preserve"> before settlement date when the following criteria are met:</w:t>
      </w:r>
    </w:p>
    <w:p w14:paraId="095AA205" w14:textId="1BBB8AE2" w:rsidR="00147708" w:rsidRPr="004A3C16" w:rsidRDefault="00147708" w:rsidP="001732A0">
      <w:pPr>
        <w:pStyle w:val="ListParagraph"/>
        <w:numPr>
          <w:ilvl w:val="0"/>
          <w:numId w:val="15"/>
        </w:numPr>
        <w:spacing w:before="120" w:after="120" w:line="276" w:lineRule="auto"/>
        <w:ind w:left="714" w:hanging="357"/>
        <w:contextualSpacing w:val="0"/>
        <w:jc w:val="both"/>
        <w:rPr>
          <w:sz w:val="22"/>
          <w:szCs w:val="22"/>
        </w:rPr>
      </w:pPr>
      <w:r w:rsidRPr="004A3C16">
        <w:rPr>
          <w:sz w:val="22"/>
          <w:szCs w:val="22"/>
        </w:rPr>
        <w:t xml:space="preserve">the agency has no practical ability to withdraw, stop or cancel the payment instruction; </w:t>
      </w:r>
    </w:p>
    <w:p w14:paraId="75065887" w14:textId="77777777" w:rsidR="00147708" w:rsidRPr="004A3C16" w:rsidRDefault="00147708" w:rsidP="001732A0">
      <w:pPr>
        <w:pStyle w:val="ListParagraph"/>
        <w:numPr>
          <w:ilvl w:val="0"/>
          <w:numId w:val="15"/>
        </w:numPr>
        <w:spacing w:before="120" w:after="120" w:line="276" w:lineRule="auto"/>
        <w:ind w:left="714" w:hanging="357"/>
        <w:contextualSpacing w:val="0"/>
        <w:jc w:val="both"/>
        <w:rPr>
          <w:szCs w:val="22"/>
        </w:rPr>
      </w:pPr>
      <w:r w:rsidRPr="004A3C16">
        <w:rPr>
          <w:sz w:val="22"/>
          <w:szCs w:val="22"/>
        </w:rPr>
        <w:t>the agency has no practical ability to access the cash to be used for settlement as a result of the payment instruction; and</w:t>
      </w:r>
    </w:p>
    <w:p w14:paraId="0F7F3486" w14:textId="77777777" w:rsidR="00147708" w:rsidRPr="004A3C16" w:rsidRDefault="00147708" w:rsidP="001732A0">
      <w:pPr>
        <w:pStyle w:val="ListParagraph"/>
        <w:numPr>
          <w:ilvl w:val="0"/>
          <w:numId w:val="15"/>
        </w:numPr>
        <w:spacing w:before="120" w:after="120" w:line="276" w:lineRule="auto"/>
        <w:ind w:left="714" w:hanging="357"/>
        <w:contextualSpacing w:val="0"/>
        <w:jc w:val="both"/>
        <w:rPr>
          <w:szCs w:val="22"/>
        </w:rPr>
      </w:pPr>
      <w:r w:rsidRPr="004A3C16">
        <w:rPr>
          <w:sz w:val="22"/>
          <w:szCs w:val="22"/>
        </w:rPr>
        <w:t xml:space="preserve">the settlement risk associated with the electronic payment system is insignificant.   </w:t>
      </w:r>
    </w:p>
    <w:p w14:paraId="1E0EA75D" w14:textId="4CCE0755" w:rsidR="00147708" w:rsidRPr="004A3C16" w:rsidRDefault="00147708" w:rsidP="00147708">
      <w:pPr>
        <w:pStyle w:val="NormalSF"/>
        <w:spacing w:line="276" w:lineRule="auto"/>
        <w:jc w:val="both"/>
        <w:rPr>
          <w:rFonts w:asciiTheme="minorHAnsi" w:eastAsiaTheme="minorHAnsi" w:hAnsiTheme="minorHAnsi"/>
          <w:szCs w:val="22"/>
          <w:lang w:val="en-AU"/>
        </w:rPr>
      </w:pPr>
      <w:r w:rsidRPr="004A3C16">
        <w:rPr>
          <w:rFonts w:asciiTheme="minorHAnsi" w:eastAsiaTheme="minorHAnsi" w:hAnsiTheme="minorHAnsi"/>
          <w:szCs w:val="22"/>
          <w:lang w:val="en-AU"/>
        </w:rPr>
        <w:t xml:space="preserve">It is anticipated that ACT Government </w:t>
      </w:r>
      <w:r w:rsidR="00DF1F88">
        <w:rPr>
          <w:rFonts w:asciiTheme="minorHAnsi" w:eastAsiaTheme="minorHAnsi" w:hAnsiTheme="minorHAnsi"/>
          <w:szCs w:val="22"/>
          <w:lang w:val="en-AU"/>
        </w:rPr>
        <w:t>a</w:t>
      </w:r>
      <w:r w:rsidRPr="004A3C16">
        <w:rPr>
          <w:rFonts w:asciiTheme="minorHAnsi" w:eastAsiaTheme="minorHAnsi" w:hAnsiTheme="minorHAnsi"/>
          <w:szCs w:val="22"/>
          <w:lang w:val="en-AU"/>
        </w:rPr>
        <w:t>gencies will meet these criteria, and as such</w:t>
      </w:r>
      <w:r w:rsidR="0096188E">
        <w:rPr>
          <w:rFonts w:asciiTheme="minorHAnsi" w:eastAsiaTheme="minorHAnsi" w:hAnsiTheme="minorHAnsi"/>
          <w:szCs w:val="22"/>
          <w:lang w:val="en-AU"/>
        </w:rPr>
        <w:t xml:space="preserve"> they can continue to </w:t>
      </w:r>
      <w:r w:rsidR="0096188E" w:rsidRPr="004A3C16">
        <w:rPr>
          <w:rFonts w:asciiTheme="minorHAnsi" w:eastAsiaTheme="minorHAnsi" w:hAnsiTheme="minorHAnsi"/>
          <w:szCs w:val="22"/>
          <w:lang w:val="en-AU"/>
        </w:rPr>
        <w:t>derecognise</w:t>
      </w:r>
      <w:r w:rsidR="0096188E" w:rsidRPr="004A3C16">
        <w:rPr>
          <w:rFonts w:cs="Calibri"/>
          <w:szCs w:val="22"/>
        </w:rPr>
        <w:t xml:space="preserve"> financial liabilities </w:t>
      </w:r>
      <w:r w:rsidR="0096188E" w:rsidRPr="004A3C16">
        <w:rPr>
          <w:rFonts w:asciiTheme="minorHAnsi" w:eastAsiaTheme="minorHAnsi" w:hAnsiTheme="minorHAnsi"/>
          <w:szCs w:val="22"/>
          <w:lang w:val="en-AU"/>
        </w:rPr>
        <w:t>before settlement date</w:t>
      </w:r>
      <w:r w:rsidR="0096188E">
        <w:rPr>
          <w:rFonts w:asciiTheme="minorHAnsi" w:eastAsiaTheme="minorHAnsi" w:hAnsiTheme="minorHAnsi"/>
          <w:szCs w:val="22"/>
          <w:lang w:val="en-AU"/>
        </w:rPr>
        <w:t xml:space="preserve"> (</w:t>
      </w:r>
      <w:r w:rsidR="00DF1F88">
        <w:rPr>
          <w:rFonts w:asciiTheme="minorHAnsi" w:eastAsiaTheme="minorHAnsi" w:hAnsiTheme="minorHAnsi"/>
          <w:szCs w:val="22"/>
          <w:lang w:val="en-AU"/>
        </w:rPr>
        <w:t>e.g. for</w:t>
      </w:r>
      <w:r w:rsidR="00BE418D">
        <w:rPr>
          <w:rFonts w:asciiTheme="minorHAnsi" w:eastAsiaTheme="minorHAnsi" w:hAnsiTheme="minorHAnsi"/>
          <w:szCs w:val="22"/>
          <w:lang w:val="en-AU"/>
        </w:rPr>
        <w:t xml:space="preserve"> </w:t>
      </w:r>
      <w:r w:rsidRPr="004A3C16">
        <w:rPr>
          <w:rFonts w:asciiTheme="minorHAnsi" w:eastAsiaTheme="minorHAnsi" w:hAnsiTheme="minorHAnsi"/>
          <w:szCs w:val="22"/>
          <w:lang w:val="en-AU"/>
        </w:rPr>
        <w:t>items like accounts payable</w:t>
      </w:r>
      <w:r w:rsidR="0096188E">
        <w:rPr>
          <w:rFonts w:asciiTheme="minorHAnsi" w:eastAsiaTheme="minorHAnsi" w:hAnsiTheme="minorHAnsi"/>
          <w:szCs w:val="22"/>
          <w:lang w:val="en-AU"/>
        </w:rPr>
        <w:t xml:space="preserve"> </w:t>
      </w:r>
      <w:r w:rsidR="00DF1F88">
        <w:rPr>
          <w:rFonts w:asciiTheme="minorHAnsi" w:eastAsiaTheme="minorHAnsi" w:hAnsiTheme="minorHAnsi"/>
          <w:szCs w:val="22"/>
          <w:lang w:val="en-AU"/>
        </w:rPr>
        <w:t xml:space="preserve">that </w:t>
      </w:r>
      <w:r w:rsidR="0096188E">
        <w:rPr>
          <w:rFonts w:asciiTheme="minorHAnsi" w:eastAsiaTheme="minorHAnsi" w:hAnsiTheme="minorHAnsi"/>
          <w:szCs w:val="22"/>
          <w:lang w:val="en-AU"/>
        </w:rPr>
        <w:t>are currently derecognised before settlement date</w:t>
      </w:r>
      <w:r w:rsidRPr="004A3C16">
        <w:rPr>
          <w:rFonts w:asciiTheme="minorHAnsi" w:eastAsiaTheme="minorHAnsi" w:hAnsiTheme="minorHAnsi"/>
          <w:szCs w:val="22"/>
          <w:lang w:val="en-AU"/>
        </w:rPr>
        <w:t>).</w:t>
      </w:r>
    </w:p>
    <w:p w14:paraId="27741367" w14:textId="340FB4BA" w:rsidR="00810F2E" w:rsidRDefault="00147708" w:rsidP="00D34FC1">
      <w:pPr>
        <w:pStyle w:val="NormalSF"/>
        <w:spacing w:line="276" w:lineRule="auto"/>
        <w:jc w:val="both"/>
        <w:rPr>
          <w:szCs w:val="22"/>
        </w:rPr>
      </w:pPr>
      <w:r w:rsidRPr="004A3C16">
        <w:rPr>
          <w:rFonts w:asciiTheme="minorHAnsi" w:eastAsiaTheme="minorHAnsi" w:hAnsiTheme="minorHAnsi"/>
          <w:szCs w:val="22"/>
          <w:lang w:val="en-AU"/>
        </w:rPr>
        <w:t>Also, it is consider</w:t>
      </w:r>
      <w:r w:rsidR="0096188E">
        <w:rPr>
          <w:rFonts w:asciiTheme="minorHAnsi" w:eastAsiaTheme="minorHAnsi" w:hAnsiTheme="minorHAnsi"/>
          <w:szCs w:val="22"/>
          <w:lang w:val="en-AU"/>
        </w:rPr>
        <w:t>ed</w:t>
      </w:r>
      <w:r w:rsidRPr="004A3C16">
        <w:rPr>
          <w:rFonts w:asciiTheme="minorHAnsi" w:eastAsiaTheme="minorHAnsi" w:hAnsiTheme="minorHAnsi"/>
          <w:szCs w:val="22"/>
          <w:lang w:val="en-AU"/>
        </w:rPr>
        <w:t xml:space="preserve"> that most agencies are not going to have</w:t>
      </w:r>
      <w:r w:rsidRPr="004A3C16">
        <w:rPr>
          <w:szCs w:val="22"/>
        </w:rPr>
        <w:t xml:space="preserve"> financial assets </w:t>
      </w:r>
      <w:r w:rsidR="0096188E">
        <w:rPr>
          <w:szCs w:val="22"/>
        </w:rPr>
        <w:t xml:space="preserve">which have </w:t>
      </w:r>
      <w:r w:rsidR="0096188E" w:rsidRPr="0096188E">
        <w:rPr>
          <w:szCs w:val="22"/>
          <w:lang w:val="en-AU"/>
        </w:rPr>
        <w:t xml:space="preserve">contractual cash flow characteristics </w:t>
      </w:r>
      <w:r w:rsidRPr="004A3C16">
        <w:rPr>
          <w:szCs w:val="22"/>
        </w:rPr>
        <w:t>with environmental, social and corporate governance (ESG) and similar features.</w:t>
      </w:r>
      <w:r w:rsidRPr="004A3C16">
        <w:rPr>
          <w:rFonts w:asciiTheme="minorHAnsi" w:eastAsiaTheme="minorHAnsi" w:hAnsiTheme="minorHAnsi"/>
          <w:szCs w:val="22"/>
          <w:lang w:val="en-AU"/>
        </w:rPr>
        <w:t xml:space="preserve"> For example, </w:t>
      </w:r>
      <w:r w:rsidR="00180055">
        <w:rPr>
          <w:rFonts w:asciiTheme="minorHAnsi" w:eastAsiaTheme="minorHAnsi" w:hAnsiTheme="minorHAnsi"/>
          <w:szCs w:val="22"/>
          <w:lang w:val="en-AU"/>
        </w:rPr>
        <w:t xml:space="preserve">most </w:t>
      </w:r>
      <w:r w:rsidRPr="004A3C16">
        <w:rPr>
          <w:rFonts w:asciiTheme="minorHAnsi" w:eastAsiaTheme="minorHAnsi" w:hAnsiTheme="minorHAnsi"/>
          <w:szCs w:val="22"/>
          <w:lang w:val="en-AU"/>
        </w:rPr>
        <w:t>ACT Government agencies do not have financial assets with carbon emission linked adjustments to interest rates (</w:t>
      </w:r>
      <w:r w:rsidR="00180055">
        <w:rPr>
          <w:rFonts w:asciiTheme="minorHAnsi" w:eastAsiaTheme="minorHAnsi" w:hAnsiTheme="minorHAnsi"/>
          <w:szCs w:val="22"/>
          <w:lang w:val="en-AU"/>
        </w:rPr>
        <w:t>e</w:t>
      </w:r>
      <w:r w:rsidR="00BE418D">
        <w:rPr>
          <w:rFonts w:asciiTheme="minorHAnsi" w:eastAsiaTheme="minorHAnsi" w:hAnsiTheme="minorHAnsi"/>
          <w:szCs w:val="22"/>
          <w:lang w:val="en-AU"/>
        </w:rPr>
        <w:t>.</w:t>
      </w:r>
      <w:r w:rsidR="00180055">
        <w:rPr>
          <w:rFonts w:asciiTheme="minorHAnsi" w:eastAsiaTheme="minorHAnsi" w:hAnsiTheme="minorHAnsi"/>
          <w:szCs w:val="22"/>
          <w:lang w:val="en-AU"/>
        </w:rPr>
        <w:t>g</w:t>
      </w:r>
      <w:r w:rsidR="00BE418D">
        <w:rPr>
          <w:rFonts w:asciiTheme="minorHAnsi" w:eastAsiaTheme="minorHAnsi" w:hAnsiTheme="minorHAnsi"/>
          <w:szCs w:val="22"/>
          <w:lang w:val="en-AU"/>
        </w:rPr>
        <w:t>.</w:t>
      </w:r>
      <w:r w:rsidR="00180055">
        <w:rPr>
          <w:rFonts w:asciiTheme="minorHAnsi" w:eastAsiaTheme="minorHAnsi" w:hAnsiTheme="minorHAnsi"/>
          <w:szCs w:val="22"/>
          <w:lang w:val="en-AU"/>
        </w:rPr>
        <w:t xml:space="preserve"> </w:t>
      </w:r>
      <w:r w:rsidRPr="004A3C16">
        <w:rPr>
          <w:rFonts w:asciiTheme="minorHAnsi" w:eastAsiaTheme="minorHAnsi" w:hAnsiTheme="minorHAnsi"/>
          <w:szCs w:val="22"/>
          <w:lang w:val="en-AU"/>
        </w:rPr>
        <w:t xml:space="preserve">where interest rates of a loan are decreased where pre-determined carbon emission reductions are met). </w:t>
      </w:r>
      <w:r w:rsidR="00180055">
        <w:rPr>
          <w:rFonts w:asciiTheme="minorHAnsi" w:eastAsiaTheme="minorHAnsi" w:hAnsiTheme="minorHAnsi"/>
          <w:szCs w:val="22"/>
          <w:lang w:val="en-AU"/>
        </w:rPr>
        <w:t>Therefore, these changes will not impact on most agencies.</w:t>
      </w:r>
      <w:r w:rsidRPr="004A3C16">
        <w:rPr>
          <w:rFonts w:asciiTheme="minorHAnsi" w:eastAsiaTheme="minorHAnsi" w:hAnsiTheme="minorHAnsi"/>
          <w:szCs w:val="22"/>
          <w:lang w:val="en-AU"/>
        </w:rPr>
        <w:t xml:space="preserve">  </w:t>
      </w:r>
    </w:p>
    <w:p w14:paraId="5CA62BF2" w14:textId="197DE072" w:rsidR="00F07373" w:rsidRPr="009C7CBA" w:rsidRDefault="00F07373" w:rsidP="00D34FC1">
      <w:pPr>
        <w:pStyle w:val="Heading3"/>
        <w:numPr>
          <w:ilvl w:val="2"/>
          <w:numId w:val="28"/>
        </w:numPr>
        <w:spacing w:before="480" w:after="120" w:line="240" w:lineRule="auto"/>
        <w:ind w:left="1134"/>
        <w:jc w:val="both"/>
        <w:rPr>
          <w:b w:val="0"/>
          <w:bCs/>
          <w:i/>
          <w:iCs/>
        </w:rPr>
      </w:pPr>
      <w:bookmarkStart w:id="42" w:name="_Toc233635554"/>
      <w:r w:rsidRPr="00BC2F87">
        <w:rPr>
          <w:iCs/>
        </w:rPr>
        <w:lastRenderedPageBreak/>
        <w:t xml:space="preserve">AASB </w:t>
      </w:r>
      <w:r>
        <w:rPr>
          <w:iCs/>
        </w:rPr>
        <w:t xml:space="preserve">2024-3 </w:t>
      </w:r>
      <w:r>
        <w:t xml:space="preserve">Presentation </w:t>
      </w:r>
      <w:r w:rsidRPr="00F07373">
        <w:t xml:space="preserve">Amendments to Australian Accounting Standards – Annual Improvements Volume 11 </w:t>
      </w:r>
      <w:r w:rsidRPr="001C6AE4">
        <w:t>(appl. 1 January</w:t>
      </w:r>
      <w:r w:rsidRPr="009C7CBA">
        <w:rPr>
          <w:iCs/>
        </w:rPr>
        <w:t xml:space="preserve"> 202</w:t>
      </w:r>
      <w:r>
        <w:rPr>
          <w:iCs/>
        </w:rPr>
        <w:t>6</w:t>
      </w:r>
      <w:r w:rsidRPr="009C7CBA">
        <w:rPr>
          <w:iCs/>
        </w:rPr>
        <w:t>)</w:t>
      </w:r>
      <w:bookmarkEnd w:id="42"/>
    </w:p>
    <w:p w14:paraId="6DF0C72A" w14:textId="77777777" w:rsidR="00F07373" w:rsidRPr="00533A6C" w:rsidRDefault="00F07373" w:rsidP="00F07373">
      <w:pPr>
        <w:pStyle w:val="ListParagraph"/>
        <w:spacing w:before="120" w:after="120" w:line="276" w:lineRule="auto"/>
        <w:ind w:left="0"/>
        <w:jc w:val="both"/>
        <w:rPr>
          <w:rFonts w:ascii="Lato" w:eastAsia="Times New Roman" w:hAnsi="Lato"/>
          <w:bCs/>
          <w:color w:val="333333"/>
          <w:sz w:val="24"/>
          <w:szCs w:val="24"/>
          <w:u w:val="single"/>
        </w:rPr>
      </w:pPr>
      <w:r w:rsidRPr="00533A6C">
        <w:rPr>
          <w:bCs/>
          <w:sz w:val="22"/>
          <w:szCs w:val="22"/>
          <w:u w:val="single"/>
        </w:rPr>
        <w:t>Background</w:t>
      </w:r>
    </w:p>
    <w:p w14:paraId="5AC90FD1" w14:textId="77777777" w:rsidR="00F07373" w:rsidRDefault="00F07373" w:rsidP="006701E2">
      <w:pPr>
        <w:pStyle w:val="ListParagraph"/>
        <w:spacing w:before="120" w:after="120" w:line="276" w:lineRule="auto"/>
        <w:ind w:left="0"/>
        <w:contextualSpacing w:val="0"/>
        <w:jc w:val="both"/>
        <w:rPr>
          <w:sz w:val="22"/>
          <w:szCs w:val="22"/>
        </w:rPr>
      </w:pPr>
      <w:r w:rsidRPr="00F07373">
        <w:rPr>
          <w:sz w:val="22"/>
          <w:szCs w:val="22"/>
        </w:rPr>
        <w:t xml:space="preserve">This Standard amends: </w:t>
      </w:r>
    </w:p>
    <w:p w14:paraId="71EC3259" w14:textId="7BE95161" w:rsidR="00F07373" w:rsidRDefault="00F07373" w:rsidP="001E7B4C">
      <w:pPr>
        <w:pStyle w:val="ListParagraph"/>
        <w:numPr>
          <w:ilvl w:val="1"/>
          <w:numId w:val="29"/>
        </w:numPr>
        <w:spacing w:before="120" w:after="120" w:line="276" w:lineRule="auto"/>
        <w:ind w:left="709"/>
        <w:contextualSpacing w:val="0"/>
        <w:jc w:val="both"/>
        <w:rPr>
          <w:sz w:val="22"/>
          <w:szCs w:val="22"/>
        </w:rPr>
      </w:pPr>
      <w:r w:rsidRPr="00F07373">
        <w:rPr>
          <w:sz w:val="22"/>
          <w:szCs w:val="22"/>
        </w:rPr>
        <w:t xml:space="preserve">AASB 1 </w:t>
      </w:r>
      <w:r w:rsidR="00886102" w:rsidRPr="00886102">
        <w:rPr>
          <w:i/>
          <w:iCs/>
          <w:sz w:val="22"/>
          <w:szCs w:val="22"/>
        </w:rPr>
        <w:t>First-time Adoption of Australian Accounting Standards</w:t>
      </w:r>
      <w:r w:rsidR="00886102" w:rsidRPr="00886102">
        <w:rPr>
          <w:sz w:val="22"/>
          <w:szCs w:val="22"/>
        </w:rPr>
        <w:t xml:space="preserve"> </w:t>
      </w:r>
      <w:r w:rsidRPr="00F07373">
        <w:rPr>
          <w:sz w:val="22"/>
          <w:szCs w:val="22"/>
        </w:rPr>
        <w:t>to improve consistency between paragraphs B5‒B6 of AASB 1 and the requirements for hedge accounting in AASB 9</w:t>
      </w:r>
      <w:r w:rsidR="00886102">
        <w:rPr>
          <w:sz w:val="22"/>
          <w:szCs w:val="22"/>
        </w:rPr>
        <w:t xml:space="preserve"> </w:t>
      </w:r>
      <w:r w:rsidR="00886102" w:rsidRPr="00886102">
        <w:rPr>
          <w:i/>
          <w:iCs/>
          <w:sz w:val="22"/>
          <w:szCs w:val="22"/>
        </w:rPr>
        <w:t>Financial Instruments</w:t>
      </w:r>
      <w:r w:rsidRPr="00F07373">
        <w:rPr>
          <w:sz w:val="22"/>
          <w:szCs w:val="22"/>
        </w:rPr>
        <w:t xml:space="preserve"> and improve the understandability of AASB 1; </w:t>
      </w:r>
    </w:p>
    <w:p w14:paraId="79674C78" w14:textId="1F808975" w:rsidR="00F07373" w:rsidRPr="006701E2" w:rsidRDefault="00F07373" w:rsidP="001E7B4C">
      <w:pPr>
        <w:pStyle w:val="ListParagraph"/>
        <w:numPr>
          <w:ilvl w:val="1"/>
          <w:numId w:val="29"/>
        </w:numPr>
        <w:spacing w:before="120" w:after="120" w:line="276" w:lineRule="auto"/>
        <w:ind w:left="709"/>
        <w:contextualSpacing w:val="0"/>
        <w:jc w:val="both"/>
        <w:rPr>
          <w:sz w:val="22"/>
          <w:szCs w:val="22"/>
        </w:rPr>
      </w:pPr>
      <w:r w:rsidRPr="006701E2">
        <w:rPr>
          <w:sz w:val="22"/>
          <w:szCs w:val="22"/>
        </w:rPr>
        <w:t xml:space="preserve">AASB 7 </w:t>
      </w:r>
      <w:r w:rsidR="00886102" w:rsidRPr="00886102">
        <w:rPr>
          <w:i/>
          <w:iCs/>
          <w:sz w:val="22"/>
          <w:szCs w:val="22"/>
        </w:rPr>
        <w:t>Financial Instruments: Disclosures</w:t>
      </w:r>
      <w:r w:rsidR="00886102" w:rsidRPr="00886102">
        <w:rPr>
          <w:sz w:val="22"/>
          <w:szCs w:val="22"/>
        </w:rPr>
        <w:t xml:space="preserve"> </w:t>
      </w:r>
      <w:r w:rsidRPr="006701E2">
        <w:rPr>
          <w:sz w:val="22"/>
          <w:szCs w:val="22"/>
        </w:rPr>
        <w:t xml:space="preserve">to: </w:t>
      </w:r>
    </w:p>
    <w:p w14:paraId="34354356" w14:textId="77777777" w:rsidR="006701E2" w:rsidRDefault="00F07373" w:rsidP="001E7B4C">
      <w:pPr>
        <w:pStyle w:val="ListParagraph"/>
        <w:numPr>
          <w:ilvl w:val="0"/>
          <w:numId w:val="32"/>
        </w:numPr>
        <w:spacing w:before="120" w:after="120" w:line="276" w:lineRule="auto"/>
        <w:ind w:left="1418"/>
        <w:contextualSpacing w:val="0"/>
        <w:jc w:val="both"/>
        <w:rPr>
          <w:sz w:val="22"/>
          <w:szCs w:val="22"/>
        </w:rPr>
      </w:pPr>
      <w:r w:rsidRPr="00F07373">
        <w:rPr>
          <w:sz w:val="22"/>
          <w:szCs w:val="22"/>
        </w:rPr>
        <w:t xml:space="preserve">replace a cross-reference in paragraph B38 of AASB 7 to a deleted AASB 7 paragraph with a reference to AASB 13 </w:t>
      </w:r>
      <w:r w:rsidRPr="00886102">
        <w:rPr>
          <w:i/>
          <w:iCs/>
          <w:sz w:val="22"/>
          <w:szCs w:val="22"/>
        </w:rPr>
        <w:t>Fair Value Measurement</w:t>
      </w:r>
      <w:r w:rsidRPr="00F07373">
        <w:rPr>
          <w:sz w:val="22"/>
          <w:szCs w:val="22"/>
        </w:rPr>
        <w:t>; and</w:t>
      </w:r>
    </w:p>
    <w:p w14:paraId="6AF43434" w14:textId="11F6DBC6" w:rsidR="006701E2" w:rsidRPr="006701E2" w:rsidRDefault="00F07373" w:rsidP="001E7B4C">
      <w:pPr>
        <w:pStyle w:val="ListParagraph"/>
        <w:numPr>
          <w:ilvl w:val="0"/>
          <w:numId w:val="32"/>
        </w:numPr>
        <w:spacing w:before="120" w:after="120" w:line="276" w:lineRule="auto"/>
        <w:ind w:left="1418"/>
        <w:contextualSpacing w:val="0"/>
        <w:jc w:val="both"/>
        <w:rPr>
          <w:sz w:val="22"/>
          <w:szCs w:val="22"/>
        </w:rPr>
      </w:pPr>
      <w:r w:rsidRPr="00F07373">
        <w:rPr>
          <w:sz w:val="22"/>
          <w:szCs w:val="22"/>
        </w:rPr>
        <w:t xml:space="preserve"> </w:t>
      </w:r>
      <w:r w:rsidRPr="006701E2">
        <w:rPr>
          <w:sz w:val="22"/>
          <w:szCs w:val="22"/>
        </w:rPr>
        <w:t>improve consistency in the language used in AASB 7 with the language used in AASB</w:t>
      </w:r>
      <w:r w:rsidR="00180055">
        <w:rPr>
          <w:sz w:val="22"/>
          <w:szCs w:val="22"/>
        </w:rPr>
        <w:t> </w:t>
      </w:r>
      <w:r w:rsidRPr="006701E2">
        <w:rPr>
          <w:sz w:val="22"/>
          <w:szCs w:val="22"/>
        </w:rPr>
        <w:t xml:space="preserve">13; </w:t>
      </w:r>
    </w:p>
    <w:p w14:paraId="30007BF8" w14:textId="08ACDF03" w:rsidR="00F07373" w:rsidRDefault="00F07373" w:rsidP="001E7B4C">
      <w:pPr>
        <w:pStyle w:val="ListParagraph"/>
        <w:numPr>
          <w:ilvl w:val="0"/>
          <w:numId w:val="30"/>
        </w:numPr>
        <w:spacing w:before="120" w:after="120" w:line="276" w:lineRule="auto"/>
        <w:ind w:left="851"/>
        <w:contextualSpacing w:val="0"/>
        <w:jc w:val="both"/>
        <w:rPr>
          <w:sz w:val="22"/>
          <w:szCs w:val="22"/>
        </w:rPr>
      </w:pPr>
      <w:r w:rsidRPr="00F07373">
        <w:rPr>
          <w:sz w:val="22"/>
          <w:szCs w:val="22"/>
        </w:rPr>
        <w:t xml:space="preserve">AASB 9 to: </w:t>
      </w:r>
    </w:p>
    <w:p w14:paraId="5D7C0E29" w14:textId="77777777" w:rsidR="006701E2" w:rsidRDefault="00F07373" w:rsidP="001E7B4C">
      <w:pPr>
        <w:pStyle w:val="ListParagraph"/>
        <w:numPr>
          <w:ilvl w:val="0"/>
          <w:numId w:val="33"/>
        </w:numPr>
        <w:spacing w:before="120" w:after="120" w:line="276" w:lineRule="auto"/>
        <w:ind w:left="1418"/>
        <w:contextualSpacing w:val="0"/>
        <w:jc w:val="both"/>
        <w:rPr>
          <w:sz w:val="22"/>
          <w:szCs w:val="22"/>
        </w:rPr>
      </w:pPr>
      <w:r w:rsidRPr="00F07373">
        <w:rPr>
          <w:sz w:val="22"/>
          <w:szCs w:val="22"/>
        </w:rPr>
        <w:t xml:space="preserve">clarify how a lessee accounts for the derecognition of a lease liability when it is extinguished; and </w:t>
      </w:r>
    </w:p>
    <w:p w14:paraId="1C929987" w14:textId="60474263" w:rsidR="006701E2" w:rsidRPr="006701E2" w:rsidRDefault="00F07373" w:rsidP="001E7B4C">
      <w:pPr>
        <w:pStyle w:val="ListParagraph"/>
        <w:numPr>
          <w:ilvl w:val="0"/>
          <w:numId w:val="33"/>
        </w:numPr>
        <w:spacing w:before="120" w:after="120" w:line="276" w:lineRule="auto"/>
        <w:ind w:left="1418"/>
        <w:contextualSpacing w:val="0"/>
        <w:jc w:val="both"/>
        <w:rPr>
          <w:sz w:val="22"/>
          <w:szCs w:val="22"/>
        </w:rPr>
      </w:pPr>
      <w:r w:rsidRPr="00F07373">
        <w:rPr>
          <w:sz w:val="22"/>
          <w:szCs w:val="22"/>
        </w:rPr>
        <w:t xml:space="preserve">address an inconsistency between paragraph 5.1.3 of AASB 9 and the requirements in AASB 15 </w:t>
      </w:r>
      <w:r w:rsidRPr="004744F5">
        <w:rPr>
          <w:i/>
          <w:iCs/>
          <w:sz w:val="22"/>
          <w:szCs w:val="22"/>
        </w:rPr>
        <w:t>Revenue from Contracts with Customers</w:t>
      </w:r>
      <w:r w:rsidRPr="00F07373">
        <w:rPr>
          <w:sz w:val="22"/>
          <w:szCs w:val="22"/>
        </w:rPr>
        <w:t xml:space="preserve"> in relation to the term ‘transaction price’; </w:t>
      </w:r>
    </w:p>
    <w:p w14:paraId="3778980B" w14:textId="49CD3A2E" w:rsidR="006701E2" w:rsidRDefault="00F07373" w:rsidP="001E7B4C">
      <w:pPr>
        <w:pStyle w:val="ListParagraph"/>
        <w:numPr>
          <w:ilvl w:val="0"/>
          <w:numId w:val="31"/>
        </w:numPr>
        <w:spacing w:before="120" w:after="120" w:line="276" w:lineRule="auto"/>
        <w:ind w:left="567"/>
        <w:contextualSpacing w:val="0"/>
        <w:jc w:val="both"/>
        <w:rPr>
          <w:sz w:val="22"/>
          <w:szCs w:val="22"/>
        </w:rPr>
      </w:pPr>
      <w:r w:rsidRPr="00F07373">
        <w:rPr>
          <w:sz w:val="22"/>
          <w:szCs w:val="22"/>
        </w:rPr>
        <w:t xml:space="preserve">AASB 10 </w:t>
      </w:r>
      <w:r w:rsidR="000A42EE">
        <w:rPr>
          <w:i/>
          <w:iCs/>
          <w:sz w:val="22"/>
          <w:szCs w:val="22"/>
        </w:rPr>
        <w:t xml:space="preserve">Consolidated Financial Statements </w:t>
      </w:r>
      <w:r w:rsidRPr="00F07373">
        <w:rPr>
          <w:sz w:val="22"/>
          <w:szCs w:val="22"/>
        </w:rPr>
        <w:t xml:space="preserve">to amend paragraph B74 in relation to determining de facto agents of an </w:t>
      </w:r>
      <w:r w:rsidR="004744F5">
        <w:rPr>
          <w:sz w:val="22"/>
          <w:szCs w:val="22"/>
        </w:rPr>
        <w:t>agency</w:t>
      </w:r>
      <w:r w:rsidRPr="00F07373">
        <w:rPr>
          <w:sz w:val="22"/>
          <w:szCs w:val="22"/>
        </w:rPr>
        <w:t xml:space="preserve">; and </w:t>
      </w:r>
    </w:p>
    <w:p w14:paraId="2658791D" w14:textId="00BF37E8" w:rsidR="00F07373" w:rsidRPr="006701E2" w:rsidRDefault="00F07373" w:rsidP="001E7B4C">
      <w:pPr>
        <w:pStyle w:val="ListParagraph"/>
        <w:numPr>
          <w:ilvl w:val="0"/>
          <w:numId w:val="31"/>
        </w:numPr>
        <w:spacing w:before="120" w:after="120" w:line="276" w:lineRule="auto"/>
        <w:ind w:left="567"/>
        <w:contextualSpacing w:val="0"/>
        <w:jc w:val="both"/>
        <w:rPr>
          <w:sz w:val="22"/>
          <w:szCs w:val="22"/>
        </w:rPr>
      </w:pPr>
      <w:r w:rsidRPr="006701E2">
        <w:rPr>
          <w:sz w:val="22"/>
          <w:szCs w:val="22"/>
        </w:rPr>
        <w:t xml:space="preserve">AASB 107 </w:t>
      </w:r>
      <w:r w:rsidR="000A42EE">
        <w:rPr>
          <w:i/>
          <w:iCs/>
          <w:sz w:val="22"/>
          <w:szCs w:val="22"/>
        </w:rPr>
        <w:t>Statement of Cash Flows</w:t>
      </w:r>
      <w:r w:rsidR="000A42EE" w:rsidRPr="006701E2">
        <w:rPr>
          <w:sz w:val="22"/>
          <w:szCs w:val="22"/>
        </w:rPr>
        <w:t xml:space="preserve"> </w:t>
      </w:r>
      <w:r w:rsidRPr="006701E2">
        <w:rPr>
          <w:sz w:val="22"/>
          <w:szCs w:val="22"/>
        </w:rPr>
        <w:t>to replace the term ‘cost method’ with ‘at cost’ as the term is no longer defined in Australian Accounting Standards.</w:t>
      </w:r>
    </w:p>
    <w:p w14:paraId="36971824" w14:textId="0851E5AB" w:rsidR="006701E2" w:rsidRPr="00533A6C" w:rsidRDefault="006701E2" w:rsidP="006701E2">
      <w:pPr>
        <w:spacing w:before="120" w:after="120" w:line="276" w:lineRule="auto"/>
        <w:jc w:val="both"/>
        <w:rPr>
          <w:bCs/>
          <w:u w:val="single"/>
        </w:rPr>
      </w:pPr>
      <w:r w:rsidRPr="00533A6C">
        <w:rPr>
          <w:bCs/>
          <w:sz w:val="22"/>
          <w:szCs w:val="22"/>
          <w:u w:val="single"/>
        </w:rPr>
        <w:t>Impact</w:t>
      </w:r>
    </w:p>
    <w:p w14:paraId="702743F0" w14:textId="770F0A04" w:rsidR="00F07373" w:rsidRDefault="004744F5" w:rsidP="00BC4883">
      <w:pPr>
        <w:pStyle w:val="ListParagraph"/>
        <w:spacing w:before="120" w:after="120" w:line="276" w:lineRule="auto"/>
        <w:ind w:left="0"/>
        <w:jc w:val="both"/>
        <w:rPr>
          <w:rFonts w:cs="Calibri"/>
          <w:sz w:val="22"/>
          <w:szCs w:val="22"/>
        </w:rPr>
      </w:pPr>
      <w:r w:rsidRPr="00A14966">
        <w:rPr>
          <w:rFonts w:cs="Calibri"/>
          <w:sz w:val="22"/>
          <w:szCs w:val="22"/>
        </w:rPr>
        <w:t>This standard is not expected to have a material financial impact on most directorates and territory authorities.</w:t>
      </w:r>
    </w:p>
    <w:p w14:paraId="168038BC" w14:textId="3BD6131D" w:rsidR="00403603" w:rsidRPr="00403603" w:rsidRDefault="00403603" w:rsidP="00D00E29">
      <w:pPr>
        <w:pStyle w:val="Heading3"/>
        <w:numPr>
          <w:ilvl w:val="2"/>
          <w:numId w:val="28"/>
        </w:numPr>
        <w:spacing w:before="480" w:after="120" w:line="240" w:lineRule="auto"/>
        <w:ind w:left="1134"/>
        <w:jc w:val="both"/>
        <w:rPr>
          <w:iCs/>
        </w:rPr>
      </w:pPr>
      <w:bookmarkStart w:id="43" w:name="_Toc233635555"/>
      <w:r w:rsidRPr="00403603">
        <w:rPr>
          <w:iCs/>
        </w:rPr>
        <w:t>AASB 2026-2 Amendments to Australian Accounting Standards – Extending the Application of the Conceptual Framework and Limiting the Ability of Not-for-Profit Entities to Prepare Special Purpose Financial Statements</w:t>
      </w:r>
      <w:r w:rsidR="00A3749C">
        <w:rPr>
          <w:iCs/>
        </w:rPr>
        <w:t xml:space="preserve"> (</w:t>
      </w:r>
      <w:r w:rsidR="00A3749C" w:rsidRPr="001C6AE4">
        <w:t>appl. 1 J</w:t>
      </w:r>
      <w:r w:rsidR="00CA7DBA">
        <w:t>uly</w:t>
      </w:r>
      <w:r w:rsidR="00A3749C" w:rsidRPr="009C7CBA">
        <w:rPr>
          <w:iCs/>
        </w:rPr>
        <w:t xml:space="preserve"> 202</w:t>
      </w:r>
      <w:r w:rsidR="00A3749C">
        <w:rPr>
          <w:iCs/>
        </w:rPr>
        <w:t>9</w:t>
      </w:r>
      <w:r w:rsidR="00A3749C" w:rsidRPr="009C7CBA">
        <w:rPr>
          <w:iCs/>
        </w:rPr>
        <w:t>)</w:t>
      </w:r>
      <w:bookmarkEnd w:id="43"/>
    </w:p>
    <w:p w14:paraId="2A3209CA" w14:textId="52D9F120" w:rsidR="00403603" w:rsidRPr="00E933A2" w:rsidRDefault="00403603" w:rsidP="00BC4883">
      <w:pPr>
        <w:pStyle w:val="ListParagraph"/>
        <w:spacing w:before="120" w:after="120" w:line="276" w:lineRule="auto"/>
        <w:ind w:left="0"/>
        <w:jc w:val="both"/>
        <w:rPr>
          <w:rFonts w:cs="Calibri"/>
          <w:sz w:val="22"/>
          <w:szCs w:val="22"/>
        </w:rPr>
      </w:pPr>
      <w:r w:rsidRPr="00E933A2">
        <w:rPr>
          <w:bCs/>
          <w:sz w:val="22"/>
          <w:szCs w:val="22"/>
          <w:u w:val="single"/>
        </w:rPr>
        <w:t>Background</w:t>
      </w:r>
    </w:p>
    <w:p w14:paraId="10A2D55C" w14:textId="77777777" w:rsidR="000B42E2" w:rsidRPr="00E933A2" w:rsidRDefault="00403603" w:rsidP="00BC4883">
      <w:pPr>
        <w:pStyle w:val="ListParagraph"/>
        <w:spacing w:before="120" w:after="120" w:line="276" w:lineRule="auto"/>
        <w:ind w:left="0"/>
        <w:jc w:val="both"/>
        <w:rPr>
          <w:rFonts w:cs="Calibri"/>
          <w:sz w:val="22"/>
          <w:szCs w:val="22"/>
        </w:rPr>
      </w:pPr>
      <w:r w:rsidRPr="00E933A2">
        <w:rPr>
          <w:rFonts w:cs="Calibri"/>
          <w:sz w:val="22"/>
          <w:szCs w:val="22"/>
        </w:rPr>
        <w:t>This Standard makes amendments to the C</w:t>
      </w:r>
      <w:r w:rsidRPr="00E933A2">
        <w:rPr>
          <w:rFonts w:cs="Calibri"/>
          <w:i/>
          <w:iCs/>
          <w:sz w:val="22"/>
          <w:szCs w:val="22"/>
        </w:rPr>
        <w:t>onceptual Framework for Financial Reporting (Conceptual Framework)</w:t>
      </w:r>
      <w:r w:rsidRPr="00E933A2">
        <w:rPr>
          <w:rFonts w:cs="Calibri"/>
          <w:sz w:val="22"/>
          <w:szCs w:val="22"/>
        </w:rPr>
        <w:t xml:space="preserve"> and AASB 1057 </w:t>
      </w:r>
      <w:r w:rsidRPr="00E933A2">
        <w:rPr>
          <w:rFonts w:cs="Calibri"/>
          <w:i/>
          <w:iCs/>
          <w:sz w:val="22"/>
          <w:szCs w:val="22"/>
        </w:rPr>
        <w:t>Application of Australian Accounting Standards</w:t>
      </w:r>
      <w:r w:rsidRPr="00E933A2">
        <w:rPr>
          <w:rFonts w:cs="Calibri"/>
          <w:sz w:val="22"/>
          <w:szCs w:val="22"/>
        </w:rPr>
        <w:t xml:space="preserve"> to: </w:t>
      </w:r>
    </w:p>
    <w:p w14:paraId="464C811A" w14:textId="77777777" w:rsidR="000B42E2" w:rsidRPr="00E933A2" w:rsidRDefault="00403603" w:rsidP="000B42E2">
      <w:pPr>
        <w:pStyle w:val="ListParagraph"/>
        <w:numPr>
          <w:ilvl w:val="1"/>
          <w:numId w:val="40"/>
        </w:numPr>
        <w:spacing w:before="120" w:after="120" w:line="276" w:lineRule="auto"/>
        <w:ind w:left="709"/>
        <w:jc w:val="both"/>
        <w:rPr>
          <w:rFonts w:cs="Calibri"/>
          <w:sz w:val="22"/>
          <w:szCs w:val="22"/>
        </w:rPr>
      </w:pPr>
      <w:r w:rsidRPr="00E933A2">
        <w:rPr>
          <w:rFonts w:cs="Calibri"/>
          <w:sz w:val="22"/>
          <w:szCs w:val="22"/>
        </w:rPr>
        <w:t xml:space="preserve">extend the application of the Conceptual Framework and Australian Accounting Standards to not-for-profit entities (both private sector and public sector) that: </w:t>
      </w:r>
    </w:p>
    <w:p w14:paraId="5900C0E3" w14:textId="77777777" w:rsidR="000B42E2" w:rsidRPr="00E933A2" w:rsidRDefault="00403603" w:rsidP="000B42E2">
      <w:pPr>
        <w:pStyle w:val="ListParagraph"/>
        <w:numPr>
          <w:ilvl w:val="2"/>
          <w:numId w:val="40"/>
        </w:numPr>
        <w:spacing w:before="120" w:after="120" w:line="276" w:lineRule="auto"/>
        <w:ind w:left="1134"/>
        <w:jc w:val="both"/>
        <w:rPr>
          <w:rFonts w:cs="Calibri"/>
          <w:sz w:val="22"/>
          <w:szCs w:val="22"/>
        </w:rPr>
      </w:pPr>
      <w:r w:rsidRPr="00E933A2">
        <w:rPr>
          <w:rFonts w:cs="Calibri"/>
          <w:sz w:val="22"/>
          <w:szCs w:val="22"/>
        </w:rPr>
        <w:lastRenderedPageBreak/>
        <w:t xml:space="preserve">are required by legislation to comply with either Australian Accounting Standards or accounting standards; </w:t>
      </w:r>
    </w:p>
    <w:p w14:paraId="222188B7" w14:textId="77777777" w:rsidR="000B42E2" w:rsidRPr="00E933A2" w:rsidRDefault="00403603" w:rsidP="000B42E2">
      <w:pPr>
        <w:pStyle w:val="ListParagraph"/>
        <w:numPr>
          <w:ilvl w:val="2"/>
          <w:numId w:val="40"/>
        </w:numPr>
        <w:spacing w:before="120" w:after="120" w:line="276" w:lineRule="auto"/>
        <w:ind w:left="1134"/>
        <w:jc w:val="both"/>
        <w:rPr>
          <w:rFonts w:cs="Calibri"/>
          <w:sz w:val="22"/>
          <w:szCs w:val="22"/>
        </w:rPr>
      </w:pPr>
      <w:r w:rsidRPr="00E933A2">
        <w:rPr>
          <w:rFonts w:cs="Calibri"/>
          <w:sz w:val="22"/>
          <w:szCs w:val="22"/>
        </w:rPr>
        <w:t xml:space="preserve">are required only by their constituting document or another document to prepare financial statements that comply with Australian Accounting Standards, subject to an exemption if the relevant document was created and last amended before 1 July 2029; or </w:t>
      </w:r>
    </w:p>
    <w:p w14:paraId="730F1431" w14:textId="77777777" w:rsidR="000B42E2" w:rsidRPr="00E933A2" w:rsidRDefault="00403603" w:rsidP="000B42E2">
      <w:pPr>
        <w:pStyle w:val="ListParagraph"/>
        <w:numPr>
          <w:ilvl w:val="2"/>
          <w:numId w:val="40"/>
        </w:numPr>
        <w:spacing w:before="120" w:after="120" w:line="276" w:lineRule="auto"/>
        <w:ind w:left="1134"/>
        <w:jc w:val="both"/>
        <w:rPr>
          <w:rFonts w:cs="Calibri"/>
          <w:sz w:val="22"/>
          <w:szCs w:val="22"/>
        </w:rPr>
      </w:pPr>
      <w:r w:rsidRPr="00E933A2">
        <w:rPr>
          <w:rFonts w:cs="Calibri"/>
          <w:sz w:val="22"/>
          <w:szCs w:val="22"/>
        </w:rPr>
        <w:t xml:space="preserve">elect to prepare general purpose financial statements; and </w:t>
      </w:r>
    </w:p>
    <w:p w14:paraId="1B399B7F" w14:textId="77777777" w:rsidR="000B42E2" w:rsidRPr="00E933A2" w:rsidRDefault="00403603" w:rsidP="000B42E2">
      <w:pPr>
        <w:pStyle w:val="ListParagraph"/>
        <w:numPr>
          <w:ilvl w:val="1"/>
          <w:numId w:val="40"/>
        </w:numPr>
        <w:spacing w:before="120" w:after="120" w:line="276" w:lineRule="auto"/>
        <w:ind w:left="709"/>
        <w:jc w:val="both"/>
        <w:rPr>
          <w:rFonts w:cs="Calibri"/>
          <w:sz w:val="22"/>
          <w:szCs w:val="22"/>
        </w:rPr>
      </w:pPr>
      <w:r w:rsidRPr="00E933A2">
        <w:rPr>
          <w:rFonts w:cs="Calibri"/>
          <w:sz w:val="22"/>
          <w:szCs w:val="22"/>
        </w:rPr>
        <w:t xml:space="preserve">introduce ‘Aus’ paragraphs to the </w:t>
      </w:r>
      <w:r w:rsidRPr="00E933A2">
        <w:rPr>
          <w:rFonts w:cs="Calibri"/>
          <w:i/>
          <w:iCs/>
          <w:sz w:val="22"/>
          <w:szCs w:val="22"/>
        </w:rPr>
        <w:t>Conceptual Framework</w:t>
      </w:r>
      <w:r w:rsidRPr="00E933A2">
        <w:rPr>
          <w:rFonts w:cs="Calibri"/>
          <w:sz w:val="22"/>
          <w:szCs w:val="22"/>
        </w:rPr>
        <w:t xml:space="preserve"> to add Australian-specific guidance for not-for profit entities. </w:t>
      </w:r>
    </w:p>
    <w:p w14:paraId="13CB584F" w14:textId="0A6DDDE5" w:rsidR="000B42E2" w:rsidRPr="00E933A2" w:rsidRDefault="00403603" w:rsidP="000B42E2">
      <w:pPr>
        <w:spacing w:before="120" w:after="120" w:line="276" w:lineRule="auto"/>
        <w:jc w:val="both"/>
        <w:rPr>
          <w:rFonts w:cs="Calibri"/>
          <w:sz w:val="22"/>
          <w:szCs w:val="22"/>
        </w:rPr>
      </w:pPr>
      <w:r w:rsidRPr="00E933A2">
        <w:rPr>
          <w:rFonts w:cs="Calibri"/>
          <w:sz w:val="22"/>
          <w:szCs w:val="22"/>
        </w:rPr>
        <w:t xml:space="preserve">This Standard also consequentially amends AASB 1054 </w:t>
      </w:r>
      <w:r w:rsidRPr="00E933A2">
        <w:rPr>
          <w:rFonts w:cs="Calibri"/>
          <w:i/>
          <w:iCs/>
          <w:sz w:val="22"/>
          <w:szCs w:val="22"/>
        </w:rPr>
        <w:t>Australian Additional Disclosures</w:t>
      </w:r>
      <w:r w:rsidRPr="00E933A2">
        <w:rPr>
          <w:rFonts w:cs="Calibri"/>
          <w:sz w:val="22"/>
          <w:szCs w:val="22"/>
        </w:rPr>
        <w:t xml:space="preserve"> to revise the set of not-for</w:t>
      </w:r>
      <w:r w:rsidR="000B42E2" w:rsidRPr="00E933A2">
        <w:rPr>
          <w:rFonts w:cs="Calibri"/>
          <w:sz w:val="22"/>
          <w:szCs w:val="22"/>
        </w:rPr>
        <w:t>-</w:t>
      </w:r>
      <w:r w:rsidRPr="00E933A2">
        <w:rPr>
          <w:rFonts w:cs="Calibri"/>
          <w:sz w:val="22"/>
          <w:szCs w:val="22"/>
        </w:rPr>
        <w:t xml:space="preserve">profit private sector entities required to provide specified disclosures in special purpose financial statements, where prepared, and to amend the extent of disclosure required. </w:t>
      </w:r>
    </w:p>
    <w:p w14:paraId="6D9D818A" w14:textId="77777777" w:rsidR="000B42E2" w:rsidRPr="00E933A2" w:rsidRDefault="00403603" w:rsidP="000B42E2">
      <w:pPr>
        <w:spacing w:before="120" w:after="120" w:line="276" w:lineRule="auto"/>
        <w:jc w:val="both"/>
        <w:rPr>
          <w:rFonts w:cs="Calibri"/>
          <w:sz w:val="22"/>
          <w:szCs w:val="22"/>
        </w:rPr>
      </w:pPr>
      <w:r w:rsidRPr="00E933A2">
        <w:rPr>
          <w:rFonts w:cs="Calibri"/>
          <w:sz w:val="22"/>
          <w:szCs w:val="22"/>
        </w:rPr>
        <w:t xml:space="preserve">When the amendments are applicable, some not-for-profit entities might need to prepare general purpose financial statements for the first time. This Standard amends AASB 1053 </w:t>
      </w:r>
      <w:r w:rsidRPr="00E933A2">
        <w:rPr>
          <w:rFonts w:cs="Calibri"/>
          <w:i/>
          <w:iCs/>
          <w:sz w:val="22"/>
          <w:szCs w:val="22"/>
        </w:rPr>
        <w:t>Application of Tiers of Australian Accounting Standards</w:t>
      </w:r>
      <w:r w:rsidRPr="00E933A2">
        <w:rPr>
          <w:rFonts w:cs="Calibri"/>
          <w:sz w:val="22"/>
          <w:szCs w:val="22"/>
        </w:rPr>
        <w:t xml:space="preserve"> to make transitional relief available for those entities preparing general purpose financial statements complying with Tier 2: Australian Accounting Standards – Simplified Disclosures reporting requirements for the first time following these amendments. </w:t>
      </w:r>
    </w:p>
    <w:p w14:paraId="47B2F946" w14:textId="7B0799A0" w:rsidR="00403603" w:rsidRPr="00E933A2" w:rsidRDefault="00403603" w:rsidP="000B42E2">
      <w:pPr>
        <w:spacing w:before="120" w:after="120" w:line="276" w:lineRule="auto"/>
        <w:jc w:val="both"/>
        <w:rPr>
          <w:rFonts w:cs="Calibri"/>
          <w:sz w:val="22"/>
          <w:szCs w:val="22"/>
        </w:rPr>
      </w:pPr>
      <w:r w:rsidRPr="00E933A2">
        <w:rPr>
          <w:rFonts w:cs="Calibri"/>
          <w:sz w:val="22"/>
          <w:szCs w:val="22"/>
        </w:rPr>
        <w:t xml:space="preserve">In addition, this Standard also makes consequential amendments to various Australian Accounting Standards resulting from the amendments above, and to the </w:t>
      </w:r>
      <w:r w:rsidRPr="00E933A2">
        <w:rPr>
          <w:rFonts w:cs="Calibri"/>
          <w:i/>
          <w:iCs/>
          <w:sz w:val="22"/>
          <w:szCs w:val="22"/>
        </w:rPr>
        <w:t>Framework for the Preparation and Presentation of Financial Statements</w:t>
      </w:r>
      <w:r w:rsidRPr="00E933A2">
        <w:rPr>
          <w:rFonts w:cs="Calibri"/>
          <w:sz w:val="22"/>
          <w:szCs w:val="22"/>
        </w:rPr>
        <w:t xml:space="preserve">, Statement of Accounting Concepts SAC 1 </w:t>
      </w:r>
      <w:r w:rsidRPr="00E933A2">
        <w:rPr>
          <w:rFonts w:cs="Calibri"/>
          <w:i/>
          <w:iCs/>
          <w:sz w:val="22"/>
          <w:szCs w:val="22"/>
        </w:rPr>
        <w:t>Definition of the Reporting Entity</w:t>
      </w:r>
      <w:r w:rsidRPr="00E933A2">
        <w:rPr>
          <w:rFonts w:cs="Calibri"/>
          <w:sz w:val="22"/>
          <w:szCs w:val="22"/>
        </w:rPr>
        <w:t xml:space="preserve"> and AASB Practice Statement 2 </w:t>
      </w:r>
      <w:r w:rsidRPr="00E933A2">
        <w:rPr>
          <w:rFonts w:cs="Calibri"/>
          <w:i/>
          <w:iCs/>
          <w:sz w:val="22"/>
          <w:szCs w:val="22"/>
        </w:rPr>
        <w:t>Making Materiality Judgements</w:t>
      </w:r>
      <w:r w:rsidRPr="00E933A2">
        <w:rPr>
          <w:rFonts w:cs="Calibri"/>
          <w:sz w:val="22"/>
          <w:szCs w:val="22"/>
        </w:rPr>
        <w:t>.</w:t>
      </w:r>
    </w:p>
    <w:p w14:paraId="236B454E" w14:textId="77777777" w:rsidR="000B42E2" w:rsidRPr="00533A6C" w:rsidRDefault="000B42E2" w:rsidP="000B42E2">
      <w:pPr>
        <w:spacing w:before="120" w:after="120" w:line="276" w:lineRule="auto"/>
        <w:jc w:val="both"/>
        <w:rPr>
          <w:bCs/>
          <w:u w:val="single"/>
        </w:rPr>
      </w:pPr>
      <w:r w:rsidRPr="00533A6C">
        <w:rPr>
          <w:bCs/>
          <w:sz w:val="22"/>
          <w:szCs w:val="22"/>
          <w:u w:val="single"/>
        </w:rPr>
        <w:t>Impact</w:t>
      </w:r>
    </w:p>
    <w:p w14:paraId="654E9481" w14:textId="66BE0BF4" w:rsidR="000B42E2" w:rsidRDefault="000B42E2" w:rsidP="000B42E2">
      <w:pPr>
        <w:pStyle w:val="ListParagraph"/>
        <w:spacing w:before="120" w:after="120" w:line="276" w:lineRule="auto"/>
        <w:ind w:left="0"/>
        <w:jc w:val="both"/>
        <w:rPr>
          <w:rFonts w:cs="Calibri"/>
          <w:sz w:val="22"/>
          <w:szCs w:val="22"/>
        </w:rPr>
      </w:pPr>
      <w:r w:rsidRPr="00E933A2">
        <w:rPr>
          <w:rFonts w:cs="Calibri"/>
          <w:sz w:val="22"/>
          <w:szCs w:val="22"/>
        </w:rPr>
        <w:t xml:space="preserve">Amendments this standard makes to the </w:t>
      </w:r>
      <w:r w:rsidR="00E933A2" w:rsidRPr="00E933A2">
        <w:rPr>
          <w:rFonts w:cs="Calibri"/>
          <w:sz w:val="22"/>
          <w:szCs w:val="22"/>
        </w:rPr>
        <w:t xml:space="preserve">Conceptual Framework </w:t>
      </w:r>
      <w:r w:rsidR="002E364F">
        <w:rPr>
          <w:rFonts w:cs="Calibri"/>
          <w:sz w:val="22"/>
          <w:szCs w:val="22"/>
        </w:rPr>
        <w:t xml:space="preserve">and </w:t>
      </w:r>
      <w:r w:rsidR="002E364F" w:rsidRPr="00E933A2">
        <w:rPr>
          <w:rFonts w:cs="Calibri"/>
          <w:sz w:val="22"/>
          <w:szCs w:val="22"/>
        </w:rPr>
        <w:t xml:space="preserve">AASB 1057 </w:t>
      </w:r>
      <w:r w:rsidR="002E364F" w:rsidRPr="00E933A2">
        <w:rPr>
          <w:rFonts w:cs="Calibri"/>
          <w:i/>
          <w:iCs/>
          <w:sz w:val="22"/>
          <w:szCs w:val="22"/>
        </w:rPr>
        <w:t>Application of Australian Accounting Standards</w:t>
      </w:r>
      <w:r w:rsidR="002E364F" w:rsidRPr="00E933A2">
        <w:rPr>
          <w:rFonts w:cs="Calibri"/>
          <w:sz w:val="22"/>
          <w:szCs w:val="22"/>
        </w:rPr>
        <w:t xml:space="preserve"> </w:t>
      </w:r>
      <w:r w:rsidR="00E933A2" w:rsidRPr="00E933A2">
        <w:rPr>
          <w:rFonts w:cs="Calibri"/>
          <w:sz w:val="22"/>
          <w:szCs w:val="22"/>
        </w:rPr>
        <w:t>are</w:t>
      </w:r>
      <w:r w:rsidRPr="00E933A2">
        <w:rPr>
          <w:rFonts w:cs="Calibri"/>
          <w:sz w:val="22"/>
          <w:szCs w:val="22"/>
        </w:rPr>
        <w:t xml:space="preserve"> not expected to have a material financial impact on most directorates and territory authorities.</w:t>
      </w:r>
      <w:r w:rsidR="00E933A2" w:rsidRPr="00E933A2">
        <w:rPr>
          <w:rFonts w:cs="Calibri"/>
          <w:sz w:val="22"/>
          <w:szCs w:val="22"/>
        </w:rPr>
        <w:t xml:space="preserve">  Amendments this standard makes to AASB 1054 </w:t>
      </w:r>
      <w:r w:rsidR="00E933A2" w:rsidRPr="00E933A2">
        <w:rPr>
          <w:rFonts w:cs="Calibri"/>
          <w:i/>
          <w:iCs/>
          <w:sz w:val="22"/>
          <w:szCs w:val="22"/>
        </w:rPr>
        <w:t>Australian Additional Disclosures</w:t>
      </w:r>
      <w:r w:rsidR="00E933A2" w:rsidRPr="00E933A2">
        <w:rPr>
          <w:rFonts w:cs="Calibri"/>
          <w:sz w:val="22"/>
          <w:szCs w:val="22"/>
        </w:rPr>
        <w:t xml:space="preserve"> </w:t>
      </w:r>
      <w:r w:rsidR="00E933A2">
        <w:rPr>
          <w:rFonts w:cs="Calibri"/>
          <w:sz w:val="22"/>
          <w:szCs w:val="22"/>
        </w:rPr>
        <w:t xml:space="preserve">and </w:t>
      </w:r>
      <w:r w:rsidR="00E933A2" w:rsidRPr="00E933A2">
        <w:rPr>
          <w:rFonts w:cs="Calibri"/>
          <w:sz w:val="22"/>
          <w:szCs w:val="22"/>
        </w:rPr>
        <w:t xml:space="preserve">AASB 1053 </w:t>
      </w:r>
      <w:r w:rsidR="00E933A2" w:rsidRPr="00E933A2">
        <w:rPr>
          <w:rFonts w:cs="Calibri"/>
          <w:i/>
          <w:iCs/>
          <w:sz w:val="22"/>
          <w:szCs w:val="22"/>
        </w:rPr>
        <w:t>Application of Tiers of Australian Accounting Standards</w:t>
      </w:r>
      <w:r w:rsidR="00E933A2" w:rsidRPr="00E933A2">
        <w:rPr>
          <w:rFonts w:cs="Calibri"/>
          <w:sz w:val="22"/>
          <w:szCs w:val="22"/>
        </w:rPr>
        <w:t xml:space="preserve"> are not applicable to </w:t>
      </w:r>
      <w:r w:rsidR="00E933A2" w:rsidRPr="00A14966">
        <w:rPr>
          <w:rFonts w:cs="Calibri"/>
          <w:sz w:val="22"/>
          <w:szCs w:val="22"/>
        </w:rPr>
        <w:t>directorates and territory authorities</w:t>
      </w:r>
      <w:r w:rsidR="00E933A2">
        <w:rPr>
          <w:rFonts w:cs="Calibri"/>
          <w:sz w:val="22"/>
          <w:szCs w:val="22"/>
        </w:rPr>
        <w:t>.</w:t>
      </w:r>
    </w:p>
    <w:p w14:paraId="1EBC3A65" w14:textId="3723EDA8" w:rsidR="002E364F" w:rsidRDefault="002E364F" w:rsidP="00BC4883">
      <w:pPr>
        <w:pStyle w:val="ListParagraph"/>
        <w:spacing w:before="120" w:after="120" w:line="276" w:lineRule="auto"/>
        <w:ind w:left="0"/>
        <w:jc w:val="both"/>
        <w:rPr>
          <w:rFonts w:cs="Calibri"/>
          <w:sz w:val="22"/>
          <w:szCs w:val="22"/>
        </w:rPr>
      </w:pPr>
      <w:r>
        <w:rPr>
          <w:rFonts w:cs="Calibri"/>
          <w:sz w:val="22"/>
          <w:szCs w:val="22"/>
        </w:rPr>
        <w:br w:type="page"/>
      </w:r>
    </w:p>
    <w:p w14:paraId="756D4CA8" w14:textId="385DD05E" w:rsidR="00101F0C" w:rsidRPr="00CA1CA1" w:rsidRDefault="0094757A" w:rsidP="00D00E29">
      <w:pPr>
        <w:pStyle w:val="Heading2"/>
        <w:numPr>
          <w:ilvl w:val="1"/>
          <w:numId w:val="28"/>
        </w:numPr>
        <w:spacing w:before="480" w:after="120" w:line="240" w:lineRule="auto"/>
        <w:ind w:left="709"/>
      </w:pPr>
      <w:bookmarkStart w:id="44" w:name="_Toc233635556"/>
      <w:r w:rsidRPr="00566C60">
        <w:lastRenderedPageBreak/>
        <w:t>Stan</w:t>
      </w:r>
      <w:r>
        <w:t>d</w:t>
      </w:r>
      <w:r w:rsidRPr="00566C60">
        <w:t xml:space="preserve">ards that are </w:t>
      </w:r>
      <w:r w:rsidR="00F74050">
        <w:t>not</w:t>
      </w:r>
      <w:r>
        <w:t xml:space="preserve"> </w:t>
      </w:r>
      <w:r w:rsidRPr="00566C60">
        <w:t>consider</w:t>
      </w:r>
      <w:r w:rsidR="00F74050">
        <w:t>ed Applicable</w:t>
      </w:r>
      <w:r>
        <w:t xml:space="preserve"> </w:t>
      </w:r>
      <w:r w:rsidRPr="00566C60">
        <w:t xml:space="preserve">to </w:t>
      </w:r>
      <w:r>
        <w:t>Most Agencie</w:t>
      </w:r>
      <w:r w:rsidR="007D649B">
        <w:t>s</w:t>
      </w:r>
      <w:bookmarkEnd w:id="44"/>
    </w:p>
    <w:p w14:paraId="16E5FC97" w14:textId="77777777" w:rsidR="0094757A" w:rsidRDefault="0094757A" w:rsidP="00CE23E5">
      <w:pPr>
        <w:spacing w:before="120" w:after="120" w:line="276" w:lineRule="auto"/>
        <w:jc w:val="both"/>
        <w:rPr>
          <w:sz w:val="22"/>
          <w:szCs w:val="22"/>
        </w:rPr>
      </w:pPr>
      <w:r w:rsidRPr="00FE3BDC">
        <w:rPr>
          <w:sz w:val="22"/>
          <w:szCs w:val="22"/>
        </w:rPr>
        <w:t xml:space="preserve">It is considered that the following Standards do </w:t>
      </w:r>
      <w:r w:rsidRPr="00FE3BDC">
        <w:rPr>
          <w:sz w:val="22"/>
          <w:szCs w:val="22"/>
          <w:u w:val="single"/>
        </w:rPr>
        <w:t>not</w:t>
      </w:r>
      <w:r w:rsidRPr="00FE3BDC">
        <w:rPr>
          <w:sz w:val="22"/>
          <w:szCs w:val="22"/>
        </w:rPr>
        <w:t xml:space="preserve"> apply to most ACT Government agencies</w:t>
      </w:r>
      <w:r>
        <w:rPr>
          <w:sz w:val="22"/>
          <w:szCs w:val="22"/>
        </w:rPr>
        <w:t>.</w:t>
      </w:r>
    </w:p>
    <w:p w14:paraId="1017FB89" w14:textId="42555533" w:rsidR="0094757A" w:rsidRPr="00BC2F87" w:rsidRDefault="0094757A" w:rsidP="00A3749C">
      <w:pPr>
        <w:pStyle w:val="Heading3"/>
        <w:numPr>
          <w:ilvl w:val="2"/>
          <w:numId w:val="18"/>
        </w:numPr>
        <w:spacing w:before="360" w:after="120" w:line="240" w:lineRule="auto"/>
        <w:ind w:left="1134" w:hanging="1077"/>
        <w:jc w:val="both"/>
        <w:rPr>
          <w:i/>
          <w:iCs/>
        </w:rPr>
      </w:pPr>
      <w:bookmarkStart w:id="45" w:name="_Toc233635557"/>
      <w:r w:rsidRPr="00527910">
        <w:rPr>
          <w:iCs/>
        </w:rPr>
        <w:t xml:space="preserve">AASB 17 Insurance Contracts (originally appl. </w:t>
      </w:r>
      <w:r w:rsidRPr="00527910">
        <w:rPr>
          <w:iCs/>
          <w:szCs w:val="24"/>
        </w:rPr>
        <w:t>1 January 2021</w:t>
      </w:r>
      <w:r w:rsidR="000A42EE" w:rsidRPr="00527910">
        <w:rPr>
          <w:rFonts w:cstheme="minorHAnsi"/>
          <w:iCs/>
          <w:szCs w:val="22"/>
        </w:rPr>
        <w:t xml:space="preserve"> then delayed </w:t>
      </w:r>
      <w:r w:rsidR="000A42EE" w:rsidRPr="00527910">
        <w:rPr>
          <w:iCs/>
          <w:szCs w:val="24"/>
        </w:rPr>
        <w:t xml:space="preserve">to appl. </w:t>
      </w:r>
      <w:r w:rsidR="000A42EE" w:rsidRPr="00527910">
        <w:rPr>
          <w:iCs/>
        </w:rPr>
        <w:t>1 January 2023 due to issue of AASB 2020-5</w:t>
      </w:r>
      <w:r w:rsidRPr="00527910">
        <w:rPr>
          <w:iCs/>
          <w:szCs w:val="24"/>
        </w:rPr>
        <w:t xml:space="preserve"> however now </w:t>
      </w:r>
      <w:r w:rsidRPr="00527910">
        <w:rPr>
          <w:iCs/>
        </w:rPr>
        <w:t>appl. 1 J</w:t>
      </w:r>
      <w:r w:rsidR="001B7C43" w:rsidRPr="00527910">
        <w:rPr>
          <w:iCs/>
        </w:rPr>
        <w:t>uly</w:t>
      </w:r>
      <w:r w:rsidRPr="00527910">
        <w:rPr>
          <w:iCs/>
        </w:rPr>
        <w:t xml:space="preserve"> 202</w:t>
      </w:r>
      <w:r w:rsidR="00A03F0B" w:rsidRPr="00527910">
        <w:rPr>
          <w:iCs/>
        </w:rPr>
        <w:t>6</w:t>
      </w:r>
      <w:r w:rsidRPr="00527910">
        <w:rPr>
          <w:iCs/>
        </w:rPr>
        <w:t xml:space="preserve"> due to issue of</w:t>
      </w:r>
      <w:r w:rsidRPr="00BC2F87">
        <w:rPr>
          <w:iCs/>
        </w:rPr>
        <w:t xml:space="preserve"> </w:t>
      </w:r>
      <w:r w:rsidRPr="00527910">
        <w:t>AASB</w:t>
      </w:r>
      <w:r w:rsidR="00056F66" w:rsidRPr="00527910">
        <w:t> </w:t>
      </w:r>
      <w:r w:rsidRPr="00527910">
        <w:t>202</w:t>
      </w:r>
      <w:r w:rsidR="00A03F0B" w:rsidRPr="00527910">
        <w:t>2</w:t>
      </w:r>
      <w:r w:rsidR="00056F66" w:rsidRPr="00527910">
        <w:noBreakHyphen/>
      </w:r>
      <w:r w:rsidR="00A03F0B" w:rsidRPr="00527910">
        <w:t>8</w:t>
      </w:r>
      <w:r w:rsidR="00C54D3E" w:rsidRPr="00527910">
        <w:t>/AASB 2022-9</w:t>
      </w:r>
      <w:r w:rsidRPr="00BC2F87">
        <w:rPr>
          <w:iCs/>
        </w:rPr>
        <w:t>)</w:t>
      </w:r>
      <w:bookmarkEnd w:id="45"/>
    </w:p>
    <w:p w14:paraId="03195F9C" w14:textId="77777777" w:rsidR="0094757A" w:rsidRPr="00533A6C" w:rsidRDefault="0094757A" w:rsidP="00CE23E5">
      <w:pPr>
        <w:spacing w:before="120" w:after="120" w:line="276" w:lineRule="auto"/>
        <w:jc w:val="both"/>
        <w:rPr>
          <w:bCs/>
          <w:sz w:val="22"/>
          <w:szCs w:val="22"/>
          <w:u w:val="single"/>
        </w:rPr>
      </w:pPr>
      <w:r w:rsidRPr="00533A6C">
        <w:rPr>
          <w:bCs/>
          <w:sz w:val="22"/>
          <w:szCs w:val="22"/>
          <w:u w:val="single"/>
        </w:rPr>
        <w:t>Background</w:t>
      </w:r>
    </w:p>
    <w:p w14:paraId="6954DB4C" w14:textId="13ED6D0C" w:rsidR="0074390E" w:rsidRDefault="0094757A" w:rsidP="00CE23E5">
      <w:pPr>
        <w:spacing w:before="120" w:after="120" w:line="276" w:lineRule="auto"/>
        <w:jc w:val="both"/>
        <w:rPr>
          <w:sz w:val="22"/>
          <w:szCs w:val="22"/>
        </w:rPr>
      </w:pPr>
      <w:r w:rsidRPr="00A46135">
        <w:rPr>
          <w:sz w:val="22"/>
          <w:szCs w:val="22"/>
        </w:rPr>
        <w:t xml:space="preserve">AASB 17 </w:t>
      </w:r>
      <w:r w:rsidR="006F0980" w:rsidRPr="006F0980">
        <w:rPr>
          <w:i/>
          <w:iCs/>
          <w:sz w:val="22"/>
          <w:szCs w:val="22"/>
        </w:rPr>
        <w:t>Insurance Contracts</w:t>
      </w:r>
      <w:r w:rsidR="006F0980" w:rsidRPr="006F0980">
        <w:rPr>
          <w:sz w:val="22"/>
          <w:szCs w:val="22"/>
        </w:rPr>
        <w:t xml:space="preserve"> </w:t>
      </w:r>
      <w:r w:rsidRPr="00A46135">
        <w:rPr>
          <w:sz w:val="22"/>
          <w:szCs w:val="22"/>
        </w:rPr>
        <w:t xml:space="preserve">establishes principles for the recognition, measurement, presentation and disclosure of insurance contracts issued. The objective is to ensure that </w:t>
      </w:r>
      <w:r w:rsidRPr="00A46135">
        <w:rPr>
          <w:rFonts w:cstheme="minorHAnsi"/>
          <w:sz w:val="22"/>
          <w:szCs w:val="22"/>
        </w:rPr>
        <w:t>agencies</w:t>
      </w:r>
      <w:r w:rsidRPr="00A46135">
        <w:rPr>
          <w:sz w:val="22"/>
          <w:szCs w:val="22"/>
        </w:rPr>
        <w:t xml:space="preserve"> provide relevant information in a way that faithfully represents those contracts. This information gives a basis for users of financial statements to assess the effect that contracts within the scope of the standard have on the financial position, financial performance and cash flows of the </w:t>
      </w:r>
      <w:r w:rsidRPr="00A46135">
        <w:rPr>
          <w:rFonts w:cstheme="minorHAnsi"/>
          <w:sz w:val="22"/>
          <w:szCs w:val="22"/>
        </w:rPr>
        <w:t>agenc</w:t>
      </w:r>
      <w:r w:rsidRPr="00A46135">
        <w:rPr>
          <w:sz w:val="22"/>
          <w:szCs w:val="22"/>
        </w:rPr>
        <w:t xml:space="preserve">y.  </w:t>
      </w:r>
    </w:p>
    <w:p w14:paraId="23934126" w14:textId="01EA3E52" w:rsidR="00EF1A8C" w:rsidRDefault="006F0980" w:rsidP="00CE23E5">
      <w:pPr>
        <w:spacing w:before="120" w:after="120" w:line="276" w:lineRule="auto"/>
        <w:jc w:val="both"/>
        <w:rPr>
          <w:sz w:val="22"/>
          <w:szCs w:val="22"/>
        </w:rPr>
      </w:pPr>
      <w:r w:rsidRPr="00ED2E38">
        <w:rPr>
          <w:sz w:val="22"/>
          <w:szCs w:val="22"/>
        </w:rPr>
        <w:t>AASB 17 combine</w:t>
      </w:r>
      <w:r>
        <w:rPr>
          <w:sz w:val="22"/>
          <w:szCs w:val="22"/>
        </w:rPr>
        <w:t>s</w:t>
      </w:r>
      <w:r w:rsidRPr="00ED2E38">
        <w:rPr>
          <w:sz w:val="22"/>
          <w:szCs w:val="22"/>
        </w:rPr>
        <w:t xml:space="preserve"> AASB 4</w:t>
      </w:r>
      <w:r>
        <w:rPr>
          <w:sz w:val="22"/>
          <w:szCs w:val="22"/>
        </w:rPr>
        <w:t xml:space="preserve"> </w:t>
      </w:r>
      <w:r w:rsidRPr="00ED2E38">
        <w:rPr>
          <w:i/>
          <w:iCs/>
          <w:sz w:val="22"/>
          <w:szCs w:val="22"/>
        </w:rPr>
        <w:t>Insurance Contracts</w:t>
      </w:r>
      <w:r w:rsidRPr="00ED2E38">
        <w:rPr>
          <w:sz w:val="22"/>
          <w:szCs w:val="22"/>
        </w:rPr>
        <w:t xml:space="preserve">, AASB 1023 </w:t>
      </w:r>
      <w:r w:rsidRPr="0074390E">
        <w:rPr>
          <w:i/>
          <w:iCs/>
          <w:sz w:val="22"/>
          <w:szCs w:val="22"/>
        </w:rPr>
        <w:t>General I</w:t>
      </w:r>
      <w:r w:rsidRPr="00ED2E38">
        <w:rPr>
          <w:i/>
          <w:iCs/>
          <w:sz w:val="22"/>
          <w:szCs w:val="22"/>
        </w:rPr>
        <w:t>nsurance Contracts</w:t>
      </w:r>
      <w:r w:rsidRPr="00ED2E38">
        <w:rPr>
          <w:sz w:val="22"/>
          <w:szCs w:val="22"/>
        </w:rPr>
        <w:t xml:space="preserve"> </w:t>
      </w:r>
      <w:r>
        <w:rPr>
          <w:sz w:val="22"/>
          <w:szCs w:val="22"/>
        </w:rPr>
        <w:t>and</w:t>
      </w:r>
      <w:r w:rsidRPr="00ED2E38">
        <w:rPr>
          <w:sz w:val="22"/>
          <w:szCs w:val="22"/>
        </w:rPr>
        <w:t xml:space="preserve"> AASB</w:t>
      </w:r>
      <w:r>
        <w:rPr>
          <w:sz w:val="22"/>
          <w:szCs w:val="22"/>
        </w:rPr>
        <w:t> </w:t>
      </w:r>
      <w:r w:rsidRPr="00ED2E38">
        <w:rPr>
          <w:sz w:val="22"/>
          <w:szCs w:val="22"/>
        </w:rPr>
        <w:t xml:space="preserve">1038 </w:t>
      </w:r>
      <w:r w:rsidRPr="00ED2E38">
        <w:rPr>
          <w:i/>
          <w:iCs/>
          <w:sz w:val="22"/>
          <w:szCs w:val="22"/>
        </w:rPr>
        <w:t>Life Insurance Contracts</w:t>
      </w:r>
      <w:r w:rsidRPr="00ED2E38">
        <w:rPr>
          <w:sz w:val="22"/>
          <w:szCs w:val="22"/>
        </w:rPr>
        <w:t xml:space="preserve"> into one standard</w:t>
      </w:r>
      <w:r w:rsidR="00EF1A8C">
        <w:rPr>
          <w:sz w:val="22"/>
          <w:szCs w:val="22"/>
        </w:rPr>
        <w:t>.</w:t>
      </w:r>
    </w:p>
    <w:p w14:paraId="3F906428" w14:textId="7A64A1CB" w:rsidR="00736438" w:rsidRPr="0020744C" w:rsidRDefault="00096B1A" w:rsidP="00CE23E5">
      <w:pPr>
        <w:spacing w:before="120" w:after="120" w:line="276" w:lineRule="auto"/>
        <w:jc w:val="both"/>
        <w:rPr>
          <w:sz w:val="22"/>
          <w:szCs w:val="22"/>
        </w:rPr>
      </w:pPr>
      <w:r>
        <w:rPr>
          <w:sz w:val="22"/>
          <w:szCs w:val="22"/>
        </w:rPr>
        <w:t xml:space="preserve">The information in this section regarding AASB 17 should be read in conjunction with </w:t>
      </w:r>
      <w:r w:rsidR="00736438">
        <w:rPr>
          <w:sz w:val="22"/>
          <w:szCs w:val="22"/>
        </w:rPr>
        <w:t>Section 3.2.</w:t>
      </w:r>
      <w:r w:rsidR="00A83771">
        <w:rPr>
          <w:sz w:val="22"/>
          <w:szCs w:val="22"/>
        </w:rPr>
        <w:t>3</w:t>
      </w:r>
      <w:r w:rsidR="00736438">
        <w:rPr>
          <w:sz w:val="22"/>
          <w:szCs w:val="22"/>
        </w:rPr>
        <w:t xml:space="preserve"> </w:t>
      </w:r>
      <w:r w:rsidR="00736438" w:rsidRPr="004832B8">
        <w:rPr>
          <w:i/>
          <w:iCs/>
          <w:sz w:val="22"/>
          <w:szCs w:val="22"/>
        </w:rPr>
        <w:t>AASB 2022-9 Amendments to Australian Accounting Standards – Insurance Contracts in the Public Sector</w:t>
      </w:r>
      <w:r w:rsidR="00090E32">
        <w:rPr>
          <w:sz w:val="22"/>
          <w:szCs w:val="22"/>
        </w:rPr>
        <w:t>.</w:t>
      </w:r>
      <w:r w:rsidR="00736438" w:rsidRPr="00090E32">
        <w:rPr>
          <w:sz w:val="22"/>
          <w:szCs w:val="22"/>
        </w:rPr>
        <w:t xml:space="preserve"> </w:t>
      </w:r>
    </w:p>
    <w:p w14:paraId="7246210A" w14:textId="6973F258" w:rsidR="0094757A" w:rsidRPr="00533A6C" w:rsidRDefault="0094757A" w:rsidP="00CE23E5">
      <w:pPr>
        <w:spacing w:before="120" w:after="120" w:line="276" w:lineRule="auto"/>
        <w:jc w:val="both"/>
        <w:rPr>
          <w:bCs/>
          <w:sz w:val="22"/>
          <w:szCs w:val="22"/>
          <w:u w:val="single"/>
        </w:rPr>
      </w:pPr>
      <w:r w:rsidRPr="00533A6C">
        <w:rPr>
          <w:bCs/>
          <w:sz w:val="22"/>
          <w:szCs w:val="22"/>
          <w:u w:val="single"/>
        </w:rPr>
        <w:t>Impact</w:t>
      </w:r>
    </w:p>
    <w:p w14:paraId="2BFC6047" w14:textId="7FE92E36" w:rsidR="00886C0D" w:rsidRDefault="00E47E33" w:rsidP="00CE23E5">
      <w:pPr>
        <w:spacing w:before="120" w:after="120" w:line="276" w:lineRule="auto"/>
        <w:jc w:val="both"/>
        <w:rPr>
          <w:rFonts w:cstheme="minorHAnsi"/>
          <w:sz w:val="22"/>
          <w:szCs w:val="22"/>
        </w:rPr>
      </w:pPr>
      <w:r>
        <w:rPr>
          <w:rFonts w:cstheme="minorHAnsi"/>
          <w:sz w:val="22"/>
          <w:szCs w:val="22"/>
        </w:rPr>
        <w:t>Most d</w:t>
      </w:r>
      <w:r w:rsidRPr="005E5FEC">
        <w:rPr>
          <w:rFonts w:cstheme="minorHAnsi"/>
          <w:sz w:val="22"/>
          <w:szCs w:val="22"/>
        </w:rPr>
        <w:t xml:space="preserve">irectorates and territory authorities do not </w:t>
      </w:r>
      <w:r>
        <w:rPr>
          <w:rFonts w:cstheme="minorHAnsi"/>
          <w:sz w:val="22"/>
          <w:szCs w:val="22"/>
        </w:rPr>
        <w:t>issue insurance contracts</w:t>
      </w:r>
      <w:r w:rsidR="00671846">
        <w:rPr>
          <w:rFonts w:cstheme="minorHAnsi"/>
          <w:sz w:val="22"/>
          <w:szCs w:val="22"/>
        </w:rPr>
        <w:t>, reinsurance contracts</w:t>
      </w:r>
      <w:r>
        <w:rPr>
          <w:rFonts w:cstheme="minorHAnsi"/>
          <w:sz w:val="22"/>
          <w:szCs w:val="22"/>
        </w:rPr>
        <w:t xml:space="preserve"> </w:t>
      </w:r>
      <w:r w:rsidR="00671846">
        <w:rPr>
          <w:rFonts w:cstheme="minorHAnsi"/>
          <w:sz w:val="22"/>
          <w:szCs w:val="22"/>
        </w:rPr>
        <w:t>and</w:t>
      </w:r>
      <w:r>
        <w:rPr>
          <w:rFonts w:cstheme="minorHAnsi"/>
          <w:sz w:val="22"/>
          <w:szCs w:val="22"/>
        </w:rPr>
        <w:t xml:space="preserve"> investment contracts </w:t>
      </w:r>
      <w:r w:rsidRPr="00671846">
        <w:rPr>
          <w:rFonts w:cstheme="minorHAnsi"/>
          <w:sz w:val="22"/>
          <w:szCs w:val="22"/>
        </w:rPr>
        <w:t>with discretionary participation features</w:t>
      </w:r>
      <w:r>
        <w:rPr>
          <w:rFonts w:cstheme="minorHAnsi"/>
          <w:sz w:val="22"/>
          <w:szCs w:val="22"/>
        </w:rPr>
        <w:t xml:space="preserve"> </w:t>
      </w:r>
      <w:r w:rsidRPr="005E5FEC">
        <w:rPr>
          <w:rFonts w:cstheme="minorHAnsi"/>
          <w:sz w:val="22"/>
          <w:szCs w:val="22"/>
        </w:rPr>
        <w:t>and as such this standard will not apply to most agencies. Directorates and territory authorities that have</w:t>
      </w:r>
      <w:r>
        <w:rPr>
          <w:rFonts w:cstheme="minorHAnsi"/>
          <w:sz w:val="22"/>
          <w:szCs w:val="22"/>
        </w:rPr>
        <w:t xml:space="preserve"> these type</w:t>
      </w:r>
      <w:r w:rsidR="007D0D11">
        <w:rPr>
          <w:rFonts w:cstheme="minorHAnsi"/>
          <w:sz w:val="22"/>
          <w:szCs w:val="22"/>
        </w:rPr>
        <w:t>s</w:t>
      </w:r>
      <w:r>
        <w:rPr>
          <w:rFonts w:cstheme="minorHAnsi"/>
          <w:sz w:val="22"/>
          <w:szCs w:val="22"/>
        </w:rPr>
        <w:t xml:space="preserve"> of </w:t>
      </w:r>
      <w:r w:rsidR="007D0D11">
        <w:rPr>
          <w:rFonts w:cstheme="minorHAnsi"/>
          <w:sz w:val="22"/>
          <w:szCs w:val="22"/>
        </w:rPr>
        <w:t>contracts</w:t>
      </w:r>
      <w:r>
        <w:rPr>
          <w:rFonts w:cstheme="minorHAnsi"/>
          <w:sz w:val="22"/>
          <w:szCs w:val="22"/>
        </w:rPr>
        <w:t xml:space="preserve"> will </w:t>
      </w:r>
      <w:r w:rsidRPr="005E5FEC">
        <w:rPr>
          <w:rFonts w:cstheme="minorHAnsi"/>
          <w:sz w:val="22"/>
          <w:szCs w:val="22"/>
        </w:rPr>
        <w:t>need to assess the impacts of this standard.</w:t>
      </w:r>
      <w:r w:rsidR="003329CC" w:rsidRPr="003329CC">
        <w:rPr>
          <w:rFonts w:cstheme="minorHAnsi"/>
          <w:sz w:val="22"/>
          <w:szCs w:val="22"/>
        </w:rPr>
        <w:t xml:space="preserve"> </w:t>
      </w:r>
      <w:r w:rsidR="003329CC">
        <w:rPr>
          <w:rFonts w:cstheme="minorHAnsi"/>
          <w:sz w:val="22"/>
          <w:szCs w:val="22"/>
        </w:rPr>
        <w:t>Agencies should also assess the applicability of AASB</w:t>
      </w:r>
      <w:r w:rsidR="00813744">
        <w:rPr>
          <w:rFonts w:cstheme="minorHAnsi"/>
          <w:sz w:val="22"/>
          <w:szCs w:val="22"/>
        </w:rPr>
        <w:t> </w:t>
      </w:r>
      <w:r w:rsidR="003329CC">
        <w:rPr>
          <w:rFonts w:cstheme="minorHAnsi"/>
          <w:sz w:val="22"/>
          <w:szCs w:val="22"/>
        </w:rPr>
        <w:t>2022</w:t>
      </w:r>
      <w:r w:rsidR="002E364F">
        <w:rPr>
          <w:rFonts w:cstheme="minorHAnsi"/>
          <w:sz w:val="22"/>
          <w:szCs w:val="22"/>
        </w:rPr>
        <w:noBreakHyphen/>
      </w:r>
      <w:r w:rsidR="003329CC">
        <w:rPr>
          <w:rFonts w:cstheme="minorHAnsi"/>
          <w:sz w:val="22"/>
          <w:szCs w:val="22"/>
        </w:rPr>
        <w:t>9 discussed in Section 3.2.</w:t>
      </w:r>
      <w:r w:rsidR="00A83771">
        <w:rPr>
          <w:rFonts w:cstheme="minorHAnsi"/>
          <w:sz w:val="22"/>
          <w:szCs w:val="22"/>
        </w:rPr>
        <w:t>3</w:t>
      </w:r>
      <w:r w:rsidR="003329CC">
        <w:rPr>
          <w:rFonts w:cstheme="minorHAnsi"/>
          <w:sz w:val="22"/>
          <w:szCs w:val="22"/>
        </w:rPr>
        <w:t xml:space="preserve"> below.</w:t>
      </w:r>
      <w:r w:rsidR="00321A9F">
        <w:rPr>
          <w:rFonts w:cstheme="minorHAnsi"/>
          <w:sz w:val="22"/>
          <w:szCs w:val="22"/>
        </w:rPr>
        <w:t xml:space="preserve"> </w:t>
      </w:r>
    </w:p>
    <w:p w14:paraId="3B7E596D" w14:textId="1F8067AE" w:rsidR="0094757A" w:rsidRPr="00BC7A28" w:rsidRDefault="0094757A" w:rsidP="00BC7A28">
      <w:pPr>
        <w:pStyle w:val="Heading3"/>
        <w:numPr>
          <w:ilvl w:val="2"/>
          <w:numId w:val="18"/>
        </w:numPr>
        <w:spacing w:before="480" w:after="120" w:line="240" w:lineRule="auto"/>
        <w:ind w:left="1134" w:hanging="1077"/>
        <w:jc w:val="both"/>
        <w:rPr>
          <w:bCs/>
        </w:rPr>
      </w:pPr>
      <w:bookmarkStart w:id="46" w:name="_Toc68684845"/>
      <w:bookmarkStart w:id="47" w:name="_Toc68685151"/>
      <w:bookmarkStart w:id="48" w:name="_Toc68685253"/>
      <w:bookmarkStart w:id="49" w:name="_Toc68685355"/>
      <w:bookmarkStart w:id="50" w:name="_Toc68685457"/>
      <w:bookmarkStart w:id="51" w:name="_Toc68685559"/>
      <w:bookmarkStart w:id="52" w:name="_Toc68685663"/>
      <w:bookmarkStart w:id="53" w:name="_Toc68685912"/>
      <w:bookmarkStart w:id="54" w:name="_Toc68684846"/>
      <w:bookmarkStart w:id="55" w:name="_Toc68685152"/>
      <w:bookmarkStart w:id="56" w:name="_Toc68685254"/>
      <w:bookmarkStart w:id="57" w:name="_Toc68685356"/>
      <w:bookmarkStart w:id="58" w:name="_Toc68685458"/>
      <w:bookmarkStart w:id="59" w:name="_Toc68685560"/>
      <w:bookmarkStart w:id="60" w:name="_Toc68685664"/>
      <w:bookmarkStart w:id="61" w:name="_Toc68685913"/>
      <w:bookmarkStart w:id="62" w:name="_Toc68684847"/>
      <w:bookmarkStart w:id="63" w:name="_Toc68685153"/>
      <w:bookmarkStart w:id="64" w:name="_Toc68685255"/>
      <w:bookmarkStart w:id="65" w:name="_Toc68685357"/>
      <w:bookmarkStart w:id="66" w:name="_Toc68685459"/>
      <w:bookmarkStart w:id="67" w:name="_Toc68685561"/>
      <w:bookmarkStart w:id="68" w:name="_Toc68685665"/>
      <w:bookmarkStart w:id="69" w:name="_Toc68685914"/>
      <w:bookmarkStart w:id="70" w:name="_Toc68684848"/>
      <w:bookmarkStart w:id="71" w:name="_Toc68685154"/>
      <w:bookmarkStart w:id="72" w:name="_Toc68685256"/>
      <w:bookmarkStart w:id="73" w:name="_Toc68685358"/>
      <w:bookmarkStart w:id="74" w:name="_Toc68685460"/>
      <w:bookmarkStart w:id="75" w:name="_Toc68685562"/>
      <w:bookmarkStart w:id="76" w:name="_Toc68685666"/>
      <w:bookmarkStart w:id="77" w:name="_Toc68685915"/>
      <w:bookmarkStart w:id="78" w:name="_Toc68684849"/>
      <w:bookmarkStart w:id="79" w:name="_Toc68685155"/>
      <w:bookmarkStart w:id="80" w:name="_Toc68685257"/>
      <w:bookmarkStart w:id="81" w:name="_Toc68685359"/>
      <w:bookmarkStart w:id="82" w:name="_Toc68685461"/>
      <w:bookmarkStart w:id="83" w:name="_Toc68685563"/>
      <w:bookmarkStart w:id="84" w:name="_Toc68685667"/>
      <w:bookmarkStart w:id="85" w:name="_Toc68685916"/>
      <w:bookmarkStart w:id="86" w:name="_Toc68684850"/>
      <w:bookmarkStart w:id="87" w:name="_Toc68685156"/>
      <w:bookmarkStart w:id="88" w:name="_Toc68685258"/>
      <w:bookmarkStart w:id="89" w:name="_Toc68685360"/>
      <w:bookmarkStart w:id="90" w:name="_Toc68685462"/>
      <w:bookmarkStart w:id="91" w:name="_Toc68685564"/>
      <w:bookmarkStart w:id="92" w:name="_Toc68685668"/>
      <w:bookmarkStart w:id="93" w:name="_Toc68685917"/>
      <w:bookmarkStart w:id="94" w:name="_Toc68684851"/>
      <w:bookmarkStart w:id="95" w:name="_Toc68685157"/>
      <w:bookmarkStart w:id="96" w:name="_Toc68685259"/>
      <w:bookmarkStart w:id="97" w:name="_Toc68685361"/>
      <w:bookmarkStart w:id="98" w:name="_Toc68685463"/>
      <w:bookmarkStart w:id="99" w:name="_Toc68685565"/>
      <w:bookmarkStart w:id="100" w:name="_Toc68685669"/>
      <w:bookmarkStart w:id="101" w:name="_Toc68685918"/>
      <w:bookmarkStart w:id="102" w:name="_Toc68684852"/>
      <w:bookmarkStart w:id="103" w:name="_Toc68685158"/>
      <w:bookmarkStart w:id="104" w:name="_Toc68685260"/>
      <w:bookmarkStart w:id="105" w:name="_Toc68685362"/>
      <w:bookmarkStart w:id="106" w:name="_Toc68685464"/>
      <w:bookmarkStart w:id="107" w:name="_Toc68685566"/>
      <w:bookmarkStart w:id="108" w:name="_Toc68685670"/>
      <w:bookmarkStart w:id="109" w:name="_Toc68685919"/>
      <w:bookmarkStart w:id="110" w:name="_Toc68684853"/>
      <w:bookmarkStart w:id="111" w:name="_Toc68685159"/>
      <w:bookmarkStart w:id="112" w:name="_Toc68685261"/>
      <w:bookmarkStart w:id="113" w:name="_Toc68685363"/>
      <w:bookmarkStart w:id="114" w:name="_Toc68685465"/>
      <w:bookmarkStart w:id="115" w:name="_Toc68685567"/>
      <w:bookmarkStart w:id="116" w:name="_Toc68685671"/>
      <w:bookmarkStart w:id="117" w:name="_Toc68685920"/>
      <w:bookmarkStart w:id="118" w:name="_Toc2336355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9C7CBA">
        <w:rPr>
          <w:iCs/>
        </w:rPr>
        <w:t xml:space="preserve">AASB 2014-10 Amendments to Australian Accounting Standards – Sale or Contribution of Assets between an Investor and </w:t>
      </w:r>
      <w:r w:rsidR="00D07C66">
        <w:rPr>
          <w:iCs/>
        </w:rPr>
        <w:t>i</w:t>
      </w:r>
      <w:r w:rsidRPr="009C7CBA">
        <w:rPr>
          <w:iCs/>
        </w:rPr>
        <w:t xml:space="preserve">ts Associate or Joint Venture </w:t>
      </w:r>
      <w:r w:rsidR="00E7036B" w:rsidRPr="009C7CBA">
        <w:rPr>
          <w:iCs/>
        </w:rPr>
        <w:t xml:space="preserve">(originally appl. </w:t>
      </w:r>
      <w:r w:rsidR="00E7036B" w:rsidRPr="009C7CBA">
        <w:rPr>
          <w:iCs/>
          <w:szCs w:val="24"/>
        </w:rPr>
        <w:t>1 January 20</w:t>
      </w:r>
      <w:r w:rsidR="00BC7A28">
        <w:rPr>
          <w:iCs/>
          <w:szCs w:val="24"/>
        </w:rPr>
        <w:t>16,</w:t>
      </w:r>
      <w:r w:rsidR="00E7036B" w:rsidRPr="009C7CBA">
        <w:rPr>
          <w:iCs/>
          <w:szCs w:val="24"/>
        </w:rPr>
        <w:t xml:space="preserve"> </w:t>
      </w:r>
      <w:r w:rsidR="006701E2">
        <w:rPr>
          <w:iCs/>
          <w:szCs w:val="24"/>
        </w:rPr>
        <w:t xml:space="preserve">then delayed </w:t>
      </w:r>
      <w:r w:rsidR="00BC7A28" w:rsidRPr="00BC7A28">
        <w:rPr>
          <w:rFonts w:cstheme="minorHAnsi"/>
          <w:szCs w:val="22"/>
        </w:rPr>
        <w:t xml:space="preserve">to </w:t>
      </w:r>
      <w:r w:rsidR="00BC7A28">
        <w:rPr>
          <w:rFonts w:cstheme="minorHAnsi"/>
          <w:szCs w:val="22"/>
        </w:rPr>
        <w:t xml:space="preserve">appl. </w:t>
      </w:r>
      <w:r w:rsidR="00BC7A28" w:rsidRPr="00BC7A28">
        <w:rPr>
          <w:rFonts w:cstheme="minorHAnsi"/>
          <w:szCs w:val="22"/>
        </w:rPr>
        <w:t>1 January 2018 through AASB 2015-10</w:t>
      </w:r>
      <w:r w:rsidR="00BC7A28">
        <w:rPr>
          <w:rFonts w:cstheme="minorHAnsi"/>
          <w:szCs w:val="22"/>
        </w:rPr>
        <w:t>,</w:t>
      </w:r>
      <w:r w:rsidR="00BC7A28" w:rsidRPr="00BC7A28">
        <w:rPr>
          <w:rFonts w:cstheme="minorHAnsi"/>
          <w:szCs w:val="22"/>
        </w:rPr>
        <w:t xml:space="preserve"> then delayed</w:t>
      </w:r>
      <w:r w:rsidR="00BC7A28" w:rsidRPr="00BC7A28">
        <w:rPr>
          <w:rFonts w:cstheme="minorHAnsi"/>
          <w:i/>
          <w:iCs/>
          <w:szCs w:val="22"/>
        </w:rPr>
        <w:t xml:space="preserve"> </w:t>
      </w:r>
      <w:r w:rsidR="006701E2" w:rsidRPr="00BC7A28">
        <w:rPr>
          <w:iCs/>
          <w:szCs w:val="24"/>
        </w:rPr>
        <w:t xml:space="preserve">to appl. </w:t>
      </w:r>
      <w:r w:rsidR="006701E2" w:rsidRPr="00BC7A28">
        <w:rPr>
          <w:iCs/>
        </w:rPr>
        <w:t xml:space="preserve">1 January 2025 due to issue of </w:t>
      </w:r>
      <w:r w:rsidR="006701E2" w:rsidRPr="00BC7A28">
        <w:t>AASB 2021-7</w:t>
      </w:r>
      <w:r w:rsidR="00527910">
        <w:t>c</w:t>
      </w:r>
      <w:r w:rsidR="006701E2" w:rsidRPr="00BC7A28">
        <w:t xml:space="preserve">, </w:t>
      </w:r>
      <w:r w:rsidR="00E7036B" w:rsidRPr="00BC7A28">
        <w:rPr>
          <w:szCs w:val="24"/>
        </w:rPr>
        <w:t xml:space="preserve">however now </w:t>
      </w:r>
      <w:r w:rsidR="00E7036B" w:rsidRPr="00BC7A28">
        <w:t xml:space="preserve">appl. </w:t>
      </w:r>
      <w:r w:rsidR="006701E2" w:rsidRPr="00BC7A28">
        <w:t>1 January 2028 due to issue of AASB 2024-4</w:t>
      </w:r>
      <w:r w:rsidR="00BA0AA5" w:rsidRPr="00BC7A28">
        <w:t>b</w:t>
      </w:r>
      <w:r w:rsidR="00E7036B" w:rsidRPr="00BC7A28">
        <w:rPr>
          <w:iCs/>
        </w:rPr>
        <w:t>)</w:t>
      </w:r>
      <w:bookmarkEnd w:id="118"/>
      <w:r w:rsidRPr="00BC7A28">
        <w:rPr>
          <w:iCs/>
        </w:rPr>
        <w:t xml:space="preserve"> </w:t>
      </w:r>
    </w:p>
    <w:p w14:paraId="79397E37" w14:textId="77777777" w:rsidR="0094757A" w:rsidRPr="00533A6C" w:rsidRDefault="0094757A" w:rsidP="00CE23E5">
      <w:pPr>
        <w:spacing w:before="120" w:after="120" w:line="276" w:lineRule="auto"/>
        <w:jc w:val="both"/>
        <w:rPr>
          <w:rFonts w:cs="Calibri"/>
          <w:bCs/>
          <w:sz w:val="22"/>
          <w:szCs w:val="22"/>
          <w:u w:val="single"/>
        </w:rPr>
      </w:pPr>
      <w:r w:rsidRPr="00533A6C">
        <w:rPr>
          <w:rFonts w:cs="Calibri"/>
          <w:bCs/>
          <w:sz w:val="22"/>
          <w:szCs w:val="22"/>
          <w:u w:val="single"/>
        </w:rPr>
        <w:t>Background</w:t>
      </w:r>
    </w:p>
    <w:p w14:paraId="2DABF918" w14:textId="56337007" w:rsidR="0094757A" w:rsidRPr="00FE3BDC" w:rsidRDefault="0094757A" w:rsidP="00CE23E5">
      <w:pPr>
        <w:spacing w:before="120" w:after="120" w:line="276" w:lineRule="auto"/>
        <w:jc w:val="both"/>
        <w:rPr>
          <w:rFonts w:cs="Calibri"/>
          <w:sz w:val="22"/>
          <w:szCs w:val="22"/>
        </w:rPr>
      </w:pPr>
      <w:r w:rsidRPr="00FE3BDC">
        <w:rPr>
          <w:sz w:val="22"/>
          <w:szCs w:val="22"/>
        </w:rPr>
        <w:t xml:space="preserve">AASB 2014-10 amends AASB 10 </w:t>
      </w:r>
      <w:r w:rsidRPr="00FE3BDC">
        <w:rPr>
          <w:i/>
          <w:sz w:val="22"/>
          <w:szCs w:val="22"/>
        </w:rPr>
        <w:t>Consolidated Financial Statements</w:t>
      </w:r>
      <w:r w:rsidRPr="00FE3BDC">
        <w:rPr>
          <w:sz w:val="22"/>
          <w:szCs w:val="22"/>
        </w:rPr>
        <w:t xml:space="preserve"> and AASB 128 </w:t>
      </w:r>
      <w:r w:rsidRPr="00FE3BDC">
        <w:rPr>
          <w:i/>
          <w:sz w:val="22"/>
          <w:szCs w:val="22"/>
        </w:rPr>
        <w:t>Investments in Associates and Joint Ventures</w:t>
      </w:r>
      <w:r w:rsidRPr="00FE3BDC">
        <w:rPr>
          <w:sz w:val="22"/>
          <w:szCs w:val="22"/>
        </w:rPr>
        <w:t xml:space="preserve"> to address an inconsistency between the</w:t>
      </w:r>
      <w:r w:rsidRPr="00FE3BDC">
        <w:rPr>
          <w:rFonts w:cs="Calibri"/>
          <w:sz w:val="22"/>
          <w:szCs w:val="22"/>
        </w:rPr>
        <w:t xml:space="preserve"> requirements in </w:t>
      </w:r>
      <w:r w:rsidR="004A73C6">
        <w:rPr>
          <w:rFonts w:cs="Calibri"/>
          <w:sz w:val="22"/>
          <w:szCs w:val="22"/>
        </w:rPr>
        <w:t xml:space="preserve">these two </w:t>
      </w:r>
      <w:r w:rsidR="004A73C6">
        <w:rPr>
          <w:rFonts w:cs="Calibri"/>
          <w:sz w:val="22"/>
          <w:szCs w:val="22"/>
        </w:rPr>
        <w:lastRenderedPageBreak/>
        <w:t>standards</w:t>
      </w:r>
      <w:r w:rsidRPr="00FE3BDC">
        <w:rPr>
          <w:rFonts w:cs="Calibri"/>
          <w:sz w:val="22"/>
          <w:szCs w:val="22"/>
        </w:rPr>
        <w:t>, in dealing with the sale or contribution of assets between an investor and its associate or joint venture. The amendments require:</w:t>
      </w:r>
    </w:p>
    <w:p w14:paraId="397FE3F6" w14:textId="77777777" w:rsidR="0094757A" w:rsidRPr="00FE3BDC" w:rsidRDefault="0094757A" w:rsidP="001E7B4C">
      <w:pPr>
        <w:numPr>
          <w:ilvl w:val="0"/>
          <w:numId w:val="14"/>
        </w:numPr>
        <w:tabs>
          <w:tab w:val="clear" w:pos="360"/>
        </w:tabs>
        <w:autoSpaceDE w:val="0"/>
        <w:autoSpaceDN w:val="0"/>
        <w:adjustRightInd w:val="0"/>
        <w:spacing w:before="120" w:after="120" w:line="276" w:lineRule="auto"/>
        <w:ind w:left="851"/>
        <w:jc w:val="both"/>
        <w:rPr>
          <w:rFonts w:cs="Calibri"/>
          <w:sz w:val="22"/>
          <w:szCs w:val="22"/>
        </w:rPr>
      </w:pPr>
      <w:r w:rsidRPr="00FE3BDC">
        <w:rPr>
          <w:rFonts w:cs="Calibri"/>
          <w:sz w:val="22"/>
          <w:szCs w:val="22"/>
        </w:rPr>
        <w:t>a full gain or loss to be recognised when a transaction involves a business (whether it is housed in a subsidiary or not); and</w:t>
      </w:r>
    </w:p>
    <w:p w14:paraId="7A5930D3" w14:textId="77777777" w:rsidR="0094757A" w:rsidRPr="00FE3BDC" w:rsidRDefault="0094757A" w:rsidP="001E7B4C">
      <w:pPr>
        <w:numPr>
          <w:ilvl w:val="0"/>
          <w:numId w:val="14"/>
        </w:numPr>
        <w:tabs>
          <w:tab w:val="clear" w:pos="360"/>
        </w:tabs>
        <w:autoSpaceDE w:val="0"/>
        <w:autoSpaceDN w:val="0"/>
        <w:adjustRightInd w:val="0"/>
        <w:spacing w:before="120" w:after="120" w:line="276" w:lineRule="auto"/>
        <w:ind w:left="851"/>
        <w:jc w:val="both"/>
        <w:rPr>
          <w:rFonts w:cs="Calibri"/>
          <w:sz w:val="22"/>
          <w:szCs w:val="22"/>
        </w:rPr>
      </w:pPr>
      <w:r w:rsidRPr="00FE3BDC">
        <w:rPr>
          <w:rFonts w:cs="Calibri"/>
          <w:sz w:val="22"/>
          <w:szCs w:val="22"/>
        </w:rPr>
        <w:t>a partial gain or loss to be recognised when a transaction involves assets that do not constitute a business, even if these assets are housed in a subsidiary.</w:t>
      </w:r>
    </w:p>
    <w:p w14:paraId="3B7432A0" w14:textId="0888F0CF" w:rsidR="00BA0AA5" w:rsidRDefault="00BA0AA5" w:rsidP="00CE23E5">
      <w:pPr>
        <w:keepNext/>
        <w:spacing w:before="120" w:after="120" w:line="276" w:lineRule="auto"/>
        <w:jc w:val="both"/>
        <w:rPr>
          <w:rFonts w:cs="Calibri"/>
          <w:sz w:val="22"/>
          <w:szCs w:val="22"/>
        </w:rPr>
      </w:pPr>
      <w:r w:rsidRPr="00BA0AA5">
        <w:rPr>
          <w:rFonts w:cs="Calibri"/>
          <w:sz w:val="22"/>
          <w:szCs w:val="22"/>
        </w:rPr>
        <w:t>This Standard also makes an editorial correction to AASB 10.</w:t>
      </w:r>
    </w:p>
    <w:p w14:paraId="4AB31466" w14:textId="74B72734" w:rsidR="0094757A" w:rsidRPr="001A4497" w:rsidRDefault="001A4497" w:rsidP="00CE23E5">
      <w:pPr>
        <w:keepNext/>
        <w:spacing w:before="120" w:after="120" w:line="276" w:lineRule="auto"/>
        <w:jc w:val="both"/>
        <w:rPr>
          <w:rFonts w:cs="Calibri"/>
          <w:sz w:val="22"/>
          <w:szCs w:val="22"/>
        </w:rPr>
      </w:pPr>
      <w:r>
        <w:rPr>
          <w:rFonts w:cs="Calibri"/>
          <w:sz w:val="22"/>
          <w:szCs w:val="22"/>
        </w:rPr>
        <w:t xml:space="preserve">Note that this application date has been extended to </w:t>
      </w:r>
      <w:r w:rsidR="00BA0AA5" w:rsidRPr="00BA0AA5">
        <w:rPr>
          <w:rFonts w:cs="Calibri"/>
          <w:sz w:val="22"/>
          <w:szCs w:val="22"/>
        </w:rPr>
        <w:t xml:space="preserve">1 January 2028 </w:t>
      </w:r>
      <w:r w:rsidR="00061F6B">
        <w:rPr>
          <w:rFonts w:cs="Calibri"/>
          <w:sz w:val="22"/>
          <w:szCs w:val="22"/>
        </w:rPr>
        <w:t>by</w:t>
      </w:r>
      <w:r w:rsidR="00BA0AA5" w:rsidRPr="00BA0AA5">
        <w:rPr>
          <w:rFonts w:cs="Calibri"/>
          <w:sz w:val="22"/>
          <w:szCs w:val="22"/>
        </w:rPr>
        <w:t xml:space="preserve"> AASB 2024-4b</w:t>
      </w:r>
      <w:r w:rsidR="00061F6B">
        <w:rPr>
          <w:rFonts w:cs="Calibri"/>
          <w:sz w:val="22"/>
          <w:szCs w:val="22"/>
        </w:rPr>
        <w:t xml:space="preserve"> (see Section 3.2.</w:t>
      </w:r>
      <w:r w:rsidR="00A83771">
        <w:rPr>
          <w:rFonts w:cs="Calibri"/>
          <w:sz w:val="22"/>
          <w:szCs w:val="22"/>
        </w:rPr>
        <w:t>4</w:t>
      </w:r>
      <w:r w:rsidR="00061F6B">
        <w:rPr>
          <w:rFonts w:cs="Calibri"/>
          <w:sz w:val="22"/>
          <w:szCs w:val="22"/>
        </w:rPr>
        <w:t>)</w:t>
      </w:r>
      <w:r>
        <w:rPr>
          <w:rFonts w:cs="Calibri"/>
          <w:sz w:val="22"/>
          <w:szCs w:val="22"/>
        </w:rPr>
        <w:t>.</w:t>
      </w:r>
    </w:p>
    <w:p w14:paraId="53226FBC" w14:textId="77777777" w:rsidR="0094757A" w:rsidRPr="00533A6C" w:rsidRDefault="0094757A" w:rsidP="00CE23E5">
      <w:pPr>
        <w:autoSpaceDE w:val="0"/>
        <w:autoSpaceDN w:val="0"/>
        <w:adjustRightInd w:val="0"/>
        <w:spacing w:before="120" w:after="120" w:line="276" w:lineRule="auto"/>
        <w:jc w:val="both"/>
        <w:rPr>
          <w:rFonts w:cs="Calibri"/>
          <w:bCs/>
          <w:sz w:val="22"/>
          <w:szCs w:val="22"/>
          <w:u w:val="single"/>
        </w:rPr>
      </w:pPr>
      <w:r w:rsidRPr="00533A6C">
        <w:rPr>
          <w:rFonts w:cs="Calibri"/>
          <w:bCs/>
          <w:sz w:val="22"/>
          <w:szCs w:val="22"/>
          <w:u w:val="single"/>
        </w:rPr>
        <w:t>Impact</w:t>
      </w:r>
    </w:p>
    <w:p w14:paraId="02770B81" w14:textId="0EC9CE6F" w:rsidR="002F339E" w:rsidRDefault="0094757A" w:rsidP="00C7305F">
      <w:pPr>
        <w:spacing w:before="120" w:after="120" w:line="276" w:lineRule="auto"/>
        <w:jc w:val="both"/>
        <w:rPr>
          <w:rFonts w:cs="Calibri"/>
          <w:sz w:val="22"/>
          <w:szCs w:val="22"/>
        </w:rPr>
      </w:pPr>
      <w:r w:rsidRPr="00FE3BDC">
        <w:rPr>
          <w:rFonts w:cs="Calibri"/>
          <w:sz w:val="22"/>
          <w:szCs w:val="22"/>
        </w:rPr>
        <w:t xml:space="preserve">Directorates and territory authorities do not generally have any investments in subsidiaries, joint ventures and associates and as such this standard will </w:t>
      </w:r>
      <w:r>
        <w:rPr>
          <w:rFonts w:cs="Calibri"/>
          <w:sz w:val="22"/>
          <w:szCs w:val="22"/>
        </w:rPr>
        <w:t>not apply to</w:t>
      </w:r>
      <w:r w:rsidRPr="00FE3BDC">
        <w:rPr>
          <w:rFonts w:cs="Calibri"/>
          <w:sz w:val="22"/>
          <w:szCs w:val="22"/>
        </w:rPr>
        <w:t xml:space="preserve"> most agencies. Directorates and territory authorities that do have investments in subsidiaries, joint ventures and associates will need to assess the impacts of this standard.</w:t>
      </w:r>
    </w:p>
    <w:p w14:paraId="184D9CF8" w14:textId="7126E929" w:rsidR="00950785" w:rsidRPr="005D60D3" w:rsidRDefault="00950785" w:rsidP="00A83771">
      <w:pPr>
        <w:pStyle w:val="Heading3"/>
        <w:numPr>
          <w:ilvl w:val="2"/>
          <w:numId w:val="16"/>
        </w:numPr>
        <w:spacing w:before="480" w:line="240" w:lineRule="auto"/>
        <w:ind w:left="1134" w:hanging="1145"/>
        <w:jc w:val="both"/>
      </w:pPr>
      <w:bookmarkStart w:id="119" w:name="_Toc233635559"/>
      <w:r w:rsidRPr="005D60D3">
        <w:t>AASB 2022-9 Amendments to Australian Accounting Standards – Insurance Contracts in the Public Sector (appl. 1 July 2026)</w:t>
      </w:r>
      <w:bookmarkEnd w:id="119"/>
    </w:p>
    <w:p w14:paraId="748BA4EA" w14:textId="77777777" w:rsidR="00950785" w:rsidRPr="00533A6C" w:rsidRDefault="00950785" w:rsidP="00950785">
      <w:pPr>
        <w:pStyle w:val="NormalSF"/>
        <w:spacing w:line="276" w:lineRule="auto"/>
        <w:jc w:val="both"/>
        <w:rPr>
          <w:u w:val="single"/>
        </w:rPr>
      </w:pPr>
      <w:r w:rsidRPr="00533A6C">
        <w:rPr>
          <w:u w:val="single"/>
        </w:rPr>
        <w:t>Background</w:t>
      </w:r>
    </w:p>
    <w:p w14:paraId="53564019" w14:textId="516FB2F0" w:rsidR="00197A4A" w:rsidRPr="005532EC" w:rsidRDefault="00950785" w:rsidP="005532EC">
      <w:pPr>
        <w:pStyle w:val="NormalSF"/>
        <w:spacing w:line="276" w:lineRule="auto"/>
        <w:jc w:val="both"/>
        <w:rPr>
          <w:rFonts w:asciiTheme="minorHAnsi" w:hAnsiTheme="minorHAnsi" w:cstheme="minorHAnsi"/>
        </w:rPr>
      </w:pPr>
      <w:r w:rsidRPr="005532EC">
        <w:rPr>
          <w:rFonts w:asciiTheme="minorHAnsi" w:hAnsiTheme="minorHAnsi" w:cstheme="minorHAnsi"/>
        </w:rPr>
        <w:t xml:space="preserve">This Standard amends AASB 17 </w:t>
      </w:r>
      <w:r w:rsidR="004F6201">
        <w:rPr>
          <w:rFonts w:asciiTheme="minorHAnsi" w:hAnsiTheme="minorHAnsi" w:cstheme="minorHAnsi"/>
          <w:i/>
          <w:iCs/>
        </w:rPr>
        <w:t>Insurance Contracts</w:t>
      </w:r>
      <w:r w:rsidR="004F6201" w:rsidRPr="005532EC">
        <w:rPr>
          <w:rFonts w:asciiTheme="minorHAnsi" w:hAnsiTheme="minorHAnsi" w:cstheme="minorHAnsi"/>
        </w:rPr>
        <w:t xml:space="preserve"> </w:t>
      </w:r>
      <w:r w:rsidRPr="005532EC">
        <w:rPr>
          <w:rFonts w:asciiTheme="minorHAnsi" w:hAnsiTheme="minorHAnsi" w:cstheme="minorHAnsi"/>
        </w:rPr>
        <w:t xml:space="preserve">to include modifications that apply to public sector entities. Those modifications relate to providing public sector entities with: </w:t>
      </w:r>
    </w:p>
    <w:p w14:paraId="466E7CFD" w14:textId="6ABAC8B1" w:rsidR="00197A4A" w:rsidRPr="005532EC" w:rsidRDefault="00950785" w:rsidP="001E7B4C">
      <w:pPr>
        <w:pStyle w:val="NormalSF"/>
        <w:numPr>
          <w:ilvl w:val="0"/>
          <w:numId w:val="19"/>
        </w:numPr>
        <w:spacing w:line="276" w:lineRule="auto"/>
        <w:jc w:val="both"/>
        <w:rPr>
          <w:rFonts w:asciiTheme="minorHAnsi" w:hAnsiTheme="minorHAnsi" w:cstheme="minorHAnsi"/>
        </w:rPr>
      </w:pPr>
      <w:r w:rsidRPr="005532EC">
        <w:rPr>
          <w:rFonts w:asciiTheme="minorHAnsi" w:hAnsiTheme="minorHAnsi" w:cstheme="minorHAnsi"/>
        </w:rPr>
        <w:t xml:space="preserve">pre-requisites, indicators and other considerations that need to be judged to identify arrangements that fall within the scope of AASB 17 in a public sector context; </w:t>
      </w:r>
    </w:p>
    <w:p w14:paraId="666D9AB7" w14:textId="5861B527" w:rsidR="00197A4A" w:rsidRPr="005532EC" w:rsidRDefault="00950785" w:rsidP="001E7B4C">
      <w:pPr>
        <w:pStyle w:val="NormalSF"/>
        <w:numPr>
          <w:ilvl w:val="0"/>
          <w:numId w:val="19"/>
        </w:numPr>
        <w:spacing w:line="276" w:lineRule="auto"/>
        <w:jc w:val="both"/>
        <w:rPr>
          <w:rFonts w:asciiTheme="minorHAnsi" w:hAnsiTheme="minorHAnsi" w:cstheme="minorHAnsi"/>
        </w:rPr>
      </w:pPr>
      <w:r w:rsidRPr="005532EC">
        <w:rPr>
          <w:rFonts w:asciiTheme="minorHAnsi" w:hAnsiTheme="minorHAnsi" w:cstheme="minorHAnsi"/>
        </w:rPr>
        <w:t xml:space="preserve">an exemption from sub-grouping onerous versus non-onerous contracts at initial recognition; </w:t>
      </w:r>
    </w:p>
    <w:p w14:paraId="32E0D0CD" w14:textId="376F8E48" w:rsidR="00197A4A" w:rsidRPr="005532EC" w:rsidRDefault="00950785" w:rsidP="001E7B4C">
      <w:pPr>
        <w:pStyle w:val="NormalSF"/>
        <w:numPr>
          <w:ilvl w:val="0"/>
          <w:numId w:val="19"/>
        </w:numPr>
        <w:spacing w:line="276" w:lineRule="auto"/>
        <w:jc w:val="both"/>
        <w:rPr>
          <w:rFonts w:asciiTheme="minorHAnsi" w:hAnsiTheme="minorHAnsi" w:cstheme="minorHAnsi"/>
        </w:rPr>
      </w:pPr>
      <w:r w:rsidRPr="005532EC">
        <w:rPr>
          <w:rFonts w:asciiTheme="minorHAnsi" w:hAnsiTheme="minorHAnsi" w:cstheme="minorHAnsi"/>
        </w:rPr>
        <w:t xml:space="preserve">an exemption from sub-grouping contracts issued no more than a year apart; </w:t>
      </w:r>
    </w:p>
    <w:p w14:paraId="0ED15B8C" w14:textId="4DB23653" w:rsidR="00197A4A" w:rsidRPr="005532EC" w:rsidRDefault="00950785" w:rsidP="001E7B4C">
      <w:pPr>
        <w:pStyle w:val="NormalSF"/>
        <w:numPr>
          <w:ilvl w:val="0"/>
          <w:numId w:val="19"/>
        </w:numPr>
        <w:spacing w:line="276" w:lineRule="auto"/>
        <w:jc w:val="both"/>
        <w:rPr>
          <w:rFonts w:asciiTheme="minorHAnsi" w:hAnsiTheme="minorHAnsi" w:cstheme="minorHAnsi"/>
        </w:rPr>
      </w:pPr>
      <w:r w:rsidRPr="005532EC">
        <w:rPr>
          <w:rFonts w:asciiTheme="minorHAnsi" w:hAnsiTheme="minorHAnsi" w:cstheme="minorHAnsi"/>
        </w:rPr>
        <w:t xml:space="preserve">an amendment to the initial recognition requirements so that they do not depend on when contracts become onerous; </w:t>
      </w:r>
    </w:p>
    <w:p w14:paraId="0DE75BD9" w14:textId="48DAE3A5" w:rsidR="00197A4A" w:rsidRPr="005532EC" w:rsidRDefault="00950785" w:rsidP="001E7B4C">
      <w:pPr>
        <w:pStyle w:val="NormalSF"/>
        <w:numPr>
          <w:ilvl w:val="0"/>
          <w:numId w:val="19"/>
        </w:numPr>
        <w:spacing w:line="276" w:lineRule="auto"/>
        <w:jc w:val="both"/>
        <w:rPr>
          <w:rFonts w:asciiTheme="minorHAnsi" w:hAnsiTheme="minorHAnsi" w:cstheme="minorHAnsi"/>
        </w:rPr>
      </w:pPr>
      <w:r w:rsidRPr="005532EC">
        <w:rPr>
          <w:rFonts w:asciiTheme="minorHAnsi" w:hAnsiTheme="minorHAnsi" w:cstheme="minorHAnsi"/>
        </w:rPr>
        <w:t xml:space="preserve">guidance on coverage periods in a public sector context, which has consequences for determining the cash flows used to measure insurance liabilities and the pattern of revenue recognition; </w:t>
      </w:r>
    </w:p>
    <w:p w14:paraId="50382186" w14:textId="105C1473" w:rsidR="00197A4A" w:rsidRPr="005532EC" w:rsidRDefault="00950785" w:rsidP="001E7B4C">
      <w:pPr>
        <w:pStyle w:val="NormalSF"/>
        <w:numPr>
          <w:ilvl w:val="0"/>
          <w:numId w:val="19"/>
        </w:numPr>
        <w:spacing w:line="276" w:lineRule="auto"/>
        <w:jc w:val="both"/>
        <w:rPr>
          <w:rFonts w:asciiTheme="minorHAnsi" w:hAnsiTheme="minorHAnsi" w:cstheme="minorHAnsi"/>
        </w:rPr>
      </w:pPr>
      <w:r w:rsidRPr="005532EC">
        <w:rPr>
          <w:rFonts w:asciiTheme="minorHAnsi" w:hAnsiTheme="minorHAnsi" w:cstheme="minorHAnsi"/>
        </w:rPr>
        <w:t xml:space="preserve">an accounting policy choice to measure liabilities for remaining coverage applying the premium allocation approach; and </w:t>
      </w:r>
    </w:p>
    <w:p w14:paraId="65CB941F" w14:textId="37893BA5" w:rsidR="00197A4A" w:rsidRPr="005532EC" w:rsidRDefault="00950785" w:rsidP="001E7B4C">
      <w:pPr>
        <w:pStyle w:val="NormalSF"/>
        <w:numPr>
          <w:ilvl w:val="0"/>
          <w:numId w:val="19"/>
        </w:numPr>
        <w:spacing w:line="276" w:lineRule="auto"/>
        <w:jc w:val="both"/>
        <w:rPr>
          <w:rFonts w:asciiTheme="minorHAnsi" w:hAnsiTheme="minorHAnsi" w:cstheme="minorHAnsi"/>
        </w:rPr>
      </w:pPr>
      <w:r w:rsidRPr="005532EC">
        <w:rPr>
          <w:rFonts w:asciiTheme="minorHAnsi" w:hAnsiTheme="minorHAnsi" w:cstheme="minorHAnsi"/>
        </w:rPr>
        <w:t xml:space="preserve">a transition requirement grandfathering the existing classification of arrangements constituting a liability for settlement of claims incurred before the liability was acquired in a transfer as either a liability for incurred claims within the scope of AASB 17 or a provision within the scope of AASB 137 </w:t>
      </w:r>
      <w:r w:rsidRPr="005532EC">
        <w:rPr>
          <w:rFonts w:asciiTheme="minorHAnsi" w:hAnsiTheme="minorHAnsi" w:cstheme="minorHAnsi"/>
          <w:i/>
          <w:iCs/>
        </w:rPr>
        <w:t>Provisions, Contingent Liabilities and Contingent Assets</w:t>
      </w:r>
      <w:r w:rsidRPr="005532EC">
        <w:rPr>
          <w:rFonts w:asciiTheme="minorHAnsi" w:hAnsiTheme="minorHAnsi" w:cstheme="minorHAnsi"/>
        </w:rPr>
        <w:t xml:space="preserve">. </w:t>
      </w:r>
    </w:p>
    <w:p w14:paraId="2F5154FF" w14:textId="77777777" w:rsidR="00527910" w:rsidRDefault="00950785" w:rsidP="005532EC">
      <w:pPr>
        <w:pStyle w:val="NormalSF"/>
        <w:spacing w:line="276" w:lineRule="auto"/>
        <w:jc w:val="both"/>
        <w:rPr>
          <w:rFonts w:asciiTheme="minorHAnsi" w:hAnsiTheme="minorHAnsi" w:cstheme="minorHAnsi"/>
        </w:rPr>
      </w:pPr>
      <w:r w:rsidRPr="005532EC">
        <w:rPr>
          <w:rFonts w:asciiTheme="minorHAnsi" w:hAnsiTheme="minorHAnsi" w:cstheme="minorHAnsi"/>
        </w:rPr>
        <w:lastRenderedPageBreak/>
        <w:t xml:space="preserve">This Standard also amends AASB 1050 </w:t>
      </w:r>
      <w:r w:rsidR="00F123A7" w:rsidRPr="005532EC">
        <w:rPr>
          <w:rFonts w:asciiTheme="minorHAnsi" w:hAnsiTheme="minorHAnsi" w:cstheme="minorHAnsi"/>
          <w:i/>
          <w:iCs/>
        </w:rPr>
        <w:t>Administered Items</w:t>
      </w:r>
      <w:r w:rsidR="00F123A7" w:rsidRPr="005532EC">
        <w:rPr>
          <w:rFonts w:asciiTheme="minorHAnsi" w:hAnsiTheme="minorHAnsi" w:cstheme="minorHAnsi"/>
        </w:rPr>
        <w:t xml:space="preserve"> </w:t>
      </w:r>
      <w:r w:rsidRPr="005532EC">
        <w:rPr>
          <w:rFonts w:asciiTheme="minorHAnsi" w:hAnsiTheme="minorHAnsi" w:cstheme="minorHAnsi"/>
        </w:rPr>
        <w:t xml:space="preserve">to provide an accounting policy choice for </w:t>
      </w:r>
      <w:r w:rsidR="00F123A7" w:rsidRPr="005532EC">
        <w:rPr>
          <w:rFonts w:asciiTheme="minorHAnsi" w:hAnsiTheme="minorHAnsi" w:cstheme="minorHAnsi"/>
        </w:rPr>
        <w:t>directorates t</w:t>
      </w:r>
      <w:r w:rsidRPr="005532EC">
        <w:rPr>
          <w:rFonts w:asciiTheme="minorHAnsi" w:hAnsiTheme="minorHAnsi" w:cstheme="minorHAnsi"/>
        </w:rPr>
        <w:t xml:space="preserve">o apply either AASB 17 or AASB 137 in determining the information to be disclosed about administered captive insurer activities. </w:t>
      </w:r>
    </w:p>
    <w:p w14:paraId="33ED0E3B" w14:textId="2961FDC6" w:rsidR="00197A4A" w:rsidRPr="005532EC" w:rsidRDefault="00950785" w:rsidP="005532EC">
      <w:pPr>
        <w:pStyle w:val="NormalSF"/>
        <w:spacing w:line="276" w:lineRule="auto"/>
        <w:jc w:val="both"/>
        <w:rPr>
          <w:rFonts w:asciiTheme="minorHAnsi" w:hAnsiTheme="minorHAnsi" w:cstheme="minorHAnsi"/>
        </w:rPr>
      </w:pPr>
      <w:r w:rsidRPr="005532EC">
        <w:rPr>
          <w:rFonts w:asciiTheme="minorHAnsi" w:hAnsiTheme="minorHAnsi" w:cstheme="minorHAnsi"/>
        </w:rPr>
        <w:t xml:space="preserve">Because AASB 17 applies to all entities for annual periods beginning on or after 1 July 2026, this Standard also: </w:t>
      </w:r>
    </w:p>
    <w:p w14:paraId="0979AFA4" w14:textId="77777777" w:rsidR="006C4896" w:rsidRDefault="00950785" w:rsidP="001E7B4C">
      <w:pPr>
        <w:pStyle w:val="NormalSF"/>
        <w:numPr>
          <w:ilvl w:val="0"/>
          <w:numId w:val="20"/>
        </w:numPr>
        <w:spacing w:line="276" w:lineRule="auto"/>
        <w:jc w:val="both"/>
        <w:rPr>
          <w:rFonts w:asciiTheme="minorHAnsi" w:hAnsiTheme="minorHAnsi" w:cstheme="minorHAnsi"/>
        </w:rPr>
      </w:pPr>
      <w:r w:rsidRPr="006C4896">
        <w:rPr>
          <w:rFonts w:asciiTheme="minorHAnsi" w:hAnsiTheme="minorHAnsi" w:cstheme="minorHAnsi"/>
        </w:rPr>
        <w:t xml:space="preserve">repeals AASB 4 </w:t>
      </w:r>
      <w:r w:rsidRPr="006C4896">
        <w:rPr>
          <w:rFonts w:asciiTheme="minorHAnsi" w:hAnsiTheme="minorHAnsi" w:cstheme="minorHAnsi"/>
          <w:i/>
          <w:iCs/>
        </w:rPr>
        <w:t>Insurance Contracts</w:t>
      </w:r>
      <w:r w:rsidRPr="006C4896">
        <w:rPr>
          <w:rFonts w:asciiTheme="minorHAnsi" w:hAnsiTheme="minorHAnsi" w:cstheme="minorHAnsi"/>
        </w:rPr>
        <w:t xml:space="preserve"> and AASB 1023 </w:t>
      </w:r>
      <w:r w:rsidRPr="006C4896">
        <w:rPr>
          <w:rFonts w:asciiTheme="minorHAnsi" w:hAnsiTheme="minorHAnsi" w:cstheme="minorHAnsi"/>
          <w:i/>
          <w:iCs/>
        </w:rPr>
        <w:t>General Insurance Contracts</w:t>
      </w:r>
      <w:r w:rsidRPr="006C4896">
        <w:rPr>
          <w:rFonts w:asciiTheme="minorHAnsi" w:hAnsiTheme="minorHAnsi" w:cstheme="minorHAnsi"/>
        </w:rPr>
        <w:t xml:space="preserve">; and </w:t>
      </w:r>
    </w:p>
    <w:p w14:paraId="38D832F9" w14:textId="5ED76CE6" w:rsidR="00950785" w:rsidRPr="006C4896" w:rsidRDefault="00950785" w:rsidP="001E7B4C">
      <w:pPr>
        <w:pStyle w:val="NormalSF"/>
        <w:numPr>
          <w:ilvl w:val="0"/>
          <w:numId w:val="20"/>
        </w:numPr>
        <w:spacing w:line="276" w:lineRule="auto"/>
        <w:jc w:val="both"/>
        <w:rPr>
          <w:rFonts w:asciiTheme="minorHAnsi" w:hAnsiTheme="minorHAnsi" w:cstheme="minorHAnsi"/>
        </w:rPr>
      </w:pPr>
      <w:r w:rsidRPr="006C4896">
        <w:rPr>
          <w:rFonts w:asciiTheme="minorHAnsi" w:hAnsiTheme="minorHAnsi" w:cstheme="minorHAnsi"/>
        </w:rPr>
        <w:t xml:space="preserve">reverses the temporary consequential amendments set out in AASB 2022-8 </w:t>
      </w:r>
      <w:r w:rsidRPr="006C4896">
        <w:rPr>
          <w:rFonts w:asciiTheme="minorHAnsi" w:hAnsiTheme="minorHAnsi" w:cstheme="minorHAnsi"/>
          <w:i/>
          <w:iCs/>
        </w:rPr>
        <w:t>Amendments to Australian Accounting Standards – Insurance Contracts: Consequential Amendments</w:t>
      </w:r>
      <w:r w:rsidRPr="006C4896">
        <w:rPr>
          <w:rFonts w:asciiTheme="minorHAnsi" w:hAnsiTheme="minorHAnsi" w:cstheme="minorHAnsi"/>
        </w:rPr>
        <w:t xml:space="preserve"> that amended various Standards to permit public sector entities to continue applying AASB 4 and AASB 1023 to annual periods beginning on or after 1 January 2023 but before 1 July 2026.</w:t>
      </w:r>
    </w:p>
    <w:p w14:paraId="36B77FF6" w14:textId="339615E5" w:rsidR="00950785" w:rsidRPr="00533A6C" w:rsidRDefault="00950785" w:rsidP="00950785">
      <w:pPr>
        <w:pStyle w:val="NormalSF"/>
        <w:spacing w:line="276" w:lineRule="auto"/>
        <w:jc w:val="both"/>
        <w:rPr>
          <w:u w:val="single"/>
        </w:rPr>
      </w:pPr>
      <w:r w:rsidRPr="00533A6C">
        <w:rPr>
          <w:u w:val="single"/>
        </w:rPr>
        <w:t>Impact</w:t>
      </w:r>
    </w:p>
    <w:p w14:paraId="43C03D3A" w14:textId="436A183F" w:rsidR="00F123A7" w:rsidRPr="002E258A" w:rsidRDefault="00F123A7" w:rsidP="005532EC">
      <w:pPr>
        <w:pStyle w:val="NormalSF"/>
        <w:spacing w:line="276" w:lineRule="auto"/>
        <w:jc w:val="both"/>
        <w:rPr>
          <w:szCs w:val="22"/>
        </w:rPr>
      </w:pPr>
      <w:r>
        <w:rPr>
          <w:rFonts w:cstheme="minorHAnsi"/>
          <w:szCs w:val="22"/>
        </w:rPr>
        <w:t xml:space="preserve">This standard </w:t>
      </w:r>
      <w:r w:rsidRPr="00A46135">
        <w:rPr>
          <w:szCs w:val="22"/>
        </w:rPr>
        <w:t xml:space="preserve">will not apply to </w:t>
      </w:r>
      <w:r>
        <w:rPr>
          <w:szCs w:val="22"/>
        </w:rPr>
        <w:t xml:space="preserve">most </w:t>
      </w:r>
      <w:r w:rsidRPr="00A46135">
        <w:rPr>
          <w:szCs w:val="22"/>
        </w:rPr>
        <w:t>directorates and territory authorities</w:t>
      </w:r>
      <w:r>
        <w:rPr>
          <w:szCs w:val="22"/>
        </w:rPr>
        <w:t>.</w:t>
      </w:r>
      <w:r w:rsidR="00671846">
        <w:rPr>
          <w:szCs w:val="22"/>
        </w:rPr>
        <w:t xml:space="preserve"> </w:t>
      </w:r>
      <w:r w:rsidR="008E1049" w:rsidRPr="00671846">
        <w:rPr>
          <w:rFonts w:asciiTheme="minorHAnsi" w:eastAsiaTheme="minorHAnsi" w:hAnsiTheme="minorHAnsi" w:cstheme="minorHAnsi"/>
          <w:szCs w:val="22"/>
          <w:lang w:val="en-AU"/>
        </w:rPr>
        <w:t>Directorates and territory authorities that have insurance contracts</w:t>
      </w:r>
      <w:r w:rsidR="008E1049">
        <w:rPr>
          <w:rFonts w:asciiTheme="minorHAnsi" w:eastAsiaTheme="minorHAnsi" w:hAnsiTheme="minorHAnsi" w:cstheme="minorHAnsi"/>
          <w:szCs w:val="22"/>
          <w:lang w:val="en-AU"/>
        </w:rPr>
        <w:t xml:space="preserve"> or</w:t>
      </w:r>
      <w:r w:rsidR="008E1049" w:rsidRPr="00671846">
        <w:rPr>
          <w:rFonts w:asciiTheme="minorHAnsi" w:eastAsiaTheme="minorHAnsi" w:hAnsiTheme="minorHAnsi" w:cstheme="minorHAnsi"/>
          <w:szCs w:val="22"/>
          <w:lang w:val="en-AU"/>
        </w:rPr>
        <w:t xml:space="preserve"> reinsurance contracts will need to assess the impacts of this </w:t>
      </w:r>
      <w:r w:rsidR="008E1049" w:rsidRPr="002E258A">
        <w:rPr>
          <w:szCs w:val="22"/>
        </w:rPr>
        <w:t>standard.</w:t>
      </w:r>
      <w:r w:rsidR="002E258A" w:rsidRPr="002E258A">
        <w:rPr>
          <w:szCs w:val="22"/>
        </w:rPr>
        <w:t xml:space="preserve"> Agencies should also assess the applicability of AASB 17 discussed in Section 3.2.1 above</w:t>
      </w:r>
      <w:r w:rsidR="002E258A">
        <w:rPr>
          <w:szCs w:val="22"/>
        </w:rPr>
        <w:t>.</w:t>
      </w:r>
    </w:p>
    <w:p w14:paraId="5D25069E" w14:textId="0FD72004" w:rsidR="00EB3860" w:rsidRPr="00E569B1" w:rsidRDefault="00EB3860" w:rsidP="001E7B4C">
      <w:pPr>
        <w:pStyle w:val="Heading3"/>
        <w:numPr>
          <w:ilvl w:val="2"/>
          <w:numId w:val="16"/>
        </w:numPr>
        <w:spacing w:before="480" w:line="240" w:lineRule="auto"/>
        <w:ind w:left="1134" w:hanging="1134"/>
        <w:jc w:val="both"/>
      </w:pPr>
      <w:bookmarkStart w:id="120" w:name="_Toc233635560"/>
      <w:r w:rsidRPr="00E569B1">
        <w:t>AASB 2024-4</w:t>
      </w:r>
      <w:r w:rsidR="00BA0AA5" w:rsidRPr="00E569B1">
        <w:t>b</w:t>
      </w:r>
      <w:r w:rsidRPr="00E569B1">
        <w:t xml:space="preserve"> Amendments to Australian Accounting Standards – Effective Date of Amendments to AASB 10 and AASB 128 (</w:t>
      </w:r>
      <w:r w:rsidR="00E569B1">
        <w:t xml:space="preserve">originally </w:t>
      </w:r>
      <w:r w:rsidRPr="00E569B1">
        <w:t>appl. 1 January 2025</w:t>
      </w:r>
      <w:r w:rsidR="00E569B1">
        <w:t xml:space="preserve"> but further deferred to appl. 1 January 2028</w:t>
      </w:r>
      <w:r w:rsidRPr="00E569B1">
        <w:t>)</w:t>
      </w:r>
      <w:bookmarkEnd w:id="120"/>
    </w:p>
    <w:p w14:paraId="707BBE60" w14:textId="77777777" w:rsidR="00EB3860" w:rsidRPr="00E569B1" w:rsidRDefault="00EB3860" w:rsidP="00EB3860">
      <w:pPr>
        <w:pStyle w:val="NormalSF"/>
        <w:spacing w:line="276" w:lineRule="auto"/>
        <w:jc w:val="both"/>
        <w:rPr>
          <w:szCs w:val="22"/>
          <w:u w:val="single"/>
        </w:rPr>
      </w:pPr>
      <w:r w:rsidRPr="00E569B1">
        <w:rPr>
          <w:u w:val="single"/>
        </w:rPr>
        <w:t>Background</w:t>
      </w:r>
    </w:p>
    <w:p w14:paraId="54C63918" w14:textId="77777777" w:rsidR="00886C0D" w:rsidRPr="00E569B1" w:rsidRDefault="00EB3860" w:rsidP="00EE1CC7">
      <w:pPr>
        <w:pStyle w:val="NormalSF"/>
        <w:spacing w:line="276" w:lineRule="auto"/>
        <w:jc w:val="both"/>
        <w:rPr>
          <w:rFonts w:cstheme="minorHAnsi"/>
          <w:szCs w:val="22"/>
          <w:lang w:val="en-AU"/>
        </w:rPr>
      </w:pPr>
      <w:r w:rsidRPr="00E569B1">
        <w:rPr>
          <w:rFonts w:cstheme="minorHAnsi"/>
          <w:szCs w:val="22"/>
          <w:lang w:val="en-AU"/>
        </w:rPr>
        <w:t xml:space="preserve">This Standard defers the mandatory effective date (application date) of amendments to AASB 10 and AASB 128 that were originally made in AASB 2014-10 </w:t>
      </w:r>
      <w:r w:rsidRPr="00E569B1">
        <w:rPr>
          <w:rFonts w:cstheme="minorHAnsi"/>
          <w:i/>
          <w:iCs/>
          <w:szCs w:val="22"/>
          <w:lang w:val="en-AU"/>
        </w:rPr>
        <w:t>Amendments to Australian Accounting Standards – Sale or Contribution of Assets between an Investor and its Associate or Joint Venture</w:t>
      </w:r>
      <w:r w:rsidRPr="00E569B1">
        <w:rPr>
          <w:rFonts w:cstheme="minorHAnsi"/>
          <w:szCs w:val="22"/>
          <w:lang w:val="en-AU"/>
        </w:rPr>
        <w:t xml:space="preserve"> so that the amendments are required to be applied for annual reporting periods beginning on or after 1 January 2028 instead of 1 January 2025. </w:t>
      </w:r>
    </w:p>
    <w:p w14:paraId="5029C5D6" w14:textId="77777777" w:rsidR="00886C0D" w:rsidRPr="00E569B1" w:rsidRDefault="00EB3860" w:rsidP="001760BE">
      <w:pPr>
        <w:pStyle w:val="NormalSF"/>
        <w:spacing w:line="276" w:lineRule="auto"/>
        <w:jc w:val="both"/>
        <w:rPr>
          <w:rFonts w:cstheme="minorHAnsi"/>
          <w:szCs w:val="22"/>
          <w:lang w:val="en-AU"/>
        </w:rPr>
      </w:pPr>
      <w:r w:rsidRPr="00E569B1">
        <w:rPr>
          <w:rFonts w:cstheme="minorHAnsi"/>
          <w:szCs w:val="22"/>
          <w:lang w:val="en-AU"/>
        </w:rPr>
        <w:t xml:space="preserve">The amendments in AASB 2014-10 originally applied to annual reporting periods beginning on or after 1 January 2016, but were later deferred by the </w:t>
      </w:r>
      <w:r w:rsidR="00862219" w:rsidRPr="00E569B1">
        <w:rPr>
          <w:rFonts w:cstheme="minorHAnsi"/>
          <w:szCs w:val="22"/>
          <w:lang w:val="en-AU"/>
        </w:rPr>
        <w:t>International Accounting Standards Board (</w:t>
      </w:r>
      <w:r w:rsidRPr="00E569B1">
        <w:rPr>
          <w:rFonts w:cstheme="minorHAnsi"/>
          <w:szCs w:val="22"/>
          <w:lang w:val="en-AU"/>
        </w:rPr>
        <w:t>IASB</w:t>
      </w:r>
      <w:r w:rsidR="00862219" w:rsidRPr="00E569B1">
        <w:rPr>
          <w:rFonts w:cstheme="minorHAnsi"/>
          <w:szCs w:val="22"/>
          <w:lang w:val="en-AU"/>
        </w:rPr>
        <w:t>)</w:t>
      </w:r>
      <w:r w:rsidRPr="00E569B1">
        <w:rPr>
          <w:rFonts w:cstheme="minorHAnsi"/>
          <w:szCs w:val="22"/>
          <w:lang w:val="en-AU"/>
        </w:rPr>
        <w:t xml:space="preserve"> indefinitely. Due to legal requirements, the A</w:t>
      </w:r>
      <w:r w:rsidR="00862219" w:rsidRPr="00E569B1">
        <w:rPr>
          <w:rFonts w:cstheme="minorHAnsi"/>
          <w:szCs w:val="22"/>
          <w:lang w:val="en-AU"/>
        </w:rPr>
        <w:t xml:space="preserve">ustralian </w:t>
      </w:r>
      <w:r w:rsidRPr="00E569B1">
        <w:rPr>
          <w:rFonts w:cstheme="minorHAnsi"/>
          <w:szCs w:val="22"/>
          <w:lang w:val="en-AU"/>
        </w:rPr>
        <w:t>A</w:t>
      </w:r>
      <w:r w:rsidR="00862219" w:rsidRPr="00E569B1">
        <w:rPr>
          <w:rFonts w:cstheme="minorHAnsi"/>
          <w:szCs w:val="22"/>
          <w:lang w:val="en-AU"/>
        </w:rPr>
        <w:t xml:space="preserve">ccounting </w:t>
      </w:r>
      <w:r w:rsidRPr="00E569B1">
        <w:rPr>
          <w:rFonts w:cstheme="minorHAnsi"/>
          <w:szCs w:val="22"/>
          <w:lang w:val="en-AU"/>
        </w:rPr>
        <w:t>S</w:t>
      </w:r>
      <w:r w:rsidR="00862219" w:rsidRPr="00E569B1">
        <w:rPr>
          <w:rFonts w:cstheme="minorHAnsi"/>
          <w:szCs w:val="22"/>
          <w:lang w:val="en-AU"/>
        </w:rPr>
        <w:t xml:space="preserve">tandards </w:t>
      </w:r>
      <w:r w:rsidRPr="00E569B1">
        <w:rPr>
          <w:rFonts w:cstheme="minorHAnsi"/>
          <w:szCs w:val="22"/>
          <w:lang w:val="en-AU"/>
        </w:rPr>
        <w:t>B</w:t>
      </w:r>
      <w:r w:rsidR="00862219" w:rsidRPr="00E569B1">
        <w:rPr>
          <w:rFonts w:cstheme="minorHAnsi"/>
          <w:szCs w:val="22"/>
          <w:lang w:val="en-AU"/>
        </w:rPr>
        <w:t>oard</w:t>
      </w:r>
      <w:r w:rsidRPr="00E569B1">
        <w:rPr>
          <w:rFonts w:cstheme="minorHAnsi"/>
          <w:szCs w:val="22"/>
          <w:lang w:val="en-AU"/>
        </w:rPr>
        <w:t xml:space="preserve"> is unable to defer the amendments indefinitely, and instead deferred the amendments to apply to annual reporting periods beginning on or after 1 January 2018 through AASB 2015-10 </w:t>
      </w:r>
      <w:r w:rsidRPr="00E569B1">
        <w:rPr>
          <w:rFonts w:cstheme="minorHAnsi"/>
          <w:i/>
          <w:iCs/>
          <w:szCs w:val="22"/>
          <w:lang w:val="en-AU"/>
        </w:rPr>
        <w:t>Amendments to Australian Accounting Standards – Effective Date of Amendments to AASB 10 and AASB 128</w:t>
      </w:r>
      <w:r w:rsidRPr="00E569B1">
        <w:rPr>
          <w:rFonts w:cstheme="minorHAnsi"/>
          <w:szCs w:val="22"/>
          <w:lang w:val="en-AU"/>
        </w:rPr>
        <w:t xml:space="preserve">. </w:t>
      </w:r>
    </w:p>
    <w:p w14:paraId="3A8A0D17" w14:textId="53892A54" w:rsidR="00EB3860" w:rsidRPr="00E569B1" w:rsidRDefault="00EB3860" w:rsidP="00EE1CC7">
      <w:pPr>
        <w:pStyle w:val="NormalSF"/>
        <w:spacing w:line="276" w:lineRule="auto"/>
        <w:jc w:val="both"/>
        <w:rPr>
          <w:rFonts w:cstheme="minorHAnsi"/>
          <w:szCs w:val="22"/>
          <w:lang w:val="en-AU"/>
        </w:rPr>
      </w:pPr>
      <w:r w:rsidRPr="00E569B1">
        <w:rPr>
          <w:rFonts w:cstheme="minorHAnsi"/>
          <w:szCs w:val="22"/>
          <w:lang w:val="en-AU"/>
        </w:rPr>
        <w:t xml:space="preserve">The amendments were further deferred to apply to annual periods beginning on or after 1 January 2022 through AASB 2017-5 </w:t>
      </w:r>
      <w:r w:rsidRPr="00E569B1">
        <w:rPr>
          <w:rFonts w:cstheme="minorHAnsi"/>
          <w:i/>
          <w:iCs/>
          <w:szCs w:val="22"/>
          <w:lang w:val="en-AU"/>
        </w:rPr>
        <w:t>Amendments to Australian Accounting Standards – Effective Date of Amendments to AASB 10 and AASB 128 and Editorial Corrections</w:t>
      </w:r>
      <w:r w:rsidRPr="00E569B1">
        <w:rPr>
          <w:rFonts w:cstheme="minorHAnsi"/>
          <w:szCs w:val="22"/>
          <w:lang w:val="en-AU"/>
        </w:rPr>
        <w:t xml:space="preserve"> and then again to annual reporting periods beginning on or after 1 January 2025 through AASB 2021-7</w:t>
      </w:r>
      <w:r w:rsidR="00527910" w:rsidRPr="00E569B1">
        <w:rPr>
          <w:rFonts w:cstheme="minorHAnsi"/>
          <w:szCs w:val="22"/>
          <w:lang w:val="en-AU"/>
        </w:rPr>
        <w:t>c</w:t>
      </w:r>
      <w:r w:rsidRPr="00E569B1">
        <w:rPr>
          <w:rFonts w:cstheme="minorHAnsi"/>
          <w:szCs w:val="22"/>
          <w:lang w:val="en-AU"/>
        </w:rPr>
        <w:t xml:space="preserve"> </w:t>
      </w:r>
      <w:r w:rsidRPr="00E569B1">
        <w:rPr>
          <w:rFonts w:cstheme="minorHAnsi"/>
          <w:i/>
          <w:iCs/>
          <w:szCs w:val="22"/>
          <w:lang w:val="en-AU"/>
        </w:rPr>
        <w:t>Amendments to Australian Accounting Standards – Effective Date of Amendments to AASB 10 and AASB 128 and Editorial Corrections</w:t>
      </w:r>
      <w:r w:rsidRPr="00E569B1">
        <w:rPr>
          <w:rFonts w:cstheme="minorHAnsi"/>
          <w:szCs w:val="22"/>
          <w:lang w:val="en-AU"/>
        </w:rPr>
        <w:t>.</w:t>
      </w:r>
    </w:p>
    <w:p w14:paraId="305BBAAD" w14:textId="2EE64D37" w:rsidR="00862219" w:rsidRPr="00E569B1" w:rsidRDefault="00862219" w:rsidP="00EB3860">
      <w:pPr>
        <w:pStyle w:val="NormalSF"/>
        <w:spacing w:line="276" w:lineRule="auto"/>
        <w:jc w:val="both"/>
        <w:rPr>
          <w:rFonts w:cstheme="minorHAnsi"/>
          <w:szCs w:val="22"/>
          <w:lang w:val="en-AU"/>
        </w:rPr>
      </w:pPr>
      <w:r w:rsidRPr="00E569B1">
        <w:rPr>
          <w:rFonts w:cstheme="minorHAnsi"/>
          <w:szCs w:val="22"/>
          <w:lang w:val="en-AU"/>
        </w:rPr>
        <w:lastRenderedPageBreak/>
        <w:t>Consistent with the IASB’s approach, the amendments can still be applied by an agency in advance of the new mandatory application date.</w:t>
      </w:r>
    </w:p>
    <w:p w14:paraId="74949558" w14:textId="542D0CB3" w:rsidR="00EB3860" w:rsidRPr="00E569B1" w:rsidRDefault="00EB3860" w:rsidP="00EB3860">
      <w:pPr>
        <w:pStyle w:val="NormalSF"/>
        <w:spacing w:line="276" w:lineRule="auto"/>
        <w:jc w:val="both"/>
        <w:rPr>
          <w:u w:val="single"/>
        </w:rPr>
      </w:pPr>
      <w:r w:rsidRPr="00E569B1">
        <w:rPr>
          <w:u w:val="single"/>
        </w:rPr>
        <w:t>Impact</w:t>
      </w:r>
    </w:p>
    <w:p w14:paraId="6F92FA2D" w14:textId="03323AB2" w:rsidR="00EB3860" w:rsidRPr="00E569B1" w:rsidRDefault="00EB3860" w:rsidP="00EB3860">
      <w:pPr>
        <w:pStyle w:val="NormalSF"/>
        <w:spacing w:line="276" w:lineRule="auto"/>
        <w:jc w:val="both"/>
        <w:rPr>
          <w:rFonts w:cs="Calibri"/>
          <w:szCs w:val="22"/>
        </w:rPr>
      </w:pPr>
      <w:r w:rsidRPr="00E569B1">
        <w:rPr>
          <w:rFonts w:cstheme="minorHAnsi"/>
          <w:szCs w:val="22"/>
        </w:rPr>
        <w:t xml:space="preserve">This standard </w:t>
      </w:r>
      <w:r w:rsidRPr="00E569B1">
        <w:rPr>
          <w:szCs w:val="22"/>
        </w:rPr>
        <w:t xml:space="preserve">will not apply to most directorates and territory authorities. This is because, as set out in </w:t>
      </w:r>
      <w:r w:rsidRPr="00E569B1">
        <w:rPr>
          <w:rFonts w:cstheme="minorHAnsi"/>
          <w:szCs w:val="22"/>
        </w:rPr>
        <w:t>Section 3.2.2 above,</w:t>
      </w:r>
      <w:r w:rsidRPr="00E569B1">
        <w:rPr>
          <w:rFonts w:cs="Calibri"/>
          <w:szCs w:val="22"/>
        </w:rPr>
        <w:t xml:space="preserve"> most directorates and territory authorities do not have investments in subsidiaries, joint ventures and associates and therefore AASB 2014-10 will not be applicable.</w:t>
      </w:r>
    </w:p>
    <w:p w14:paraId="56FA588C" w14:textId="5D8AD76C" w:rsidR="00EB3860" w:rsidRPr="005D60D3" w:rsidRDefault="00EB3860" w:rsidP="001E7B4C">
      <w:pPr>
        <w:pStyle w:val="Heading3"/>
        <w:numPr>
          <w:ilvl w:val="2"/>
          <w:numId w:val="16"/>
        </w:numPr>
        <w:spacing w:before="480" w:line="240" w:lineRule="auto"/>
        <w:ind w:left="1134" w:hanging="1134"/>
        <w:jc w:val="both"/>
      </w:pPr>
      <w:bookmarkStart w:id="121" w:name="_Toc233635561"/>
      <w:r w:rsidRPr="005D60D3">
        <w:t>AASB 202</w:t>
      </w:r>
      <w:r w:rsidR="007461E3">
        <w:t>5</w:t>
      </w:r>
      <w:r w:rsidRPr="005D60D3">
        <w:t>-</w:t>
      </w:r>
      <w:r w:rsidR="007461E3">
        <w:t>1</w:t>
      </w:r>
      <w:r w:rsidRPr="005D60D3">
        <w:t xml:space="preserve"> </w:t>
      </w:r>
      <w:r w:rsidRPr="0068675E">
        <w:t xml:space="preserve">Amendments </w:t>
      </w:r>
      <w:r w:rsidRPr="00EB3860">
        <w:t>to Australian Accounting Standards – Contracts Referencing Nature-dependent Electricity</w:t>
      </w:r>
      <w:r w:rsidRPr="005D60D3">
        <w:t xml:space="preserve"> (appl. 1 J</w:t>
      </w:r>
      <w:r>
        <w:t xml:space="preserve">anuary </w:t>
      </w:r>
      <w:r w:rsidRPr="005D60D3">
        <w:t>202</w:t>
      </w:r>
      <w:r>
        <w:t>6</w:t>
      </w:r>
      <w:r w:rsidRPr="005D60D3">
        <w:t>)</w:t>
      </w:r>
      <w:bookmarkEnd w:id="121"/>
    </w:p>
    <w:p w14:paraId="2266902E" w14:textId="77777777" w:rsidR="00EB3860" w:rsidRPr="00533A6C" w:rsidRDefault="00EB3860" w:rsidP="00EB3860">
      <w:pPr>
        <w:pStyle w:val="NormalSF"/>
        <w:spacing w:line="276" w:lineRule="auto"/>
        <w:jc w:val="both"/>
        <w:rPr>
          <w:szCs w:val="22"/>
          <w:u w:val="single"/>
        </w:rPr>
      </w:pPr>
      <w:r w:rsidRPr="00533A6C">
        <w:rPr>
          <w:u w:val="single"/>
        </w:rPr>
        <w:t>Background</w:t>
      </w:r>
    </w:p>
    <w:p w14:paraId="5BD8244F" w14:textId="2FE3648D" w:rsidR="007461E3" w:rsidRDefault="007461E3" w:rsidP="001760BE">
      <w:pPr>
        <w:pStyle w:val="NormalSF"/>
        <w:spacing w:line="276" w:lineRule="auto"/>
        <w:jc w:val="both"/>
        <w:rPr>
          <w:rFonts w:cs="Calibri"/>
          <w:szCs w:val="22"/>
          <w:lang w:val="en-AU"/>
        </w:rPr>
      </w:pPr>
      <w:r w:rsidRPr="007461E3">
        <w:rPr>
          <w:rFonts w:cs="Calibri"/>
          <w:szCs w:val="22"/>
          <w:lang w:val="en-AU"/>
        </w:rPr>
        <w:t>Nature-dependent electricity contracts help entities to secure their electricity supply from sources such as wind and solar power. The amount of electricity generated under these contracts can vary based on uncontrollable factors such as weather conditions. This Standard amends AASB 7 and AASB</w:t>
      </w:r>
      <w:r w:rsidR="00862219">
        <w:rPr>
          <w:rFonts w:cs="Calibri"/>
          <w:szCs w:val="22"/>
          <w:lang w:val="en-AU"/>
        </w:rPr>
        <w:t> </w:t>
      </w:r>
      <w:r w:rsidRPr="007461E3">
        <w:rPr>
          <w:rFonts w:cs="Calibri"/>
          <w:szCs w:val="22"/>
          <w:lang w:val="en-AU"/>
        </w:rPr>
        <w:t xml:space="preserve">9 to allow entities to better reflect these contracts in the financial statements. The amendments: </w:t>
      </w:r>
    </w:p>
    <w:p w14:paraId="4642ABA7" w14:textId="77777777" w:rsidR="007461E3" w:rsidRDefault="007461E3" w:rsidP="001760BE">
      <w:pPr>
        <w:pStyle w:val="NormalSF"/>
        <w:numPr>
          <w:ilvl w:val="0"/>
          <w:numId w:val="34"/>
        </w:numPr>
        <w:spacing w:line="276" w:lineRule="auto"/>
        <w:jc w:val="both"/>
        <w:rPr>
          <w:rFonts w:cs="Calibri"/>
          <w:szCs w:val="22"/>
          <w:lang w:val="en-AU"/>
        </w:rPr>
      </w:pPr>
      <w:r w:rsidRPr="007461E3">
        <w:rPr>
          <w:rFonts w:cs="Calibri"/>
          <w:szCs w:val="22"/>
          <w:lang w:val="en-AU"/>
        </w:rPr>
        <w:t>clarify the application of the ‘own-use’ criteria to nature-dependent electricity contracts;</w:t>
      </w:r>
    </w:p>
    <w:p w14:paraId="19B14A0A" w14:textId="4B835468" w:rsidR="007461E3" w:rsidRDefault="007461E3" w:rsidP="001760BE">
      <w:pPr>
        <w:pStyle w:val="NormalSF"/>
        <w:numPr>
          <w:ilvl w:val="0"/>
          <w:numId w:val="34"/>
        </w:numPr>
        <w:spacing w:line="276" w:lineRule="auto"/>
        <w:jc w:val="both"/>
        <w:rPr>
          <w:rFonts w:cs="Calibri"/>
          <w:szCs w:val="22"/>
          <w:lang w:val="en-AU"/>
        </w:rPr>
      </w:pPr>
      <w:r w:rsidRPr="007461E3">
        <w:rPr>
          <w:rFonts w:cs="Calibri"/>
          <w:szCs w:val="22"/>
          <w:lang w:val="en-AU"/>
        </w:rPr>
        <w:t xml:space="preserve">permit hedge accounting if these contracts are used as hedging instruments; and </w:t>
      </w:r>
    </w:p>
    <w:p w14:paraId="7A0D37CA" w14:textId="65000AB5" w:rsidR="00EB3860" w:rsidRPr="007461E3" w:rsidRDefault="007461E3" w:rsidP="001760BE">
      <w:pPr>
        <w:pStyle w:val="NormalSF"/>
        <w:numPr>
          <w:ilvl w:val="0"/>
          <w:numId w:val="34"/>
        </w:numPr>
        <w:spacing w:line="276" w:lineRule="auto"/>
        <w:jc w:val="both"/>
        <w:rPr>
          <w:rFonts w:cs="Calibri"/>
          <w:szCs w:val="22"/>
          <w:lang w:val="en-AU"/>
        </w:rPr>
      </w:pPr>
      <w:r w:rsidRPr="007461E3">
        <w:rPr>
          <w:rFonts w:cs="Calibri"/>
          <w:szCs w:val="22"/>
          <w:lang w:val="en-AU"/>
        </w:rPr>
        <w:t xml:space="preserve">add new disclosure requirements to enable users of financial statements to better understand the effect of these contracts on an </w:t>
      </w:r>
      <w:r w:rsidR="002504E2">
        <w:rPr>
          <w:rFonts w:cs="Calibri"/>
          <w:szCs w:val="22"/>
          <w:lang w:val="en-AU"/>
        </w:rPr>
        <w:t>agenc</w:t>
      </w:r>
      <w:r w:rsidRPr="007461E3">
        <w:rPr>
          <w:rFonts w:cs="Calibri"/>
          <w:szCs w:val="22"/>
          <w:lang w:val="en-AU"/>
        </w:rPr>
        <w:t>y’s financial performance and cash flows</w:t>
      </w:r>
      <w:r>
        <w:rPr>
          <w:rFonts w:cs="Calibri"/>
          <w:szCs w:val="22"/>
          <w:lang w:val="en-AU"/>
        </w:rPr>
        <w:t>.</w:t>
      </w:r>
    </w:p>
    <w:p w14:paraId="4EC447EB" w14:textId="77777777" w:rsidR="007461E3" w:rsidRPr="00533A6C" w:rsidRDefault="007461E3" w:rsidP="007461E3">
      <w:pPr>
        <w:autoSpaceDE w:val="0"/>
        <w:autoSpaceDN w:val="0"/>
        <w:adjustRightInd w:val="0"/>
        <w:spacing w:before="120" w:after="120" w:line="276" w:lineRule="auto"/>
        <w:jc w:val="both"/>
        <w:rPr>
          <w:rFonts w:cs="Calibri"/>
          <w:bCs/>
          <w:sz w:val="22"/>
          <w:szCs w:val="22"/>
          <w:u w:val="single"/>
        </w:rPr>
      </w:pPr>
      <w:r w:rsidRPr="00533A6C">
        <w:rPr>
          <w:rFonts w:cs="Calibri"/>
          <w:bCs/>
          <w:sz w:val="22"/>
          <w:szCs w:val="22"/>
          <w:u w:val="single"/>
        </w:rPr>
        <w:t>Impact</w:t>
      </w:r>
    </w:p>
    <w:p w14:paraId="24C904A7" w14:textId="27B1BEF1" w:rsidR="007461E3" w:rsidRDefault="007461E3" w:rsidP="007461E3">
      <w:pPr>
        <w:pStyle w:val="NormalSF"/>
        <w:spacing w:line="276" w:lineRule="auto"/>
        <w:jc w:val="both"/>
        <w:rPr>
          <w:rFonts w:cs="Calibri"/>
          <w:szCs w:val="22"/>
        </w:rPr>
      </w:pPr>
      <w:r w:rsidRPr="00FE3BDC">
        <w:rPr>
          <w:rFonts w:cs="Calibri"/>
          <w:szCs w:val="22"/>
        </w:rPr>
        <w:t xml:space="preserve">Directorates and territory authorities do not generally have any </w:t>
      </w:r>
      <w:r>
        <w:rPr>
          <w:rFonts w:cs="Calibri"/>
          <w:szCs w:val="22"/>
          <w:lang w:val="en-AU"/>
        </w:rPr>
        <w:t>n</w:t>
      </w:r>
      <w:r w:rsidRPr="007461E3">
        <w:rPr>
          <w:rFonts w:cs="Calibri"/>
          <w:szCs w:val="22"/>
          <w:lang w:val="en-AU"/>
        </w:rPr>
        <w:t>ature-dependent electricity contracts</w:t>
      </w:r>
      <w:r w:rsidRPr="00FE3BDC">
        <w:rPr>
          <w:rFonts w:cs="Calibri"/>
          <w:szCs w:val="22"/>
        </w:rPr>
        <w:t xml:space="preserve"> and as such this standard will </w:t>
      </w:r>
      <w:r>
        <w:rPr>
          <w:rFonts w:cs="Calibri"/>
          <w:szCs w:val="22"/>
        </w:rPr>
        <w:t>not apply to</w:t>
      </w:r>
      <w:r w:rsidRPr="00FE3BDC">
        <w:rPr>
          <w:rFonts w:cs="Calibri"/>
          <w:szCs w:val="22"/>
        </w:rPr>
        <w:t xml:space="preserve"> most agencies. </w:t>
      </w:r>
      <w:r w:rsidR="00AF4C6B">
        <w:rPr>
          <w:rFonts w:cs="Calibri"/>
          <w:szCs w:val="22"/>
        </w:rPr>
        <w:t>Any d</w:t>
      </w:r>
      <w:r w:rsidRPr="00FE3BDC">
        <w:rPr>
          <w:rFonts w:cs="Calibri"/>
          <w:szCs w:val="22"/>
        </w:rPr>
        <w:t xml:space="preserve">irectorates and territory authorities that do have </w:t>
      </w:r>
      <w:r w:rsidR="00AF4C6B">
        <w:rPr>
          <w:rFonts w:cs="Calibri"/>
          <w:szCs w:val="22"/>
          <w:lang w:val="en-AU"/>
        </w:rPr>
        <w:t>n</w:t>
      </w:r>
      <w:r w:rsidRPr="007461E3">
        <w:rPr>
          <w:rFonts w:cs="Calibri"/>
          <w:szCs w:val="22"/>
          <w:lang w:val="en-AU"/>
        </w:rPr>
        <w:t xml:space="preserve">ature-dependent electricity contracts </w:t>
      </w:r>
      <w:r w:rsidRPr="00FE3BDC">
        <w:rPr>
          <w:rFonts w:cs="Calibri"/>
          <w:szCs w:val="22"/>
        </w:rPr>
        <w:t>will need to assess the impacts of this standard.</w:t>
      </w:r>
    </w:p>
    <w:p w14:paraId="3B6AF87A" w14:textId="66B0EFF6" w:rsidR="00C35769" w:rsidRPr="005D60D3" w:rsidRDefault="00C35769" w:rsidP="001E7B4C">
      <w:pPr>
        <w:pStyle w:val="Heading3"/>
        <w:numPr>
          <w:ilvl w:val="2"/>
          <w:numId w:val="16"/>
        </w:numPr>
        <w:spacing w:before="480" w:line="240" w:lineRule="auto"/>
        <w:ind w:left="1134" w:hanging="1134"/>
        <w:jc w:val="both"/>
      </w:pPr>
      <w:bookmarkStart w:id="122" w:name="_Toc233635562"/>
      <w:r w:rsidRPr="005D60D3">
        <w:t>AASB 202</w:t>
      </w:r>
      <w:r>
        <w:t>5</w:t>
      </w:r>
      <w:r w:rsidRPr="005D60D3">
        <w:t>-</w:t>
      </w:r>
      <w:r>
        <w:t>2</w:t>
      </w:r>
      <w:r w:rsidRPr="005D60D3">
        <w:t xml:space="preserve"> </w:t>
      </w:r>
      <w:r w:rsidRPr="0068675E">
        <w:t xml:space="preserve">Amendments </w:t>
      </w:r>
      <w:r w:rsidR="00CC7F1B" w:rsidRPr="00CC7F1B">
        <w:t>to Australian Accounting Standards – Classification and Measurement of Financial Instruments: Tier 2 Disclosures</w:t>
      </w:r>
      <w:r w:rsidR="00CC7F1B">
        <w:t xml:space="preserve"> </w:t>
      </w:r>
      <w:r w:rsidRPr="005D60D3">
        <w:t>(appl. 1 J</w:t>
      </w:r>
      <w:r>
        <w:t xml:space="preserve">anuary </w:t>
      </w:r>
      <w:r w:rsidRPr="005D60D3">
        <w:t>202</w:t>
      </w:r>
      <w:r>
        <w:t>6</w:t>
      </w:r>
      <w:r w:rsidRPr="005D60D3">
        <w:t>)</w:t>
      </w:r>
      <w:bookmarkEnd w:id="122"/>
    </w:p>
    <w:p w14:paraId="03A4F87C" w14:textId="1C34F3E0" w:rsidR="00CC7F1B" w:rsidRPr="00533A6C" w:rsidRDefault="00CC7F1B" w:rsidP="00EB3860">
      <w:pPr>
        <w:pStyle w:val="NormalSF"/>
        <w:spacing w:line="276" w:lineRule="auto"/>
        <w:jc w:val="both"/>
        <w:rPr>
          <w:rFonts w:cs="Calibri"/>
          <w:szCs w:val="22"/>
          <w:u w:val="single"/>
          <w:lang w:val="en-AU"/>
        </w:rPr>
      </w:pPr>
      <w:r w:rsidRPr="00533A6C">
        <w:rPr>
          <w:rFonts w:cs="Calibri"/>
          <w:szCs w:val="22"/>
          <w:u w:val="single"/>
          <w:lang w:val="en-AU"/>
        </w:rPr>
        <w:t>Background</w:t>
      </w:r>
    </w:p>
    <w:p w14:paraId="79364C12" w14:textId="4B63B49B" w:rsidR="00AF4C6B" w:rsidRDefault="00C35769" w:rsidP="00AF4C6B">
      <w:pPr>
        <w:pStyle w:val="NormalSF"/>
        <w:spacing w:line="276" w:lineRule="auto"/>
        <w:jc w:val="both"/>
        <w:rPr>
          <w:rFonts w:cs="Calibri"/>
          <w:szCs w:val="22"/>
          <w:lang w:val="en-AU"/>
        </w:rPr>
      </w:pPr>
      <w:r w:rsidRPr="00C35769">
        <w:rPr>
          <w:rFonts w:cs="Calibri"/>
          <w:szCs w:val="22"/>
          <w:lang w:val="en-AU"/>
        </w:rPr>
        <w:t xml:space="preserve">AASB 2024-2 </w:t>
      </w:r>
      <w:r w:rsidRPr="00AF4C6B">
        <w:rPr>
          <w:rFonts w:cs="Calibri"/>
          <w:i/>
          <w:iCs/>
          <w:szCs w:val="22"/>
          <w:lang w:val="en-AU"/>
        </w:rPr>
        <w:t xml:space="preserve">Amendments to Australian Accounting Standards – Classification and Measurement of Financial Instruments </w:t>
      </w:r>
      <w:r w:rsidRPr="005B3E1C">
        <w:rPr>
          <w:rFonts w:cs="Calibri"/>
          <w:szCs w:val="22"/>
          <w:lang w:val="en-AU"/>
        </w:rPr>
        <w:t>amended AASB 7</w:t>
      </w:r>
      <w:r w:rsidRPr="00AF4C6B">
        <w:rPr>
          <w:rFonts w:cs="Calibri"/>
          <w:i/>
          <w:iCs/>
          <w:szCs w:val="22"/>
          <w:lang w:val="en-AU"/>
        </w:rPr>
        <w:t xml:space="preserve"> Financial Instruments: Disclosures </w:t>
      </w:r>
      <w:r w:rsidRPr="005B3E1C">
        <w:rPr>
          <w:rFonts w:cs="Calibri"/>
          <w:szCs w:val="22"/>
          <w:lang w:val="en-AU"/>
        </w:rPr>
        <w:t>and AASB 9</w:t>
      </w:r>
      <w:r w:rsidRPr="00AF4C6B">
        <w:rPr>
          <w:rFonts w:cs="Calibri"/>
          <w:i/>
          <w:iCs/>
          <w:szCs w:val="22"/>
          <w:lang w:val="en-AU"/>
        </w:rPr>
        <w:t xml:space="preserve"> Financial Instruments</w:t>
      </w:r>
      <w:r w:rsidRPr="00C35769">
        <w:rPr>
          <w:rFonts w:cs="Calibri"/>
          <w:szCs w:val="22"/>
          <w:lang w:val="en-AU"/>
        </w:rPr>
        <w:t xml:space="preserve"> in response to feedback from the 2022 Post-implementation Review of the classification and measurement requirements in AASB 9 and related requirements in AASB 7 and the subsequent 2023 Exposure Draft. </w:t>
      </w:r>
      <w:r w:rsidR="008D0380">
        <w:rPr>
          <w:rFonts w:cs="Calibri"/>
          <w:szCs w:val="22"/>
          <w:lang w:val="en-AU"/>
        </w:rPr>
        <w:t xml:space="preserve">For the amendments contained in </w:t>
      </w:r>
      <w:r w:rsidR="008D0380" w:rsidRPr="00C35769">
        <w:rPr>
          <w:rFonts w:cs="Calibri"/>
          <w:szCs w:val="22"/>
          <w:lang w:val="en-AU"/>
        </w:rPr>
        <w:t xml:space="preserve">AASB 2024-2 </w:t>
      </w:r>
      <w:r w:rsidR="008D0380">
        <w:rPr>
          <w:rFonts w:cs="Calibri"/>
          <w:szCs w:val="22"/>
          <w:lang w:val="en-AU"/>
        </w:rPr>
        <w:t>see Section 3.1.</w:t>
      </w:r>
      <w:r w:rsidR="00D34FC1">
        <w:rPr>
          <w:rFonts w:cs="Calibri"/>
          <w:szCs w:val="22"/>
          <w:lang w:val="en-AU"/>
        </w:rPr>
        <w:t>2</w:t>
      </w:r>
      <w:r w:rsidR="008D0380">
        <w:rPr>
          <w:rFonts w:cs="Calibri"/>
          <w:szCs w:val="22"/>
          <w:lang w:val="en-AU"/>
        </w:rPr>
        <w:t xml:space="preserve"> above.</w:t>
      </w:r>
      <w:r w:rsidRPr="00C35769">
        <w:rPr>
          <w:rFonts w:cs="Calibri"/>
          <w:szCs w:val="22"/>
          <w:lang w:val="en-AU"/>
        </w:rPr>
        <w:t xml:space="preserve"> </w:t>
      </w:r>
    </w:p>
    <w:p w14:paraId="1F7DF0D2" w14:textId="004FA2C9" w:rsidR="005B3E1C" w:rsidRDefault="00C35769" w:rsidP="00EB3860">
      <w:pPr>
        <w:pStyle w:val="NormalSF"/>
        <w:spacing w:line="276" w:lineRule="auto"/>
        <w:jc w:val="both"/>
        <w:rPr>
          <w:rFonts w:cs="Calibri"/>
          <w:szCs w:val="22"/>
          <w:lang w:val="en-AU"/>
        </w:rPr>
      </w:pPr>
      <w:r w:rsidRPr="00C35769">
        <w:rPr>
          <w:rFonts w:cs="Calibri"/>
          <w:szCs w:val="22"/>
          <w:lang w:val="en-AU"/>
        </w:rPr>
        <w:lastRenderedPageBreak/>
        <w:t xml:space="preserve">This Standard </w:t>
      </w:r>
      <w:r w:rsidR="00AF4C6B">
        <w:rPr>
          <w:rFonts w:cs="Calibri"/>
          <w:szCs w:val="22"/>
          <w:lang w:val="en-AU"/>
        </w:rPr>
        <w:t xml:space="preserve">(AASB 2025-2) </w:t>
      </w:r>
      <w:r w:rsidRPr="00C35769">
        <w:rPr>
          <w:rFonts w:cs="Calibri"/>
          <w:szCs w:val="22"/>
          <w:lang w:val="en-AU"/>
        </w:rPr>
        <w:t xml:space="preserve">amends AASB 1060 to require a Tier 2 </w:t>
      </w:r>
      <w:r w:rsidR="00D40368">
        <w:rPr>
          <w:rFonts w:cs="Calibri"/>
          <w:szCs w:val="22"/>
          <w:lang w:val="en-AU"/>
        </w:rPr>
        <w:t>agency</w:t>
      </w:r>
      <w:r w:rsidRPr="00C35769">
        <w:rPr>
          <w:rFonts w:cs="Calibri"/>
          <w:szCs w:val="22"/>
          <w:lang w:val="en-AU"/>
        </w:rPr>
        <w:t xml:space="preserve"> to disclose information about financial instruments with contingent features that do not relate directly to basic lending risks and costs so that financial statement users can better understand the effect of contractual terms that could change the amount of contractual cash flows. However, the Standard does not add further specific disclosure requirements about investments in equity instruments designated at fair value through other comprehensive income. </w:t>
      </w:r>
    </w:p>
    <w:p w14:paraId="155D73EB" w14:textId="6804E97B" w:rsidR="00C35769" w:rsidRDefault="00C35769" w:rsidP="00EB3860">
      <w:pPr>
        <w:pStyle w:val="NormalSF"/>
        <w:spacing w:line="276" w:lineRule="auto"/>
        <w:jc w:val="both"/>
        <w:rPr>
          <w:rFonts w:cs="Calibri"/>
          <w:szCs w:val="22"/>
        </w:rPr>
      </w:pPr>
      <w:r w:rsidRPr="00C35769">
        <w:rPr>
          <w:rFonts w:cs="Calibri"/>
          <w:szCs w:val="22"/>
          <w:lang w:val="en-AU"/>
        </w:rPr>
        <w:t>This Standard also amends AASB 1060 to renumber the supplier finance arrangement disclosures (currently in paragraphs 119A‒119C) and relocate them and their related heading from the “Basic Financial Instruments” section of the Standard to the “Statement of Cash Flows” section.</w:t>
      </w:r>
    </w:p>
    <w:p w14:paraId="67A2C71A" w14:textId="6AE6F175" w:rsidR="00CC7F1B" w:rsidRPr="00533A6C" w:rsidRDefault="00CC7F1B" w:rsidP="00EB3860">
      <w:pPr>
        <w:pStyle w:val="NormalSF"/>
        <w:spacing w:line="276" w:lineRule="auto"/>
        <w:jc w:val="both"/>
        <w:rPr>
          <w:rFonts w:cstheme="minorHAnsi"/>
          <w:szCs w:val="22"/>
          <w:u w:val="single"/>
        </w:rPr>
      </w:pPr>
      <w:r w:rsidRPr="00533A6C">
        <w:rPr>
          <w:rFonts w:cstheme="minorHAnsi"/>
          <w:szCs w:val="22"/>
          <w:u w:val="single"/>
        </w:rPr>
        <w:t>Impact</w:t>
      </w:r>
    </w:p>
    <w:p w14:paraId="3D7A00D9" w14:textId="21313A3C" w:rsidR="00CC7F1B" w:rsidRPr="00022A1D" w:rsidRDefault="00AE633B" w:rsidP="00EB3860">
      <w:pPr>
        <w:pStyle w:val="NormalSF"/>
        <w:spacing w:line="276" w:lineRule="auto"/>
        <w:jc w:val="both"/>
        <w:rPr>
          <w:rFonts w:cstheme="minorHAnsi"/>
          <w:szCs w:val="22"/>
        </w:rPr>
      </w:pPr>
      <w:r>
        <w:rPr>
          <w:rFonts w:cstheme="minorHAnsi"/>
          <w:szCs w:val="22"/>
        </w:rPr>
        <w:t xml:space="preserve">This standard </w:t>
      </w:r>
      <w:r w:rsidRPr="00A46135">
        <w:rPr>
          <w:szCs w:val="22"/>
        </w:rPr>
        <w:t xml:space="preserve">will not apply to </w:t>
      </w:r>
      <w:r>
        <w:rPr>
          <w:szCs w:val="22"/>
        </w:rPr>
        <w:t xml:space="preserve">most </w:t>
      </w:r>
      <w:r w:rsidRPr="00A46135">
        <w:rPr>
          <w:szCs w:val="22"/>
        </w:rPr>
        <w:t>directorates and territory authorities</w:t>
      </w:r>
      <w:r w:rsidRPr="005E5FEC">
        <w:rPr>
          <w:rFonts w:cstheme="minorHAnsi"/>
          <w:szCs w:val="22"/>
        </w:rPr>
        <w:t>.</w:t>
      </w:r>
      <w:r>
        <w:rPr>
          <w:rFonts w:cstheme="minorHAnsi"/>
          <w:szCs w:val="22"/>
        </w:rPr>
        <w:t xml:space="preserve"> This is because the changes in </w:t>
      </w:r>
      <w:r w:rsidRPr="006573E9">
        <w:rPr>
          <w:rFonts w:cstheme="minorHAnsi"/>
          <w:szCs w:val="22"/>
        </w:rPr>
        <w:t xml:space="preserve">AASB 1060 relate to Tier 2 reporting, and it is ACT Disclosure Policy that agencies </w:t>
      </w:r>
      <w:r>
        <w:rPr>
          <w:rFonts w:cstheme="minorHAnsi"/>
          <w:szCs w:val="22"/>
        </w:rPr>
        <w:t>which</w:t>
      </w:r>
      <w:r w:rsidRPr="006573E9">
        <w:rPr>
          <w:rFonts w:cstheme="minorHAnsi"/>
          <w:szCs w:val="22"/>
        </w:rPr>
        <w:t xml:space="preserve"> are consolidated into the Whole-of-Government financial statements are not allowed to adopt Tier 2 reporting.</w:t>
      </w:r>
    </w:p>
    <w:p w14:paraId="7F62E41C" w14:textId="3587DC8F" w:rsidR="00E569B1" w:rsidRPr="005D60D3" w:rsidRDefault="005E3E7A" w:rsidP="00E569B1">
      <w:pPr>
        <w:pStyle w:val="Heading3"/>
        <w:numPr>
          <w:ilvl w:val="2"/>
          <w:numId w:val="16"/>
        </w:numPr>
        <w:spacing w:before="480" w:line="240" w:lineRule="auto"/>
        <w:ind w:left="1134" w:hanging="1134"/>
        <w:jc w:val="both"/>
      </w:pPr>
      <w:r w:rsidRPr="003A352E">
        <w:rPr>
          <w:szCs w:val="22"/>
        </w:rPr>
        <w:t xml:space="preserve"> </w:t>
      </w:r>
      <w:bookmarkStart w:id="123" w:name="_Toc233635563"/>
      <w:r w:rsidR="00E569B1" w:rsidRPr="005D60D3">
        <w:t>AASB 202</w:t>
      </w:r>
      <w:r w:rsidR="00E569B1">
        <w:t>5</w:t>
      </w:r>
      <w:r w:rsidR="00E569B1" w:rsidRPr="005D60D3">
        <w:t>-</w:t>
      </w:r>
      <w:r w:rsidR="00E569B1">
        <w:t>3</w:t>
      </w:r>
      <w:r w:rsidR="00E569B1" w:rsidRPr="005D60D3">
        <w:t xml:space="preserve"> </w:t>
      </w:r>
      <w:r w:rsidR="00E569B1" w:rsidRPr="00692879">
        <w:t>Amendments to Australian Accounting Standards – Contracts Referencing Nature-dependent Electricity: Tier 2 Disclosures</w:t>
      </w:r>
      <w:r w:rsidR="00E569B1" w:rsidRPr="00E569B1">
        <w:t xml:space="preserve"> (</w:t>
      </w:r>
      <w:r w:rsidR="00E569B1" w:rsidRPr="005D60D3">
        <w:t>appl. 1 J</w:t>
      </w:r>
      <w:r w:rsidR="00E569B1">
        <w:t xml:space="preserve">anuary </w:t>
      </w:r>
      <w:r w:rsidR="00E569B1" w:rsidRPr="005D60D3">
        <w:t>202</w:t>
      </w:r>
      <w:r w:rsidR="00E569B1">
        <w:t>6</w:t>
      </w:r>
      <w:r w:rsidR="00E569B1" w:rsidRPr="005D60D3">
        <w:t>)</w:t>
      </w:r>
      <w:bookmarkEnd w:id="123"/>
    </w:p>
    <w:p w14:paraId="16927387" w14:textId="41870FB1" w:rsidR="004E245B" w:rsidRPr="003A352E" w:rsidRDefault="00E569B1" w:rsidP="00CA4CA6">
      <w:pPr>
        <w:pStyle w:val="NormalSF"/>
        <w:spacing w:line="276" w:lineRule="auto"/>
        <w:jc w:val="both"/>
        <w:rPr>
          <w:rFonts w:asciiTheme="minorHAnsi" w:eastAsiaTheme="minorHAnsi" w:hAnsiTheme="minorHAnsi"/>
          <w:szCs w:val="22"/>
          <w:lang w:val="en-AU"/>
        </w:rPr>
      </w:pPr>
      <w:r w:rsidRPr="00533A6C">
        <w:rPr>
          <w:rFonts w:cs="Calibri"/>
          <w:szCs w:val="22"/>
          <w:u w:val="single"/>
          <w:lang w:val="en-AU"/>
        </w:rPr>
        <w:t>Background</w:t>
      </w:r>
    </w:p>
    <w:p w14:paraId="300360CB" w14:textId="3DC295A4" w:rsidR="00973F4E" w:rsidRDefault="00E569B1" w:rsidP="00CA4CA6">
      <w:pPr>
        <w:pStyle w:val="NormalSF"/>
        <w:spacing w:line="276" w:lineRule="auto"/>
        <w:jc w:val="both"/>
        <w:rPr>
          <w:rFonts w:cs="Calibri"/>
          <w:szCs w:val="22"/>
          <w:lang w:val="en-AU"/>
        </w:rPr>
      </w:pPr>
      <w:r w:rsidRPr="00E569B1">
        <w:rPr>
          <w:rFonts w:cs="Calibri"/>
          <w:szCs w:val="22"/>
          <w:lang w:val="en-AU"/>
        </w:rPr>
        <w:t xml:space="preserve">AASB 2025-1 </w:t>
      </w:r>
      <w:r w:rsidRPr="00E569B1">
        <w:rPr>
          <w:rFonts w:cs="Calibri"/>
          <w:i/>
          <w:iCs/>
          <w:szCs w:val="22"/>
          <w:lang w:val="en-AU"/>
        </w:rPr>
        <w:t>Amendments to Australian Accounting Standards – Contracts Referencing Nature-dependent Electricity</w:t>
      </w:r>
      <w:r w:rsidRPr="00E569B1">
        <w:rPr>
          <w:rFonts w:cs="Calibri"/>
          <w:szCs w:val="22"/>
          <w:lang w:val="en-AU"/>
        </w:rPr>
        <w:t xml:space="preserve"> amended AASB 7 </w:t>
      </w:r>
      <w:r w:rsidRPr="00E569B1">
        <w:rPr>
          <w:rFonts w:cs="Calibri"/>
          <w:i/>
          <w:iCs/>
          <w:szCs w:val="22"/>
          <w:lang w:val="en-AU"/>
        </w:rPr>
        <w:t>Financial Instruments: Disclosures</w:t>
      </w:r>
      <w:r w:rsidRPr="00E569B1">
        <w:rPr>
          <w:rFonts w:cs="Calibri"/>
          <w:szCs w:val="22"/>
          <w:lang w:val="en-AU"/>
        </w:rPr>
        <w:t xml:space="preserve"> and AASB 9 </w:t>
      </w:r>
      <w:r w:rsidRPr="00E569B1">
        <w:rPr>
          <w:rFonts w:cs="Calibri"/>
          <w:i/>
          <w:iCs/>
          <w:szCs w:val="22"/>
          <w:lang w:val="en-AU"/>
        </w:rPr>
        <w:t>Financial Instruments</w:t>
      </w:r>
      <w:r w:rsidRPr="00E569B1">
        <w:rPr>
          <w:rFonts w:cs="Calibri"/>
          <w:szCs w:val="22"/>
          <w:lang w:val="en-AU"/>
        </w:rPr>
        <w:t xml:space="preserve"> to allow </w:t>
      </w:r>
      <w:r w:rsidR="00D40368">
        <w:rPr>
          <w:rFonts w:cs="Calibri"/>
          <w:szCs w:val="22"/>
          <w:lang w:val="en-AU"/>
        </w:rPr>
        <w:t>agencies</w:t>
      </w:r>
      <w:r w:rsidRPr="00E569B1">
        <w:rPr>
          <w:rFonts w:cs="Calibri"/>
          <w:szCs w:val="22"/>
          <w:lang w:val="en-AU"/>
        </w:rPr>
        <w:t xml:space="preserve"> to better reflect nature-dependent electricity contracts in the financial statements. Nature-dependent electricity contracts help </w:t>
      </w:r>
      <w:r w:rsidR="00D40368">
        <w:rPr>
          <w:rFonts w:cs="Calibri"/>
          <w:szCs w:val="22"/>
          <w:lang w:val="en-AU"/>
        </w:rPr>
        <w:t>agencies</w:t>
      </w:r>
      <w:r w:rsidRPr="00E569B1">
        <w:rPr>
          <w:rFonts w:cs="Calibri"/>
          <w:szCs w:val="22"/>
          <w:lang w:val="en-AU"/>
        </w:rPr>
        <w:t xml:space="preserve"> to secure their electricity supply from sources such as wind and solar power. The amount of electricity generated under these contracts can vary based on uncontrollable factors such as weather conditions. </w:t>
      </w:r>
    </w:p>
    <w:p w14:paraId="31E8737B" w14:textId="77777777" w:rsidR="00973F4E" w:rsidRDefault="00E569B1" w:rsidP="00CA4CA6">
      <w:pPr>
        <w:pStyle w:val="NormalSF"/>
        <w:spacing w:line="276" w:lineRule="auto"/>
        <w:jc w:val="both"/>
        <w:rPr>
          <w:rFonts w:cs="Calibri"/>
          <w:szCs w:val="22"/>
          <w:lang w:val="en-AU"/>
        </w:rPr>
      </w:pPr>
      <w:r w:rsidRPr="00E569B1">
        <w:rPr>
          <w:rFonts w:cs="Calibri"/>
          <w:szCs w:val="22"/>
          <w:lang w:val="en-AU"/>
        </w:rPr>
        <w:t xml:space="preserve">AASB 2025-1 amended requirements to: </w:t>
      </w:r>
    </w:p>
    <w:p w14:paraId="39F99883" w14:textId="77777777" w:rsidR="00973F4E" w:rsidRDefault="00E569B1" w:rsidP="00CA4CA6">
      <w:pPr>
        <w:pStyle w:val="NormalSF"/>
        <w:numPr>
          <w:ilvl w:val="1"/>
          <w:numId w:val="37"/>
        </w:numPr>
        <w:spacing w:line="276" w:lineRule="auto"/>
        <w:jc w:val="both"/>
        <w:rPr>
          <w:rFonts w:cs="Calibri"/>
          <w:szCs w:val="22"/>
          <w:lang w:val="en-AU"/>
        </w:rPr>
      </w:pPr>
      <w:r w:rsidRPr="00E569B1">
        <w:rPr>
          <w:rFonts w:cs="Calibri"/>
          <w:szCs w:val="22"/>
          <w:lang w:val="en-AU"/>
        </w:rPr>
        <w:t xml:space="preserve">clarify the application of the ‘own-use’ criteria to nature-dependent electricity contracts; </w:t>
      </w:r>
    </w:p>
    <w:p w14:paraId="4869473F" w14:textId="3920CA31" w:rsidR="00973F4E" w:rsidRDefault="00E569B1" w:rsidP="00CA4CA6">
      <w:pPr>
        <w:pStyle w:val="NormalSF"/>
        <w:numPr>
          <w:ilvl w:val="1"/>
          <w:numId w:val="37"/>
        </w:numPr>
        <w:spacing w:line="276" w:lineRule="auto"/>
        <w:jc w:val="both"/>
        <w:rPr>
          <w:rFonts w:cs="Calibri"/>
          <w:szCs w:val="22"/>
          <w:lang w:val="en-AU"/>
        </w:rPr>
      </w:pPr>
      <w:r w:rsidRPr="00973F4E">
        <w:rPr>
          <w:rFonts w:cs="Calibri"/>
          <w:szCs w:val="22"/>
          <w:lang w:val="en-AU"/>
        </w:rPr>
        <w:t xml:space="preserve">permit hedge accounting if these contracts are used as hedging instruments; and </w:t>
      </w:r>
    </w:p>
    <w:p w14:paraId="5AAE86E4" w14:textId="5BA9401C" w:rsidR="00973F4E" w:rsidRPr="00973F4E" w:rsidRDefault="00E569B1" w:rsidP="00CA4CA6">
      <w:pPr>
        <w:pStyle w:val="NormalSF"/>
        <w:numPr>
          <w:ilvl w:val="1"/>
          <w:numId w:val="37"/>
        </w:numPr>
        <w:spacing w:line="276" w:lineRule="auto"/>
        <w:jc w:val="both"/>
        <w:rPr>
          <w:rFonts w:cs="Calibri"/>
          <w:szCs w:val="22"/>
          <w:lang w:val="en-AU"/>
        </w:rPr>
      </w:pPr>
      <w:r w:rsidRPr="00973F4E">
        <w:rPr>
          <w:rFonts w:cs="Calibri"/>
          <w:szCs w:val="22"/>
          <w:lang w:val="en-AU"/>
        </w:rPr>
        <w:t xml:space="preserve">add new disclosure requirements to enable users of financial statements to better understand the effect of these contracts on an </w:t>
      </w:r>
      <w:r w:rsidR="00D40368">
        <w:rPr>
          <w:rFonts w:cs="Calibri"/>
          <w:szCs w:val="22"/>
          <w:lang w:val="en-AU"/>
        </w:rPr>
        <w:t>agency</w:t>
      </w:r>
      <w:r w:rsidRPr="00973F4E">
        <w:rPr>
          <w:rFonts w:cs="Calibri"/>
          <w:szCs w:val="22"/>
          <w:lang w:val="en-AU"/>
        </w:rPr>
        <w:t xml:space="preserve">’s financial performance and cash flows. </w:t>
      </w:r>
    </w:p>
    <w:p w14:paraId="6B36E568" w14:textId="2FE80BFE" w:rsidR="00F40B76" w:rsidRPr="00E569B1" w:rsidRDefault="00973F4E" w:rsidP="00CA4CA6">
      <w:pPr>
        <w:pStyle w:val="NormalSF"/>
        <w:spacing w:line="276" w:lineRule="auto"/>
        <w:jc w:val="both"/>
        <w:rPr>
          <w:rFonts w:cs="Calibri"/>
          <w:szCs w:val="22"/>
          <w:lang w:val="en-AU"/>
        </w:rPr>
      </w:pPr>
      <w:r>
        <w:rPr>
          <w:rFonts w:cs="Calibri"/>
          <w:szCs w:val="22"/>
          <w:lang w:val="en-AU"/>
        </w:rPr>
        <w:t xml:space="preserve">AASB 2025-3 </w:t>
      </w:r>
      <w:r w:rsidR="00E569B1" w:rsidRPr="00E569B1">
        <w:rPr>
          <w:rFonts w:cs="Calibri"/>
          <w:szCs w:val="22"/>
          <w:lang w:val="en-AU"/>
        </w:rPr>
        <w:t>amends AASB 1060 to require a Tier 2 entity to disclose information about nature</w:t>
      </w:r>
      <w:r w:rsidR="00EB1B93">
        <w:rPr>
          <w:rFonts w:cs="Calibri"/>
          <w:szCs w:val="22"/>
          <w:lang w:val="en-AU"/>
        </w:rPr>
        <w:noBreakHyphen/>
      </w:r>
      <w:r w:rsidR="00E569B1" w:rsidRPr="00E569B1">
        <w:rPr>
          <w:rFonts w:cs="Calibri"/>
          <w:szCs w:val="22"/>
          <w:lang w:val="en-AU"/>
        </w:rPr>
        <w:t>dependent electricity contracts that meet the ‘own-use’ criteria and are recognised as procurement contracts. Only some of the disclosure requirements added by AASB 2025-1 to AASB 7 for Tier 1 entities are extended to Tier 2 entities.</w:t>
      </w:r>
      <w:r w:rsidR="00F40B76" w:rsidRPr="00E569B1">
        <w:rPr>
          <w:rFonts w:cs="Calibri"/>
          <w:szCs w:val="22"/>
          <w:lang w:val="en-AU"/>
        </w:rPr>
        <w:t xml:space="preserve">  </w:t>
      </w:r>
    </w:p>
    <w:p w14:paraId="176C7A33" w14:textId="77777777" w:rsidR="00973F4E" w:rsidRPr="00533A6C" w:rsidRDefault="00973F4E" w:rsidP="00973F4E">
      <w:pPr>
        <w:pStyle w:val="NormalSF"/>
        <w:spacing w:line="276" w:lineRule="auto"/>
        <w:jc w:val="both"/>
        <w:rPr>
          <w:rFonts w:cstheme="minorHAnsi"/>
          <w:szCs w:val="22"/>
          <w:u w:val="single"/>
        </w:rPr>
      </w:pPr>
      <w:r w:rsidRPr="00533A6C">
        <w:rPr>
          <w:rFonts w:cstheme="minorHAnsi"/>
          <w:szCs w:val="22"/>
          <w:u w:val="single"/>
        </w:rPr>
        <w:t>Impact</w:t>
      </w:r>
    </w:p>
    <w:p w14:paraId="3798ACDA" w14:textId="77777777" w:rsidR="00973F4E" w:rsidRDefault="00973F4E" w:rsidP="00973F4E">
      <w:pPr>
        <w:pStyle w:val="NormalSF"/>
        <w:spacing w:line="276" w:lineRule="auto"/>
        <w:jc w:val="both"/>
        <w:rPr>
          <w:rFonts w:cstheme="minorHAnsi"/>
          <w:szCs w:val="22"/>
        </w:rPr>
      </w:pPr>
      <w:r>
        <w:rPr>
          <w:rFonts w:cstheme="minorHAnsi"/>
          <w:szCs w:val="22"/>
        </w:rPr>
        <w:t xml:space="preserve">This standard </w:t>
      </w:r>
      <w:r w:rsidRPr="00A46135">
        <w:rPr>
          <w:szCs w:val="22"/>
        </w:rPr>
        <w:t xml:space="preserve">will not apply to </w:t>
      </w:r>
      <w:r>
        <w:rPr>
          <w:szCs w:val="22"/>
        </w:rPr>
        <w:t xml:space="preserve">most </w:t>
      </w:r>
      <w:r w:rsidRPr="00A46135">
        <w:rPr>
          <w:szCs w:val="22"/>
        </w:rPr>
        <w:t>directorates and territory authorities</w:t>
      </w:r>
      <w:r w:rsidRPr="005E5FEC">
        <w:rPr>
          <w:rFonts w:cstheme="minorHAnsi"/>
          <w:szCs w:val="22"/>
        </w:rPr>
        <w:t>.</w:t>
      </w:r>
      <w:r>
        <w:rPr>
          <w:rFonts w:cstheme="minorHAnsi"/>
          <w:szCs w:val="22"/>
        </w:rPr>
        <w:t xml:space="preserve"> This is because the changes in </w:t>
      </w:r>
      <w:r w:rsidRPr="006573E9">
        <w:rPr>
          <w:rFonts w:cstheme="minorHAnsi"/>
          <w:szCs w:val="22"/>
        </w:rPr>
        <w:t xml:space="preserve">AASB 1060 relate to Tier 2 reporting, and it is ACT Disclosure Policy that agencies </w:t>
      </w:r>
      <w:r>
        <w:rPr>
          <w:rFonts w:cstheme="minorHAnsi"/>
          <w:szCs w:val="22"/>
        </w:rPr>
        <w:t>which</w:t>
      </w:r>
      <w:r w:rsidRPr="006573E9">
        <w:rPr>
          <w:rFonts w:cstheme="minorHAnsi"/>
          <w:szCs w:val="22"/>
        </w:rPr>
        <w:t xml:space="preserve"> are consolidated into the Whole-of-Government financial statements are not allowed to adopt Tier 2 reporting.</w:t>
      </w:r>
    </w:p>
    <w:p w14:paraId="0D669DEB" w14:textId="36B4A2E1" w:rsidR="00973F4E" w:rsidRPr="005D60D3" w:rsidRDefault="00973F4E" w:rsidP="00125F54">
      <w:pPr>
        <w:pStyle w:val="Heading3"/>
        <w:numPr>
          <w:ilvl w:val="2"/>
          <w:numId w:val="16"/>
        </w:numPr>
        <w:spacing w:before="480" w:line="240" w:lineRule="auto"/>
        <w:ind w:left="1134" w:hanging="1134"/>
        <w:jc w:val="both"/>
      </w:pPr>
      <w:bookmarkStart w:id="124" w:name="_Toc233635564"/>
      <w:r w:rsidRPr="005D60D3">
        <w:lastRenderedPageBreak/>
        <w:t>AASB 202</w:t>
      </w:r>
      <w:r>
        <w:t>5</w:t>
      </w:r>
      <w:r w:rsidRPr="005D60D3">
        <w:t>-</w:t>
      </w:r>
      <w:r>
        <w:t>4</w:t>
      </w:r>
      <w:r w:rsidRPr="005D60D3">
        <w:t xml:space="preserve"> </w:t>
      </w:r>
      <w:r w:rsidRPr="00973F4E">
        <w:t>Amendments to Australian Accounting Standards – Translation to a Hyperinflationary Presentation Currenc</w:t>
      </w:r>
      <w:r>
        <w:t>y</w:t>
      </w:r>
      <w:r w:rsidRPr="00E569B1">
        <w:t xml:space="preserve"> (</w:t>
      </w:r>
      <w:r w:rsidRPr="005D60D3">
        <w:t>appl. 1 J</w:t>
      </w:r>
      <w:r>
        <w:t xml:space="preserve">anuary </w:t>
      </w:r>
      <w:r w:rsidRPr="005D60D3">
        <w:t>202</w:t>
      </w:r>
      <w:r>
        <w:t>7</w:t>
      </w:r>
      <w:r w:rsidRPr="005D60D3">
        <w:t>)</w:t>
      </w:r>
      <w:bookmarkEnd w:id="124"/>
    </w:p>
    <w:p w14:paraId="10CE1166" w14:textId="77777777" w:rsidR="00973F4E" w:rsidRPr="003A352E" w:rsidRDefault="00973F4E" w:rsidP="00973F4E">
      <w:pPr>
        <w:pStyle w:val="NormalSF"/>
        <w:spacing w:line="276" w:lineRule="auto"/>
        <w:jc w:val="both"/>
        <w:rPr>
          <w:rFonts w:asciiTheme="minorHAnsi" w:eastAsiaTheme="minorHAnsi" w:hAnsiTheme="minorHAnsi"/>
          <w:szCs w:val="22"/>
          <w:lang w:val="en-AU"/>
        </w:rPr>
      </w:pPr>
      <w:r w:rsidRPr="00533A6C">
        <w:rPr>
          <w:rFonts w:cs="Calibri"/>
          <w:szCs w:val="22"/>
          <w:u w:val="single"/>
          <w:lang w:val="en-AU"/>
        </w:rPr>
        <w:t>Background</w:t>
      </w:r>
    </w:p>
    <w:p w14:paraId="6A96CABC" w14:textId="1024F3E7" w:rsidR="00973F4E" w:rsidRDefault="00973F4E" w:rsidP="00973F4E">
      <w:pPr>
        <w:pStyle w:val="NormalSF"/>
        <w:spacing w:line="276" w:lineRule="auto"/>
        <w:jc w:val="both"/>
        <w:rPr>
          <w:rFonts w:cstheme="minorHAnsi"/>
          <w:szCs w:val="22"/>
          <w:lang w:val="en-AU"/>
        </w:rPr>
      </w:pPr>
      <w:r w:rsidRPr="00973F4E">
        <w:rPr>
          <w:rFonts w:cstheme="minorHAnsi"/>
          <w:szCs w:val="22"/>
          <w:lang w:val="en-AU"/>
        </w:rPr>
        <w:t xml:space="preserve">This Standard amends AASB 121 and AASB 129 to clarify the translation procedures for an </w:t>
      </w:r>
      <w:r w:rsidR="00D40368">
        <w:rPr>
          <w:rFonts w:cstheme="minorHAnsi"/>
          <w:szCs w:val="22"/>
          <w:lang w:val="en-AU"/>
        </w:rPr>
        <w:t>agency</w:t>
      </w:r>
      <w:r w:rsidRPr="00973F4E">
        <w:rPr>
          <w:rFonts w:cstheme="minorHAnsi"/>
          <w:szCs w:val="22"/>
          <w:lang w:val="en-AU"/>
        </w:rPr>
        <w:t xml:space="preserve"> whose presentation</w:t>
      </w:r>
      <w:r>
        <w:rPr>
          <w:rFonts w:cstheme="minorHAnsi"/>
          <w:szCs w:val="22"/>
          <w:lang w:val="en-AU"/>
        </w:rPr>
        <w:t xml:space="preserve"> </w:t>
      </w:r>
      <w:r w:rsidRPr="00973F4E">
        <w:rPr>
          <w:rFonts w:cstheme="minorHAnsi"/>
          <w:szCs w:val="22"/>
          <w:lang w:val="en-AU"/>
        </w:rPr>
        <w:t xml:space="preserve">currency is that of a hyperinflationary economy, in the following circumstances: </w:t>
      </w:r>
    </w:p>
    <w:p w14:paraId="36AA3E85" w14:textId="1510AC99" w:rsidR="00973F4E" w:rsidRDefault="00973F4E" w:rsidP="00973F4E">
      <w:pPr>
        <w:pStyle w:val="NormalSF"/>
        <w:numPr>
          <w:ilvl w:val="0"/>
          <w:numId w:val="38"/>
        </w:numPr>
        <w:spacing w:line="276" w:lineRule="auto"/>
        <w:jc w:val="both"/>
        <w:rPr>
          <w:rFonts w:cstheme="minorHAnsi"/>
          <w:szCs w:val="22"/>
          <w:lang w:val="en-AU"/>
        </w:rPr>
      </w:pPr>
      <w:r w:rsidRPr="00973F4E">
        <w:rPr>
          <w:rFonts w:cstheme="minorHAnsi"/>
          <w:szCs w:val="22"/>
          <w:lang w:val="en-AU"/>
        </w:rPr>
        <w:t xml:space="preserve">the </w:t>
      </w:r>
      <w:r w:rsidR="00D40368">
        <w:rPr>
          <w:rFonts w:cstheme="minorHAnsi"/>
          <w:szCs w:val="22"/>
          <w:lang w:val="en-AU"/>
        </w:rPr>
        <w:t>agency</w:t>
      </w:r>
      <w:r w:rsidRPr="00973F4E">
        <w:rPr>
          <w:rFonts w:cstheme="minorHAnsi"/>
          <w:szCs w:val="22"/>
          <w:lang w:val="en-AU"/>
        </w:rPr>
        <w:t xml:space="preserve">’s functional currency is that of a non-hyperinflationary economy and it is translating its results and financial position into the currency of a hyperinflationary economy; and </w:t>
      </w:r>
    </w:p>
    <w:p w14:paraId="4B078581" w14:textId="0091D770" w:rsidR="00973F4E" w:rsidRDefault="00973F4E" w:rsidP="00973F4E">
      <w:pPr>
        <w:pStyle w:val="NormalSF"/>
        <w:numPr>
          <w:ilvl w:val="0"/>
          <w:numId w:val="38"/>
        </w:numPr>
        <w:spacing w:line="276" w:lineRule="auto"/>
        <w:jc w:val="both"/>
        <w:rPr>
          <w:rFonts w:cstheme="minorHAnsi"/>
          <w:szCs w:val="22"/>
          <w:lang w:val="en-AU"/>
        </w:rPr>
      </w:pPr>
      <w:r w:rsidRPr="00973F4E">
        <w:rPr>
          <w:rFonts w:cstheme="minorHAnsi"/>
          <w:szCs w:val="22"/>
          <w:lang w:val="en-AU"/>
        </w:rPr>
        <w:t xml:space="preserve">the </w:t>
      </w:r>
      <w:r w:rsidR="00D40368">
        <w:rPr>
          <w:rFonts w:cstheme="minorHAnsi"/>
          <w:szCs w:val="22"/>
          <w:lang w:val="en-AU"/>
        </w:rPr>
        <w:t>agency</w:t>
      </w:r>
      <w:r w:rsidRPr="00973F4E">
        <w:rPr>
          <w:rFonts w:cstheme="minorHAnsi"/>
          <w:szCs w:val="22"/>
          <w:lang w:val="en-AU"/>
        </w:rPr>
        <w:t xml:space="preserve"> is translating into the currency of a hyperinflationary economy the results and financial position of a foreign operation whose functional currency is that of a non-hyperinflationary economy.  </w:t>
      </w:r>
    </w:p>
    <w:p w14:paraId="2A910969" w14:textId="0E65DC37" w:rsidR="00973F4E" w:rsidRPr="00973F4E" w:rsidRDefault="00973F4E" w:rsidP="00973F4E">
      <w:pPr>
        <w:pStyle w:val="NormalSF"/>
        <w:spacing w:line="276" w:lineRule="auto"/>
        <w:jc w:val="both"/>
        <w:rPr>
          <w:rFonts w:cstheme="minorHAnsi"/>
          <w:szCs w:val="22"/>
          <w:lang w:val="en-AU"/>
        </w:rPr>
      </w:pPr>
      <w:r w:rsidRPr="00973F4E">
        <w:rPr>
          <w:rFonts w:cstheme="minorHAnsi"/>
          <w:szCs w:val="22"/>
          <w:lang w:val="en-AU"/>
        </w:rPr>
        <w:t xml:space="preserve">The amendments include the translation procedures for comparatives in the </w:t>
      </w:r>
      <w:r w:rsidR="00D40368">
        <w:rPr>
          <w:rFonts w:cstheme="minorHAnsi"/>
          <w:szCs w:val="22"/>
          <w:lang w:val="en-AU"/>
        </w:rPr>
        <w:t>agency</w:t>
      </w:r>
      <w:r w:rsidRPr="00973F4E">
        <w:rPr>
          <w:rFonts w:cstheme="minorHAnsi"/>
          <w:szCs w:val="22"/>
          <w:lang w:val="en-AU"/>
        </w:rPr>
        <w:t xml:space="preserve">’s financial statements and also address the effect of the </w:t>
      </w:r>
      <w:r w:rsidR="00D40368">
        <w:rPr>
          <w:rFonts w:cstheme="minorHAnsi"/>
          <w:szCs w:val="22"/>
          <w:lang w:val="en-AU"/>
        </w:rPr>
        <w:t>agency</w:t>
      </w:r>
      <w:r w:rsidRPr="00973F4E">
        <w:rPr>
          <w:rFonts w:cstheme="minorHAnsi"/>
          <w:szCs w:val="22"/>
          <w:lang w:val="en-AU"/>
        </w:rPr>
        <w:t>’s presentation currency ceasing to be the currency of a hyperinflationary economy.</w:t>
      </w:r>
    </w:p>
    <w:p w14:paraId="3F335AFA" w14:textId="77777777" w:rsidR="00973F4E" w:rsidRPr="00533A6C" w:rsidRDefault="00973F4E" w:rsidP="00973F4E">
      <w:pPr>
        <w:pStyle w:val="NormalSF"/>
        <w:spacing w:line="276" w:lineRule="auto"/>
        <w:jc w:val="both"/>
        <w:rPr>
          <w:rFonts w:cstheme="minorHAnsi"/>
          <w:szCs w:val="22"/>
          <w:u w:val="single"/>
        </w:rPr>
      </w:pPr>
      <w:r w:rsidRPr="00533A6C">
        <w:rPr>
          <w:rFonts w:cstheme="minorHAnsi"/>
          <w:szCs w:val="22"/>
          <w:u w:val="single"/>
        </w:rPr>
        <w:t>Impact</w:t>
      </w:r>
    </w:p>
    <w:p w14:paraId="3035FB8B" w14:textId="06D16CE4" w:rsidR="00973F4E" w:rsidRDefault="00973F4E" w:rsidP="00973F4E">
      <w:pPr>
        <w:pStyle w:val="NormalSF"/>
        <w:spacing w:line="276" w:lineRule="auto"/>
        <w:jc w:val="both"/>
        <w:rPr>
          <w:rFonts w:cstheme="minorHAnsi"/>
          <w:szCs w:val="22"/>
        </w:rPr>
      </w:pPr>
      <w:r>
        <w:rPr>
          <w:rFonts w:cstheme="minorHAnsi"/>
          <w:szCs w:val="22"/>
        </w:rPr>
        <w:t xml:space="preserve">This standard </w:t>
      </w:r>
      <w:r w:rsidRPr="00A46135">
        <w:rPr>
          <w:szCs w:val="22"/>
        </w:rPr>
        <w:t xml:space="preserve">will not apply to </w:t>
      </w:r>
      <w:r>
        <w:rPr>
          <w:szCs w:val="22"/>
        </w:rPr>
        <w:t xml:space="preserve">most </w:t>
      </w:r>
      <w:r w:rsidRPr="00A46135">
        <w:rPr>
          <w:szCs w:val="22"/>
        </w:rPr>
        <w:t>directorates and territory authorities</w:t>
      </w:r>
      <w:r w:rsidRPr="005E5FEC">
        <w:rPr>
          <w:rFonts w:cstheme="minorHAnsi"/>
          <w:szCs w:val="22"/>
        </w:rPr>
        <w:t>.</w:t>
      </w:r>
      <w:r>
        <w:rPr>
          <w:rFonts w:cstheme="minorHAnsi"/>
          <w:szCs w:val="22"/>
        </w:rPr>
        <w:t xml:space="preserve"> This is because directorates and territory authorities do not need to translate </w:t>
      </w:r>
      <w:r w:rsidR="00D40368">
        <w:rPr>
          <w:rFonts w:cstheme="minorHAnsi"/>
          <w:szCs w:val="22"/>
        </w:rPr>
        <w:t xml:space="preserve">their results and financial position </w:t>
      </w:r>
      <w:r w:rsidR="00482763">
        <w:rPr>
          <w:rFonts w:cstheme="minorHAnsi"/>
          <w:szCs w:val="22"/>
        </w:rPr>
        <w:t xml:space="preserve">into </w:t>
      </w:r>
      <w:r>
        <w:rPr>
          <w:rFonts w:cstheme="minorHAnsi"/>
          <w:szCs w:val="22"/>
        </w:rPr>
        <w:t xml:space="preserve">hyperinflationary </w:t>
      </w:r>
      <w:r w:rsidR="00403603">
        <w:rPr>
          <w:rFonts w:cstheme="minorHAnsi"/>
          <w:szCs w:val="22"/>
        </w:rPr>
        <w:t>currencies</w:t>
      </w:r>
      <w:r w:rsidRPr="006573E9">
        <w:rPr>
          <w:rFonts w:cstheme="minorHAnsi"/>
          <w:szCs w:val="22"/>
        </w:rPr>
        <w:t>.</w:t>
      </w:r>
    </w:p>
    <w:p w14:paraId="37741C8D" w14:textId="3CFC4F94" w:rsidR="00125F54" w:rsidRPr="00125F54" w:rsidRDefault="00125F54" w:rsidP="001760BE">
      <w:pPr>
        <w:pStyle w:val="NormalSF"/>
        <w:spacing w:line="276" w:lineRule="auto"/>
        <w:rPr>
          <w:lang w:val="en-AU"/>
        </w:rPr>
        <w:sectPr w:rsidR="00125F54" w:rsidRPr="00125F54">
          <w:headerReference w:type="default" r:id="rId14"/>
          <w:footerReference w:type="default" r:id="rId15"/>
          <w:pgSz w:w="11906" w:h="16838"/>
          <w:pgMar w:top="1440" w:right="1440" w:bottom="1440" w:left="1440" w:header="708" w:footer="708" w:gutter="0"/>
          <w:cols w:space="708"/>
          <w:docGrid w:linePitch="360"/>
        </w:sectPr>
      </w:pPr>
    </w:p>
    <w:p w14:paraId="42BC44CD" w14:textId="42C7B150" w:rsidR="000715C4" w:rsidRPr="003A6F39" w:rsidRDefault="000715C4" w:rsidP="001B22DE">
      <w:pPr>
        <w:pStyle w:val="Heading1"/>
        <w:numPr>
          <w:ilvl w:val="0"/>
          <w:numId w:val="0"/>
        </w:numPr>
      </w:pPr>
      <w:bookmarkStart w:id="125" w:name="_Toc233635565"/>
      <w:bookmarkStart w:id="126" w:name="_Hlk70420261"/>
      <w:r w:rsidRPr="003A6F39">
        <w:lastRenderedPageBreak/>
        <w:t>ATTACHMENT A</w:t>
      </w:r>
      <w:r w:rsidR="003A6F39" w:rsidRPr="003A6F39">
        <w:t xml:space="preserve"> </w:t>
      </w:r>
      <w:r w:rsidR="005D1F71">
        <w:t>–</w:t>
      </w:r>
      <w:r w:rsidR="003A6F39">
        <w:t xml:space="preserve"> </w:t>
      </w:r>
      <w:r w:rsidR="008F1E9B">
        <w:t>2</w:t>
      </w:r>
      <w:r w:rsidR="005D1F71">
        <w:t>02</w:t>
      </w:r>
      <w:r w:rsidR="002E132A">
        <w:t>5</w:t>
      </w:r>
      <w:r w:rsidR="005D1F71">
        <w:t>-2</w:t>
      </w:r>
      <w:r w:rsidR="002E132A">
        <w:t>6</w:t>
      </w:r>
      <w:r w:rsidR="005D1F71" w:rsidRPr="005D1F71">
        <w:t xml:space="preserve"> Model Financial Statement Disclosures for </w:t>
      </w:r>
      <w:r w:rsidR="008F1E9B">
        <w:t>STANDARDS ISSUED BUT YET TO BE APPLIED</w:t>
      </w:r>
      <w:bookmarkEnd w:id="125"/>
      <w:r w:rsidR="005D1F71" w:rsidRPr="003A6F39">
        <w:t xml:space="preserve"> </w:t>
      </w:r>
    </w:p>
    <w:p w14:paraId="66B9731F" w14:textId="77777777" w:rsidR="008F1E9B" w:rsidRPr="002217A8" w:rsidRDefault="008F1E9B" w:rsidP="00CE23E5">
      <w:pPr>
        <w:spacing w:before="120" w:after="120" w:line="276" w:lineRule="auto"/>
        <w:jc w:val="both"/>
        <w:rPr>
          <w:rFonts w:cs="Calibri"/>
          <w:bCs/>
          <w:sz w:val="22"/>
          <w:szCs w:val="22"/>
          <w:u w:val="single"/>
        </w:rPr>
      </w:pPr>
      <w:r w:rsidRPr="002217A8">
        <w:rPr>
          <w:rFonts w:cs="Calibri"/>
          <w:bCs/>
          <w:sz w:val="22"/>
          <w:szCs w:val="22"/>
          <w:u w:val="single"/>
        </w:rPr>
        <w:t>Background</w:t>
      </w:r>
    </w:p>
    <w:p w14:paraId="7F0A4CEF" w14:textId="77777777" w:rsidR="002217A8" w:rsidRDefault="00D10D17" w:rsidP="00CE23E5">
      <w:pPr>
        <w:spacing w:before="120" w:after="120" w:line="276" w:lineRule="auto"/>
        <w:jc w:val="both"/>
        <w:rPr>
          <w:rFonts w:cs="Calibri"/>
          <w:b/>
          <w:bCs/>
          <w:sz w:val="22"/>
          <w:szCs w:val="22"/>
        </w:rPr>
      </w:pPr>
      <w:r w:rsidRPr="008D53E5">
        <w:rPr>
          <w:rFonts w:cs="Calibri"/>
          <w:b/>
          <w:bCs/>
          <w:sz w:val="22"/>
          <w:szCs w:val="22"/>
        </w:rPr>
        <w:t>Agencies should adopt the</w:t>
      </w:r>
      <w:r>
        <w:rPr>
          <w:rFonts w:cs="Calibri"/>
          <w:b/>
          <w:bCs/>
          <w:sz w:val="22"/>
          <w:szCs w:val="22"/>
        </w:rPr>
        <w:t xml:space="preserve"> below</w:t>
      </w:r>
      <w:r w:rsidRPr="008D53E5">
        <w:rPr>
          <w:rFonts w:cs="Calibri"/>
          <w:b/>
          <w:bCs/>
          <w:sz w:val="22"/>
          <w:szCs w:val="22"/>
        </w:rPr>
        <w:t xml:space="preserve"> example Note 3 disclosure in this paper</w:t>
      </w:r>
      <w:r>
        <w:rPr>
          <w:rFonts w:cs="Calibri"/>
          <w:b/>
          <w:bCs/>
          <w:sz w:val="22"/>
          <w:szCs w:val="22"/>
        </w:rPr>
        <w:t>, where applicable</w:t>
      </w:r>
      <w:r w:rsidRPr="008D53E5">
        <w:rPr>
          <w:rFonts w:cs="Calibri"/>
          <w:b/>
          <w:bCs/>
          <w:sz w:val="22"/>
          <w:szCs w:val="22"/>
        </w:rPr>
        <w:t xml:space="preserve">. </w:t>
      </w:r>
    </w:p>
    <w:p w14:paraId="43877165" w14:textId="3FE9A285" w:rsidR="009C5FF9" w:rsidRPr="002217A8" w:rsidRDefault="00D10D17" w:rsidP="00CE23E5">
      <w:pPr>
        <w:spacing w:before="120" w:after="120" w:line="276" w:lineRule="auto"/>
        <w:jc w:val="both"/>
        <w:rPr>
          <w:rFonts w:cs="Calibri"/>
          <w:b/>
          <w:bCs/>
          <w:sz w:val="22"/>
          <w:szCs w:val="22"/>
        </w:rPr>
      </w:pPr>
      <w:r w:rsidRPr="00C23B98">
        <w:rPr>
          <w:rFonts w:cs="Calibri"/>
          <w:sz w:val="22"/>
          <w:szCs w:val="22"/>
        </w:rPr>
        <w:t>Note that it is anticipated that all standards which have been issued but are yet to be applied are either n</w:t>
      </w:r>
      <w:r>
        <w:rPr>
          <w:rFonts w:cs="Calibri"/>
          <w:sz w:val="22"/>
          <w:szCs w:val="22"/>
        </w:rPr>
        <w:t>ot applicable or will not have a material financial impact on most directorates and territory authorities</w:t>
      </w:r>
      <w:r w:rsidR="003A7177">
        <w:rPr>
          <w:rFonts w:cs="Calibri"/>
          <w:sz w:val="22"/>
          <w:szCs w:val="22"/>
        </w:rPr>
        <w:t xml:space="preserve">. </w:t>
      </w:r>
      <w:r w:rsidR="003A7177" w:rsidRPr="006319F9">
        <w:rPr>
          <w:rFonts w:cs="Calibri"/>
          <w:sz w:val="22"/>
          <w:szCs w:val="22"/>
        </w:rPr>
        <w:t xml:space="preserve">However, </w:t>
      </w:r>
      <w:r w:rsidR="00C23B98" w:rsidRPr="006319F9">
        <w:rPr>
          <w:rFonts w:cs="Calibri"/>
          <w:sz w:val="22"/>
          <w:szCs w:val="22"/>
        </w:rPr>
        <w:t xml:space="preserve">it is anticipated that </w:t>
      </w:r>
      <w:r w:rsidR="009C5FF9" w:rsidRPr="006319F9">
        <w:rPr>
          <w:rFonts w:cs="Calibri"/>
          <w:sz w:val="22"/>
          <w:szCs w:val="22"/>
        </w:rPr>
        <w:t xml:space="preserve">if </w:t>
      </w:r>
      <w:r w:rsidR="00C23B98" w:rsidRPr="006319F9">
        <w:rPr>
          <w:rFonts w:cs="Calibri"/>
          <w:sz w:val="22"/>
          <w:szCs w:val="22"/>
        </w:rPr>
        <w:t>AASB 18</w:t>
      </w:r>
      <w:r w:rsidR="009C5FF9" w:rsidRPr="006319F9">
        <w:rPr>
          <w:rFonts w:cs="Calibri"/>
          <w:sz w:val="22"/>
          <w:szCs w:val="22"/>
        </w:rPr>
        <w:t xml:space="preserve"> is adopted in its current form, it</w:t>
      </w:r>
      <w:r w:rsidR="00C23B98" w:rsidRPr="006319F9">
        <w:rPr>
          <w:rFonts w:cs="Calibri"/>
          <w:sz w:val="22"/>
          <w:szCs w:val="22"/>
        </w:rPr>
        <w:t xml:space="preserve"> will have a </w:t>
      </w:r>
      <w:r w:rsidR="00BE600D" w:rsidRPr="006319F9">
        <w:rPr>
          <w:rFonts w:cs="Calibri"/>
          <w:sz w:val="22"/>
          <w:szCs w:val="22"/>
        </w:rPr>
        <w:t>major</w:t>
      </w:r>
      <w:r w:rsidR="00C23B98" w:rsidRPr="006319F9">
        <w:rPr>
          <w:rFonts w:cs="Calibri"/>
          <w:sz w:val="22"/>
          <w:szCs w:val="22"/>
        </w:rPr>
        <w:t xml:space="preserve"> impact </w:t>
      </w:r>
      <w:r w:rsidR="0030148D" w:rsidRPr="006319F9">
        <w:rPr>
          <w:rFonts w:cs="Calibri"/>
          <w:sz w:val="22"/>
          <w:szCs w:val="22"/>
        </w:rPr>
        <w:t>on most agencies’ disclosures and as such this has also been included in the Note 3 disclosure below.</w:t>
      </w:r>
      <w:r w:rsidR="009C5FF9">
        <w:rPr>
          <w:rFonts w:cs="Calibri"/>
          <w:sz w:val="22"/>
          <w:szCs w:val="22"/>
        </w:rPr>
        <w:t xml:space="preserve"> </w:t>
      </w:r>
      <w:r w:rsidR="006319F9">
        <w:rPr>
          <w:rFonts w:cs="Calibri"/>
          <w:sz w:val="22"/>
          <w:szCs w:val="22"/>
        </w:rPr>
        <w:t>Although</w:t>
      </w:r>
      <w:r w:rsidR="009C5FF9">
        <w:rPr>
          <w:rFonts w:cs="Calibri"/>
          <w:sz w:val="22"/>
          <w:szCs w:val="22"/>
        </w:rPr>
        <w:t xml:space="preserve">, </w:t>
      </w:r>
      <w:r w:rsidR="009C5FF9">
        <w:rPr>
          <w:sz w:val="22"/>
          <w:szCs w:val="22"/>
        </w:rPr>
        <w:t xml:space="preserve">the Australian Accounting Standards Board is </w:t>
      </w:r>
      <w:r w:rsidR="003A7177">
        <w:rPr>
          <w:sz w:val="22"/>
          <w:szCs w:val="22"/>
        </w:rPr>
        <w:t xml:space="preserve">currently </w:t>
      </w:r>
      <w:r w:rsidR="009C5FF9">
        <w:rPr>
          <w:sz w:val="22"/>
          <w:szCs w:val="22"/>
        </w:rPr>
        <w:t xml:space="preserve">considering </w:t>
      </w:r>
      <w:r w:rsidR="006319F9">
        <w:rPr>
          <w:sz w:val="22"/>
          <w:szCs w:val="22"/>
        </w:rPr>
        <w:t xml:space="preserve">the application of the disclosure requirements in AASB 18 to </w:t>
      </w:r>
      <w:r w:rsidR="00C17E22">
        <w:rPr>
          <w:sz w:val="22"/>
          <w:szCs w:val="22"/>
        </w:rPr>
        <w:t>n</w:t>
      </w:r>
      <w:r w:rsidR="006319F9">
        <w:rPr>
          <w:sz w:val="22"/>
          <w:szCs w:val="22"/>
        </w:rPr>
        <w:t>ot-for-</w:t>
      </w:r>
      <w:r w:rsidR="00C17E22">
        <w:rPr>
          <w:sz w:val="22"/>
          <w:szCs w:val="22"/>
        </w:rPr>
        <w:t>p</w:t>
      </w:r>
      <w:r w:rsidR="006319F9">
        <w:rPr>
          <w:sz w:val="22"/>
          <w:szCs w:val="22"/>
        </w:rPr>
        <w:t>rofit</w:t>
      </w:r>
      <w:r w:rsidR="00C146CD">
        <w:rPr>
          <w:sz w:val="22"/>
          <w:szCs w:val="22"/>
        </w:rPr>
        <w:t xml:space="preserve"> public sector</w:t>
      </w:r>
      <w:r w:rsidR="006319F9">
        <w:rPr>
          <w:sz w:val="22"/>
          <w:szCs w:val="22"/>
        </w:rPr>
        <w:t xml:space="preserve"> </w:t>
      </w:r>
      <w:r w:rsidR="00C146CD">
        <w:rPr>
          <w:sz w:val="22"/>
          <w:szCs w:val="22"/>
        </w:rPr>
        <w:t>entities</w:t>
      </w:r>
      <w:r w:rsidR="006319F9">
        <w:rPr>
          <w:sz w:val="22"/>
          <w:szCs w:val="22"/>
        </w:rPr>
        <w:t>.</w:t>
      </w:r>
      <w:r w:rsidR="007544E6">
        <w:rPr>
          <w:sz w:val="22"/>
          <w:szCs w:val="22"/>
        </w:rPr>
        <w:t xml:space="preserve">  Exposure Draft 338 </w:t>
      </w:r>
      <w:r w:rsidR="007544E6" w:rsidRPr="007544E6">
        <w:rPr>
          <w:i/>
          <w:iCs/>
          <w:sz w:val="22"/>
          <w:szCs w:val="22"/>
        </w:rPr>
        <w:t>Application of AASB 18 and AASB 107 by Superannuation and Not-for-Profit Entities and Operating Cash Flow Reconciliation</w:t>
      </w:r>
      <w:r w:rsidR="006319F9">
        <w:rPr>
          <w:sz w:val="22"/>
          <w:szCs w:val="22"/>
        </w:rPr>
        <w:t xml:space="preserve"> </w:t>
      </w:r>
      <w:r w:rsidR="007544E6">
        <w:rPr>
          <w:sz w:val="22"/>
          <w:szCs w:val="22"/>
        </w:rPr>
        <w:t xml:space="preserve">is proposing amendments to AASB 18 that </w:t>
      </w:r>
      <w:r w:rsidR="007544E6" w:rsidRPr="007544E6">
        <w:rPr>
          <w:sz w:val="22"/>
          <w:szCs w:val="22"/>
        </w:rPr>
        <w:t>relieve N</w:t>
      </w:r>
      <w:r w:rsidR="007544E6">
        <w:rPr>
          <w:sz w:val="22"/>
          <w:szCs w:val="22"/>
        </w:rPr>
        <w:t xml:space="preserve">ot-for-Profit </w:t>
      </w:r>
      <w:r w:rsidR="007544E6" w:rsidRPr="007544E6">
        <w:rPr>
          <w:sz w:val="22"/>
          <w:szCs w:val="22"/>
        </w:rPr>
        <w:t>public sector entities preparing Tier 1 general purpose financial statements from certain requirements</w:t>
      </w:r>
      <w:r w:rsidR="007544E6">
        <w:rPr>
          <w:sz w:val="22"/>
          <w:szCs w:val="22"/>
        </w:rPr>
        <w:t>.</w:t>
      </w:r>
      <w:r w:rsidR="007544E6" w:rsidRPr="007544E6">
        <w:rPr>
          <w:sz w:val="22"/>
          <w:szCs w:val="22"/>
        </w:rPr>
        <w:t xml:space="preserve"> </w:t>
      </w:r>
      <w:r w:rsidR="006319F9">
        <w:rPr>
          <w:sz w:val="22"/>
          <w:szCs w:val="22"/>
        </w:rPr>
        <w:t xml:space="preserve">This may result in </w:t>
      </w:r>
      <w:r w:rsidR="00102D08">
        <w:rPr>
          <w:sz w:val="22"/>
          <w:szCs w:val="22"/>
        </w:rPr>
        <w:t xml:space="preserve">ACT Government </w:t>
      </w:r>
      <w:r w:rsidR="00C17E22">
        <w:rPr>
          <w:sz w:val="22"/>
          <w:szCs w:val="22"/>
        </w:rPr>
        <w:t>n</w:t>
      </w:r>
      <w:r w:rsidR="006319F9">
        <w:rPr>
          <w:sz w:val="22"/>
          <w:szCs w:val="22"/>
        </w:rPr>
        <w:t>ot-for-</w:t>
      </w:r>
      <w:r w:rsidR="00C17E22">
        <w:rPr>
          <w:sz w:val="22"/>
          <w:szCs w:val="22"/>
        </w:rPr>
        <w:t>p</w:t>
      </w:r>
      <w:r w:rsidR="006319F9">
        <w:rPr>
          <w:sz w:val="22"/>
          <w:szCs w:val="22"/>
        </w:rPr>
        <w:t>rofit agencies being able to continu</w:t>
      </w:r>
      <w:r w:rsidR="00102D08">
        <w:rPr>
          <w:sz w:val="22"/>
          <w:szCs w:val="22"/>
        </w:rPr>
        <w:t>e</w:t>
      </w:r>
      <w:r w:rsidR="006319F9">
        <w:rPr>
          <w:sz w:val="22"/>
          <w:szCs w:val="22"/>
        </w:rPr>
        <w:t xml:space="preserve"> to apply the </w:t>
      </w:r>
      <w:r w:rsidR="003A7177">
        <w:rPr>
          <w:sz w:val="22"/>
          <w:szCs w:val="22"/>
        </w:rPr>
        <w:t xml:space="preserve">existing </w:t>
      </w:r>
      <w:r w:rsidR="009C5FF9">
        <w:rPr>
          <w:sz w:val="22"/>
          <w:szCs w:val="22"/>
        </w:rPr>
        <w:t>disclosure requirements in AASB</w:t>
      </w:r>
      <w:r w:rsidR="00102D08">
        <w:rPr>
          <w:sz w:val="22"/>
          <w:szCs w:val="22"/>
        </w:rPr>
        <w:t> </w:t>
      </w:r>
      <w:r w:rsidR="009C5FF9">
        <w:rPr>
          <w:sz w:val="22"/>
          <w:szCs w:val="22"/>
        </w:rPr>
        <w:t xml:space="preserve">101 </w:t>
      </w:r>
      <w:r w:rsidR="009C5FF9" w:rsidRPr="00921469">
        <w:rPr>
          <w:i/>
          <w:iCs/>
          <w:sz w:val="22"/>
          <w:szCs w:val="22"/>
        </w:rPr>
        <w:t>Presentation of Financial Statements</w:t>
      </w:r>
      <w:r w:rsidR="00533A6C">
        <w:rPr>
          <w:i/>
          <w:iCs/>
          <w:sz w:val="22"/>
          <w:szCs w:val="22"/>
        </w:rPr>
        <w:t xml:space="preserve"> </w:t>
      </w:r>
      <w:r w:rsidR="00533A6C">
        <w:rPr>
          <w:sz w:val="22"/>
          <w:szCs w:val="22"/>
        </w:rPr>
        <w:t>(see Section 3.1.1 above for more details)</w:t>
      </w:r>
      <w:r w:rsidR="009C5FF9" w:rsidRPr="00810F2E">
        <w:rPr>
          <w:sz w:val="22"/>
          <w:szCs w:val="22"/>
        </w:rPr>
        <w:t>.</w:t>
      </w:r>
      <w:r w:rsidR="009C5FF9">
        <w:rPr>
          <w:sz w:val="22"/>
          <w:szCs w:val="22"/>
        </w:rPr>
        <w:t xml:space="preserve"> </w:t>
      </w:r>
    </w:p>
    <w:p w14:paraId="41F10104" w14:textId="41B80BDD" w:rsidR="002217A8" w:rsidRDefault="006319F9" w:rsidP="00CE23E5">
      <w:pPr>
        <w:spacing w:before="120" w:after="120" w:line="276" w:lineRule="auto"/>
        <w:jc w:val="both"/>
        <w:rPr>
          <w:rFonts w:cs="Calibri"/>
          <w:sz w:val="22"/>
          <w:szCs w:val="22"/>
        </w:rPr>
      </w:pPr>
      <w:r>
        <w:rPr>
          <w:rFonts w:cs="Calibri"/>
          <w:b/>
          <w:bCs/>
          <w:sz w:val="22"/>
          <w:szCs w:val="22"/>
        </w:rPr>
        <w:t>W</w:t>
      </w:r>
      <w:r w:rsidR="00D10D17" w:rsidRPr="007B6DC6">
        <w:rPr>
          <w:rFonts w:cs="Calibri"/>
          <w:b/>
          <w:bCs/>
          <w:sz w:val="22"/>
          <w:szCs w:val="22"/>
        </w:rPr>
        <w:t xml:space="preserve">here an agency has assessed that there is one or more </w:t>
      </w:r>
      <w:r w:rsidR="00D10D17">
        <w:rPr>
          <w:rFonts w:cs="Calibri"/>
          <w:b/>
          <w:bCs/>
          <w:sz w:val="22"/>
          <w:szCs w:val="22"/>
        </w:rPr>
        <w:t xml:space="preserve">applicable </w:t>
      </w:r>
      <w:r w:rsidR="00D10D17" w:rsidRPr="007B6DC6">
        <w:rPr>
          <w:rFonts w:cs="Calibri"/>
          <w:b/>
          <w:bCs/>
          <w:sz w:val="22"/>
          <w:szCs w:val="22"/>
        </w:rPr>
        <w:t xml:space="preserve">standards issued but yet to be applied </w:t>
      </w:r>
      <w:r w:rsidR="00D10D17">
        <w:rPr>
          <w:rFonts w:cs="Calibri"/>
          <w:b/>
          <w:bCs/>
          <w:sz w:val="22"/>
          <w:szCs w:val="22"/>
        </w:rPr>
        <w:t xml:space="preserve">that </w:t>
      </w:r>
      <w:r w:rsidR="00D10D17" w:rsidRPr="007B6DC6">
        <w:rPr>
          <w:rFonts w:cs="Calibri"/>
          <w:b/>
          <w:bCs/>
          <w:sz w:val="22"/>
          <w:szCs w:val="22"/>
        </w:rPr>
        <w:t>will have a material financial impact</w:t>
      </w:r>
      <w:r w:rsidR="00D10D17">
        <w:rPr>
          <w:rFonts w:cs="Calibri"/>
          <w:b/>
          <w:bCs/>
          <w:sz w:val="22"/>
          <w:szCs w:val="22"/>
        </w:rPr>
        <w:t>,</w:t>
      </w:r>
      <w:r w:rsidR="00D10D17" w:rsidRPr="007B6DC6">
        <w:rPr>
          <w:rFonts w:cs="Calibri"/>
          <w:b/>
          <w:bCs/>
          <w:sz w:val="22"/>
          <w:szCs w:val="22"/>
        </w:rPr>
        <w:t xml:space="preserve"> then the below Note 3 disclosure must be tailored to include the details of the standard(s) that </w:t>
      </w:r>
      <w:r w:rsidR="00EB7F39">
        <w:rPr>
          <w:rFonts w:cs="Calibri"/>
          <w:b/>
          <w:bCs/>
          <w:sz w:val="22"/>
          <w:szCs w:val="22"/>
        </w:rPr>
        <w:t>is</w:t>
      </w:r>
      <w:r w:rsidR="00D10D17" w:rsidRPr="007B6DC6">
        <w:rPr>
          <w:rFonts w:cs="Calibri"/>
          <w:b/>
          <w:bCs/>
          <w:sz w:val="22"/>
          <w:szCs w:val="22"/>
        </w:rPr>
        <w:t xml:space="preserve"> applicable to that agency</w:t>
      </w:r>
      <w:r w:rsidR="005E0D05">
        <w:rPr>
          <w:rFonts w:cs="Calibri"/>
          <w:b/>
          <w:bCs/>
          <w:sz w:val="22"/>
          <w:szCs w:val="22"/>
        </w:rPr>
        <w:t xml:space="preserve"> and its expected impact</w:t>
      </w:r>
      <w:r w:rsidR="00D10D17">
        <w:rPr>
          <w:rFonts w:cs="Calibri"/>
          <w:sz w:val="22"/>
          <w:szCs w:val="22"/>
        </w:rPr>
        <w:t>.</w:t>
      </w:r>
      <w:r w:rsidR="00DA4E7A">
        <w:rPr>
          <w:rFonts w:cs="Calibri"/>
          <w:sz w:val="22"/>
          <w:szCs w:val="22"/>
        </w:rPr>
        <w:t xml:space="preserve"> </w:t>
      </w:r>
    </w:p>
    <w:p w14:paraId="73825B74" w14:textId="77465BDB" w:rsidR="008F1E9B" w:rsidRPr="00790F13" w:rsidRDefault="008A6F6C" w:rsidP="00CE23E5">
      <w:pPr>
        <w:spacing w:before="120" w:after="120" w:line="276" w:lineRule="auto"/>
        <w:jc w:val="both"/>
        <w:rPr>
          <w:rFonts w:cs="Calibri"/>
          <w:sz w:val="22"/>
          <w:szCs w:val="22"/>
        </w:rPr>
      </w:pPr>
      <w:r>
        <w:rPr>
          <w:rFonts w:cs="Calibri"/>
          <w:sz w:val="22"/>
          <w:szCs w:val="22"/>
        </w:rPr>
        <w:t>I</w:t>
      </w:r>
      <w:r w:rsidR="00F1774A">
        <w:rPr>
          <w:rFonts w:cs="Calibri"/>
          <w:sz w:val="22"/>
          <w:szCs w:val="22"/>
        </w:rPr>
        <w:t xml:space="preserve">f there </w:t>
      </w:r>
      <w:r w:rsidR="00DA4E7A">
        <w:rPr>
          <w:rFonts w:cs="Calibri"/>
          <w:sz w:val="22"/>
          <w:szCs w:val="22"/>
        </w:rPr>
        <w:t xml:space="preserve">are any standards </w:t>
      </w:r>
      <w:r w:rsidR="008D53E5">
        <w:rPr>
          <w:rFonts w:cs="Calibri"/>
          <w:sz w:val="22"/>
          <w:szCs w:val="22"/>
        </w:rPr>
        <w:t xml:space="preserve">whose financial impact </w:t>
      </w:r>
      <w:r w:rsidR="005E720C">
        <w:rPr>
          <w:rFonts w:cs="Calibri"/>
          <w:sz w:val="22"/>
          <w:szCs w:val="22"/>
        </w:rPr>
        <w:t>cannot be determined or cannot yet be reliably estimated</w:t>
      </w:r>
      <w:r w:rsidR="008D53E5">
        <w:rPr>
          <w:rFonts w:cs="Calibri"/>
          <w:sz w:val="22"/>
          <w:szCs w:val="22"/>
        </w:rPr>
        <w:t>, this should also be included in that agency’s Note</w:t>
      </w:r>
      <w:r w:rsidR="005E720C">
        <w:rPr>
          <w:rFonts w:cs="Calibri"/>
          <w:sz w:val="22"/>
          <w:szCs w:val="22"/>
        </w:rPr>
        <w:t> </w:t>
      </w:r>
      <w:r w:rsidR="008D53E5">
        <w:rPr>
          <w:rFonts w:cs="Calibri"/>
          <w:sz w:val="22"/>
          <w:szCs w:val="22"/>
        </w:rPr>
        <w:t>3 disclosure.</w:t>
      </w:r>
    </w:p>
    <w:p w14:paraId="6AFB6042" w14:textId="69136BB9" w:rsidR="008F1E9B" w:rsidRPr="00790F13" w:rsidRDefault="008F1E9B" w:rsidP="00CE23E5">
      <w:pPr>
        <w:spacing w:before="120" w:after="120" w:line="276" w:lineRule="auto"/>
        <w:jc w:val="both"/>
        <w:rPr>
          <w:rFonts w:cs="Calibri"/>
          <w:sz w:val="22"/>
          <w:szCs w:val="22"/>
        </w:rPr>
      </w:pPr>
      <w:r w:rsidRPr="00790F13">
        <w:rPr>
          <w:rFonts w:cs="Calibri"/>
          <w:sz w:val="22"/>
          <w:szCs w:val="22"/>
        </w:rPr>
        <w:t>The disclosure below is applicable to ‘</w:t>
      </w:r>
      <w:r w:rsidR="00737EFE">
        <w:rPr>
          <w:rFonts w:cs="Calibri"/>
          <w:sz w:val="22"/>
          <w:szCs w:val="22"/>
        </w:rPr>
        <w:t>Burley Griffin</w:t>
      </w:r>
      <w:r w:rsidRPr="00790F13">
        <w:rPr>
          <w:rFonts w:cs="Calibri"/>
          <w:sz w:val="22"/>
          <w:szCs w:val="22"/>
        </w:rPr>
        <w:t xml:space="preserve"> Agency’. A complete list of standards for the consideration of each agency can be found in Section 3 of this paper.   </w:t>
      </w:r>
    </w:p>
    <w:p w14:paraId="09E313D8" w14:textId="29128223" w:rsidR="008F1E9B" w:rsidRDefault="008F1E9B" w:rsidP="002B31F7">
      <w:pPr>
        <w:spacing w:before="360" w:after="120" w:line="240" w:lineRule="auto"/>
        <w:jc w:val="center"/>
        <w:rPr>
          <w:rFonts w:cs="Calibri"/>
          <w:b/>
          <w:bCs/>
          <w:sz w:val="36"/>
          <w:szCs w:val="36"/>
        </w:rPr>
      </w:pPr>
      <w:r w:rsidRPr="0096496C">
        <w:rPr>
          <w:rFonts w:cs="Calibri"/>
          <w:b/>
          <w:bCs/>
          <w:sz w:val="36"/>
          <w:szCs w:val="36"/>
        </w:rPr>
        <w:t>EXAMPLE DISCLOSURE</w:t>
      </w:r>
    </w:p>
    <w:p w14:paraId="27B69F04" w14:textId="149FDE09" w:rsidR="003A352E" w:rsidRDefault="003A352E" w:rsidP="003A352E">
      <w:pPr>
        <w:spacing w:after="240" w:line="240" w:lineRule="auto"/>
        <w:jc w:val="center"/>
        <w:rPr>
          <w:rFonts w:cs="Calibri"/>
          <w:b/>
          <w:bCs/>
          <w:sz w:val="36"/>
          <w:szCs w:val="36"/>
        </w:rPr>
      </w:pPr>
      <w:r>
        <w:rPr>
          <w:rFonts w:cs="Calibri"/>
          <w:b/>
          <w:bCs/>
          <w:sz w:val="36"/>
          <w:szCs w:val="36"/>
        </w:rPr>
        <w:t>‘BURLEY GRIFFIN AGENCY’</w:t>
      </w:r>
    </w:p>
    <w:tbl>
      <w:tblPr>
        <w:tblW w:w="5785" w:type="pct"/>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0"/>
        <w:gridCol w:w="9071"/>
      </w:tblGrid>
      <w:tr w:rsidR="00FB27B0" w:rsidRPr="00CF7E1B" w14:paraId="553D4D2F" w14:textId="77777777" w:rsidTr="004A7A41">
        <w:tc>
          <w:tcPr>
            <w:tcW w:w="677" w:type="pct"/>
            <w:tcBorders>
              <w:top w:val="nil"/>
              <w:left w:val="single" w:sz="2" w:space="0" w:color="auto"/>
              <w:bottom w:val="nil"/>
              <w:right w:val="single" w:sz="2" w:space="0" w:color="auto"/>
            </w:tcBorders>
          </w:tcPr>
          <w:bookmarkEnd w:id="126"/>
          <w:p w14:paraId="318985D8" w14:textId="2CEC7390" w:rsidR="00FB27B0" w:rsidRPr="009E2F17" w:rsidRDefault="009C7CBA" w:rsidP="009C7CBA">
            <w:pPr>
              <w:pStyle w:val="TableReference"/>
              <w:tabs>
                <w:tab w:val="left" w:pos="3306"/>
              </w:tabs>
              <w:spacing w:before="240"/>
              <w:rPr>
                <w:rFonts w:cs="Calibri"/>
                <w:color w:val="7030A0"/>
                <w:sz w:val="22"/>
                <w:szCs w:val="22"/>
                <w:highlight w:val="yellow"/>
              </w:rPr>
            </w:pPr>
            <w:r w:rsidRPr="00550735">
              <w:rPr>
                <w:rFonts w:cs="Calibri"/>
                <w:b/>
                <w:color w:val="7030A0"/>
                <w:sz w:val="22"/>
                <w:szCs w:val="22"/>
              </w:rPr>
              <w:t>Reference</w:t>
            </w:r>
          </w:p>
        </w:tc>
        <w:tc>
          <w:tcPr>
            <w:tcW w:w="4323" w:type="pct"/>
            <w:tcBorders>
              <w:top w:val="nil"/>
              <w:left w:val="single" w:sz="2" w:space="0" w:color="auto"/>
              <w:bottom w:val="nil"/>
              <w:right w:val="nil"/>
            </w:tcBorders>
          </w:tcPr>
          <w:p w14:paraId="03E076E1" w14:textId="3A387590" w:rsidR="00FB27B0" w:rsidRPr="00DD16FF" w:rsidRDefault="00DD16FF" w:rsidP="00DD16FF">
            <w:pPr>
              <w:pStyle w:val="Normal1"/>
              <w:spacing w:before="120" w:after="120"/>
              <w:rPr>
                <w:b/>
                <w:bCs/>
                <w:sz w:val="36"/>
                <w:szCs w:val="36"/>
                <w:highlight w:val="yellow"/>
              </w:rPr>
            </w:pPr>
            <w:r w:rsidRPr="00DD16FF">
              <w:rPr>
                <w:b/>
                <w:bCs/>
                <w:sz w:val="36"/>
                <w:szCs w:val="36"/>
              </w:rPr>
              <w:t>NOTE 3.  IMPACT OF ACCOUNTING STANDARDS ISSUED BUT YET TO BE APPLIED</w:t>
            </w:r>
          </w:p>
        </w:tc>
      </w:tr>
      <w:tr w:rsidR="00FB27B0" w:rsidRPr="00725106" w14:paraId="7CB43C6B" w14:textId="77777777" w:rsidTr="004A7A41">
        <w:tc>
          <w:tcPr>
            <w:tcW w:w="677" w:type="pct"/>
            <w:tcBorders>
              <w:top w:val="nil"/>
              <w:left w:val="single" w:sz="2" w:space="0" w:color="auto"/>
              <w:bottom w:val="nil"/>
              <w:right w:val="single" w:sz="2" w:space="0" w:color="auto"/>
            </w:tcBorders>
          </w:tcPr>
          <w:p w14:paraId="2BC6EDCD" w14:textId="77777777" w:rsidR="00FB27B0" w:rsidRPr="009E2F17" w:rsidRDefault="00FB27B0" w:rsidP="00FA3DAF">
            <w:pPr>
              <w:pStyle w:val="TableReference"/>
              <w:tabs>
                <w:tab w:val="left" w:pos="3306"/>
              </w:tabs>
              <w:spacing w:before="80"/>
              <w:rPr>
                <w:color w:val="7030A0"/>
                <w:sz w:val="14"/>
              </w:rPr>
            </w:pPr>
            <w:r w:rsidRPr="009E2F17">
              <w:rPr>
                <w:rFonts w:cs="Calibri"/>
                <w:color w:val="7030A0"/>
                <w:sz w:val="14"/>
              </w:rPr>
              <w:t>AASB 101.10(e)</w:t>
            </w:r>
            <w:r w:rsidRPr="009E2F17">
              <w:rPr>
                <w:color w:val="7030A0"/>
                <w:sz w:val="14"/>
              </w:rPr>
              <w:t xml:space="preserve"> </w:t>
            </w:r>
          </w:p>
        </w:tc>
        <w:tc>
          <w:tcPr>
            <w:tcW w:w="4323" w:type="pct"/>
            <w:tcBorders>
              <w:top w:val="nil"/>
              <w:left w:val="single" w:sz="2" w:space="0" w:color="auto"/>
              <w:bottom w:val="nil"/>
              <w:right w:val="nil"/>
            </w:tcBorders>
          </w:tcPr>
          <w:p w14:paraId="099D9044" w14:textId="77777777" w:rsidR="00FB27B0" w:rsidRPr="009E2F17" w:rsidRDefault="00FB27B0" w:rsidP="00FA3DAF">
            <w:pPr>
              <w:pStyle w:val="CommentText"/>
              <w:spacing w:after="120" w:line="276" w:lineRule="auto"/>
              <w:jc w:val="both"/>
              <w:rPr>
                <w:rFonts w:cs="Calibri"/>
                <w:sz w:val="18"/>
                <w:szCs w:val="18"/>
              </w:rPr>
            </w:pPr>
            <w:r w:rsidRPr="009E2F17">
              <w:rPr>
                <w:rFonts w:cs="Calibri"/>
                <w:sz w:val="18"/>
                <w:szCs w:val="18"/>
              </w:rPr>
              <w:t>The information below applies to both the Controlled and Territorial financial statements.</w:t>
            </w:r>
          </w:p>
        </w:tc>
      </w:tr>
      <w:tr w:rsidR="00FB27B0" w:rsidRPr="00725106" w14:paraId="232AA6CE" w14:textId="77777777" w:rsidTr="004A7A41">
        <w:tc>
          <w:tcPr>
            <w:tcW w:w="677" w:type="pct"/>
            <w:tcBorders>
              <w:top w:val="nil"/>
              <w:left w:val="single" w:sz="2" w:space="0" w:color="auto"/>
              <w:bottom w:val="nil"/>
              <w:right w:val="single" w:sz="2" w:space="0" w:color="auto"/>
            </w:tcBorders>
          </w:tcPr>
          <w:p w14:paraId="297ECC29" w14:textId="469AEA9B" w:rsidR="00FB27B0" w:rsidRPr="009E2F17" w:rsidRDefault="009316B5" w:rsidP="00FA3DAF">
            <w:pPr>
              <w:pStyle w:val="TableReference"/>
              <w:tabs>
                <w:tab w:val="left" w:pos="3306"/>
              </w:tabs>
              <w:spacing w:before="80"/>
              <w:rPr>
                <w:rFonts w:cs="Calibri"/>
                <w:color w:val="7030A0"/>
                <w:sz w:val="14"/>
              </w:rPr>
            </w:pPr>
            <w:r w:rsidRPr="009E2F17">
              <w:rPr>
                <w:color w:val="7030A0"/>
                <w:sz w:val="14"/>
              </w:rPr>
              <w:t>AASB 108.30 &amp; 31</w:t>
            </w:r>
          </w:p>
        </w:tc>
        <w:tc>
          <w:tcPr>
            <w:tcW w:w="4323" w:type="pct"/>
            <w:tcBorders>
              <w:top w:val="nil"/>
              <w:left w:val="single" w:sz="2" w:space="0" w:color="auto"/>
              <w:bottom w:val="nil"/>
              <w:right w:val="nil"/>
            </w:tcBorders>
          </w:tcPr>
          <w:p w14:paraId="006AFAF8" w14:textId="76AF1E6A" w:rsidR="00FB27B0" w:rsidRPr="00B268CD" w:rsidRDefault="00A51F11" w:rsidP="00333FA4">
            <w:pPr>
              <w:spacing w:after="60" w:line="276" w:lineRule="auto"/>
              <w:jc w:val="both"/>
              <w:rPr>
                <w:sz w:val="18"/>
                <w:szCs w:val="18"/>
              </w:rPr>
            </w:pPr>
            <w:r w:rsidRPr="009E2F17">
              <w:rPr>
                <w:sz w:val="18"/>
                <w:szCs w:val="18"/>
              </w:rPr>
              <w:t>All Australian Accounting Standards and Interpretations issued but yet to be applied are applicable to future reporting periods</w:t>
            </w:r>
            <w:r w:rsidR="00B42924" w:rsidRPr="00FF1917">
              <w:rPr>
                <w:sz w:val="18"/>
                <w:szCs w:val="18"/>
              </w:rPr>
              <w:t xml:space="preserve"> </w:t>
            </w:r>
            <w:r w:rsidR="00B42924">
              <w:rPr>
                <w:sz w:val="18"/>
                <w:szCs w:val="18"/>
              </w:rPr>
              <w:t xml:space="preserve">and </w:t>
            </w:r>
            <w:r w:rsidR="00B42924" w:rsidRPr="00FF1917">
              <w:rPr>
                <w:sz w:val="18"/>
                <w:szCs w:val="18"/>
              </w:rPr>
              <w:t>will be adopted from their application date</w:t>
            </w:r>
            <w:r w:rsidR="00BE019E" w:rsidRPr="00BE019E">
              <w:rPr>
                <w:sz w:val="18"/>
                <w:szCs w:val="18"/>
              </w:rPr>
              <w:t xml:space="preserve">. </w:t>
            </w:r>
            <w:r w:rsidR="00BE019E" w:rsidRPr="00B268CD">
              <w:rPr>
                <w:sz w:val="18"/>
                <w:szCs w:val="18"/>
              </w:rPr>
              <w:t xml:space="preserve"> </w:t>
            </w:r>
            <w:r w:rsidRPr="00B268CD">
              <w:rPr>
                <w:sz w:val="18"/>
                <w:szCs w:val="18"/>
              </w:rPr>
              <w:t xml:space="preserve">  </w:t>
            </w:r>
          </w:p>
        </w:tc>
      </w:tr>
      <w:tr w:rsidR="00A51F11" w:rsidRPr="007E0503" w14:paraId="1F3D58B7" w14:textId="77777777" w:rsidTr="004A7A41">
        <w:tc>
          <w:tcPr>
            <w:tcW w:w="677" w:type="pct"/>
            <w:tcBorders>
              <w:top w:val="nil"/>
              <w:left w:val="single" w:sz="2" w:space="0" w:color="auto"/>
              <w:bottom w:val="nil"/>
              <w:right w:val="single" w:sz="2" w:space="0" w:color="auto"/>
            </w:tcBorders>
          </w:tcPr>
          <w:p w14:paraId="22679767" w14:textId="77777777" w:rsidR="00B17580" w:rsidRDefault="00B17580" w:rsidP="00FA3DAF">
            <w:pPr>
              <w:pStyle w:val="TableReference"/>
              <w:tabs>
                <w:tab w:val="left" w:pos="3306"/>
              </w:tabs>
              <w:spacing w:before="60"/>
              <w:rPr>
                <w:rFonts w:cs="Calibri"/>
                <w:b/>
                <w:color w:val="7030A0"/>
                <w:sz w:val="22"/>
                <w:szCs w:val="22"/>
              </w:rPr>
            </w:pPr>
          </w:p>
          <w:p w14:paraId="49C81A67" w14:textId="77777777" w:rsidR="00B17580" w:rsidRDefault="00B17580" w:rsidP="00FA3DAF">
            <w:pPr>
              <w:pStyle w:val="TableReference"/>
              <w:tabs>
                <w:tab w:val="left" w:pos="3306"/>
              </w:tabs>
              <w:spacing w:before="60"/>
              <w:rPr>
                <w:rFonts w:cs="Calibri"/>
                <w:b/>
                <w:color w:val="7030A0"/>
                <w:sz w:val="22"/>
                <w:szCs w:val="22"/>
              </w:rPr>
            </w:pPr>
          </w:p>
          <w:p w14:paraId="39504451" w14:textId="77777777" w:rsidR="00B17580" w:rsidRDefault="00B17580" w:rsidP="00FA3DAF">
            <w:pPr>
              <w:pStyle w:val="TableReference"/>
              <w:tabs>
                <w:tab w:val="left" w:pos="3306"/>
              </w:tabs>
              <w:spacing w:before="60"/>
              <w:rPr>
                <w:rFonts w:cs="Calibri"/>
                <w:b/>
                <w:color w:val="7030A0"/>
                <w:sz w:val="22"/>
                <w:szCs w:val="22"/>
              </w:rPr>
            </w:pPr>
          </w:p>
          <w:p w14:paraId="27B5C695" w14:textId="77777777" w:rsidR="00B17580" w:rsidRDefault="00B17580" w:rsidP="00FA3DAF">
            <w:pPr>
              <w:pStyle w:val="TableReference"/>
              <w:tabs>
                <w:tab w:val="left" w:pos="3306"/>
              </w:tabs>
              <w:spacing w:before="60"/>
              <w:rPr>
                <w:rFonts w:cs="Calibri"/>
                <w:b/>
                <w:color w:val="7030A0"/>
                <w:sz w:val="22"/>
                <w:szCs w:val="22"/>
              </w:rPr>
            </w:pPr>
          </w:p>
          <w:p w14:paraId="48BC1FB7" w14:textId="77777777" w:rsidR="00B17580" w:rsidRDefault="00B17580" w:rsidP="00FA3DAF">
            <w:pPr>
              <w:pStyle w:val="TableReference"/>
              <w:tabs>
                <w:tab w:val="left" w:pos="3306"/>
              </w:tabs>
              <w:spacing w:before="60"/>
              <w:rPr>
                <w:rFonts w:cs="Calibri"/>
                <w:b/>
                <w:color w:val="7030A0"/>
                <w:sz w:val="22"/>
                <w:szCs w:val="22"/>
              </w:rPr>
            </w:pPr>
          </w:p>
          <w:p w14:paraId="14F4C699" w14:textId="77777777" w:rsidR="00B17580" w:rsidRDefault="00B17580" w:rsidP="00FA3DAF">
            <w:pPr>
              <w:pStyle w:val="TableReference"/>
              <w:tabs>
                <w:tab w:val="left" w:pos="3306"/>
              </w:tabs>
              <w:spacing w:before="60"/>
              <w:rPr>
                <w:rFonts w:cs="Calibri"/>
                <w:b/>
                <w:color w:val="7030A0"/>
                <w:sz w:val="22"/>
                <w:szCs w:val="22"/>
              </w:rPr>
            </w:pPr>
          </w:p>
          <w:p w14:paraId="4E813AF3" w14:textId="7419984D" w:rsidR="00A51F11" w:rsidRPr="009E2F17" w:rsidRDefault="00B17580" w:rsidP="00FA3DAF">
            <w:pPr>
              <w:pStyle w:val="TableReference"/>
              <w:tabs>
                <w:tab w:val="left" w:pos="3306"/>
              </w:tabs>
              <w:spacing w:before="60"/>
              <w:rPr>
                <w:rFonts w:cs="Calibri"/>
                <w:color w:val="7030A0"/>
                <w:sz w:val="14"/>
              </w:rPr>
            </w:pPr>
            <w:r w:rsidRPr="00550735">
              <w:rPr>
                <w:rFonts w:cs="Calibri"/>
                <w:b/>
                <w:color w:val="7030A0"/>
                <w:sz w:val="22"/>
                <w:szCs w:val="22"/>
              </w:rPr>
              <w:lastRenderedPageBreak/>
              <w:t>Reference</w:t>
            </w:r>
          </w:p>
        </w:tc>
        <w:tc>
          <w:tcPr>
            <w:tcW w:w="4323" w:type="pct"/>
            <w:tcBorders>
              <w:top w:val="nil"/>
              <w:left w:val="single" w:sz="2" w:space="0" w:color="auto"/>
              <w:bottom w:val="nil"/>
              <w:right w:val="nil"/>
            </w:tcBorders>
          </w:tcPr>
          <w:p w14:paraId="6C1DFD87" w14:textId="47E833EB" w:rsidR="00F91EE5" w:rsidRPr="00054BAA" w:rsidRDefault="00A51F11" w:rsidP="00F91EE5">
            <w:pPr>
              <w:spacing w:after="120" w:line="276" w:lineRule="auto"/>
              <w:jc w:val="both"/>
              <w:rPr>
                <w:sz w:val="18"/>
                <w:szCs w:val="18"/>
              </w:rPr>
            </w:pPr>
            <w:r w:rsidRPr="00054BAA">
              <w:rPr>
                <w:sz w:val="18"/>
                <w:szCs w:val="18"/>
              </w:rPr>
              <w:lastRenderedPageBreak/>
              <w:t xml:space="preserve">Standards and Interpretations issued but yet to be applied have been assessed as not being relevant to ‘Burley Griffin Agency’ or </w:t>
            </w:r>
            <w:r w:rsidR="00AB38B5" w:rsidRPr="00054BAA">
              <w:rPr>
                <w:sz w:val="18"/>
                <w:szCs w:val="18"/>
              </w:rPr>
              <w:t>will have</w:t>
            </w:r>
            <w:r w:rsidRPr="00054BAA">
              <w:rPr>
                <w:sz w:val="18"/>
                <w:szCs w:val="18"/>
              </w:rPr>
              <w:t xml:space="preserve"> an </w:t>
            </w:r>
            <w:bookmarkStart w:id="127" w:name="_Hlk201175535"/>
            <w:r w:rsidRPr="00054BAA">
              <w:rPr>
                <w:sz w:val="18"/>
                <w:szCs w:val="18"/>
              </w:rPr>
              <w:t xml:space="preserve">immaterial financial impact </w:t>
            </w:r>
            <w:bookmarkEnd w:id="127"/>
            <w:r w:rsidRPr="00054BAA">
              <w:rPr>
                <w:sz w:val="18"/>
                <w:szCs w:val="18"/>
              </w:rPr>
              <w:t>on ‘Burley Griffin Agency’</w:t>
            </w:r>
            <w:r w:rsidR="00B42924" w:rsidRPr="00054BAA">
              <w:rPr>
                <w:sz w:val="18"/>
                <w:szCs w:val="18"/>
              </w:rPr>
              <w:t>.</w:t>
            </w:r>
            <w:r w:rsidR="00F91EE5" w:rsidRPr="00054BAA">
              <w:rPr>
                <w:sz w:val="18"/>
                <w:szCs w:val="18"/>
              </w:rPr>
              <w:t xml:space="preserve"> However, AASB 18 </w:t>
            </w:r>
            <w:r w:rsidR="002B31F7" w:rsidRPr="00054BAA">
              <w:rPr>
                <w:i/>
                <w:iCs/>
                <w:sz w:val="18"/>
                <w:szCs w:val="18"/>
              </w:rPr>
              <w:t>Presentation and Disclosure in Financial Statements</w:t>
            </w:r>
            <w:r w:rsidR="002B31F7" w:rsidRPr="00054BAA">
              <w:rPr>
                <w:sz w:val="18"/>
                <w:szCs w:val="18"/>
              </w:rPr>
              <w:t xml:space="preserve"> </w:t>
            </w:r>
            <w:r w:rsidR="00F91EE5" w:rsidRPr="00054BAA">
              <w:rPr>
                <w:sz w:val="18"/>
                <w:szCs w:val="18"/>
              </w:rPr>
              <w:t>(appl</w:t>
            </w:r>
            <w:r w:rsidR="002B31F7" w:rsidRPr="00054BAA">
              <w:rPr>
                <w:sz w:val="18"/>
                <w:szCs w:val="18"/>
              </w:rPr>
              <w:t xml:space="preserve">icable </w:t>
            </w:r>
            <w:r w:rsidR="00F91EE5" w:rsidRPr="00054BAA">
              <w:rPr>
                <w:sz w:val="18"/>
                <w:szCs w:val="18"/>
              </w:rPr>
              <w:t xml:space="preserve">1 January 2027 </w:t>
            </w:r>
            <w:r w:rsidR="00BE600D" w:rsidRPr="00054BAA">
              <w:rPr>
                <w:sz w:val="18"/>
                <w:szCs w:val="18"/>
              </w:rPr>
              <w:t xml:space="preserve">for for-profit public sector </w:t>
            </w:r>
            <w:r w:rsidR="008A6F6C">
              <w:rPr>
                <w:sz w:val="18"/>
                <w:szCs w:val="18"/>
              </w:rPr>
              <w:t>agencies</w:t>
            </w:r>
            <w:r w:rsidR="00BE600D" w:rsidRPr="00054BAA">
              <w:rPr>
                <w:sz w:val="18"/>
                <w:szCs w:val="18"/>
              </w:rPr>
              <w:t xml:space="preserve"> </w:t>
            </w:r>
            <w:r w:rsidR="00F91EE5" w:rsidRPr="00054BAA">
              <w:rPr>
                <w:sz w:val="18"/>
                <w:szCs w:val="18"/>
              </w:rPr>
              <w:t>or appl</w:t>
            </w:r>
            <w:r w:rsidR="002B31F7" w:rsidRPr="00054BAA">
              <w:rPr>
                <w:sz w:val="18"/>
                <w:szCs w:val="18"/>
              </w:rPr>
              <w:t>icable</w:t>
            </w:r>
            <w:r w:rsidR="00F91EE5" w:rsidRPr="00054BAA">
              <w:rPr>
                <w:sz w:val="18"/>
                <w:szCs w:val="18"/>
              </w:rPr>
              <w:t xml:space="preserve"> 1 January 2028 for not-for-profit public sector </w:t>
            </w:r>
            <w:r w:rsidR="00102D08">
              <w:rPr>
                <w:sz w:val="18"/>
                <w:szCs w:val="18"/>
              </w:rPr>
              <w:t>agencies</w:t>
            </w:r>
            <w:r w:rsidR="00F91EE5" w:rsidRPr="00054BAA">
              <w:rPr>
                <w:sz w:val="18"/>
                <w:szCs w:val="18"/>
              </w:rPr>
              <w:t xml:space="preserve">) does contain some </w:t>
            </w:r>
            <w:r w:rsidR="004E245B">
              <w:rPr>
                <w:sz w:val="18"/>
                <w:szCs w:val="18"/>
              </w:rPr>
              <w:t>major</w:t>
            </w:r>
            <w:r w:rsidR="00F91EE5" w:rsidRPr="00054BAA">
              <w:rPr>
                <w:sz w:val="18"/>
                <w:szCs w:val="18"/>
              </w:rPr>
              <w:t xml:space="preserve"> </w:t>
            </w:r>
            <w:r w:rsidR="005D24FA">
              <w:rPr>
                <w:sz w:val="18"/>
                <w:szCs w:val="18"/>
              </w:rPr>
              <w:t>presentation/</w:t>
            </w:r>
            <w:r w:rsidR="00F91EE5" w:rsidRPr="00054BAA">
              <w:rPr>
                <w:sz w:val="18"/>
                <w:szCs w:val="18"/>
              </w:rPr>
              <w:t xml:space="preserve">disclosure changes that </w:t>
            </w:r>
            <w:r w:rsidR="00C146CD">
              <w:rPr>
                <w:sz w:val="18"/>
                <w:szCs w:val="18"/>
              </w:rPr>
              <w:t>may</w:t>
            </w:r>
            <w:r w:rsidR="00F91EE5" w:rsidRPr="00054BAA">
              <w:rPr>
                <w:sz w:val="18"/>
                <w:szCs w:val="18"/>
              </w:rPr>
              <w:t xml:space="preserve"> impact o</w:t>
            </w:r>
            <w:r w:rsidR="000A5D4D" w:rsidRPr="00054BAA">
              <w:rPr>
                <w:sz w:val="18"/>
                <w:szCs w:val="18"/>
              </w:rPr>
              <w:t>n</w:t>
            </w:r>
            <w:r w:rsidR="00F91EE5" w:rsidRPr="00054BAA">
              <w:rPr>
                <w:sz w:val="18"/>
                <w:szCs w:val="18"/>
              </w:rPr>
              <w:t xml:space="preserve"> ‘Burley Griffin Agency’ including: </w:t>
            </w:r>
          </w:p>
          <w:p w14:paraId="55942225" w14:textId="2F39266F" w:rsidR="00F91EE5" w:rsidRPr="00054BAA" w:rsidRDefault="00F91EE5" w:rsidP="001E7B4C">
            <w:pPr>
              <w:pStyle w:val="ListParagraph"/>
              <w:numPr>
                <w:ilvl w:val="0"/>
                <w:numId w:val="27"/>
              </w:numPr>
              <w:spacing w:before="120" w:after="120" w:line="276" w:lineRule="auto"/>
              <w:jc w:val="both"/>
              <w:rPr>
                <w:sz w:val="18"/>
                <w:szCs w:val="18"/>
              </w:rPr>
            </w:pPr>
            <w:r w:rsidRPr="00054BAA">
              <w:rPr>
                <w:sz w:val="18"/>
                <w:szCs w:val="18"/>
              </w:rPr>
              <w:t xml:space="preserve">that operating, investing and financing categories as well as additional subtotals have to be included in the </w:t>
            </w:r>
            <w:r w:rsidR="00054BAA" w:rsidRPr="00054BAA">
              <w:rPr>
                <w:sz w:val="18"/>
                <w:szCs w:val="18"/>
              </w:rPr>
              <w:t>agency’s</w:t>
            </w:r>
            <w:r w:rsidR="002B31F7" w:rsidRPr="00054BAA">
              <w:rPr>
                <w:sz w:val="18"/>
                <w:szCs w:val="18"/>
              </w:rPr>
              <w:t xml:space="preserve"> </w:t>
            </w:r>
            <w:r w:rsidRPr="00054BAA">
              <w:rPr>
                <w:sz w:val="18"/>
                <w:szCs w:val="18"/>
              </w:rPr>
              <w:t>operating statement;</w:t>
            </w:r>
          </w:p>
          <w:p w14:paraId="2EEEDA42" w14:textId="77777777" w:rsidR="00F91EE5" w:rsidRPr="00054BAA" w:rsidRDefault="00F91EE5" w:rsidP="001E7B4C">
            <w:pPr>
              <w:pStyle w:val="ListParagraph"/>
              <w:numPr>
                <w:ilvl w:val="0"/>
                <w:numId w:val="27"/>
              </w:numPr>
              <w:spacing w:before="120" w:after="120" w:line="276" w:lineRule="auto"/>
              <w:jc w:val="both"/>
              <w:rPr>
                <w:sz w:val="18"/>
                <w:szCs w:val="18"/>
              </w:rPr>
            </w:pPr>
            <w:r w:rsidRPr="00054BAA">
              <w:rPr>
                <w:sz w:val="18"/>
                <w:szCs w:val="18"/>
              </w:rPr>
              <w:lastRenderedPageBreak/>
              <w:t xml:space="preserve">the disclosure of management-defined performance measures and reconciliations of these measures with the subtotals required by AASB Standards; and </w:t>
            </w:r>
          </w:p>
          <w:p w14:paraId="4661859D" w14:textId="77777777" w:rsidR="00F91EE5" w:rsidRDefault="00F91EE5" w:rsidP="001E7B4C">
            <w:pPr>
              <w:pStyle w:val="ListParagraph"/>
              <w:numPr>
                <w:ilvl w:val="0"/>
                <w:numId w:val="27"/>
              </w:numPr>
              <w:spacing w:before="120" w:after="120" w:line="276" w:lineRule="auto"/>
              <w:jc w:val="both"/>
              <w:rPr>
                <w:sz w:val="18"/>
                <w:szCs w:val="18"/>
              </w:rPr>
            </w:pPr>
            <w:r w:rsidRPr="00054BAA">
              <w:rPr>
                <w:sz w:val="18"/>
                <w:szCs w:val="18"/>
              </w:rPr>
              <w:t>enhanced requirements for the grouping (aggregation and disaggregation) of information</w:t>
            </w:r>
            <w:r w:rsidR="0006442E" w:rsidRPr="00054BAA">
              <w:rPr>
                <w:sz w:val="18"/>
                <w:szCs w:val="18"/>
              </w:rPr>
              <w:t xml:space="preserve"> in the financial statements and in the notes.</w:t>
            </w:r>
          </w:p>
          <w:p w14:paraId="4EBF62C7" w14:textId="71D9C7BB" w:rsidR="00B268CD" w:rsidRPr="00B268CD" w:rsidRDefault="00B268CD" w:rsidP="00B268CD">
            <w:pPr>
              <w:spacing w:before="120" w:after="120" w:line="276" w:lineRule="auto"/>
              <w:jc w:val="both"/>
              <w:rPr>
                <w:sz w:val="18"/>
                <w:szCs w:val="18"/>
              </w:rPr>
            </w:pPr>
            <w:r w:rsidRPr="00C03C90">
              <w:rPr>
                <w:sz w:val="18"/>
                <w:szCs w:val="18"/>
              </w:rPr>
              <w:t xml:space="preserve">The AASB </w:t>
            </w:r>
            <w:r w:rsidR="00923E10">
              <w:rPr>
                <w:sz w:val="18"/>
                <w:szCs w:val="18"/>
              </w:rPr>
              <w:t>has issued an exposure draft (ED 338</w:t>
            </w:r>
            <w:r w:rsidR="00C146CD" w:rsidRPr="00C146CD">
              <w:t xml:space="preserve"> </w:t>
            </w:r>
            <w:r w:rsidR="00C146CD" w:rsidRPr="00C146CD">
              <w:rPr>
                <w:i/>
                <w:iCs/>
                <w:sz w:val="18"/>
                <w:szCs w:val="18"/>
              </w:rPr>
              <w:t>Application of AASB 18 and AASB 107 by Superannuation and Not-for-Profit Entities and Operating Cash Flow Reconciliation</w:t>
            </w:r>
            <w:r w:rsidR="00923E10">
              <w:rPr>
                <w:sz w:val="18"/>
                <w:szCs w:val="18"/>
              </w:rPr>
              <w:t>) that outlines modifications to AASB 18 for not-for-profit public sector entities</w:t>
            </w:r>
            <w:r w:rsidR="00C146CD" w:rsidRPr="009A4AAF">
              <w:rPr>
                <w:sz w:val="18"/>
                <w:szCs w:val="18"/>
              </w:rPr>
              <w:t xml:space="preserve">. </w:t>
            </w:r>
            <w:r w:rsidR="009700D8" w:rsidRPr="009A4AAF">
              <w:rPr>
                <w:sz w:val="18"/>
                <w:szCs w:val="18"/>
              </w:rPr>
              <w:t>If t</w:t>
            </w:r>
            <w:r w:rsidR="00C146CD" w:rsidRPr="009A4AAF">
              <w:rPr>
                <w:sz w:val="18"/>
                <w:szCs w:val="18"/>
              </w:rPr>
              <w:t>hese modifications</w:t>
            </w:r>
            <w:r w:rsidR="00923E10" w:rsidRPr="009A4AAF">
              <w:rPr>
                <w:sz w:val="18"/>
                <w:szCs w:val="18"/>
              </w:rPr>
              <w:t xml:space="preserve"> </w:t>
            </w:r>
            <w:r w:rsidR="009700D8" w:rsidRPr="009A4AAF">
              <w:rPr>
                <w:sz w:val="18"/>
                <w:szCs w:val="18"/>
              </w:rPr>
              <w:t>in the exposure draft are adopted</w:t>
            </w:r>
            <w:r w:rsidR="000B235E" w:rsidRPr="009A4AAF">
              <w:rPr>
                <w:sz w:val="18"/>
                <w:szCs w:val="18"/>
              </w:rPr>
              <w:t>,</w:t>
            </w:r>
            <w:r w:rsidR="009700D8" w:rsidRPr="009A4AAF">
              <w:rPr>
                <w:sz w:val="18"/>
                <w:szCs w:val="18"/>
              </w:rPr>
              <w:t xml:space="preserve"> they </w:t>
            </w:r>
            <w:r w:rsidR="00923E10" w:rsidRPr="009A4AAF">
              <w:rPr>
                <w:sz w:val="18"/>
                <w:szCs w:val="18"/>
              </w:rPr>
              <w:t xml:space="preserve">will effectively enable </w:t>
            </w:r>
            <w:r w:rsidR="005E0D05">
              <w:rPr>
                <w:sz w:val="18"/>
                <w:szCs w:val="18"/>
              </w:rPr>
              <w:t>‘Burley Griffin Agency’</w:t>
            </w:r>
            <w:r w:rsidR="00C03C90" w:rsidRPr="009A4AAF">
              <w:rPr>
                <w:sz w:val="18"/>
                <w:szCs w:val="18"/>
              </w:rPr>
              <w:t xml:space="preserve"> to continu</w:t>
            </w:r>
            <w:r w:rsidR="004F256F" w:rsidRPr="009A4AAF">
              <w:rPr>
                <w:sz w:val="18"/>
                <w:szCs w:val="18"/>
              </w:rPr>
              <w:t xml:space="preserve">e </w:t>
            </w:r>
            <w:r w:rsidR="00C146CD" w:rsidRPr="009A4AAF">
              <w:rPr>
                <w:sz w:val="18"/>
                <w:szCs w:val="18"/>
              </w:rPr>
              <w:t xml:space="preserve">to broadly </w:t>
            </w:r>
            <w:r w:rsidR="00C03C90" w:rsidRPr="009A4AAF">
              <w:rPr>
                <w:sz w:val="18"/>
                <w:szCs w:val="18"/>
              </w:rPr>
              <w:t xml:space="preserve">apply the existing disclosure requirements </w:t>
            </w:r>
            <w:r w:rsidR="008A6F6C" w:rsidRPr="009A4AAF">
              <w:rPr>
                <w:sz w:val="18"/>
                <w:szCs w:val="18"/>
              </w:rPr>
              <w:t xml:space="preserve">contained </w:t>
            </w:r>
            <w:r w:rsidR="00C03C90" w:rsidRPr="009A4AAF">
              <w:rPr>
                <w:sz w:val="18"/>
                <w:szCs w:val="18"/>
              </w:rPr>
              <w:t>in AASB</w:t>
            </w:r>
            <w:r w:rsidR="00C146CD" w:rsidRPr="009A4AAF">
              <w:rPr>
                <w:sz w:val="18"/>
                <w:szCs w:val="18"/>
              </w:rPr>
              <w:t> </w:t>
            </w:r>
            <w:r w:rsidR="00C03C90" w:rsidRPr="009A4AAF">
              <w:rPr>
                <w:sz w:val="18"/>
                <w:szCs w:val="18"/>
              </w:rPr>
              <w:t xml:space="preserve">101 </w:t>
            </w:r>
            <w:r w:rsidR="00C03C90" w:rsidRPr="009A4AAF">
              <w:rPr>
                <w:i/>
                <w:iCs/>
                <w:sz w:val="18"/>
                <w:szCs w:val="18"/>
              </w:rPr>
              <w:t>Presentation of Financial Statements</w:t>
            </w:r>
            <w:r w:rsidR="005E0D05">
              <w:rPr>
                <w:i/>
                <w:iCs/>
                <w:sz w:val="18"/>
                <w:szCs w:val="18"/>
              </w:rPr>
              <w:t>.</w:t>
            </w:r>
            <w:r w:rsidR="00B277AF" w:rsidRPr="009A4AAF">
              <w:rPr>
                <w:sz w:val="18"/>
                <w:szCs w:val="18"/>
              </w:rPr>
              <w:t xml:space="preserve"> </w:t>
            </w:r>
            <w:r w:rsidR="005E0D05">
              <w:rPr>
                <w:sz w:val="18"/>
                <w:szCs w:val="18"/>
              </w:rPr>
              <w:t>However, as this exposure draft is not yet finalised, the impact on ‘Burley Griffen Agency’s’ financial statements</w:t>
            </w:r>
            <w:r w:rsidR="009A4AAF" w:rsidRPr="009A4AAF">
              <w:rPr>
                <w:sz w:val="18"/>
                <w:szCs w:val="18"/>
              </w:rPr>
              <w:t xml:space="preserve"> from the adoption of</w:t>
            </w:r>
            <w:r w:rsidR="00333FA4" w:rsidRPr="009A4AAF">
              <w:rPr>
                <w:i/>
                <w:iCs/>
                <w:sz w:val="18"/>
                <w:szCs w:val="18"/>
              </w:rPr>
              <w:t xml:space="preserve"> </w:t>
            </w:r>
            <w:r w:rsidR="00333FA4" w:rsidRPr="009A4AAF">
              <w:rPr>
                <w:sz w:val="18"/>
                <w:szCs w:val="18"/>
              </w:rPr>
              <w:t xml:space="preserve">AASB 18 </w:t>
            </w:r>
            <w:r w:rsidR="005E0D05">
              <w:rPr>
                <w:sz w:val="18"/>
                <w:szCs w:val="18"/>
              </w:rPr>
              <w:t>cannot be determined at this time</w:t>
            </w:r>
            <w:r w:rsidR="00333FA4" w:rsidRPr="009A4AAF">
              <w:rPr>
                <w:sz w:val="18"/>
                <w:szCs w:val="18"/>
              </w:rPr>
              <w:t>.</w:t>
            </w:r>
          </w:p>
        </w:tc>
      </w:tr>
      <w:tr w:rsidR="00FB27B0" w:rsidRPr="007E0503" w14:paraId="1482F255" w14:textId="77777777" w:rsidTr="004A7A41">
        <w:tc>
          <w:tcPr>
            <w:tcW w:w="677" w:type="pct"/>
            <w:tcBorders>
              <w:top w:val="nil"/>
              <w:left w:val="single" w:sz="2" w:space="0" w:color="auto"/>
              <w:bottom w:val="nil"/>
              <w:right w:val="single" w:sz="2" w:space="0" w:color="auto"/>
            </w:tcBorders>
          </w:tcPr>
          <w:p w14:paraId="19BBB6BA" w14:textId="70A3439E" w:rsidR="00FB27B0" w:rsidRPr="009E2F17" w:rsidRDefault="00FB27B0" w:rsidP="00FA3DAF">
            <w:pPr>
              <w:pStyle w:val="TableReference"/>
              <w:tabs>
                <w:tab w:val="left" w:pos="3306"/>
              </w:tabs>
              <w:spacing w:before="60"/>
              <w:rPr>
                <w:rFonts w:cs="Calibri"/>
                <w:color w:val="7030A0"/>
                <w:sz w:val="14"/>
              </w:rPr>
            </w:pPr>
            <w:r w:rsidRPr="009E2F17">
              <w:rPr>
                <w:rFonts w:cs="Calibri"/>
                <w:color w:val="7030A0"/>
                <w:sz w:val="14"/>
              </w:rPr>
              <w:lastRenderedPageBreak/>
              <w:br w:type="page"/>
            </w:r>
            <w:r w:rsidRPr="009E2F17">
              <w:rPr>
                <w:rFonts w:cs="Calibri"/>
                <w:color w:val="7030A0"/>
                <w:sz w:val="14"/>
              </w:rPr>
              <w:br w:type="page"/>
            </w:r>
          </w:p>
        </w:tc>
        <w:tc>
          <w:tcPr>
            <w:tcW w:w="4323" w:type="pct"/>
            <w:tcBorders>
              <w:top w:val="nil"/>
              <w:left w:val="single" w:sz="2" w:space="0" w:color="auto"/>
              <w:bottom w:val="nil"/>
              <w:right w:val="nil"/>
            </w:tcBorders>
            <w:shd w:val="clear" w:color="auto" w:fill="7030A0"/>
          </w:tcPr>
          <w:p w14:paraId="515DBF5B" w14:textId="77777777" w:rsidR="00FB27B0" w:rsidRPr="009E2F17" w:rsidRDefault="00FB27B0" w:rsidP="00640DE9">
            <w:pPr>
              <w:pStyle w:val="CommentaryTitle"/>
              <w:spacing w:before="240" w:after="240"/>
              <w:rPr>
                <w:bCs w:val="0"/>
                <w:color w:val="FFFFFF" w:themeColor="background1"/>
                <w:sz w:val="28"/>
                <w:szCs w:val="28"/>
              </w:rPr>
            </w:pPr>
            <w:r w:rsidRPr="00700973">
              <w:rPr>
                <w:rFonts w:cs="Calibri"/>
                <w:bCs w:val="0"/>
                <w:color w:val="FFFFFF" w:themeColor="background1"/>
                <w:sz w:val="28"/>
                <w:szCs w:val="28"/>
              </w:rPr>
              <w:t>Commentary – Note 3:</w:t>
            </w:r>
            <w:r w:rsidRPr="009E2F17">
              <w:rPr>
                <w:rFonts w:cs="Calibri"/>
                <w:bCs w:val="0"/>
                <w:color w:val="FFFFFF" w:themeColor="background1"/>
                <w:sz w:val="28"/>
                <w:szCs w:val="28"/>
              </w:rPr>
              <w:t xml:space="preserve"> Impact of Accounting Standards Issued but yet to be Applied</w:t>
            </w:r>
          </w:p>
        </w:tc>
      </w:tr>
      <w:tr w:rsidR="00BC7234" w:rsidRPr="0003539E" w14:paraId="28E6FBD2" w14:textId="77777777" w:rsidTr="004A7A41">
        <w:trPr>
          <w:trHeight w:val="195"/>
        </w:trPr>
        <w:tc>
          <w:tcPr>
            <w:tcW w:w="677" w:type="pct"/>
            <w:tcBorders>
              <w:top w:val="nil"/>
              <w:left w:val="single" w:sz="2" w:space="0" w:color="auto"/>
              <w:bottom w:val="nil"/>
              <w:right w:val="single" w:sz="2" w:space="0" w:color="auto"/>
            </w:tcBorders>
          </w:tcPr>
          <w:p w14:paraId="72EE5B1D" w14:textId="77777777" w:rsidR="00BC7234" w:rsidRDefault="00BC7234" w:rsidP="00FA3DAF">
            <w:pPr>
              <w:pStyle w:val="TableReference"/>
              <w:tabs>
                <w:tab w:val="left" w:pos="3306"/>
              </w:tabs>
              <w:spacing w:before="80"/>
              <w:rPr>
                <w:rFonts w:cs="Calibri"/>
                <w:color w:val="7030A0"/>
                <w:sz w:val="14"/>
              </w:rPr>
            </w:pPr>
          </w:p>
          <w:p w14:paraId="1C39EDAC" w14:textId="77777777" w:rsidR="00BC7234" w:rsidRDefault="00BC7234" w:rsidP="00FA3DAF">
            <w:pPr>
              <w:pStyle w:val="TableReference"/>
              <w:tabs>
                <w:tab w:val="left" w:pos="3306"/>
              </w:tabs>
              <w:spacing w:before="80"/>
              <w:rPr>
                <w:rFonts w:cs="Calibri"/>
                <w:color w:val="7030A0"/>
                <w:sz w:val="14"/>
              </w:rPr>
            </w:pPr>
          </w:p>
          <w:p w14:paraId="284B4F4A" w14:textId="77777777" w:rsidR="00BC7234" w:rsidRPr="009E2F17" w:rsidRDefault="00BC7234" w:rsidP="00FA3DAF">
            <w:pPr>
              <w:pStyle w:val="TableReference"/>
              <w:tabs>
                <w:tab w:val="left" w:pos="3306"/>
              </w:tabs>
              <w:spacing w:before="80"/>
              <w:rPr>
                <w:rFonts w:cs="Calibri"/>
                <w:color w:val="7030A0"/>
                <w:sz w:val="14"/>
              </w:rPr>
            </w:pPr>
          </w:p>
        </w:tc>
        <w:tc>
          <w:tcPr>
            <w:tcW w:w="4323" w:type="pct"/>
            <w:tcBorders>
              <w:top w:val="nil"/>
              <w:left w:val="single" w:sz="2" w:space="0" w:color="auto"/>
              <w:bottom w:val="nil"/>
              <w:right w:val="nil"/>
            </w:tcBorders>
            <w:shd w:val="clear" w:color="auto" w:fill="7030A0"/>
          </w:tcPr>
          <w:p w14:paraId="34FC5190" w14:textId="40B85FA8" w:rsidR="009A7E1F" w:rsidRPr="008D0317" w:rsidRDefault="00C510EA" w:rsidP="00FA3DAF">
            <w:pPr>
              <w:spacing w:after="120"/>
              <w:jc w:val="both"/>
              <w:rPr>
                <w:color w:val="FFFFFF" w:themeColor="background1"/>
                <w:sz w:val="18"/>
                <w:szCs w:val="18"/>
              </w:rPr>
            </w:pPr>
            <w:r w:rsidRPr="008D0317">
              <w:rPr>
                <w:color w:val="FFFFFF" w:themeColor="background1"/>
                <w:sz w:val="18"/>
                <w:szCs w:val="18"/>
              </w:rPr>
              <w:t xml:space="preserve">Agencies can use the example wording included </w:t>
            </w:r>
            <w:r w:rsidR="00157F42" w:rsidRPr="008D0317">
              <w:rPr>
                <w:color w:val="FFFFFF" w:themeColor="background1"/>
                <w:sz w:val="18"/>
                <w:szCs w:val="18"/>
              </w:rPr>
              <w:t xml:space="preserve">in </w:t>
            </w:r>
            <w:r w:rsidRPr="008D0317">
              <w:rPr>
                <w:color w:val="FFFFFF" w:themeColor="background1"/>
                <w:sz w:val="18"/>
                <w:szCs w:val="18"/>
              </w:rPr>
              <w:t xml:space="preserve">Note 3 </w:t>
            </w:r>
            <w:r w:rsidR="00157F42" w:rsidRPr="008D0317">
              <w:rPr>
                <w:color w:val="FFFFFF" w:themeColor="background1"/>
                <w:sz w:val="18"/>
                <w:szCs w:val="18"/>
              </w:rPr>
              <w:t xml:space="preserve">above </w:t>
            </w:r>
            <w:r w:rsidRPr="008D0317">
              <w:rPr>
                <w:color w:val="FFFFFF" w:themeColor="background1"/>
                <w:sz w:val="18"/>
                <w:szCs w:val="18"/>
              </w:rPr>
              <w:t xml:space="preserve">where it is applicable to their </w:t>
            </w:r>
            <w:r w:rsidR="00157F42" w:rsidRPr="008D0317">
              <w:rPr>
                <w:color w:val="FFFFFF" w:themeColor="background1"/>
                <w:sz w:val="18"/>
                <w:szCs w:val="18"/>
              </w:rPr>
              <w:t xml:space="preserve">circumstance. </w:t>
            </w:r>
            <w:r w:rsidR="002B359A" w:rsidRPr="008D0317">
              <w:rPr>
                <w:color w:val="FFFFFF" w:themeColor="background1"/>
                <w:sz w:val="18"/>
                <w:szCs w:val="18"/>
              </w:rPr>
              <w:t>Where it is not applicable to their circumstance</w:t>
            </w:r>
            <w:r w:rsidR="00CE226F" w:rsidRPr="008D0317">
              <w:rPr>
                <w:color w:val="FFFFFF" w:themeColor="background1"/>
                <w:sz w:val="18"/>
                <w:szCs w:val="18"/>
              </w:rPr>
              <w:t>,</w:t>
            </w:r>
            <w:r w:rsidR="002B359A" w:rsidRPr="008D0317">
              <w:rPr>
                <w:color w:val="FFFFFF" w:themeColor="background1"/>
                <w:sz w:val="18"/>
                <w:szCs w:val="18"/>
              </w:rPr>
              <w:t xml:space="preserve"> adjustments to the wording must be made.</w:t>
            </w:r>
          </w:p>
          <w:p w14:paraId="6C2D8227" w14:textId="0EB88609" w:rsidR="00BC7234" w:rsidRPr="008D0317" w:rsidRDefault="009A7E1F" w:rsidP="002B359A">
            <w:pPr>
              <w:spacing w:after="120"/>
              <w:jc w:val="both"/>
              <w:rPr>
                <w:color w:val="FFFFFF" w:themeColor="background1"/>
                <w:sz w:val="18"/>
                <w:szCs w:val="18"/>
              </w:rPr>
            </w:pPr>
            <w:r w:rsidRPr="008D0317">
              <w:rPr>
                <w:color w:val="FFFFFF" w:themeColor="background1"/>
                <w:sz w:val="18"/>
                <w:szCs w:val="18"/>
              </w:rPr>
              <w:t>Agencies are required to review all the standards issued but yet to be applied to determine whether they are applicable to the agency and if they are applicable whether they have a material financial impact on the agency. This then determine</w:t>
            </w:r>
            <w:r w:rsidR="002B359A" w:rsidRPr="008D0317">
              <w:rPr>
                <w:color w:val="FFFFFF" w:themeColor="background1"/>
                <w:sz w:val="18"/>
                <w:szCs w:val="18"/>
              </w:rPr>
              <w:t>s</w:t>
            </w:r>
            <w:r w:rsidRPr="008D0317">
              <w:rPr>
                <w:color w:val="FFFFFF" w:themeColor="background1"/>
                <w:sz w:val="18"/>
                <w:szCs w:val="18"/>
              </w:rPr>
              <w:t xml:space="preserve"> the information to be included in</w:t>
            </w:r>
            <w:r w:rsidR="008C5CBE" w:rsidRPr="008D0317">
              <w:rPr>
                <w:color w:val="FFFFFF" w:themeColor="background1"/>
                <w:sz w:val="18"/>
                <w:szCs w:val="18"/>
              </w:rPr>
              <w:t xml:space="preserve"> this note disclosure</w:t>
            </w:r>
            <w:r w:rsidR="002B359A" w:rsidRPr="008D0317">
              <w:rPr>
                <w:color w:val="FFFFFF" w:themeColor="background1"/>
                <w:sz w:val="18"/>
                <w:szCs w:val="18"/>
              </w:rPr>
              <w:t>.</w:t>
            </w:r>
            <w:r w:rsidR="00157F42" w:rsidRPr="008D0317">
              <w:rPr>
                <w:color w:val="FFFFFF" w:themeColor="background1"/>
                <w:sz w:val="18"/>
                <w:szCs w:val="18"/>
              </w:rPr>
              <w:t xml:space="preserve"> </w:t>
            </w:r>
            <w:r w:rsidR="002B359A" w:rsidRPr="008D0317">
              <w:rPr>
                <w:color w:val="FFFFFF" w:themeColor="background1"/>
                <w:sz w:val="18"/>
                <w:szCs w:val="18"/>
              </w:rPr>
              <w:t>To assist agencies reviewing standards issued but yet to be applied</w:t>
            </w:r>
            <w:r w:rsidR="002B31F7">
              <w:rPr>
                <w:color w:val="FFFFFF" w:themeColor="background1"/>
                <w:sz w:val="18"/>
                <w:szCs w:val="18"/>
              </w:rPr>
              <w:t>,</w:t>
            </w:r>
            <w:r w:rsidR="00157F42" w:rsidRPr="008D0317">
              <w:rPr>
                <w:color w:val="FFFFFF" w:themeColor="background1"/>
                <w:sz w:val="18"/>
                <w:szCs w:val="18"/>
              </w:rPr>
              <w:t xml:space="preserve"> </w:t>
            </w:r>
            <w:r w:rsidR="005D24FA">
              <w:rPr>
                <w:color w:val="FFFFFF" w:themeColor="background1"/>
                <w:sz w:val="18"/>
                <w:szCs w:val="18"/>
              </w:rPr>
              <w:t>they</w:t>
            </w:r>
            <w:r w:rsidR="002B359A" w:rsidRPr="008D0317">
              <w:rPr>
                <w:color w:val="FFFFFF" w:themeColor="background1"/>
                <w:sz w:val="18"/>
                <w:szCs w:val="18"/>
              </w:rPr>
              <w:t xml:space="preserve"> </w:t>
            </w:r>
            <w:r w:rsidR="00157F42" w:rsidRPr="008D0317">
              <w:rPr>
                <w:color w:val="FFFFFF" w:themeColor="background1"/>
                <w:sz w:val="18"/>
                <w:szCs w:val="18"/>
              </w:rPr>
              <w:t>should consider the information outlined in this ACT Accounting Disclosure Paper (Section 3)</w:t>
            </w:r>
            <w:r w:rsidR="008C5CBE" w:rsidRPr="008D0317">
              <w:rPr>
                <w:color w:val="FFFFFF" w:themeColor="background1"/>
                <w:sz w:val="18"/>
                <w:szCs w:val="18"/>
              </w:rPr>
              <w:t>.</w:t>
            </w:r>
            <w:r w:rsidR="00BC7234" w:rsidRPr="008D0317">
              <w:rPr>
                <w:color w:val="FFFFFF" w:themeColor="background1"/>
                <w:sz w:val="18"/>
                <w:szCs w:val="18"/>
              </w:rPr>
              <w:t xml:space="preserve"> Using the guidance included in th</w:t>
            </w:r>
            <w:r w:rsidR="00700973">
              <w:rPr>
                <w:color w:val="FFFFFF" w:themeColor="background1"/>
                <w:sz w:val="18"/>
                <w:szCs w:val="18"/>
              </w:rPr>
              <w:t>i</w:t>
            </w:r>
            <w:r w:rsidR="00BC7234" w:rsidRPr="008D0317">
              <w:rPr>
                <w:color w:val="FFFFFF" w:themeColor="background1"/>
                <w:sz w:val="18"/>
                <w:szCs w:val="18"/>
              </w:rPr>
              <w:t xml:space="preserve">s </w:t>
            </w:r>
            <w:r w:rsidR="008C5CBE" w:rsidRPr="008D0317">
              <w:rPr>
                <w:color w:val="FFFFFF" w:themeColor="background1"/>
                <w:sz w:val="18"/>
                <w:szCs w:val="18"/>
              </w:rPr>
              <w:t>document</w:t>
            </w:r>
            <w:r w:rsidR="00BC7234" w:rsidRPr="008D0317">
              <w:rPr>
                <w:color w:val="FFFFFF" w:themeColor="background1"/>
                <w:sz w:val="18"/>
                <w:szCs w:val="18"/>
              </w:rPr>
              <w:t xml:space="preserve">, agencies should </w:t>
            </w:r>
            <w:r w:rsidR="004D3EF7" w:rsidRPr="008D0317">
              <w:rPr>
                <w:color w:val="FFFFFF" w:themeColor="background1"/>
                <w:sz w:val="18"/>
                <w:szCs w:val="18"/>
              </w:rPr>
              <w:t>assess</w:t>
            </w:r>
            <w:r w:rsidR="00BC7234" w:rsidRPr="008D0317">
              <w:rPr>
                <w:color w:val="FFFFFF" w:themeColor="background1"/>
                <w:sz w:val="18"/>
                <w:szCs w:val="18"/>
              </w:rPr>
              <w:t xml:space="preserve"> the impact and relevance of the standards, bearing in mind that they should only disclose those standards and amending standards that are expected to have a material </w:t>
            </w:r>
            <w:r w:rsidR="009C4547" w:rsidRPr="008D0317">
              <w:rPr>
                <w:color w:val="FFFFFF" w:themeColor="background1"/>
                <w:sz w:val="18"/>
                <w:szCs w:val="18"/>
              </w:rPr>
              <w:t xml:space="preserve">financial </w:t>
            </w:r>
            <w:r w:rsidR="00BC7234" w:rsidRPr="008D0317">
              <w:rPr>
                <w:color w:val="FFFFFF" w:themeColor="background1"/>
                <w:sz w:val="18"/>
                <w:szCs w:val="18"/>
              </w:rPr>
              <w:t xml:space="preserve">impact on them or </w:t>
            </w:r>
            <w:r w:rsidR="005E7B53">
              <w:rPr>
                <w:color w:val="FFFFFF" w:themeColor="background1"/>
                <w:sz w:val="18"/>
                <w:szCs w:val="18"/>
              </w:rPr>
              <w:t xml:space="preserve">the financial impact </w:t>
            </w:r>
            <w:r w:rsidR="005E720C">
              <w:rPr>
                <w:color w:val="FFFFFF" w:themeColor="background1"/>
                <w:sz w:val="18"/>
                <w:szCs w:val="18"/>
              </w:rPr>
              <w:t>cannot be determined or cannot yet be reliably estimated</w:t>
            </w:r>
            <w:r w:rsidR="00BC7234" w:rsidRPr="008D0317">
              <w:rPr>
                <w:color w:val="FFFFFF" w:themeColor="background1"/>
                <w:sz w:val="18"/>
                <w:szCs w:val="18"/>
              </w:rPr>
              <w:t xml:space="preserve">. </w:t>
            </w:r>
          </w:p>
        </w:tc>
      </w:tr>
      <w:tr w:rsidR="00D92464" w:rsidRPr="0003539E" w14:paraId="40E54EC9" w14:textId="77777777" w:rsidTr="004A7A41">
        <w:trPr>
          <w:trHeight w:val="195"/>
        </w:trPr>
        <w:tc>
          <w:tcPr>
            <w:tcW w:w="677" w:type="pct"/>
            <w:tcBorders>
              <w:top w:val="nil"/>
              <w:left w:val="single" w:sz="2" w:space="0" w:color="auto"/>
              <w:bottom w:val="nil"/>
              <w:right w:val="single" w:sz="2" w:space="0" w:color="auto"/>
            </w:tcBorders>
          </w:tcPr>
          <w:p w14:paraId="77BCE119" w14:textId="77777777" w:rsidR="00D92464" w:rsidRDefault="00D92464" w:rsidP="00FA3DAF">
            <w:pPr>
              <w:pStyle w:val="TableReference"/>
              <w:tabs>
                <w:tab w:val="left" w:pos="3306"/>
              </w:tabs>
              <w:spacing w:before="80"/>
              <w:rPr>
                <w:rFonts w:cs="Calibri"/>
                <w:color w:val="7030A0"/>
                <w:sz w:val="14"/>
              </w:rPr>
            </w:pPr>
          </w:p>
        </w:tc>
        <w:tc>
          <w:tcPr>
            <w:tcW w:w="4323" w:type="pct"/>
            <w:tcBorders>
              <w:top w:val="nil"/>
              <w:left w:val="single" w:sz="2" w:space="0" w:color="auto"/>
              <w:bottom w:val="nil"/>
              <w:right w:val="nil"/>
            </w:tcBorders>
            <w:shd w:val="clear" w:color="auto" w:fill="7030A0"/>
          </w:tcPr>
          <w:p w14:paraId="24147BFD" w14:textId="2B379121" w:rsidR="00D92464" w:rsidRPr="00BC7234" w:rsidRDefault="00D92464" w:rsidP="00FA3DAF">
            <w:pPr>
              <w:spacing w:after="120"/>
              <w:jc w:val="both"/>
              <w:rPr>
                <w:color w:val="FFFFFF" w:themeColor="background1"/>
                <w:sz w:val="18"/>
                <w:szCs w:val="18"/>
              </w:rPr>
            </w:pPr>
            <w:r w:rsidRPr="00BC7234">
              <w:rPr>
                <w:color w:val="FFFFFF" w:themeColor="background1"/>
                <w:sz w:val="18"/>
                <w:szCs w:val="18"/>
              </w:rPr>
              <w:t xml:space="preserve">Where ‘Standards Issued but Yet to be Applied’ are not applicable to agencies (e.g. AASB 129 </w:t>
            </w:r>
            <w:r w:rsidRPr="00B945BC">
              <w:rPr>
                <w:i/>
                <w:iCs/>
                <w:color w:val="FFFFFF" w:themeColor="background1"/>
                <w:sz w:val="18"/>
                <w:szCs w:val="18"/>
              </w:rPr>
              <w:t>Financial Reporting in Hyperinflationary Economies</w:t>
            </w:r>
            <w:r w:rsidRPr="00BC7234">
              <w:rPr>
                <w:color w:val="FFFFFF" w:themeColor="background1"/>
                <w:sz w:val="18"/>
                <w:szCs w:val="18"/>
              </w:rPr>
              <w:t>), or if applicable, will not have a material financial effect, these standards do not have to be individually listed in this note.</w:t>
            </w:r>
          </w:p>
        </w:tc>
      </w:tr>
    </w:tbl>
    <w:p w14:paraId="26EF30BC" w14:textId="77777777" w:rsidR="00B0598D" w:rsidRDefault="00B0598D" w:rsidP="00E70895">
      <w:pPr>
        <w:pStyle w:val="Bullet1"/>
        <w:numPr>
          <w:ilvl w:val="0"/>
          <w:numId w:val="0"/>
        </w:numPr>
        <w:ind w:left="360"/>
        <w:rPr>
          <w:sz w:val="21"/>
          <w:szCs w:val="21"/>
        </w:rPr>
        <w:sectPr w:rsidR="00B0598D" w:rsidSect="000715C4">
          <w:headerReference w:type="default" r:id="rId16"/>
          <w:pgSz w:w="11906" w:h="16838" w:code="9"/>
          <w:pgMar w:top="1276" w:right="1418" w:bottom="993" w:left="1418" w:header="567" w:footer="184" w:gutter="0"/>
          <w:cols w:space="708"/>
          <w:docGrid w:linePitch="360"/>
        </w:sectPr>
      </w:pPr>
    </w:p>
    <w:p w14:paraId="6E5FB3BB" w14:textId="77777777" w:rsidR="00B0598D" w:rsidRDefault="00B0598D" w:rsidP="00B0598D">
      <w:pPr>
        <w:spacing w:after="0" w:line="240" w:lineRule="auto"/>
      </w:pPr>
    </w:p>
    <w:p w14:paraId="369427E9" w14:textId="687F0D82" w:rsidR="008517A1" w:rsidRDefault="008517A1" w:rsidP="00E70895">
      <w:pPr>
        <w:pStyle w:val="Bullet1"/>
        <w:numPr>
          <w:ilvl w:val="0"/>
          <w:numId w:val="0"/>
        </w:numPr>
        <w:ind w:left="360"/>
        <w:rPr>
          <w:sz w:val="21"/>
          <w:szCs w:val="21"/>
        </w:rPr>
      </w:pPr>
    </w:p>
    <w:p w14:paraId="2BE31D36" w14:textId="42E466D3" w:rsidR="00B0598D" w:rsidRDefault="00B0598D" w:rsidP="00E70895">
      <w:pPr>
        <w:pStyle w:val="Bullet1"/>
        <w:numPr>
          <w:ilvl w:val="0"/>
          <w:numId w:val="0"/>
        </w:numPr>
        <w:ind w:left="360"/>
        <w:rPr>
          <w:sz w:val="21"/>
          <w:szCs w:val="21"/>
        </w:rPr>
      </w:pPr>
    </w:p>
    <w:p w14:paraId="4F498E0F" w14:textId="53DBB462" w:rsidR="00B0598D" w:rsidRDefault="00B0598D" w:rsidP="00E70895">
      <w:pPr>
        <w:pStyle w:val="Bullet1"/>
        <w:numPr>
          <w:ilvl w:val="0"/>
          <w:numId w:val="0"/>
        </w:numPr>
        <w:ind w:left="360"/>
        <w:rPr>
          <w:sz w:val="21"/>
          <w:szCs w:val="21"/>
        </w:rPr>
      </w:pPr>
    </w:p>
    <w:p w14:paraId="2EA3F2C3" w14:textId="77777777" w:rsidR="00B0598D" w:rsidRDefault="00B0598D" w:rsidP="00E70895">
      <w:pPr>
        <w:pStyle w:val="Bullet1"/>
        <w:numPr>
          <w:ilvl w:val="0"/>
          <w:numId w:val="0"/>
        </w:numPr>
        <w:ind w:left="360"/>
        <w:rPr>
          <w:sz w:val="21"/>
          <w:szCs w:val="21"/>
        </w:rPr>
      </w:pPr>
    </w:p>
    <w:p w14:paraId="75834431" w14:textId="77777777" w:rsidR="008517A1" w:rsidRDefault="008517A1" w:rsidP="00E70895">
      <w:pPr>
        <w:pStyle w:val="Bullet1"/>
        <w:numPr>
          <w:ilvl w:val="0"/>
          <w:numId w:val="0"/>
        </w:numPr>
        <w:ind w:left="360"/>
        <w:rPr>
          <w:sz w:val="21"/>
          <w:szCs w:val="21"/>
        </w:rPr>
      </w:pPr>
    </w:p>
    <w:p w14:paraId="3AE47B5F" w14:textId="28751ADA" w:rsidR="00632F54" w:rsidRPr="00632F54" w:rsidRDefault="00172A75" w:rsidP="002233F8">
      <w:pPr>
        <w:spacing w:line="276" w:lineRule="auto"/>
      </w:pPr>
      <w:r>
        <w:rPr>
          <w:noProof/>
        </w:rPr>
        <w:drawing>
          <wp:anchor distT="0" distB="0" distL="114300" distR="114300" simplePos="0" relativeHeight="251689984" behindDoc="0" locked="0" layoutInCell="1" allowOverlap="1" wp14:anchorId="2F93DEC2" wp14:editId="56DE6E26">
            <wp:simplePos x="0" y="0"/>
            <wp:positionH relativeFrom="margin">
              <wp:align>left</wp:align>
            </wp:positionH>
            <wp:positionV relativeFrom="margin">
              <wp:posOffset>7063105</wp:posOffset>
            </wp:positionV>
            <wp:extent cx="1414780" cy="720090"/>
            <wp:effectExtent l="0" t="0" r="0" b="3810"/>
            <wp:wrapSquare wrapText="bothSides"/>
            <wp:docPr id="859988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13760" name="Picture 1325313760"/>
                    <pic:cNvPicPr/>
                  </pic:nvPicPr>
                  <pic:blipFill>
                    <a:blip r:embed="rId12"/>
                    <a:stretch>
                      <a:fillRect/>
                    </a:stretch>
                  </pic:blipFill>
                  <pic:spPr>
                    <a:xfrm>
                      <a:off x="0" y="0"/>
                      <a:ext cx="1414780" cy="720090"/>
                    </a:xfrm>
                    <a:prstGeom prst="rect">
                      <a:avLst/>
                    </a:prstGeom>
                  </pic:spPr>
                </pic:pic>
              </a:graphicData>
            </a:graphic>
            <wp14:sizeRelH relativeFrom="margin">
              <wp14:pctWidth>0</wp14:pctWidth>
            </wp14:sizeRelH>
            <wp14:sizeRelV relativeFrom="margin">
              <wp14:pctHeight>0</wp14:pctHeight>
            </wp14:sizeRelV>
          </wp:anchor>
        </w:drawing>
      </w:r>
      <w:r w:rsidR="00515609">
        <w:rPr>
          <w:b/>
          <w:noProof/>
          <w:color w:val="FF0000"/>
        </w:rPr>
        <mc:AlternateContent>
          <mc:Choice Requires="wps">
            <w:drawing>
              <wp:anchor distT="0" distB="0" distL="114300" distR="114300" simplePos="0" relativeHeight="251685888" behindDoc="0" locked="0" layoutInCell="1" allowOverlap="1" wp14:anchorId="151649BD" wp14:editId="72C7EBB0">
                <wp:simplePos x="0" y="0"/>
                <wp:positionH relativeFrom="column">
                  <wp:posOffset>2128190</wp:posOffset>
                </wp:positionH>
                <wp:positionV relativeFrom="paragraph">
                  <wp:posOffset>4045174</wp:posOffset>
                </wp:positionV>
                <wp:extent cx="11099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109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2BADB36D">
              <v:line id="Straight Connector 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2f2f2f [3044]" from="167.55pt,318.5pt" to="176.3pt,318.5pt" w14:anchorId="7B065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"/>
            </w:pict>
          </mc:Fallback>
        </mc:AlternateContent>
      </w:r>
      <w:r w:rsidR="00515609">
        <w:rPr>
          <w:b/>
          <w:noProof/>
          <w:color w:val="FF0000"/>
        </w:rPr>
        <mc:AlternateContent>
          <mc:Choice Requires="wps">
            <w:drawing>
              <wp:anchor distT="0" distB="0" distL="114300" distR="114300" simplePos="0" relativeHeight="251684864" behindDoc="0" locked="0" layoutInCell="1" allowOverlap="1" wp14:anchorId="4FCB02C1" wp14:editId="09474F22">
                <wp:simplePos x="0" y="0"/>
                <wp:positionH relativeFrom="column">
                  <wp:posOffset>1245503</wp:posOffset>
                </wp:positionH>
                <wp:positionV relativeFrom="paragraph">
                  <wp:posOffset>4024032</wp:posOffset>
                </wp:positionV>
                <wp:extent cx="84569"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45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196DF06B">
              <v:line id="Straight Connector 5"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2f2f2f [3044]" from="98.05pt,316.85pt" to="104.7pt,316.85pt" w14:anchorId="21719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"/>
            </w:pict>
          </mc:Fallback>
        </mc:AlternateContent>
      </w:r>
      <w:bookmarkStart w:id="128" w:name="_Toc457377884"/>
      <w:bookmarkEnd w:id="128"/>
      <w:r w:rsidR="006D2273">
        <w:rPr>
          <w:noProof/>
        </w:rPr>
        <w:drawing>
          <wp:anchor distT="0" distB="0" distL="114300" distR="114300" simplePos="0" relativeHeight="251681792" behindDoc="1" locked="0" layoutInCell="1" allowOverlap="1" wp14:anchorId="7375332D" wp14:editId="7239403A">
            <wp:simplePos x="0" y="0"/>
            <wp:positionH relativeFrom="page">
              <wp:posOffset>1834</wp:posOffset>
            </wp:positionH>
            <wp:positionV relativeFrom="page">
              <wp:posOffset>0</wp:posOffset>
            </wp:positionV>
            <wp:extent cx="7628332" cy="10790399"/>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7628332" cy="10790399"/>
                    </a:xfrm>
                    <a:prstGeom prst="rect">
                      <a:avLst/>
                    </a:prstGeom>
                    <a:noFill/>
                  </pic:spPr>
                </pic:pic>
              </a:graphicData>
            </a:graphic>
          </wp:anchor>
        </w:drawing>
      </w:r>
      <w:bookmarkStart w:id="129" w:name="_Toc55814473"/>
      <w:bookmarkStart w:id="130" w:name="_Toc55815582"/>
      <w:bookmarkStart w:id="131" w:name="_Toc57269502"/>
      <w:bookmarkStart w:id="132" w:name="_Toc58395019"/>
      <w:r w:rsidR="005115E8">
        <w:rPr>
          <w:noProof/>
        </w:rPr>
        <mc:AlternateContent>
          <mc:Choice Requires="wps">
            <w:drawing>
              <wp:anchor distT="0" distB="0" distL="114300" distR="114300" simplePos="0" relativeHeight="251661312" behindDoc="0" locked="0" layoutInCell="1" allowOverlap="1" wp14:anchorId="54B160D4" wp14:editId="6C3D112B">
                <wp:simplePos x="0" y="0"/>
                <wp:positionH relativeFrom="column">
                  <wp:posOffset>0</wp:posOffset>
                </wp:positionH>
                <wp:positionV relativeFrom="page">
                  <wp:posOffset>9001125</wp:posOffset>
                </wp:positionV>
                <wp:extent cx="3439795" cy="916940"/>
                <wp:effectExtent l="0" t="0" r="317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121F6" w14:textId="77777777" w:rsidR="0094757A" w:rsidRPr="000016B9" w:rsidRDefault="0094757A" w:rsidP="004D2EBC">
                            <w:pPr>
                              <w:pStyle w:val="Intro"/>
                              <w:rPr>
                                <w:caps/>
                                <w:color w:val="FFFFFF"/>
                              </w:rPr>
                            </w:pPr>
                            <w:r>
                              <w:rPr>
                                <w:color w:val="FFFFFF"/>
                              </w:rPr>
                              <w:t>Chief Minister, Treasury and Economic Development Directorate</w:t>
                            </w:r>
                          </w:p>
                          <w:p w14:paraId="7610C570" w14:textId="7DAA1A83" w:rsidR="0094757A" w:rsidRPr="000016B9" w:rsidRDefault="00CE23E5" w:rsidP="004D2EBC">
                            <w:pPr>
                              <w:pStyle w:val="Intro"/>
                              <w:rPr>
                                <w:caps/>
                                <w:color w:val="FFFFFF"/>
                              </w:rPr>
                            </w:pPr>
                            <w:r>
                              <w:rPr>
                                <w:color w:val="FFFFFF"/>
                              </w:rPr>
                              <w:t>Ju</w:t>
                            </w:r>
                            <w:r w:rsidR="004D6E65">
                              <w:rPr>
                                <w:color w:val="FFFFFF"/>
                              </w:rPr>
                              <w:t>ly</w:t>
                            </w:r>
                            <w:r w:rsidR="0094757A">
                              <w:rPr>
                                <w:color w:val="FFFFFF"/>
                              </w:rPr>
                              <w:t xml:space="preserve"> 202</w:t>
                            </w:r>
                            <w:r w:rsidR="002E132A">
                              <w:rPr>
                                <w:color w:val="FFFFFF"/>
                              </w:rPr>
                              <w:t>6</w:t>
                            </w:r>
                          </w:p>
                          <w:p w14:paraId="0EF20222" w14:textId="5C7021E4" w:rsidR="0094757A" w:rsidRPr="003D4DBC" w:rsidRDefault="0094757A" w:rsidP="000016B9">
                            <w:pPr>
                              <w:pStyle w:val="Intro"/>
                              <w:rPr>
                                <w:color w:val="FFFFFF" w:themeColor="background1"/>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B160D4" id="Text Box 7" o:spid="_x0000_s1028" type="#_x0000_t202" style="position:absolute;margin-left:0;margin-top:708.75pt;width:270.85pt;height:7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R5QEAAKg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" filled="f" stroked="f">
                <v:textbox style="mso-fit-shape-to-text:t">
                  <w:txbxContent>
                    <w:p w14:paraId="54D121F6" w14:textId="77777777" w:rsidR="0094757A" w:rsidRPr="000016B9" w:rsidRDefault="0094757A" w:rsidP="004D2EBC">
                      <w:pPr>
                        <w:pStyle w:val="Intro"/>
                        <w:rPr>
                          <w:caps/>
                          <w:color w:val="FFFFFF"/>
                        </w:rPr>
                      </w:pPr>
                      <w:r>
                        <w:rPr>
                          <w:color w:val="FFFFFF"/>
                        </w:rPr>
                        <w:t>Chief Minister, Treasury and Economic Development Directorate</w:t>
                      </w:r>
                    </w:p>
                    <w:p w14:paraId="7610C570" w14:textId="7DAA1A83" w:rsidR="0094757A" w:rsidRPr="000016B9" w:rsidRDefault="00CE23E5" w:rsidP="004D2EBC">
                      <w:pPr>
                        <w:pStyle w:val="Intro"/>
                        <w:rPr>
                          <w:caps/>
                          <w:color w:val="FFFFFF"/>
                        </w:rPr>
                      </w:pPr>
                      <w:r>
                        <w:rPr>
                          <w:color w:val="FFFFFF"/>
                        </w:rPr>
                        <w:t>Ju</w:t>
                      </w:r>
                      <w:r w:rsidR="004D6E65">
                        <w:rPr>
                          <w:color w:val="FFFFFF"/>
                        </w:rPr>
                        <w:t>ly</w:t>
                      </w:r>
                      <w:r w:rsidR="0094757A">
                        <w:rPr>
                          <w:color w:val="FFFFFF"/>
                        </w:rPr>
                        <w:t xml:space="preserve"> 202</w:t>
                      </w:r>
                      <w:r w:rsidR="002E132A">
                        <w:rPr>
                          <w:color w:val="FFFFFF"/>
                        </w:rPr>
                        <w:t>6</w:t>
                      </w:r>
                    </w:p>
                    <w:p w14:paraId="0EF20222" w14:textId="5C7021E4" w:rsidR="0094757A" w:rsidRPr="003D4DBC" w:rsidRDefault="0094757A" w:rsidP="000016B9">
                      <w:pPr>
                        <w:pStyle w:val="Intro"/>
                        <w:rPr>
                          <w:color w:val="FFFFFF" w:themeColor="background1"/>
                        </w:rPr>
                      </w:pPr>
                    </w:p>
                  </w:txbxContent>
                </v:textbox>
                <w10:wrap anchory="page"/>
              </v:shape>
            </w:pict>
          </mc:Fallback>
        </mc:AlternateContent>
      </w:r>
      <w:bookmarkEnd w:id="129"/>
      <w:bookmarkEnd w:id="130"/>
      <w:bookmarkEnd w:id="131"/>
      <w:bookmarkEnd w:id="132"/>
    </w:p>
    <w:sectPr w:rsidR="00632F54" w:rsidRPr="00632F54" w:rsidSect="000715C4">
      <w:headerReference w:type="default" r:id="rId18"/>
      <w:pgSz w:w="11906" w:h="16838" w:code="9"/>
      <w:pgMar w:top="1276" w:right="1418" w:bottom="993" w:left="1418" w:header="567"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076F" w14:textId="77777777" w:rsidR="00E211ED" w:rsidRDefault="00E211ED" w:rsidP="00665B9F">
      <w:pPr>
        <w:spacing w:after="0" w:line="240" w:lineRule="auto"/>
      </w:pPr>
      <w:r>
        <w:separator/>
      </w:r>
    </w:p>
  </w:endnote>
  <w:endnote w:type="continuationSeparator" w:id="0">
    <w:p w14:paraId="58F1A2B3" w14:textId="77777777" w:rsidR="00E211ED" w:rsidRDefault="00E211ED"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56560"/>
      <w:docPartObj>
        <w:docPartGallery w:val="Page Numbers (Bottom of Page)"/>
        <w:docPartUnique/>
      </w:docPartObj>
    </w:sdtPr>
    <w:sdtEndPr>
      <w:rPr>
        <w:noProof/>
      </w:rPr>
    </w:sdtEndPr>
    <w:sdtContent>
      <w:p w14:paraId="7C2A724C" w14:textId="71C4B54D" w:rsidR="00235C78" w:rsidRDefault="00235C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137D47" w14:textId="77777777" w:rsidR="00235C78" w:rsidRDefault="00235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B37E" w14:textId="77777777" w:rsidR="00E211ED" w:rsidRDefault="00E211ED" w:rsidP="00665B9F">
      <w:pPr>
        <w:spacing w:after="0" w:line="240" w:lineRule="auto"/>
      </w:pPr>
      <w:r>
        <w:separator/>
      </w:r>
    </w:p>
  </w:footnote>
  <w:footnote w:type="continuationSeparator" w:id="0">
    <w:p w14:paraId="40490593" w14:textId="77777777" w:rsidR="00E211ED" w:rsidRDefault="00E211ED" w:rsidP="0066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FE97" w14:textId="6EA092F2" w:rsidR="00BA5DFE" w:rsidRDefault="00BA5DFE">
    <w:pPr>
      <w:pStyle w:val="Header"/>
    </w:pPr>
    <w:r w:rsidRPr="009D56A7">
      <w:rPr>
        <w:rFonts w:ascii="Calibri" w:hAnsi="Calibri" w:cs="Calibri"/>
        <w:b/>
        <w:bCs/>
        <w:color w:val="7030A0"/>
        <w:sz w:val="22"/>
        <w:szCs w:val="22"/>
      </w:rPr>
      <w:t>AADP 3</w:t>
    </w:r>
    <w:r w:rsidR="00A32F33">
      <w:rPr>
        <w:rFonts w:ascii="Calibri" w:hAnsi="Calibri" w:cs="Calibri"/>
        <w:b/>
        <w:bCs/>
        <w:color w:val="7030A0"/>
        <w:sz w:val="22"/>
        <w:szCs w:val="22"/>
      </w:rPr>
      <w:t>1</w:t>
    </w:r>
    <w:r w:rsidR="00F535DC">
      <w:rPr>
        <w:rFonts w:ascii="Calibri" w:hAnsi="Calibri" w:cs="Calibri"/>
        <w:b/>
        <w:bCs/>
        <w:color w:val="7030A0"/>
        <w:sz w:val="22"/>
        <w:szCs w:val="22"/>
      </w:rPr>
      <w:t>1</w:t>
    </w:r>
    <w:r w:rsidRPr="009D56A7">
      <w:rPr>
        <w:rFonts w:ascii="Calibri" w:hAnsi="Calibri" w:cs="Calibri"/>
        <w:b/>
        <w:bCs/>
        <w:color w:val="7030A0"/>
        <w:sz w:val="22"/>
        <w:szCs w:val="22"/>
      </w:rPr>
      <w:t xml:space="preserve"> — AASB Standards Issued </w:t>
    </w:r>
    <w:r w:rsidR="00A6573D">
      <w:rPr>
        <w:rFonts w:ascii="Calibri" w:hAnsi="Calibri" w:cs="Calibri"/>
        <w:b/>
        <w:bCs/>
        <w:color w:val="7030A0"/>
        <w:sz w:val="22"/>
        <w:szCs w:val="22"/>
      </w:rPr>
      <w:t>but</w:t>
    </w:r>
    <w:r w:rsidRPr="009D56A7">
      <w:rPr>
        <w:rFonts w:ascii="Calibri" w:hAnsi="Calibri" w:cs="Calibri"/>
        <w:b/>
        <w:bCs/>
        <w:color w:val="7030A0"/>
        <w:sz w:val="22"/>
        <w:szCs w:val="22"/>
      </w:rPr>
      <w:t xml:space="preserve"> Yet </w:t>
    </w:r>
    <w:r w:rsidR="00A6573D">
      <w:rPr>
        <w:rFonts w:ascii="Calibri" w:hAnsi="Calibri" w:cs="Calibri"/>
        <w:b/>
        <w:bCs/>
        <w:color w:val="7030A0"/>
        <w:sz w:val="22"/>
        <w:szCs w:val="22"/>
      </w:rPr>
      <w:t>to be Applied</w:t>
    </w:r>
    <w:r w:rsidRPr="009D56A7">
      <w:rPr>
        <w:rFonts w:ascii="Calibri" w:hAnsi="Calibri" w:cs="Calibri"/>
        <w:b/>
        <w:bCs/>
        <w:color w:val="7030A0"/>
        <w:sz w:val="22"/>
        <w:szCs w:val="22"/>
      </w:rPr>
      <w:t xml:space="preserve"> as at 30 June 20</w:t>
    </w:r>
    <w:r w:rsidRPr="009D56A7">
      <w:rPr>
        <w:b/>
        <w:bCs/>
        <w:caps/>
        <w:noProof/>
        <w:color w:val="7030A0"/>
        <w:sz w:val="22"/>
        <w:szCs w:val="22"/>
      </w:rPr>
      <w:drawing>
        <wp:anchor distT="0" distB="0" distL="114300" distR="114300" simplePos="0" relativeHeight="251659264" behindDoc="1" locked="0" layoutInCell="1" allowOverlap="1" wp14:anchorId="66648E4E" wp14:editId="3AB42366">
          <wp:simplePos x="0" y="0"/>
          <wp:positionH relativeFrom="page">
            <wp:posOffset>534035</wp:posOffset>
          </wp:positionH>
          <wp:positionV relativeFrom="page">
            <wp:posOffset>-584200</wp:posOffset>
          </wp:positionV>
          <wp:extent cx="7632000" cy="903600"/>
          <wp:effectExtent l="38100" t="0" r="7620" b="640080"/>
          <wp:wrapNone/>
          <wp:docPr id="64"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Pr="009D56A7">
      <w:rPr>
        <w:rFonts w:ascii="Calibri" w:hAnsi="Calibri" w:cs="Calibri"/>
        <w:b/>
        <w:bCs/>
        <w:color w:val="7030A0"/>
        <w:sz w:val="22"/>
        <w:szCs w:val="22"/>
      </w:rPr>
      <w:t>2</w:t>
    </w:r>
    <w:r w:rsidR="006F0F58">
      <w:rPr>
        <w:rFonts w:ascii="Calibri" w:hAnsi="Calibri" w:cs="Calibri"/>
        <w:b/>
        <w:bCs/>
        <w:color w:val="7030A0"/>
        <w:sz w:val="22"/>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A28C" w14:textId="508CACDC" w:rsidR="007B3A0E" w:rsidRDefault="007B3A0E" w:rsidP="007B3A0E">
    <w:pPr>
      <w:pStyle w:val="Header"/>
    </w:pPr>
    <w:r w:rsidRPr="009D56A7">
      <w:rPr>
        <w:rFonts w:ascii="Calibri" w:hAnsi="Calibri" w:cs="Calibri"/>
        <w:b/>
        <w:bCs/>
        <w:color w:val="7030A0"/>
        <w:sz w:val="22"/>
        <w:szCs w:val="22"/>
      </w:rPr>
      <w:t>AADP 3</w:t>
    </w:r>
    <w:r w:rsidR="00BE019E">
      <w:rPr>
        <w:rFonts w:ascii="Calibri" w:hAnsi="Calibri" w:cs="Calibri"/>
        <w:b/>
        <w:bCs/>
        <w:color w:val="7030A0"/>
        <w:sz w:val="22"/>
        <w:szCs w:val="22"/>
      </w:rPr>
      <w:t>1</w:t>
    </w:r>
    <w:r w:rsidR="007544E6">
      <w:rPr>
        <w:rFonts w:ascii="Calibri" w:hAnsi="Calibri" w:cs="Calibri"/>
        <w:b/>
        <w:bCs/>
        <w:color w:val="7030A0"/>
        <w:sz w:val="22"/>
        <w:szCs w:val="22"/>
      </w:rPr>
      <w:t>1</w:t>
    </w:r>
    <w:r w:rsidRPr="009D56A7">
      <w:rPr>
        <w:rFonts w:ascii="Calibri" w:hAnsi="Calibri" w:cs="Calibri"/>
        <w:b/>
        <w:bCs/>
        <w:color w:val="7030A0"/>
        <w:sz w:val="22"/>
        <w:szCs w:val="22"/>
      </w:rPr>
      <w:t xml:space="preserve"> — AASB Standards Issued </w:t>
    </w:r>
    <w:r w:rsidR="00A6573D">
      <w:rPr>
        <w:rFonts w:ascii="Calibri" w:hAnsi="Calibri" w:cs="Calibri"/>
        <w:b/>
        <w:bCs/>
        <w:color w:val="7030A0"/>
        <w:sz w:val="22"/>
        <w:szCs w:val="22"/>
      </w:rPr>
      <w:t>but</w:t>
    </w:r>
    <w:r w:rsidRPr="009D56A7">
      <w:rPr>
        <w:rFonts w:ascii="Calibri" w:hAnsi="Calibri" w:cs="Calibri"/>
        <w:b/>
        <w:bCs/>
        <w:color w:val="7030A0"/>
        <w:sz w:val="22"/>
        <w:szCs w:val="22"/>
      </w:rPr>
      <w:t xml:space="preserve"> Yet </w:t>
    </w:r>
    <w:r w:rsidR="00A6573D">
      <w:rPr>
        <w:rFonts w:ascii="Calibri" w:hAnsi="Calibri" w:cs="Calibri"/>
        <w:b/>
        <w:bCs/>
        <w:color w:val="7030A0"/>
        <w:sz w:val="22"/>
        <w:szCs w:val="22"/>
      </w:rPr>
      <w:t>to be Applied</w:t>
    </w:r>
    <w:r w:rsidRPr="009D56A7">
      <w:rPr>
        <w:rFonts w:ascii="Calibri" w:hAnsi="Calibri" w:cs="Calibri"/>
        <w:b/>
        <w:bCs/>
        <w:color w:val="7030A0"/>
        <w:sz w:val="22"/>
        <w:szCs w:val="22"/>
      </w:rPr>
      <w:t xml:space="preserve"> as at 30 June 20</w:t>
    </w:r>
    <w:r w:rsidRPr="009D56A7">
      <w:rPr>
        <w:b/>
        <w:bCs/>
        <w:caps/>
        <w:noProof/>
        <w:color w:val="7030A0"/>
        <w:sz w:val="22"/>
        <w:szCs w:val="22"/>
      </w:rPr>
      <w:drawing>
        <wp:anchor distT="0" distB="0" distL="114300" distR="114300" simplePos="0" relativeHeight="251661312" behindDoc="1" locked="0" layoutInCell="1" allowOverlap="1" wp14:anchorId="1E71B525" wp14:editId="0B3F0F95">
          <wp:simplePos x="0" y="0"/>
          <wp:positionH relativeFrom="page">
            <wp:posOffset>534035</wp:posOffset>
          </wp:positionH>
          <wp:positionV relativeFrom="page">
            <wp:posOffset>-584200</wp:posOffset>
          </wp:positionV>
          <wp:extent cx="7632000" cy="903600"/>
          <wp:effectExtent l="38100" t="0" r="7620" b="640080"/>
          <wp:wrapNone/>
          <wp:docPr id="1"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sidRPr="009D56A7">
      <w:rPr>
        <w:rFonts w:ascii="Calibri" w:hAnsi="Calibri" w:cs="Calibri"/>
        <w:b/>
        <w:bCs/>
        <w:color w:val="7030A0"/>
        <w:sz w:val="22"/>
        <w:szCs w:val="22"/>
      </w:rPr>
      <w:t>2</w:t>
    </w:r>
    <w:r w:rsidR="007544E6">
      <w:rPr>
        <w:rFonts w:ascii="Calibri" w:hAnsi="Calibri" w:cs="Calibri"/>
        <w:b/>
        <w:bCs/>
        <w:color w:val="7030A0"/>
        <w:sz w:val="22"/>
        <w:szCs w:val="22"/>
      </w:rPr>
      <w:t>6</w:t>
    </w:r>
  </w:p>
  <w:p w14:paraId="0A623EB7" w14:textId="639C0D60" w:rsidR="0094757A" w:rsidRPr="002C5CC0" w:rsidRDefault="0094757A" w:rsidP="002C5CC0">
    <w:pPr>
      <w:pStyle w:val="headerhe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2BB0" w14:textId="11C9B26C" w:rsidR="0094757A" w:rsidRPr="003826C2" w:rsidRDefault="0094757A" w:rsidP="003826C2">
    <w:pPr>
      <w:pStyle w:val="Header"/>
      <w:jc w:val="center"/>
      <w:rPr>
        <w:rFonts w:ascii="Calibri" w:eastAsia="Times New Roman" w:hAnsi="Calibri" w:cs="Arial"/>
        <w:b/>
        <w:caps/>
        <w:sz w:val="22"/>
        <w:szCs w:val="16"/>
        <w:lang w:eastAsia="en-US"/>
      </w:rPr>
    </w:pPr>
    <w:r w:rsidRPr="00B0598D">
      <w:rPr>
        <w:rFonts w:ascii="Calibri" w:eastAsia="Times New Roman" w:hAnsi="Calibri" w:cs="Arial"/>
        <w:b/>
        <w:caps/>
        <w:sz w:val="22"/>
        <w:szCs w:val="16"/>
        <w:lang w:eastAsia="en-US"/>
      </w:rPr>
      <w:t>Appendix D- Change IN Accounting  and Accounting Estimates, AND Correction Prior Period Error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335D30"/>
    <w:multiLevelType w:val="hybridMultilevel"/>
    <w:tmpl w:val="A96899E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084923"/>
    <w:multiLevelType w:val="hybridMultilevel"/>
    <w:tmpl w:val="259C24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BF3F39"/>
    <w:multiLevelType w:val="hybridMultilevel"/>
    <w:tmpl w:val="A764553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254351"/>
    <w:multiLevelType w:val="hybridMultilevel"/>
    <w:tmpl w:val="ED9E6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F566FB"/>
    <w:multiLevelType w:val="hybridMultilevel"/>
    <w:tmpl w:val="20001DD4"/>
    <w:lvl w:ilvl="0" w:tplc="973EA1C8">
      <w:start w:val="1"/>
      <w:numFmt w:val="lowerLetter"/>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221B0C0E"/>
    <w:multiLevelType w:val="hybridMultilevel"/>
    <w:tmpl w:val="32763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8020E9F"/>
    <w:multiLevelType w:val="multilevel"/>
    <w:tmpl w:val="572A491C"/>
    <w:lvl w:ilvl="0">
      <w:start w:val="1"/>
      <w:numFmt w:val="decimal"/>
      <w:pStyle w:val="Heading1"/>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BAF1FCB"/>
    <w:multiLevelType w:val="multilevel"/>
    <w:tmpl w:val="F5B844BA"/>
    <w:lvl w:ilvl="0">
      <w:start w:val="3"/>
      <w:numFmt w:val="decimal"/>
      <w:lvlText w:val="%1."/>
      <w:lvlJc w:val="left"/>
      <w:pPr>
        <w:ind w:left="2062" w:hanging="360"/>
      </w:pPr>
      <w:rPr>
        <w:rFonts w:hint="default"/>
        <w:b/>
      </w:rPr>
    </w:lvl>
    <w:lvl w:ilvl="1">
      <w:start w:val="1"/>
      <w:numFmt w:val="decimal"/>
      <w:isLgl/>
      <w:lvlText w:val="%1.%2"/>
      <w:lvlJc w:val="left"/>
      <w:pPr>
        <w:ind w:left="1800" w:hanging="720"/>
      </w:pPr>
      <w:rPr>
        <w:rFonts w:hint="default"/>
        <w:b/>
      </w:rPr>
    </w:lvl>
    <w:lvl w:ilvl="2">
      <w:start w:val="3"/>
      <w:numFmt w:val="decimal"/>
      <w:isLgl/>
      <w:lvlText w:val="%1.%2.%3"/>
      <w:lvlJc w:val="left"/>
      <w:pPr>
        <w:ind w:left="3491" w:hanging="1080"/>
      </w:pPr>
      <w:rPr>
        <w:rFonts w:hint="default"/>
        <w:b/>
        <w:i w:val="0"/>
        <w:iCs w:val="0"/>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4320" w:hanging="1800"/>
      </w:pPr>
      <w:rPr>
        <w:rFonts w:hint="default"/>
        <w:b/>
      </w:rPr>
    </w:lvl>
    <w:lvl w:ilvl="6">
      <w:start w:val="1"/>
      <w:numFmt w:val="decimal"/>
      <w:isLgl/>
      <w:lvlText w:val="%1.%2.%3.%4.%5.%6.%7"/>
      <w:lvlJc w:val="left"/>
      <w:pPr>
        <w:ind w:left="5040" w:hanging="2160"/>
      </w:pPr>
      <w:rPr>
        <w:rFonts w:hint="default"/>
        <w:b/>
      </w:rPr>
    </w:lvl>
    <w:lvl w:ilvl="7">
      <w:start w:val="1"/>
      <w:numFmt w:val="decimal"/>
      <w:isLgl/>
      <w:lvlText w:val="%1.%2.%3.%4.%5.%6.%7.%8"/>
      <w:lvlJc w:val="left"/>
      <w:pPr>
        <w:ind w:left="5760" w:hanging="2520"/>
      </w:pPr>
      <w:rPr>
        <w:rFonts w:hint="default"/>
        <w:b/>
      </w:rPr>
    </w:lvl>
    <w:lvl w:ilvl="8">
      <w:start w:val="1"/>
      <w:numFmt w:val="decimal"/>
      <w:isLgl/>
      <w:lvlText w:val="%1.%2.%3.%4.%5.%6.%7.%8.%9"/>
      <w:lvlJc w:val="left"/>
      <w:pPr>
        <w:ind w:left="6120" w:hanging="2520"/>
      </w:pPr>
      <w:rPr>
        <w:rFonts w:hint="default"/>
        <w:b/>
      </w:rPr>
    </w:lvl>
  </w:abstractNum>
  <w:abstractNum w:abstractNumId="10" w15:restartNumberingAfterBreak="0">
    <w:nsid w:val="2E6A566F"/>
    <w:multiLevelType w:val="hybridMultilevel"/>
    <w:tmpl w:val="7D827734"/>
    <w:lvl w:ilvl="0" w:tplc="773250FA">
      <w:start w:val="3"/>
      <w:numFmt w:val="decimal"/>
      <w:pStyle w:val="NoteTitle"/>
      <w:lvlText w:val="Note %1."/>
      <w:lvlJc w:val="left"/>
      <w:pPr>
        <w:tabs>
          <w:tab w:val="num" w:pos="1701"/>
        </w:tabs>
        <w:ind w:left="1701" w:hanging="1134"/>
      </w:pPr>
      <w:rPr>
        <w:rFonts w:hint="default"/>
        <w:b/>
        <w:caps/>
      </w:rPr>
    </w:lvl>
    <w:lvl w:ilvl="1" w:tplc="04090001">
      <w:start w:val="1"/>
      <w:numFmt w:val="bullet"/>
      <w:lvlText w:val=""/>
      <w:lvlJc w:val="left"/>
      <w:pPr>
        <w:tabs>
          <w:tab w:val="num" w:pos="-1794"/>
        </w:tabs>
        <w:ind w:left="-1794" w:hanging="360"/>
      </w:pPr>
      <w:rPr>
        <w:rFonts w:ascii="Symbol" w:hAnsi="Symbol" w:hint="default"/>
      </w:rPr>
    </w:lvl>
    <w:lvl w:ilvl="2" w:tplc="363E5A42">
      <w:start w:val="1"/>
      <w:numFmt w:val="lowerLetter"/>
      <w:lvlText w:val="%3)"/>
      <w:lvlJc w:val="left"/>
      <w:pPr>
        <w:tabs>
          <w:tab w:val="num" w:pos="-894"/>
        </w:tabs>
        <w:ind w:left="-894" w:hanging="360"/>
      </w:pPr>
      <w:rPr>
        <w:rFonts w:hint="default"/>
      </w:rPr>
    </w:lvl>
    <w:lvl w:ilvl="3" w:tplc="0409000F" w:tentative="1">
      <w:start w:val="1"/>
      <w:numFmt w:val="decimal"/>
      <w:lvlText w:val="%4."/>
      <w:lvlJc w:val="left"/>
      <w:pPr>
        <w:tabs>
          <w:tab w:val="num" w:pos="-354"/>
        </w:tabs>
        <w:ind w:left="-354" w:hanging="360"/>
      </w:pPr>
    </w:lvl>
    <w:lvl w:ilvl="4" w:tplc="04090019" w:tentative="1">
      <w:start w:val="1"/>
      <w:numFmt w:val="lowerLetter"/>
      <w:lvlText w:val="%5."/>
      <w:lvlJc w:val="left"/>
      <w:pPr>
        <w:tabs>
          <w:tab w:val="num" w:pos="366"/>
        </w:tabs>
        <w:ind w:left="366" w:hanging="360"/>
      </w:pPr>
    </w:lvl>
    <w:lvl w:ilvl="5" w:tplc="0409001B" w:tentative="1">
      <w:start w:val="1"/>
      <w:numFmt w:val="lowerRoman"/>
      <w:lvlText w:val="%6."/>
      <w:lvlJc w:val="right"/>
      <w:pPr>
        <w:tabs>
          <w:tab w:val="num" w:pos="1086"/>
        </w:tabs>
        <w:ind w:left="1086" w:hanging="180"/>
      </w:pPr>
    </w:lvl>
    <w:lvl w:ilvl="6" w:tplc="0409000F" w:tentative="1">
      <w:start w:val="1"/>
      <w:numFmt w:val="decimal"/>
      <w:lvlText w:val="%7."/>
      <w:lvlJc w:val="left"/>
      <w:pPr>
        <w:tabs>
          <w:tab w:val="num" w:pos="1806"/>
        </w:tabs>
        <w:ind w:left="1806" w:hanging="360"/>
      </w:pPr>
    </w:lvl>
    <w:lvl w:ilvl="7" w:tplc="04090019" w:tentative="1">
      <w:start w:val="1"/>
      <w:numFmt w:val="lowerLetter"/>
      <w:lvlText w:val="%8."/>
      <w:lvlJc w:val="left"/>
      <w:pPr>
        <w:tabs>
          <w:tab w:val="num" w:pos="2526"/>
        </w:tabs>
        <w:ind w:left="2526" w:hanging="360"/>
      </w:pPr>
    </w:lvl>
    <w:lvl w:ilvl="8" w:tplc="0409001B" w:tentative="1">
      <w:start w:val="1"/>
      <w:numFmt w:val="lowerRoman"/>
      <w:lvlText w:val="%9."/>
      <w:lvlJc w:val="right"/>
      <w:pPr>
        <w:tabs>
          <w:tab w:val="num" w:pos="3246"/>
        </w:tabs>
        <w:ind w:left="3246" w:hanging="180"/>
      </w:pPr>
    </w:lvl>
  </w:abstractNum>
  <w:abstractNum w:abstractNumId="11" w15:restartNumberingAfterBreak="0">
    <w:nsid w:val="2F5B6AF6"/>
    <w:multiLevelType w:val="multilevel"/>
    <w:tmpl w:val="77FA1B58"/>
    <w:lvl w:ilvl="0">
      <w:start w:val="3"/>
      <w:numFmt w:val="decimal"/>
      <w:lvlText w:val="%1."/>
      <w:lvlJc w:val="left"/>
      <w:pPr>
        <w:ind w:left="2062" w:hanging="360"/>
      </w:pPr>
      <w:rPr>
        <w:rFonts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3491" w:hanging="1080"/>
      </w:pPr>
      <w:rPr>
        <w:rFonts w:hint="default"/>
        <w:b/>
        <w:i w:val="0"/>
        <w:iCs w:val="0"/>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4320" w:hanging="1800"/>
      </w:pPr>
      <w:rPr>
        <w:rFonts w:hint="default"/>
        <w:b/>
      </w:rPr>
    </w:lvl>
    <w:lvl w:ilvl="6">
      <w:start w:val="1"/>
      <w:numFmt w:val="decimal"/>
      <w:isLgl/>
      <w:lvlText w:val="%1.%2.%3.%4.%5.%6.%7"/>
      <w:lvlJc w:val="left"/>
      <w:pPr>
        <w:ind w:left="5040" w:hanging="2160"/>
      </w:pPr>
      <w:rPr>
        <w:rFonts w:hint="default"/>
        <w:b/>
      </w:rPr>
    </w:lvl>
    <w:lvl w:ilvl="7">
      <w:start w:val="1"/>
      <w:numFmt w:val="decimal"/>
      <w:isLgl/>
      <w:lvlText w:val="%1.%2.%3.%4.%5.%6.%7.%8"/>
      <w:lvlJc w:val="left"/>
      <w:pPr>
        <w:ind w:left="5760" w:hanging="2520"/>
      </w:pPr>
      <w:rPr>
        <w:rFonts w:hint="default"/>
        <w:b/>
      </w:rPr>
    </w:lvl>
    <w:lvl w:ilvl="8">
      <w:start w:val="1"/>
      <w:numFmt w:val="decimal"/>
      <w:isLgl/>
      <w:lvlText w:val="%1.%2.%3.%4.%5.%6.%7.%8.%9"/>
      <w:lvlJc w:val="left"/>
      <w:pPr>
        <w:ind w:left="6120" w:hanging="2520"/>
      </w:pPr>
      <w:rPr>
        <w:rFonts w:hint="default"/>
        <w:b/>
      </w:rPr>
    </w:lvl>
  </w:abstractNum>
  <w:abstractNum w:abstractNumId="12" w15:restartNumberingAfterBreak="0">
    <w:nsid w:val="34ED2BA4"/>
    <w:multiLevelType w:val="hybridMultilevel"/>
    <w:tmpl w:val="1C5EB842"/>
    <w:lvl w:ilvl="0" w:tplc="B664C484">
      <w:start w:val="1"/>
      <w:numFmt w:val="lowerRoman"/>
      <w:lvlText w:val="(%1)"/>
      <w:lvlJc w:val="left"/>
      <w:pPr>
        <w:ind w:left="1713" w:hanging="720"/>
      </w:pPr>
      <w:rPr>
        <w:rFonts w:hint="default"/>
      </w:rPr>
    </w:lvl>
    <w:lvl w:ilvl="1" w:tplc="308CE44E">
      <w:start w:val="1"/>
      <w:numFmt w:val="lowerLetter"/>
      <w:lvlText w:val="(%2)"/>
      <w:lvlJc w:val="left"/>
      <w:pPr>
        <w:ind w:left="2073" w:hanging="360"/>
      </w:pPr>
      <w:rPr>
        <w:rFonts w:hint="default"/>
      </w:r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15:restartNumberingAfterBreak="0">
    <w:nsid w:val="386D6757"/>
    <w:multiLevelType w:val="hybridMultilevel"/>
    <w:tmpl w:val="E4CADF84"/>
    <w:lvl w:ilvl="0" w:tplc="6B3C3B8E">
      <w:start w:val="1"/>
      <w:numFmt w:val="lowerLetter"/>
      <w:lvlText w:val="(%1)"/>
      <w:lvlJc w:val="left"/>
      <w:pPr>
        <w:ind w:left="720" w:hanging="360"/>
      </w:pPr>
      <w:rPr>
        <w:rFonts w:ascii="Arial" w:eastAsia="Arial" w:hAnsi="Arial" w:cs="Arial" w:hint="default"/>
        <w:b w:val="0"/>
        <w:bCs w:val="0"/>
        <w:i w:val="0"/>
        <w:iCs w:val="0"/>
        <w:color w:val="4D4D4D"/>
        <w:spacing w:val="0"/>
        <w:w w:val="100"/>
        <w:sz w:val="18"/>
        <w:szCs w:val="18"/>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B622BC"/>
    <w:multiLevelType w:val="multilevel"/>
    <w:tmpl w:val="7B445690"/>
    <w:lvl w:ilvl="0">
      <w:start w:val="3"/>
      <w:numFmt w:val="decimal"/>
      <w:lvlText w:val="%1."/>
      <w:lvlJc w:val="left"/>
      <w:pPr>
        <w:ind w:left="2062" w:hanging="360"/>
      </w:pPr>
      <w:rPr>
        <w:rFonts w:hint="default"/>
        <w:b/>
      </w:rPr>
    </w:lvl>
    <w:lvl w:ilvl="1">
      <w:start w:val="1"/>
      <w:numFmt w:val="decimal"/>
      <w:isLgl/>
      <w:lvlText w:val="%1.%2"/>
      <w:lvlJc w:val="left"/>
      <w:pPr>
        <w:ind w:left="1800" w:hanging="720"/>
      </w:pPr>
      <w:rPr>
        <w:rFonts w:hint="default"/>
        <w:b/>
      </w:rPr>
    </w:lvl>
    <w:lvl w:ilvl="2">
      <w:start w:val="3"/>
      <w:numFmt w:val="decimal"/>
      <w:isLgl/>
      <w:lvlText w:val="%1.%2.%3"/>
      <w:lvlJc w:val="left"/>
      <w:pPr>
        <w:ind w:left="3491" w:hanging="1080"/>
      </w:pPr>
      <w:rPr>
        <w:rFonts w:hint="default"/>
        <w:b/>
        <w:i w:val="0"/>
        <w:iCs w:val="0"/>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4320" w:hanging="1800"/>
      </w:pPr>
      <w:rPr>
        <w:rFonts w:hint="default"/>
        <w:b/>
      </w:rPr>
    </w:lvl>
    <w:lvl w:ilvl="6">
      <w:start w:val="1"/>
      <w:numFmt w:val="decimal"/>
      <w:isLgl/>
      <w:lvlText w:val="%1.%2.%3.%4.%5.%6.%7"/>
      <w:lvlJc w:val="left"/>
      <w:pPr>
        <w:ind w:left="5040" w:hanging="2160"/>
      </w:pPr>
      <w:rPr>
        <w:rFonts w:hint="default"/>
        <w:b/>
      </w:rPr>
    </w:lvl>
    <w:lvl w:ilvl="7">
      <w:start w:val="1"/>
      <w:numFmt w:val="decimal"/>
      <w:isLgl/>
      <w:lvlText w:val="%1.%2.%3.%4.%5.%6.%7.%8"/>
      <w:lvlJc w:val="left"/>
      <w:pPr>
        <w:ind w:left="5760" w:hanging="2520"/>
      </w:pPr>
      <w:rPr>
        <w:rFonts w:hint="default"/>
        <w:b/>
      </w:rPr>
    </w:lvl>
    <w:lvl w:ilvl="8">
      <w:start w:val="1"/>
      <w:numFmt w:val="decimal"/>
      <w:isLgl/>
      <w:lvlText w:val="%1.%2.%3.%4.%5.%6.%7.%8.%9"/>
      <w:lvlJc w:val="left"/>
      <w:pPr>
        <w:ind w:left="6120" w:hanging="2520"/>
      </w:pPr>
      <w:rPr>
        <w:rFonts w:hint="default"/>
        <w:b/>
      </w:rPr>
    </w:lvl>
  </w:abstractNum>
  <w:abstractNum w:abstractNumId="15" w15:restartNumberingAfterBreak="0">
    <w:nsid w:val="3BA15155"/>
    <w:multiLevelType w:val="hybridMultilevel"/>
    <w:tmpl w:val="C8B8E146"/>
    <w:lvl w:ilvl="0" w:tplc="34A887E8">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B40DA4"/>
    <w:multiLevelType w:val="hybridMultilevel"/>
    <w:tmpl w:val="1D907894"/>
    <w:lvl w:ilvl="0" w:tplc="363E5A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CF7E70"/>
    <w:multiLevelType w:val="hybridMultilevel"/>
    <w:tmpl w:val="15781D1A"/>
    <w:lvl w:ilvl="0" w:tplc="6B3C3B8E">
      <w:start w:val="1"/>
      <w:numFmt w:val="lowerLetter"/>
      <w:lvlText w:val="(%1)"/>
      <w:lvlJc w:val="left"/>
      <w:pPr>
        <w:ind w:left="720" w:hanging="360"/>
      </w:pPr>
      <w:rPr>
        <w:rFonts w:ascii="Arial" w:eastAsia="Arial" w:hAnsi="Arial" w:cs="Arial" w:hint="default"/>
        <w:b w:val="0"/>
        <w:bCs w:val="0"/>
        <w:i w:val="0"/>
        <w:iCs w:val="0"/>
        <w:color w:val="4D4D4D"/>
        <w:spacing w:val="0"/>
        <w:w w:val="100"/>
        <w:sz w:val="18"/>
        <w:szCs w:val="18"/>
        <w:lang w:val="en-US" w:eastAsia="en-US" w:bidi="ar-SA"/>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2B6E9A"/>
    <w:multiLevelType w:val="hybridMultilevel"/>
    <w:tmpl w:val="AC5272CC"/>
    <w:lvl w:ilvl="0" w:tplc="FEA6C046">
      <w:start w:val="1"/>
      <w:numFmt w:val="bullet"/>
      <w:pStyle w:val="Commentary-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751"/>
        </w:tabs>
        <w:ind w:left="751"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F698F"/>
    <w:multiLevelType w:val="multilevel"/>
    <w:tmpl w:val="3A2AD76C"/>
    <w:lvl w:ilvl="0">
      <w:start w:val="3"/>
      <w:numFmt w:val="decimal"/>
      <w:lvlText w:val="%1."/>
      <w:lvlJc w:val="left"/>
      <w:pPr>
        <w:ind w:left="2062" w:hanging="360"/>
      </w:pPr>
      <w:rPr>
        <w:rFonts w:hint="default"/>
        <w:b/>
      </w:rPr>
    </w:lvl>
    <w:lvl w:ilvl="1">
      <w:start w:val="1"/>
      <w:numFmt w:val="decimal"/>
      <w:isLgl/>
      <w:lvlText w:val="%1.%2"/>
      <w:lvlJc w:val="left"/>
      <w:pPr>
        <w:ind w:left="1800" w:hanging="720"/>
      </w:pPr>
      <w:rPr>
        <w:rFonts w:hint="default"/>
        <w:b/>
      </w:rPr>
    </w:lvl>
    <w:lvl w:ilvl="2">
      <w:start w:val="2"/>
      <w:numFmt w:val="decimal"/>
      <w:isLgl/>
      <w:lvlText w:val="%1.%2.%3"/>
      <w:lvlJc w:val="left"/>
      <w:pPr>
        <w:ind w:left="3491" w:hanging="1080"/>
      </w:pPr>
      <w:rPr>
        <w:rFonts w:hint="default"/>
        <w:b/>
        <w:i w:val="0"/>
        <w:iCs w:val="0"/>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4320" w:hanging="1800"/>
      </w:pPr>
      <w:rPr>
        <w:rFonts w:hint="default"/>
        <w:b/>
      </w:rPr>
    </w:lvl>
    <w:lvl w:ilvl="6">
      <w:start w:val="1"/>
      <w:numFmt w:val="decimal"/>
      <w:isLgl/>
      <w:lvlText w:val="%1.%2.%3.%4.%5.%6.%7"/>
      <w:lvlJc w:val="left"/>
      <w:pPr>
        <w:ind w:left="5040" w:hanging="2160"/>
      </w:pPr>
      <w:rPr>
        <w:rFonts w:hint="default"/>
        <w:b/>
      </w:rPr>
    </w:lvl>
    <w:lvl w:ilvl="7">
      <w:start w:val="1"/>
      <w:numFmt w:val="decimal"/>
      <w:isLgl/>
      <w:lvlText w:val="%1.%2.%3.%4.%5.%6.%7.%8"/>
      <w:lvlJc w:val="left"/>
      <w:pPr>
        <w:ind w:left="5760" w:hanging="2520"/>
      </w:pPr>
      <w:rPr>
        <w:rFonts w:hint="default"/>
        <w:b/>
      </w:rPr>
    </w:lvl>
    <w:lvl w:ilvl="8">
      <w:start w:val="1"/>
      <w:numFmt w:val="decimal"/>
      <w:isLgl/>
      <w:lvlText w:val="%1.%2.%3.%4.%5.%6.%7.%8.%9"/>
      <w:lvlJc w:val="left"/>
      <w:pPr>
        <w:ind w:left="6120" w:hanging="2520"/>
      </w:pPr>
      <w:rPr>
        <w:rFonts w:hint="default"/>
        <w:b/>
      </w:rPr>
    </w:lvl>
  </w:abstractNum>
  <w:abstractNum w:abstractNumId="20"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4F7B59F4"/>
    <w:multiLevelType w:val="multilevel"/>
    <w:tmpl w:val="FFCE285A"/>
    <w:lvl w:ilvl="0">
      <w:start w:val="3"/>
      <w:numFmt w:val="decimal"/>
      <w:lvlText w:val="%1."/>
      <w:lvlJc w:val="left"/>
      <w:pPr>
        <w:ind w:left="2062" w:hanging="360"/>
      </w:pPr>
      <w:rPr>
        <w:rFonts w:hint="default"/>
        <w:b/>
      </w:rPr>
    </w:lvl>
    <w:lvl w:ilvl="1">
      <w:start w:val="2"/>
      <w:numFmt w:val="decimal"/>
      <w:isLgl/>
      <w:lvlText w:val="%1.%2"/>
      <w:lvlJc w:val="left"/>
      <w:pPr>
        <w:ind w:left="1800" w:hanging="720"/>
      </w:pPr>
      <w:rPr>
        <w:rFonts w:hint="default"/>
        <w:b/>
      </w:rPr>
    </w:lvl>
    <w:lvl w:ilvl="2">
      <w:start w:val="1"/>
      <w:numFmt w:val="decimal"/>
      <w:isLgl/>
      <w:lvlText w:val="%1.%2.%3"/>
      <w:lvlJc w:val="left"/>
      <w:pPr>
        <w:ind w:left="3491" w:hanging="1080"/>
      </w:pPr>
      <w:rPr>
        <w:rFonts w:hint="default"/>
        <w:b/>
        <w:i w:val="0"/>
        <w:iCs w:val="0"/>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4320" w:hanging="1800"/>
      </w:pPr>
      <w:rPr>
        <w:rFonts w:hint="default"/>
        <w:b/>
      </w:rPr>
    </w:lvl>
    <w:lvl w:ilvl="6">
      <w:start w:val="1"/>
      <w:numFmt w:val="decimal"/>
      <w:isLgl/>
      <w:lvlText w:val="%1.%2.%3.%4.%5.%6.%7"/>
      <w:lvlJc w:val="left"/>
      <w:pPr>
        <w:ind w:left="5040" w:hanging="2160"/>
      </w:pPr>
      <w:rPr>
        <w:rFonts w:hint="default"/>
        <w:b/>
      </w:rPr>
    </w:lvl>
    <w:lvl w:ilvl="7">
      <w:start w:val="1"/>
      <w:numFmt w:val="decimal"/>
      <w:isLgl/>
      <w:lvlText w:val="%1.%2.%3.%4.%5.%6.%7.%8"/>
      <w:lvlJc w:val="left"/>
      <w:pPr>
        <w:ind w:left="5760" w:hanging="2520"/>
      </w:pPr>
      <w:rPr>
        <w:rFonts w:hint="default"/>
        <w:b/>
      </w:rPr>
    </w:lvl>
    <w:lvl w:ilvl="8">
      <w:start w:val="1"/>
      <w:numFmt w:val="decimal"/>
      <w:isLgl/>
      <w:lvlText w:val="%1.%2.%3.%4.%5.%6.%7.%8.%9"/>
      <w:lvlJc w:val="left"/>
      <w:pPr>
        <w:ind w:left="6120" w:hanging="2520"/>
      </w:pPr>
      <w:rPr>
        <w:rFonts w:hint="default"/>
        <w:b/>
      </w:rPr>
    </w:lvl>
  </w:abstractNum>
  <w:abstractNum w:abstractNumId="22" w15:restartNumberingAfterBreak="0">
    <w:nsid w:val="51172BE5"/>
    <w:multiLevelType w:val="hybridMultilevel"/>
    <w:tmpl w:val="33FE0CCC"/>
    <w:lvl w:ilvl="0" w:tplc="155CBD5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5A3C68"/>
    <w:multiLevelType w:val="hybridMultilevel"/>
    <w:tmpl w:val="49FEF26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567D3FC1"/>
    <w:multiLevelType w:val="hybridMultilevel"/>
    <w:tmpl w:val="6C7893FA"/>
    <w:lvl w:ilvl="0" w:tplc="8C284F4C">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7" w15:restartNumberingAfterBreak="0">
    <w:nsid w:val="5FE361A8"/>
    <w:multiLevelType w:val="hybridMultilevel"/>
    <w:tmpl w:val="9A923E62"/>
    <w:lvl w:ilvl="0" w:tplc="E96C8AFE">
      <w:start w:val="1"/>
      <w:numFmt w:val="lowerRoman"/>
      <w:pStyle w:val="NotesNumber"/>
      <w:lvlText w:val="(%1)"/>
      <w:lvlJc w:val="left"/>
      <w:pPr>
        <w:tabs>
          <w:tab w:val="num" w:pos="1428"/>
        </w:tabs>
        <w:ind w:left="708" w:firstLine="0"/>
      </w:pPr>
      <w:rPr>
        <w:rFonts w:hint="default"/>
      </w:rPr>
    </w:lvl>
    <w:lvl w:ilvl="1" w:tplc="04090019">
      <w:start w:val="1"/>
      <w:numFmt w:val="lowerLetter"/>
      <w:lvlText w:val="%2."/>
      <w:lvlJc w:val="left"/>
      <w:pPr>
        <w:tabs>
          <w:tab w:val="num" w:pos="1004"/>
        </w:tabs>
        <w:ind w:left="1004" w:hanging="360"/>
      </w:pPr>
    </w:lvl>
    <w:lvl w:ilvl="2" w:tplc="0409001B">
      <w:start w:val="1"/>
      <w:numFmt w:val="lowerRoman"/>
      <w:lvlText w:val="%3."/>
      <w:lvlJc w:val="right"/>
      <w:pPr>
        <w:tabs>
          <w:tab w:val="num" w:pos="1724"/>
        </w:tabs>
        <w:ind w:left="1724" w:hanging="180"/>
      </w:pPr>
    </w:lvl>
    <w:lvl w:ilvl="3" w:tplc="0409000F" w:tentative="1">
      <w:start w:val="1"/>
      <w:numFmt w:val="decimal"/>
      <w:lvlText w:val="%4."/>
      <w:lvlJc w:val="left"/>
      <w:pPr>
        <w:tabs>
          <w:tab w:val="num" w:pos="2444"/>
        </w:tabs>
        <w:ind w:left="2444" w:hanging="360"/>
      </w:pPr>
    </w:lvl>
    <w:lvl w:ilvl="4" w:tplc="04090019" w:tentative="1">
      <w:start w:val="1"/>
      <w:numFmt w:val="lowerLetter"/>
      <w:lvlText w:val="%5."/>
      <w:lvlJc w:val="left"/>
      <w:pPr>
        <w:tabs>
          <w:tab w:val="num" w:pos="3164"/>
        </w:tabs>
        <w:ind w:left="3164" w:hanging="360"/>
      </w:pPr>
    </w:lvl>
    <w:lvl w:ilvl="5" w:tplc="0409001B" w:tentative="1">
      <w:start w:val="1"/>
      <w:numFmt w:val="lowerRoman"/>
      <w:lvlText w:val="%6."/>
      <w:lvlJc w:val="right"/>
      <w:pPr>
        <w:tabs>
          <w:tab w:val="num" w:pos="3884"/>
        </w:tabs>
        <w:ind w:left="3884" w:hanging="180"/>
      </w:pPr>
    </w:lvl>
    <w:lvl w:ilvl="6" w:tplc="0409000F" w:tentative="1">
      <w:start w:val="1"/>
      <w:numFmt w:val="decimal"/>
      <w:lvlText w:val="%7."/>
      <w:lvlJc w:val="left"/>
      <w:pPr>
        <w:tabs>
          <w:tab w:val="num" w:pos="4604"/>
        </w:tabs>
        <w:ind w:left="4604" w:hanging="360"/>
      </w:pPr>
    </w:lvl>
    <w:lvl w:ilvl="7" w:tplc="04090019" w:tentative="1">
      <w:start w:val="1"/>
      <w:numFmt w:val="lowerLetter"/>
      <w:lvlText w:val="%8."/>
      <w:lvlJc w:val="left"/>
      <w:pPr>
        <w:tabs>
          <w:tab w:val="num" w:pos="5324"/>
        </w:tabs>
        <w:ind w:left="5324" w:hanging="360"/>
      </w:pPr>
    </w:lvl>
    <w:lvl w:ilvl="8" w:tplc="0409001B" w:tentative="1">
      <w:start w:val="1"/>
      <w:numFmt w:val="lowerRoman"/>
      <w:lvlText w:val="%9."/>
      <w:lvlJc w:val="right"/>
      <w:pPr>
        <w:tabs>
          <w:tab w:val="num" w:pos="6044"/>
        </w:tabs>
        <w:ind w:left="6044" w:hanging="180"/>
      </w:pPr>
    </w:lvl>
  </w:abstractNum>
  <w:abstractNum w:abstractNumId="28" w15:restartNumberingAfterBreak="0">
    <w:nsid w:val="60956E5A"/>
    <w:multiLevelType w:val="hybridMultilevel"/>
    <w:tmpl w:val="7DEADCB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C83E12"/>
    <w:multiLevelType w:val="hybridMultilevel"/>
    <w:tmpl w:val="E4DC594E"/>
    <w:lvl w:ilvl="0" w:tplc="0C090017">
      <w:start w:val="1"/>
      <w:numFmt w:val="lowerLetter"/>
      <w:lvlText w:val="%1)"/>
      <w:lvlJc w:val="left"/>
      <w:pPr>
        <w:ind w:left="720" w:hanging="360"/>
      </w:pPr>
    </w:lvl>
    <w:lvl w:ilvl="1" w:tplc="0C090017">
      <w:start w:val="1"/>
      <w:numFmt w:val="lowerLetter"/>
      <w:lvlText w:val="%2)"/>
      <w:lvlJc w:val="left"/>
      <w:pPr>
        <w:ind w:left="72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BF30EE"/>
    <w:multiLevelType w:val="multilevel"/>
    <w:tmpl w:val="6D0851F4"/>
    <w:lvl w:ilvl="0">
      <w:start w:val="3"/>
      <w:numFmt w:val="decimal"/>
      <w:lvlText w:val="%1."/>
      <w:lvlJc w:val="left"/>
      <w:pPr>
        <w:ind w:left="2062" w:hanging="360"/>
      </w:pPr>
      <w:rPr>
        <w:rFonts w:hint="default"/>
        <w:b/>
      </w:rPr>
    </w:lvl>
    <w:lvl w:ilvl="1">
      <w:start w:val="3"/>
      <w:numFmt w:val="decimal"/>
      <w:isLgl/>
      <w:lvlText w:val="%1.%2"/>
      <w:lvlJc w:val="left"/>
      <w:pPr>
        <w:ind w:left="1800" w:hanging="720"/>
      </w:pPr>
      <w:rPr>
        <w:rFonts w:hint="default"/>
        <w:b/>
      </w:rPr>
    </w:lvl>
    <w:lvl w:ilvl="2">
      <w:start w:val="1"/>
      <w:numFmt w:val="decimal"/>
      <w:isLgl/>
      <w:lvlText w:val="%1.%2.%3"/>
      <w:lvlJc w:val="left"/>
      <w:pPr>
        <w:ind w:left="3491" w:hanging="1080"/>
      </w:pPr>
      <w:rPr>
        <w:rFonts w:hint="default"/>
        <w:b/>
        <w:i w:val="0"/>
        <w:iCs w:val="0"/>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4320" w:hanging="1800"/>
      </w:pPr>
      <w:rPr>
        <w:rFonts w:hint="default"/>
        <w:b/>
      </w:rPr>
    </w:lvl>
    <w:lvl w:ilvl="6">
      <w:start w:val="1"/>
      <w:numFmt w:val="decimal"/>
      <w:isLgl/>
      <w:lvlText w:val="%1.%2.%3.%4.%5.%6.%7"/>
      <w:lvlJc w:val="left"/>
      <w:pPr>
        <w:ind w:left="5040" w:hanging="2160"/>
      </w:pPr>
      <w:rPr>
        <w:rFonts w:hint="default"/>
        <w:b/>
      </w:rPr>
    </w:lvl>
    <w:lvl w:ilvl="7">
      <w:start w:val="1"/>
      <w:numFmt w:val="decimal"/>
      <w:isLgl/>
      <w:lvlText w:val="%1.%2.%3.%4.%5.%6.%7.%8"/>
      <w:lvlJc w:val="left"/>
      <w:pPr>
        <w:ind w:left="5760" w:hanging="2520"/>
      </w:pPr>
      <w:rPr>
        <w:rFonts w:hint="default"/>
        <w:b/>
      </w:rPr>
    </w:lvl>
    <w:lvl w:ilvl="8">
      <w:start w:val="1"/>
      <w:numFmt w:val="decimal"/>
      <w:isLgl/>
      <w:lvlText w:val="%1.%2.%3.%4.%5.%6.%7.%8.%9"/>
      <w:lvlJc w:val="left"/>
      <w:pPr>
        <w:ind w:left="6120" w:hanging="2520"/>
      </w:pPr>
      <w:rPr>
        <w:rFonts w:hint="default"/>
        <w:b/>
      </w:rPr>
    </w:lvl>
  </w:abstractNum>
  <w:abstractNum w:abstractNumId="31"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211"/>
        </w:tabs>
        <w:ind w:left="1211"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8A70FD4"/>
    <w:multiLevelType w:val="hybridMultilevel"/>
    <w:tmpl w:val="7F124400"/>
    <w:lvl w:ilvl="0" w:tplc="0C090017">
      <w:start w:val="1"/>
      <w:numFmt w:val="lowerLetter"/>
      <w:lvlText w:val="%1)"/>
      <w:lvlJc w:val="left"/>
      <w:pPr>
        <w:ind w:left="720" w:hanging="360"/>
      </w:pPr>
    </w:lvl>
    <w:lvl w:ilvl="1" w:tplc="0C090017">
      <w:start w:val="1"/>
      <w:numFmt w:val="lowerLetter"/>
      <w:lvlText w:val="%2)"/>
      <w:lvlJc w:val="left"/>
      <w:pPr>
        <w:ind w:left="72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6D1F5C"/>
    <w:multiLevelType w:val="multilevel"/>
    <w:tmpl w:val="96AA910C"/>
    <w:lvl w:ilvl="0">
      <w:start w:val="3"/>
      <w:numFmt w:val="decimal"/>
      <w:lvlText w:val="%1."/>
      <w:lvlJc w:val="left"/>
      <w:pPr>
        <w:ind w:left="2062" w:hanging="360"/>
      </w:pPr>
      <w:rPr>
        <w:rFonts w:hint="default"/>
        <w:b/>
      </w:rPr>
    </w:lvl>
    <w:lvl w:ilvl="1">
      <w:start w:val="1"/>
      <w:numFmt w:val="decimal"/>
      <w:isLgl/>
      <w:lvlText w:val="%1.%2"/>
      <w:lvlJc w:val="left"/>
      <w:pPr>
        <w:ind w:left="1800" w:hanging="720"/>
      </w:pPr>
      <w:rPr>
        <w:rFonts w:hint="default"/>
        <w:b/>
      </w:rPr>
    </w:lvl>
    <w:lvl w:ilvl="2">
      <w:start w:val="1"/>
      <w:numFmt w:val="decimal"/>
      <w:isLgl/>
      <w:lvlText w:val="%1.%2.%3"/>
      <w:lvlJc w:val="left"/>
      <w:pPr>
        <w:ind w:left="3491" w:hanging="1080"/>
      </w:pPr>
      <w:rPr>
        <w:rFonts w:hint="default"/>
        <w:b/>
        <w:i w:val="0"/>
        <w:iCs w:val="0"/>
      </w:rPr>
    </w:lvl>
    <w:lvl w:ilvl="3">
      <w:start w:val="1"/>
      <w:numFmt w:val="decimal"/>
      <w:isLgl/>
      <w:lvlText w:val="%1.%2.%3.%4"/>
      <w:lvlJc w:val="left"/>
      <w:pPr>
        <w:ind w:left="2880" w:hanging="1080"/>
      </w:pPr>
      <w:rPr>
        <w:rFonts w:hint="default"/>
        <w:b/>
      </w:rPr>
    </w:lvl>
    <w:lvl w:ilvl="4">
      <w:start w:val="1"/>
      <w:numFmt w:val="decimal"/>
      <w:isLgl/>
      <w:lvlText w:val="%1.%2.%3.%4.%5"/>
      <w:lvlJc w:val="left"/>
      <w:pPr>
        <w:ind w:left="3600" w:hanging="1440"/>
      </w:pPr>
      <w:rPr>
        <w:rFonts w:hint="default"/>
        <w:b/>
      </w:rPr>
    </w:lvl>
    <w:lvl w:ilvl="5">
      <w:start w:val="1"/>
      <w:numFmt w:val="decimal"/>
      <w:isLgl/>
      <w:lvlText w:val="%1.%2.%3.%4.%5.%6"/>
      <w:lvlJc w:val="left"/>
      <w:pPr>
        <w:ind w:left="4320" w:hanging="1800"/>
      </w:pPr>
      <w:rPr>
        <w:rFonts w:hint="default"/>
        <w:b/>
      </w:rPr>
    </w:lvl>
    <w:lvl w:ilvl="6">
      <w:start w:val="1"/>
      <w:numFmt w:val="decimal"/>
      <w:isLgl/>
      <w:lvlText w:val="%1.%2.%3.%4.%5.%6.%7"/>
      <w:lvlJc w:val="left"/>
      <w:pPr>
        <w:ind w:left="5040" w:hanging="2160"/>
      </w:pPr>
      <w:rPr>
        <w:rFonts w:hint="default"/>
        <w:b/>
      </w:rPr>
    </w:lvl>
    <w:lvl w:ilvl="7">
      <w:start w:val="1"/>
      <w:numFmt w:val="decimal"/>
      <w:isLgl/>
      <w:lvlText w:val="%1.%2.%3.%4.%5.%6.%7.%8"/>
      <w:lvlJc w:val="left"/>
      <w:pPr>
        <w:ind w:left="5760" w:hanging="2520"/>
      </w:pPr>
      <w:rPr>
        <w:rFonts w:hint="default"/>
        <w:b/>
      </w:rPr>
    </w:lvl>
    <w:lvl w:ilvl="8">
      <w:start w:val="1"/>
      <w:numFmt w:val="decimal"/>
      <w:isLgl/>
      <w:lvlText w:val="%1.%2.%3.%4.%5.%6.%7.%8.%9"/>
      <w:lvlJc w:val="left"/>
      <w:pPr>
        <w:ind w:left="6120" w:hanging="2520"/>
      </w:pPr>
      <w:rPr>
        <w:rFonts w:hint="default"/>
        <w:b/>
      </w:rPr>
    </w:lvl>
  </w:abstractNum>
  <w:abstractNum w:abstractNumId="34" w15:restartNumberingAfterBreak="0">
    <w:nsid w:val="6E0458F2"/>
    <w:multiLevelType w:val="hybridMultilevel"/>
    <w:tmpl w:val="BA92F092"/>
    <w:lvl w:ilvl="0" w:tplc="01E2AF5E">
      <w:start w:val="1"/>
      <w:numFmt w:val="decimal"/>
      <w:pStyle w:val="Heading3"/>
      <w:lvlText w:val="1.1.%1"/>
      <w:lvlJc w:val="right"/>
      <w:pPr>
        <w:ind w:left="720" w:hanging="360"/>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D968A4"/>
    <w:multiLevelType w:val="hybridMultilevel"/>
    <w:tmpl w:val="4CB4ECA2"/>
    <w:lvl w:ilvl="0" w:tplc="6FEC0912">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D30A25"/>
    <w:multiLevelType w:val="hybridMultilevel"/>
    <w:tmpl w:val="6F4C4C38"/>
    <w:lvl w:ilvl="0" w:tplc="4C00FB2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79ED4AFB"/>
    <w:multiLevelType w:val="hybridMultilevel"/>
    <w:tmpl w:val="9C4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2F16E8"/>
    <w:multiLevelType w:val="hybridMultilevel"/>
    <w:tmpl w:val="DE50335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43400E"/>
    <w:multiLevelType w:val="multilevel"/>
    <w:tmpl w:val="0420AAE8"/>
    <w:lvl w:ilvl="0">
      <w:start w:val="3"/>
      <w:numFmt w:val="decimal"/>
      <w:lvlText w:val="%1"/>
      <w:lvlJc w:val="left"/>
      <w:pPr>
        <w:ind w:left="672" w:hanging="672"/>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8E2DE2"/>
    <w:multiLevelType w:val="hybridMultilevel"/>
    <w:tmpl w:val="C7DA691A"/>
    <w:lvl w:ilvl="0" w:tplc="7146F45A">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num w:numId="1" w16cid:durableId="1889872665">
    <w:abstractNumId w:val="31"/>
  </w:num>
  <w:num w:numId="2" w16cid:durableId="736057363">
    <w:abstractNumId w:val="26"/>
  </w:num>
  <w:num w:numId="3" w16cid:durableId="1859925289">
    <w:abstractNumId w:val="20"/>
  </w:num>
  <w:num w:numId="4" w16cid:durableId="405801933">
    <w:abstractNumId w:val="7"/>
  </w:num>
  <w:num w:numId="5" w16cid:durableId="602685047">
    <w:abstractNumId w:val="23"/>
  </w:num>
  <w:num w:numId="6" w16cid:durableId="1057976227">
    <w:abstractNumId w:val="0"/>
  </w:num>
  <w:num w:numId="7" w16cid:durableId="1914927807">
    <w:abstractNumId w:val="34"/>
  </w:num>
  <w:num w:numId="8" w16cid:durableId="1179857927">
    <w:abstractNumId w:val="8"/>
  </w:num>
  <w:num w:numId="9" w16cid:durableId="629632664">
    <w:abstractNumId w:val="11"/>
  </w:num>
  <w:num w:numId="10" w16cid:durableId="1980109469">
    <w:abstractNumId w:val="18"/>
  </w:num>
  <w:num w:numId="11" w16cid:durableId="260191099">
    <w:abstractNumId w:val="27"/>
  </w:num>
  <w:num w:numId="12" w16cid:durableId="308828496">
    <w:abstractNumId w:val="10"/>
  </w:num>
  <w:num w:numId="13" w16cid:durableId="1846556357">
    <w:abstractNumId w:val="24"/>
  </w:num>
  <w:num w:numId="14" w16cid:durableId="188370808">
    <w:abstractNumId w:val="25"/>
  </w:num>
  <w:num w:numId="15" w16cid:durableId="1549106344">
    <w:abstractNumId w:val="4"/>
  </w:num>
  <w:num w:numId="16" w16cid:durableId="459425617">
    <w:abstractNumId w:val="39"/>
  </w:num>
  <w:num w:numId="17" w16cid:durableId="1250890487">
    <w:abstractNumId w:val="33"/>
  </w:num>
  <w:num w:numId="18" w16cid:durableId="1020350491">
    <w:abstractNumId w:val="21"/>
  </w:num>
  <w:num w:numId="19" w16cid:durableId="139033434">
    <w:abstractNumId w:val="2"/>
  </w:num>
  <w:num w:numId="20" w16cid:durableId="1940478956">
    <w:abstractNumId w:val="16"/>
  </w:num>
  <w:num w:numId="21" w16cid:durableId="946087353">
    <w:abstractNumId w:val="30"/>
  </w:num>
  <w:num w:numId="22" w16cid:durableId="1066997053">
    <w:abstractNumId w:val="22"/>
  </w:num>
  <w:num w:numId="23" w16cid:durableId="1663313663">
    <w:abstractNumId w:val="5"/>
  </w:num>
  <w:num w:numId="24" w16cid:durableId="253054019">
    <w:abstractNumId w:val="12"/>
  </w:num>
  <w:num w:numId="25" w16cid:durableId="1355427090">
    <w:abstractNumId w:val="40"/>
  </w:num>
  <w:num w:numId="26" w16cid:durableId="52895459">
    <w:abstractNumId w:val="36"/>
  </w:num>
  <w:num w:numId="27" w16cid:durableId="307630931">
    <w:abstractNumId w:val="37"/>
  </w:num>
  <w:num w:numId="28" w16cid:durableId="2010868034">
    <w:abstractNumId w:val="9"/>
  </w:num>
  <w:num w:numId="29" w16cid:durableId="627399210">
    <w:abstractNumId w:val="17"/>
  </w:num>
  <w:num w:numId="30" w16cid:durableId="431753532">
    <w:abstractNumId w:val="35"/>
  </w:num>
  <w:num w:numId="31" w16cid:durableId="784350783">
    <w:abstractNumId w:val="15"/>
  </w:num>
  <w:num w:numId="32" w16cid:durableId="813839839">
    <w:abstractNumId w:val="28"/>
  </w:num>
  <w:num w:numId="33" w16cid:durableId="1936942343">
    <w:abstractNumId w:val="38"/>
  </w:num>
  <w:num w:numId="34" w16cid:durableId="276763860">
    <w:abstractNumId w:val="13"/>
  </w:num>
  <w:num w:numId="35" w16cid:durableId="1063599296">
    <w:abstractNumId w:val="19"/>
  </w:num>
  <w:num w:numId="36" w16cid:durableId="887839082">
    <w:abstractNumId w:val="14"/>
  </w:num>
  <w:num w:numId="37" w16cid:durableId="2078093474">
    <w:abstractNumId w:val="32"/>
  </w:num>
  <w:num w:numId="38" w16cid:durableId="2141875510">
    <w:abstractNumId w:val="1"/>
  </w:num>
  <w:num w:numId="39" w16cid:durableId="1177621604">
    <w:abstractNumId w:val="34"/>
  </w:num>
  <w:num w:numId="40" w16cid:durableId="2044866132">
    <w:abstractNumId w:val="3"/>
  </w:num>
  <w:num w:numId="41" w16cid:durableId="240870869">
    <w:abstractNumId w:val="29"/>
  </w:num>
  <w:num w:numId="42" w16cid:durableId="1532256910">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94"/>
    <w:rsid w:val="000016B9"/>
    <w:rsid w:val="00001E92"/>
    <w:rsid w:val="0000540D"/>
    <w:rsid w:val="0000579D"/>
    <w:rsid w:val="000068D5"/>
    <w:rsid w:val="000074AD"/>
    <w:rsid w:val="000077CF"/>
    <w:rsid w:val="00022A1D"/>
    <w:rsid w:val="00027819"/>
    <w:rsid w:val="00030790"/>
    <w:rsid w:val="000308DE"/>
    <w:rsid w:val="000308EC"/>
    <w:rsid w:val="00030CC1"/>
    <w:rsid w:val="00031343"/>
    <w:rsid w:val="00034546"/>
    <w:rsid w:val="00034D25"/>
    <w:rsid w:val="000350DF"/>
    <w:rsid w:val="000362BF"/>
    <w:rsid w:val="00036B92"/>
    <w:rsid w:val="000419C1"/>
    <w:rsid w:val="00043B50"/>
    <w:rsid w:val="000446A5"/>
    <w:rsid w:val="0005170A"/>
    <w:rsid w:val="0005196D"/>
    <w:rsid w:val="000526FF"/>
    <w:rsid w:val="00054BAA"/>
    <w:rsid w:val="0005585A"/>
    <w:rsid w:val="00056F66"/>
    <w:rsid w:val="000607A6"/>
    <w:rsid w:val="00061F6B"/>
    <w:rsid w:val="0006442E"/>
    <w:rsid w:val="000650AF"/>
    <w:rsid w:val="00065CEA"/>
    <w:rsid w:val="00067597"/>
    <w:rsid w:val="00070067"/>
    <w:rsid w:val="000715C4"/>
    <w:rsid w:val="0007174D"/>
    <w:rsid w:val="00074450"/>
    <w:rsid w:val="0007453E"/>
    <w:rsid w:val="00076803"/>
    <w:rsid w:val="00077772"/>
    <w:rsid w:val="00077EC9"/>
    <w:rsid w:val="0008153D"/>
    <w:rsid w:val="00081893"/>
    <w:rsid w:val="00081934"/>
    <w:rsid w:val="00081A64"/>
    <w:rsid w:val="0008209D"/>
    <w:rsid w:val="000821F6"/>
    <w:rsid w:val="00082D36"/>
    <w:rsid w:val="00083ED8"/>
    <w:rsid w:val="00090A83"/>
    <w:rsid w:val="00090E32"/>
    <w:rsid w:val="00091DAE"/>
    <w:rsid w:val="000947FC"/>
    <w:rsid w:val="00095ECF"/>
    <w:rsid w:val="000960BB"/>
    <w:rsid w:val="00096B1A"/>
    <w:rsid w:val="000A0C92"/>
    <w:rsid w:val="000A15B3"/>
    <w:rsid w:val="000A2FFC"/>
    <w:rsid w:val="000A42EE"/>
    <w:rsid w:val="000A5D4D"/>
    <w:rsid w:val="000A6B63"/>
    <w:rsid w:val="000A76C3"/>
    <w:rsid w:val="000B0AB1"/>
    <w:rsid w:val="000B13CB"/>
    <w:rsid w:val="000B235E"/>
    <w:rsid w:val="000B42E2"/>
    <w:rsid w:val="000C21E4"/>
    <w:rsid w:val="000C3546"/>
    <w:rsid w:val="000C3F1E"/>
    <w:rsid w:val="000C5705"/>
    <w:rsid w:val="000C6C34"/>
    <w:rsid w:val="000C6FB6"/>
    <w:rsid w:val="000D5F0C"/>
    <w:rsid w:val="000D6CBD"/>
    <w:rsid w:val="000E5786"/>
    <w:rsid w:val="000F182C"/>
    <w:rsid w:val="000F5CCD"/>
    <w:rsid w:val="000F5D86"/>
    <w:rsid w:val="000F6963"/>
    <w:rsid w:val="00101766"/>
    <w:rsid w:val="00101F0C"/>
    <w:rsid w:val="00102D08"/>
    <w:rsid w:val="0011020F"/>
    <w:rsid w:val="0011392B"/>
    <w:rsid w:val="00113D54"/>
    <w:rsid w:val="00114047"/>
    <w:rsid w:val="0011582E"/>
    <w:rsid w:val="001165ED"/>
    <w:rsid w:val="0011798B"/>
    <w:rsid w:val="001242D3"/>
    <w:rsid w:val="00125BB4"/>
    <w:rsid w:val="00125F54"/>
    <w:rsid w:val="00127B38"/>
    <w:rsid w:val="0013020B"/>
    <w:rsid w:val="001302DE"/>
    <w:rsid w:val="00132E5A"/>
    <w:rsid w:val="001369CB"/>
    <w:rsid w:val="00136E25"/>
    <w:rsid w:val="00137FB9"/>
    <w:rsid w:val="001405B6"/>
    <w:rsid w:val="001451C4"/>
    <w:rsid w:val="00147708"/>
    <w:rsid w:val="0015010B"/>
    <w:rsid w:val="00150DAB"/>
    <w:rsid w:val="00152B65"/>
    <w:rsid w:val="00152EB7"/>
    <w:rsid w:val="00157F42"/>
    <w:rsid w:val="0016080C"/>
    <w:rsid w:val="001623DE"/>
    <w:rsid w:val="00162635"/>
    <w:rsid w:val="00167358"/>
    <w:rsid w:val="00171E30"/>
    <w:rsid w:val="00172A75"/>
    <w:rsid w:val="001732A0"/>
    <w:rsid w:val="0017396E"/>
    <w:rsid w:val="00175495"/>
    <w:rsid w:val="001760BE"/>
    <w:rsid w:val="00177117"/>
    <w:rsid w:val="00180055"/>
    <w:rsid w:val="00190F88"/>
    <w:rsid w:val="001912A2"/>
    <w:rsid w:val="00191560"/>
    <w:rsid w:val="001935DA"/>
    <w:rsid w:val="00193683"/>
    <w:rsid w:val="0019535A"/>
    <w:rsid w:val="00195FB8"/>
    <w:rsid w:val="00196497"/>
    <w:rsid w:val="001966FA"/>
    <w:rsid w:val="00196B42"/>
    <w:rsid w:val="00197666"/>
    <w:rsid w:val="00197A4A"/>
    <w:rsid w:val="001A0139"/>
    <w:rsid w:val="001A0956"/>
    <w:rsid w:val="001A39AD"/>
    <w:rsid w:val="001A3E5F"/>
    <w:rsid w:val="001A4497"/>
    <w:rsid w:val="001B20B8"/>
    <w:rsid w:val="001B22DE"/>
    <w:rsid w:val="001B4170"/>
    <w:rsid w:val="001B431A"/>
    <w:rsid w:val="001B7C43"/>
    <w:rsid w:val="001C1FF2"/>
    <w:rsid w:val="001C21E6"/>
    <w:rsid w:val="001C4442"/>
    <w:rsid w:val="001C6AE4"/>
    <w:rsid w:val="001D37DC"/>
    <w:rsid w:val="001D5A75"/>
    <w:rsid w:val="001D70CE"/>
    <w:rsid w:val="001D7944"/>
    <w:rsid w:val="001E2FF3"/>
    <w:rsid w:val="001E73DD"/>
    <w:rsid w:val="001E7690"/>
    <w:rsid w:val="001E76BA"/>
    <w:rsid w:val="001E7B4C"/>
    <w:rsid w:val="001F2D15"/>
    <w:rsid w:val="001F30A9"/>
    <w:rsid w:val="001F3413"/>
    <w:rsid w:val="001F41D6"/>
    <w:rsid w:val="001F4F31"/>
    <w:rsid w:val="001F6597"/>
    <w:rsid w:val="002009BA"/>
    <w:rsid w:val="0020321B"/>
    <w:rsid w:val="00203514"/>
    <w:rsid w:val="00203525"/>
    <w:rsid w:val="0020744C"/>
    <w:rsid w:val="00207B68"/>
    <w:rsid w:val="002110E8"/>
    <w:rsid w:val="0021123B"/>
    <w:rsid w:val="002113F9"/>
    <w:rsid w:val="0021327F"/>
    <w:rsid w:val="00214A8E"/>
    <w:rsid w:val="00215465"/>
    <w:rsid w:val="002169DC"/>
    <w:rsid w:val="00220FB0"/>
    <w:rsid w:val="002217A8"/>
    <w:rsid w:val="00221AFA"/>
    <w:rsid w:val="00221CE0"/>
    <w:rsid w:val="002233F8"/>
    <w:rsid w:val="002306CB"/>
    <w:rsid w:val="00232CA9"/>
    <w:rsid w:val="00235C78"/>
    <w:rsid w:val="002372BC"/>
    <w:rsid w:val="0024064A"/>
    <w:rsid w:val="002426AC"/>
    <w:rsid w:val="002467D9"/>
    <w:rsid w:val="00246AAC"/>
    <w:rsid w:val="002479CE"/>
    <w:rsid w:val="002504E2"/>
    <w:rsid w:val="00250E88"/>
    <w:rsid w:val="002528B1"/>
    <w:rsid w:val="00254269"/>
    <w:rsid w:val="00255F22"/>
    <w:rsid w:val="002568B1"/>
    <w:rsid w:val="0026278F"/>
    <w:rsid w:val="00263FFD"/>
    <w:rsid w:val="00270BC8"/>
    <w:rsid w:val="00272191"/>
    <w:rsid w:val="00272911"/>
    <w:rsid w:val="002730B4"/>
    <w:rsid w:val="00273E18"/>
    <w:rsid w:val="00276C60"/>
    <w:rsid w:val="00280E3B"/>
    <w:rsid w:val="002846D8"/>
    <w:rsid w:val="002851C3"/>
    <w:rsid w:val="00285F0D"/>
    <w:rsid w:val="00287E5D"/>
    <w:rsid w:val="00292D4F"/>
    <w:rsid w:val="00293133"/>
    <w:rsid w:val="00293855"/>
    <w:rsid w:val="0029668D"/>
    <w:rsid w:val="002A0832"/>
    <w:rsid w:val="002A093C"/>
    <w:rsid w:val="002A4DF9"/>
    <w:rsid w:val="002A5458"/>
    <w:rsid w:val="002A65B0"/>
    <w:rsid w:val="002B2DF4"/>
    <w:rsid w:val="002B305A"/>
    <w:rsid w:val="002B31F7"/>
    <w:rsid w:val="002B359A"/>
    <w:rsid w:val="002C2961"/>
    <w:rsid w:val="002C4ADC"/>
    <w:rsid w:val="002C4EF6"/>
    <w:rsid w:val="002C5825"/>
    <w:rsid w:val="002C5CC0"/>
    <w:rsid w:val="002C6B74"/>
    <w:rsid w:val="002D1661"/>
    <w:rsid w:val="002D24E0"/>
    <w:rsid w:val="002D2A91"/>
    <w:rsid w:val="002D33BC"/>
    <w:rsid w:val="002D35C5"/>
    <w:rsid w:val="002D6623"/>
    <w:rsid w:val="002D7AB8"/>
    <w:rsid w:val="002D7AE7"/>
    <w:rsid w:val="002E0821"/>
    <w:rsid w:val="002E10C5"/>
    <w:rsid w:val="002E132A"/>
    <w:rsid w:val="002E1BE6"/>
    <w:rsid w:val="002E258A"/>
    <w:rsid w:val="002E2B98"/>
    <w:rsid w:val="002E364F"/>
    <w:rsid w:val="002E63B7"/>
    <w:rsid w:val="002E7655"/>
    <w:rsid w:val="002F00C7"/>
    <w:rsid w:val="002F15CF"/>
    <w:rsid w:val="002F3300"/>
    <w:rsid w:val="002F339E"/>
    <w:rsid w:val="002F58DD"/>
    <w:rsid w:val="002F7CCE"/>
    <w:rsid w:val="003010B0"/>
    <w:rsid w:val="0030148D"/>
    <w:rsid w:val="003026B2"/>
    <w:rsid w:val="00304B2D"/>
    <w:rsid w:val="00306ACE"/>
    <w:rsid w:val="00311FE1"/>
    <w:rsid w:val="0031655F"/>
    <w:rsid w:val="00321A9F"/>
    <w:rsid w:val="003234D8"/>
    <w:rsid w:val="003238CE"/>
    <w:rsid w:val="00324F8B"/>
    <w:rsid w:val="00325E15"/>
    <w:rsid w:val="0032603F"/>
    <w:rsid w:val="0032731A"/>
    <w:rsid w:val="00327631"/>
    <w:rsid w:val="00330ABC"/>
    <w:rsid w:val="003329CC"/>
    <w:rsid w:val="00333BA8"/>
    <w:rsid w:val="00333FA4"/>
    <w:rsid w:val="003346C0"/>
    <w:rsid w:val="00334AA8"/>
    <w:rsid w:val="00335BBA"/>
    <w:rsid w:val="00337A1C"/>
    <w:rsid w:val="003409C1"/>
    <w:rsid w:val="00340BD0"/>
    <w:rsid w:val="00342547"/>
    <w:rsid w:val="003438FF"/>
    <w:rsid w:val="003439ED"/>
    <w:rsid w:val="00344169"/>
    <w:rsid w:val="00344952"/>
    <w:rsid w:val="00351982"/>
    <w:rsid w:val="003524AE"/>
    <w:rsid w:val="00353FB5"/>
    <w:rsid w:val="00354F6D"/>
    <w:rsid w:val="003600E3"/>
    <w:rsid w:val="00362844"/>
    <w:rsid w:val="003633F5"/>
    <w:rsid w:val="00372CE7"/>
    <w:rsid w:val="0037340A"/>
    <w:rsid w:val="00376A58"/>
    <w:rsid w:val="00376AA1"/>
    <w:rsid w:val="00377705"/>
    <w:rsid w:val="003826C2"/>
    <w:rsid w:val="00383651"/>
    <w:rsid w:val="00383E28"/>
    <w:rsid w:val="00383F9A"/>
    <w:rsid w:val="003849C2"/>
    <w:rsid w:val="00384AEA"/>
    <w:rsid w:val="003857D4"/>
    <w:rsid w:val="00385DF1"/>
    <w:rsid w:val="003929B8"/>
    <w:rsid w:val="003A04A9"/>
    <w:rsid w:val="003A0D59"/>
    <w:rsid w:val="003A352E"/>
    <w:rsid w:val="003A641C"/>
    <w:rsid w:val="003A6F39"/>
    <w:rsid w:val="003A7177"/>
    <w:rsid w:val="003B13F4"/>
    <w:rsid w:val="003B4644"/>
    <w:rsid w:val="003B610B"/>
    <w:rsid w:val="003B6E9B"/>
    <w:rsid w:val="003C33A9"/>
    <w:rsid w:val="003C3D34"/>
    <w:rsid w:val="003C41C3"/>
    <w:rsid w:val="003C58A9"/>
    <w:rsid w:val="003C6121"/>
    <w:rsid w:val="003D1E38"/>
    <w:rsid w:val="003D4DBC"/>
    <w:rsid w:val="003D6BEB"/>
    <w:rsid w:val="003D7F2D"/>
    <w:rsid w:val="003E14B6"/>
    <w:rsid w:val="003E1FF0"/>
    <w:rsid w:val="003E2A82"/>
    <w:rsid w:val="003E34DD"/>
    <w:rsid w:val="003E62B8"/>
    <w:rsid w:val="003E662B"/>
    <w:rsid w:val="003F08BC"/>
    <w:rsid w:val="003F23B2"/>
    <w:rsid w:val="0040190A"/>
    <w:rsid w:val="0040217A"/>
    <w:rsid w:val="00403603"/>
    <w:rsid w:val="00404316"/>
    <w:rsid w:val="00411A3D"/>
    <w:rsid w:val="00412BA9"/>
    <w:rsid w:val="00413D2C"/>
    <w:rsid w:val="00414295"/>
    <w:rsid w:val="00420A5B"/>
    <w:rsid w:val="00420F85"/>
    <w:rsid w:val="0042164B"/>
    <w:rsid w:val="0042252E"/>
    <w:rsid w:val="00425223"/>
    <w:rsid w:val="004264F0"/>
    <w:rsid w:val="00430C9D"/>
    <w:rsid w:val="00432D00"/>
    <w:rsid w:val="00433307"/>
    <w:rsid w:val="00433DDA"/>
    <w:rsid w:val="0043729D"/>
    <w:rsid w:val="00440D17"/>
    <w:rsid w:val="004411F1"/>
    <w:rsid w:val="00441DCA"/>
    <w:rsid w:val="004439BD"/>
    <w:rsid w:val="00443B9A"/>
    <w:rsid w:val="00444D3C"/>
    <w:rsid w:val="00446A2C"/>
    <w:rsid w:val="004477AA"/>
    <w:rsid w:val="004502A1"/>
    <w:rsid w:val="00450DD9"/>
    <w:rsid w:val="00451537"/>
    <w:rsid w:val="00452B15"/>
    <w:rsid w:val="00454987"/>
    <w:rsid w:val="00454F4E"/>
    <w:rsid w:val="00455421"/>
    <w:rsid w:val="004563B4"/>
    <w:rsid w:val="0046292F"/>
    <w:rsid w:val="00462EA4"/>
    <w:rsid w:val="00463447"/>
    <w:rsid w:val="00463968"/>
    <w:rsid w:val="00463B03"/>
    <w:rsid w:val="004640C9"/>
    <w:rsid w:val="00474450"/>
    <w:rsid w:val="004744F5"/>
    <w:rsid w:val="00476483"/>
    <w:rsid w:val="004811E8"/>
    <w:rsid w:val="0048135A"/>
    <w:rsid w:val="00481813"/>
    <w:rsid w:val="00481CE3"/>
    <w:rsid w:val="004820F0"/>
    <w:rsid w:val="00482763"/>
    <w:rsid w:val="00482E0B"/>
    <w:rsid w:val="004832B8"/>
    <w:rsid w:val="0048774F"/>
    <w:rsid w:val="0049216D"/>
    <w:rsid w:val="00496C0F"/>
    <w:rsid w:val="00496CD4"/>
    <w:rsid w:val="004A0783"/>
    <w:rsid w:val="004A2344"/>
    <w:rsid w:val="004A2E3B"/>
    <w:rsid w:val="004A3C16"/>
    <w:rsid w:val="004A728D"/>
    <w:rsid w:val="004A73C6"/>
    <w:rsid w:val="004A7A41"/>
    <w:rsid w:val="004B1D56"/>
    <w:rsid w:val="004B2554"/>
    <w:rsid w:val="004B4981"/>
    <w:rsid w:val="004B6B86"/>
    <w:rsid w:val="004C10AE"/>
    <w:rsid w:val="004C1925"/>
    <w:rsid w:val="004C41C6"/>
    <w:rsid w:val="004C593D"/>
    <w:rsid w:val="004C6D2D"/>
    <w:rsid w:val="004C745F"/>
    <w:rsid w:val="004D2CC8"/>
    <w:rsid w:val="004D2EBC"/>
    <w:rsid w:val="004D3EF7"/>
    <w:rsid w:val="004D44FD"/>
    <w:rsid w:val="004D6E65"/>
    <w:rsid w:val="004E245B"/>
    <w:rsid w:val="004E29E7"/>
    <w:rsid w:val="004E69B5"/>
    <w:rsid w:val="004F131E"/>
    <w:rsid w:val="004F1BB5"/>
    <w:rsid w:val="004F1E1B"/>
    <w:rsid w:val="004F1E62"/>
    <w:rsid w:val="004F2528"/>
    <w:rsid w:val="004F256F"/>
    <w:rsid w:val="004F3D98"/>
    <w:rsid w:val="004F571B"/>
    <w:rsid w:val="004F5B70"/>
    <w:rsid w:val="004F6201"/>
    <w:rsid w:val="004F74DA"/>
    <w:rsid w:val="004F7ADA"/>
    <w:rsid w:val="004F7CB7"/>
    <w:rsid w:val="00500830"/>
    <w:rsid w:val="005014D9"/>
    <w:rsid w:val="00503E7E"/>
    <w:rsid w:val="00503F7F"/>
    <w:rsid w:val="005054A1"/>
    <w:rsid w:val="00510FCE"/>
    <w:rsid w:val="005115E8"/>
    <w:rsid w:val="00512E77"/>
    <w:rsid w:val="00513DB1"/>
    <w:rsid w:val="00515609"/>
    <w:rsid w:val="00517AD9"/>
    <w:rsid w:val="005218F3"/>
    <w:rsid w:val="00526563"/>
    <w:rsid w:val="00526710"/>
    <w:rsid w:val="00527612"/>
    <w:rsid w:val="00527910"/>
    <w:rsid w:val="00531666"/>
    <w:rsid w:val="005335A2"/>
    <w:rsid w:val="00533A6C"/>
    <w:rsid w:val="005358E3"/>
    <w:rsid w:val="00536B43"/>
    <w:rsid w:val="0053763A"/>
    <w:rsid w:val="00537F69"/>
    <w:rsid w:val="005532EC"/>
    <w:rsid w:val="00553805"/>
    <w:rsid w:val="00554E4D"/>
    <w:rsid w:val="00555FB1"/>
    <w:rsid w:val="00562A8C"/>
    <w:rsid w:val="005638F1"/>
    <w:rsid w:val="00564BD2"/>
    <w:rsid w:val="005654E8"/>
    <w:rsid w:val="00567B61"/>
    <w:rsid w:val="00570409"/>
    <w:rsid w:val="00572596"/>
    <w:rsid w:val="00572D4E"/>
    <w:rsid w:val="005747F8"/>
    <w:rsid w:val="005756D7"/>
    <w:rsid w:val="00576518"/>
    <w:rsid w:val="00576862"/>
    <w:rsid w:val="00576BB3"/>
    <w:rsid w:val="00576D35"/>
    <w:rsid w:val="00577AA3"/>
    <w:rsid w:val="00582DB6"/>
    <w:rsid w:val="0058377A"/>
    <w:rsid w:val="00586AC8"/>
    <w:rsid w:val="00595665"/>
    <w:rsid w:val="00597D83"/>
    <w:rsid w:val="005A0681"/>
    <w:rsid w:val="005A1AFD"/>
    <w:rsid w:val="005A352E"/>
    <w:rsid w:val="005A3C8C"/>
    <w:rsid w:val="005A4AA1"/>
    <w:rsid w:val="005A5959"/>
    <w:rsid w:val="005A60DB"/>
    <w:rsid w:val="005A66C5"/>
    <w:rsid w:val="005B369E"/>
    <w:rsid w:val="005B3E1C"/>
    <w:rsid w:val="005B593F"/>
    <w:rsid w:val="005C32E0"/>
    <w:rsid w:val="005C54B5"/>
    <w:rsid w:val="005C56C2"/>
    <w:rsid w:val="005C72CC"/>
    <w:rsid w:val="005C7A52"/>
    <w:rsid w:val="005C7E99"/>
    <w:rsid w:val="005D1F71"/>
    <w:rsid w:val="005D24FA"/>
    <w:rsid w:val="005D5D9F"/>
    <w:rsid w:val="005D60D3"/>
    <w:rsid w:val="005D6B08"/>
    <w:rsid w:val="005E0D05"/>
    <w:rsid w:val="005E3E7A"/>
    <w:rsid w:val="005E5305"/>
    <w:rsid w:val="005E5FEC"/>
    <w:rsid w:val="005E720C"/>
    <w:rsid w:val="005E7B53"/>
    <w:rsid w:val="005E7CA0"/>
    <w:rsid w:val="005F1E88"/>
    <w:rsid w:val="005F34BF"/>
    <w:rsid w:val="005F520A"/>
    <w:rsid w:val="00600374"/>
    <w:rsid w:val="00600E91"/>
    <w:rsid w:val="00601C53"/>
    <w:rsid w:val="00602C36"/>
    <w:rsid w:val="006046C7"/>
    <w:rsid w:val="006046FF"/>
    <w:rsid w:val="00610F1B"/>
    <w:rsid w:val="00610F6E"/>
    <w:rsid w:val="006113C1"/>
    <w:rsid w:val="006117C8"/>
    <w:rsid w:val="00613185"/>
    <w:rsid w:val="00613F07"/>
    <w:rsid w:val="0062060D"/>
    <w:rsid w:val="00622565"/>
    <w:rsid w:val="00622BDA"/>
    <w:rsid w:val="006234AA"/>
    <w:rsid w:val="006245F7"/>
    <w:rsid w:val="00624E84"/>
    <w:rsid w:val="00625E31"/>
    <w:rsid w:val="00627FFC"/>
    <w:rsid w:val="0063036E"/>
    <w:rsid w:val="006319F9"/>
    <w:rsid w:val="00632F54"/>
    <w:rsid w:val="00633AF4"/>
    <w:rsid w:val="00635C80"/>
    <w:rsid w:val="00640DE9"/>
    <w:rsid w:val="006431FB"/>
    <w:rsid w:val="00645F61"/>
    <w:rsid w:val="00646714"/>
    <w:rsid w:val="006472EF"/>
    <w:rsid w:val="00650217"/>
    <w:rsid w:val="006515F5"/>
    <w:rsid w:val="006529DD"/>
    <w:rsid w:val="006537E9"/>
    <w:rsid w:val="00654DF7"/>
    <w:rsid w:val="006550A5"/>
    <w:rsid w:val="0065663C"/>
    <w:rsid w:val="006573E9"/>
    <w:rsid w:val="006610FF"/>
    <w:rsid w:val="00662A0C"/>
    <w:rsid w:val="006646CF"/>
    <w:rsid w:val="0066508C"/>
    <w:rsid w:val="00665B9F"/>
    <w:rsid w:val="006677C9"/>
    <w:rsid w:val="006701E2"/>
    <w:rsid w:val="00671846"/>
    <w:rsid w:val="00672EC3"/>
    <w:rsid w:val="0067525D"/>
    <w:rsid w:val="00676623"/>
    <w:rsid w:val="006779E6"/>
    <w:rsid w:val="00680C6F"/>
    <w:rsid w:val="00685229"/>
    <w:rsid w:val="006858D3"/>
    <w:rsid w:val="00685918"/>
    <w:rsid w:val="0068675E"/>
    <w:rsid w:val="006875BB"/>
    <w:rsid w:val="006926DC"/>
    <w:rsid w:val="00694621"/>
    <w:rsid w:val="0069624A"/>
    <w:rsid w:val="006A0D84"/>
    <w:rsid w:val="006A2843"/>
    <w:rsid w:val="006A5EA3"/>
    <w:rsid w:val="006A6360"/>
    <w:rsid w:val="006A7B38"/>
    <w:rsid w:val="006B4B44"/>
    <w:rsid w:val="006B5171"/>
    <w:rsid w:val="006B6D9B"/>
    <w:rsid w:val="006C1037"/>
    <w:rsid w:val="006C2224"/>
    <w:rsid w:val="006C4896"/>
    <w:rsid w:val="006D0B57"/>
    <w:rsid w:val="006D1CA1"/>
    <w:rsid w:val="006D2273"/>
    <w:rsid w:val="006D52C4"/>
    <w:rsid w:val="006D5CDC"/>
    <w:rsid w:val="006D6318"/>
    <w:rsid w:val="006D757D"/>
    <w:rsid w:val="006E1B7A"/>
    <w:rsid w:val="006E3448"/>
    <w:rsid w:val="006E70A3"/>
    <w:rsid w:val="006F0980"/>
    <w:rsid w:val="006F0A2F"/>
    <w:rsid w:val="006F0F58"/>
    <w:rsid w:val="006F5582"/>
    <w:rsid w:val="006F5FA4"/>
    <w:rsid w:val="006F60BE"/>
    <w:rsid w:val="006F622E"/>
    <w:rsid w:val="006F7698"/>
    <w:rsid w:val="006F7929"/>
    <w:rsid w:val="00700973"/>
    <w:rsid w:val="007017BB"/>
    <w:rsid w:val="007022A3"/>
    <w:rsid w:val="007028FD"/>
    <w:rsid w:val="007034F9"/>
    <w:rsid w:val="00715BBF"/>
    <w:rsid w:val="0071681E"/>
    <w:rsid w:val="007212BC"/>
    <w:rsid w:val="0072744A"/>
    <w:rsid w:val="007276E4"/>
    <w:rsid w:val="00727A25"/>
    <w:rsid w:val="0073089A"/>
    <w:rsid w:val="00730C58"/>
    <w:rsid w:val="00731AE2"/>
    <w:rsid w:val="00732F0D"/>
    <w:rsid w:val="00734E3B"/>
    <w:rsid w:val="00736250"/>
    <w:rsid w:val="00736438"/>
    <w:rsid w:val="00737D34"/>
    <w:rsid w:val="00737EFE"/>
    <w:rsid w:val="00741885"/>
    <w:rsid w:val="00742630"/>
    <w:rsid w:val="00743041"/>
    <w:rsid w:val="0074390E"/>
    <w:rsid w:val="00743BE5"/>
    <w:rsid w:val="00745758"/>
    <w:rsid w:val="007461E3"/>
    <w:rsid w:val="00752EAD"/>
    <w:rsid w:val="007544E6"/>
    <w:rsid w:val="007611D0"/>
    <w:rsid w:val="0076130E"/>
    <w:rsid w:val="00762C72"/>
    <w:rsid w:val="0076392F"/>
    <w:rsid w:val="00764CC8"/>
    <w:rsid w:val="007704AA"/>
    <w:rsid w:val="00770AA6"/>
    <w:rsid w:val="00770D11"/>
    <w:rsid w:val="007712A4"/>
    <w:rsid w:val="0077431F"/>
    <w:rsid w:val="00776841"/>
    <w:rsid w:val="00777666"/>
    <w:rsid w:val="0078083E"/>
    <w:rsid w:val="00780AAC"/>
    <w:rsid w:val="007903B1"/>
    <w:rsid w:val="0079069F"/>
    <w:rsid w:val="00790F13"/>
    <w:rsid w:val="00791BF4"/>
    <w:rsid w:val="00795954"/>
    <w:rsid w:val="007A1CF4"/>
    <w:rsid w:val="007A280C"/>
    <w:rsid w:val="007A40FA"/>
    <w:rsid w:val="007A6A50"/>
    <w:rsid w:val="007A6CAD"/>
    <w:rsid w:val="007A7ECB"/>
    <w:rsid w:val="007B1F32"/>
    <w:rsid w:val="007B248A"/>
    <w:rsid w:val="007B3A0E"/>
    <w:rsid w:val="007B40CC"/>
    <w:rsid w:val="007B4D93"/>
    <w:rsid w:val="007B6DC6"/>
    <w:rsid w:val="007C2836"/>
    <w:rsid w:val="007C6CBE"/>
    <w:rsid w:val="007C6F9D"/>
    <w:rsid w:val="007D0D11"/>
    <w:rsid w:val="007D0ED5"/>
    <w:rsid w:val="007D1FEC"/>
    <w:rsid w:val="007D26DC"/>
    <w:rsid w:val="007D5471"/>
    <w:rsid w:val="007D5985"/>
    <w:rsid w:val="007D649B"/>
    <w:rsid w:val="007D700E"/>
    <w:rsid w:val="007E7418"/>
    <w:rsid w:val="007E76A2"/>
    <w:rsid w:val="007F000B"/>
    <w:rsid w:val="007F094A"/>
    <w:rsid w:val="007F0ADE"/>
    <w:rsid w:val="007F11CA"/>
    <w:rsid w:val="007F2F73"/>
    <w:rsid w:val="00807008"/>
    <w:rsid w:val="00810221"/>
    <w:rsid w:val="00810457"/>
    <w:rsid w:val="00810F2E"/>
    <w:rsid w:val="00813744"/>
    <w:rsid w:val="008153D1"/>
    <w:rsid w:val="00815AAF"/>
    <w:rsid w:val="00817EC4"/>
    <w:rsid w:val="00820BCA"/>
    <w:rsid w:val="00821671"/>
    <w:rsid w:val="00825590"/>
    <w:rsid w:val="008266EE"/>
    <w:rsid w:val="0082682A"/>
    <w:rsid w:val="00826FDC"/>
    <w:rsid w:val="00832833"/>
    <w:rsid w:val="00832B4A"/>
    <w:rsid w:val="008353AC"/>
    <w:rsid w:val="008353FF"/>
    <w:rsid w:val="00840FBE"/>
    <w:rsid w:val="008423B9"/>
    <w:rsid w:val="00842C54"/>
    <w:rsid w:val="008459A9"/>
    <w:rsid w:val="008459DC"/>
    <w:rsid w:val="00851354"/>
    <w:rsid w:val="008517A1"/>
    <w:rsid w:val="00853A2B"/>
    <w:rsid w:val="008545F3"/>
    <w:rsid w:val="00856D37"/>
    <w:rsid w:val="00857AC5"/>
    <w:rsid w:val="0086011C"/>
    <w:rsid w:val="0086024E"/>
    <w:rsid w:val="00860677"/>
    <w:rsid w:val="00860B3E"/>
    <w:rsid w:val="00861253"/>
    <w:rsid w:val="00862219"/>
    <w:rsid w:val="00863D4F"/>
    <w:rsid w:val="0086439B"/>
    <w:rsid w:val="008705A4"/>
    <w:rsid w:val="00871EBE"/>
    <w:rsid w:val="0087531A"/>
    <w:rsid w:val="00875C35"/>
    <w:rsid w:val="0087736B"/>
    <w:rsid w:val="00881736"/>
    <w:rsid w:val="00884A54"/>
    <w:rsid w:val="00885DCE"/>
    <w:rsid w:val="00886102"/>
    <w:rsid w:val="00886A94"/>
    <w:rsid w:val="00886C0D"/>
    <w:rsid w:val="00891232"/>
    <w:rsid w:val="00892F71"/>
    <w:rsid w:val="0089332C"/>
    <w:rsid w:val="00893739"/>
    <w:rsid w:val="008A2D11"/>
    <w:rsid w:val="008A332F"/>
    <w:rsid w:val="008A593B"/>
    <w:rsid w:val="008A659E"/>
    <w:rsid w:val="008A6F6C"/>
    <w:rsid w:val="008B0021"/>
    <w:rsid w:val="008B1866"/>
    <w:rsid w:val="008B4747"/>
    <w:rsid w:val="008B7B78"/>
    <w:rsid w:val="008B7C48"/>
    <w:rsid w:val="008C2871"/>
    <w:rsid w:val="008C38CB"/>
    <w:rsid w:val="008C4B48"/>
    <w:rsid w:val="008C58CC"/>
    <w:rsid w:val="008C5CBE"/>
    <w:rsid w:val="008C5DC9"/>
    <w:rsid w:val="008D0317"/>
    <w:rsid w:val="008D0380"/>
    <w:rsid w:val="008D100E"/>
    <w:rsid w:val="008D2D94"/>
    <w:rsid w:val="008D37D2"/>
    <w:rsid w:val="008D3A55"/>
    <w:rsid w:val="008D53E5"/>
    <w:rsid w:val="008E1049"/>
    <w:rsid w:val="008E1495"/>
    <w:rsid w:val="008E6747"/>
    <w:rsid w:val="008E6A6E"/>
    <w:rsid w:val="008F072C"/>
    <w:rsid w:val="008F1E9B"/>
    <w:rsid w:val="008F372D"/>
    <w:rsid w:val="008F52CB"/>
    <w:rsid w:val="009016F8"/>
    <w:rsid w:val="00904155"/>
    <w:rsid w:val="0090578F"/>
    <w:rsid w:val="00911CAE"/>
    <w:rsid w:val="0091206B"/>
    <w:rsid w:val="00912F86"/>
    <w:rsid w:val="00915249"/>
    <w:rsid w:val="00921469"/>
    <w:rsid w:val="00923E10"/>
    <w:rsid w:val="009255A3"/>
    <w:rsid w:val="0092592D"/>
    <w:rsid w:val="00927E92"/>
    <w:rsid w:val="00931177"/>
    <w:rsid w:val="009316B5"/>
    <w:rsid w:val="00931B99"/>
    <w:rsid w:val="00932354"/>
    <w:rsid w:val="00936F16"/>
    <w:rsid w:val="00937B2B"/>
    <w:rsid w:val="00941502"/>
    <w:rsid w:val="00941A30"/>
    <w:rsid w:val="009441EE"/>
    <w:rsid w:val="009451AB"/>
    <w:rsid w:val="00947539"/>
    <w:rsid w:val="0094757A"/>
    <w:rsid w:val="00947A63"/>
    <w:rsid w:val="009501AD"/>
    <w:rsid w:val="00950785"/>
    <w:rsid w:val="0095211D"/>
    <w:rsid w:val="0095325B"/>
    <w:rsid w:val="00954D2E"/>
    <w:rsid w:val="0095577E"/>
    <w:rsid w:val="009559E9"/>
    <w:rsid w:val="0096188E"/>
    <w:rsid w:val="0096313F"/>
    <w:rsid w:val="00963453"/>
    <w:rsid w:val="00963B3A"/>
    <w:rsid w:val="00966ABA"/>
    <w:rsid w:val="00967250"/>
    <w:rsid w:val="009700D8"/>
    <w:rsid w:val="00971451"/>
    <w:rsid w:val="00973894"/>
    <w:rsid w:val="00973F4E"/>
    <w:rsid w:val="00975520"/>
    <w:rsid w:val="0098328A"/>
    <w:rsid w:val="00987D99"/>
    <w:rsid w:val="00990721"/>
    <w:rsid w:val="00991147"/>
    <w:rsid w:val="009947B8"/>
    <w:rsid w:val="009972DF"/>
    <w:rsid w:val="009979A0"/>
    <w:rsid w:val="009A4AAF"/>
    <w:rsid w:val="009A5058"/>
    <w:rsid w:val="009A5E95"/>
    <w:rsid w:val="009A7E1F"/>
    <w:rsid w:val="009B0676"/>
    <w:rsid w:val="009B0821"/>
    <w:rsid w:val="009B0E16"/>
    <w:rsid w:val="009B18D4"/>
    <w:rsid w:val="009B195F"/>
    <w:rsid w:val="009B196B"/>
    <w:rsid w:val="009B2858"/>
    <w:rsid w:val="009B5C4E"/>
    <w:rsid w:val="009B65D5"/>
    <w:rsid w:val="009B7419"/>
    <w:rsid w:val="009C0369"/>
    <w:rsid w:val="009C15CB"/>
    <w:rsid w:val="009C22FF"/>
    <w:rsid w:val="009C26B5"/>
    <w:rsid w:val="009C4547"/>
    <w:rsid w:val="009C5FF9"/>
    <w:rsid w:val="009C68A2"/>
    <w:rsid w:val="009C7CBA"/>
    <w:rsid w:val="009D4630"/>
    <w:rsid w:val="009D4D1E"/>
    <w:rsid w:val="009E0EDC"/>
    <w:rsid w:val="009E1BB2"/>
    <w:rsid w:val="009E371E"/>
    <w:rsid w:val="009E391E"/>
    <w:rsid w:val="009E4EC4"/>
    <w:rsid w:val="009E51BD"/>
    <w:rsid w:val="009E67BB"/>
    <w:rsid w:val="009F0219"/>
    <w:rsid w:val="009F5E4A"/>
    <w:rsid w:val="009F5F23"/>
    <w:rsid w:val="009F6F88"/>
    <w:rsid w:val="00A03F0B"/>
    <w:rsid w:val="00A040F4"/>
    <w:rsid w:val="00A04EE1"/>
    <w:rsid w:val="00A07BB1"/>
    <w:rsid w:val="00A14966"/>
    <w:rsid w:val="00A20913"/>
    <w:rsid w:val="00A2344E"/>
    <w:rsid w:val="00A25032"/>
    <w:rsid w:val="00A27027"/>
    <w:rsid w:val="00A279CA"/>
    <w:rsid w:val="00A316F9"/>
    <w:rsid w:val="00A324CC"/>
    <w:rsid w:val="00A32F33"/>
    <w:rsid w:val="00A3749C"/>
    <w:rsid w:val="00A4539E"/>
    <w:rsid w:val="00A476A2"/>
    <w:rsid w:val="00A5130C"/>
    <w:rsid w:val="00A51F11"/>
    <w:rsid w:val="00A529B3"/>
    <w:rsid w:val="00A53401"/>
    <w:rsid w:val="00A53F9C"/>
    <w:rsid w:val="00A541B9"/>
    <w:rsid w:val="00A56397"/>
    <w:rsid w:val="00A56436"/>
    <w:rsid w:val="00A56DF6"/>
    <w:rsid w:val="00A577B7"/>
    <w:rsid w:val="00A6033C"/>
    <w:rsid w:val="00A60F3C"/>
    <w:rsid w:val="00A6573D"/>
    <w:rsid w:val="00A65782"/>
    <w:rsid w:val="00A66817"/>
    <w:rsid w:val="00A669CC"/>
    <w:rsid w:val="00A70B7B"/>
    <w:rsid w:val="00A71462"/>
    <w:rsid w:val="00A73BCF"/>
    <w:rsid w:val="00A75E41"/>
    <w:rsid w:val="00A776FA"/>
    <w:rsid w:val="00A7771C"/>
    <w:rsid w:val="00A80C2F"/>
    <w:rsid w:val="00A8133E"/>
    <w:rsid w:val="00A83771"/>
    <w:rsid w:val="00A838AB"/>
    <w:rsid w:val="00A86BCD"/>
    <w:rsid w:val="00A87B55"/>
    <w:rsid w:val="00A93E44"/>
    <w:rsid w:val="00A95127"/>
    <w:rsid w:val="00AA396A"/>
    <w:rsid w:val="00AA4D3A"/>
    <w:rsid w:val="00AA4EBC"/>
    <w:rsid w:val="00AA4F81"/>
    <w:rsid w:val="00AA618D"/>
    <w:rsid w:val="00AA6E5F"/>
    <w:rsid w:val="00AB3779"/>
    <w:rsid w:val="00AB38B5"/>
    <w:rsid w:val="00AB4987"/>
    <w:rsid w:val="00AB6DED"/>
    <w:rsid w:val="00AB7D32"/>
    <w:rsid w:val="00AC02DF"/>
    <w:rsid w:val="00AC04EA"/>
    <w:rsid w:val="00AC5820"/>
    <w:rsid w:val="00AC747D"/>
    <w:rsid w:val="00AD251D"/>
    <w:rsid w:val="00AD3B5F"/>
    <w:rsid w:val="00AD5203"/>
    <w:rsid w:val="00AD5CEA"/>
    <w:rsid w:val="00AD606C"/>
    <w:rsid w:val="00AE1E4E"/>
    <w:rsid w:val="00AE2693"/>
    <w:rsid w:val="00AE34FE"/>
    <w:rsid w:val="00AE3905"/>
    <w:rsid w:val="00AE3E57"/>
    <w:rsid w:val="00AE4769"/>
    <w:rsid w:val="00AE507F"/>
    <w:rsid w:val="00AE52FF"/>
    <w:rsid w:val="00AE633B"/>
    <w:rsid w:val="00AE6BD7"/>
    <w:rsid w:val="00AF00F6"/>
    <w:rsid w:val="00AF0C54"/>
    <w:rsid w:val="00AF112C"/>
    <w:rsid w:val="00AF15CF"/>
    <w:rsid w:val="00AF3B88"/>
    <w:rsid w:val="00AF4C6B"/>
    <w:rsid w:val="00AF4E7F"/>
    <w:rsid w:val="00B019BE"/>
    <w:rsid w:val="00B02277"/>
    <w:rsid w:val="00B024D0"/>
    <w:rsid w:val="00B044BA"/>
    <w:rsid w:val="00B0598D"/>
    <w:rsid w:val="00B0722E"/>
    <w:rsid w:val="00B17580"/>
    <w:rsid w:val="00B20F85"/>
    <w:rsid w:val="00B22CD5"/>
    <w:rsid w:val="00B22F1A"/>
    <w:rsid w:val="00B23068"/>
    <w:rsid w:val="00B23196"/>
    <w:rsid w:val="00B25A2E"/>
    <w:rsid w:val="00B268CD"/>
    <w:rsid w:val="00B269D0"/>
    <w:rsid w:val="00B277AF"/>
    <w:rsid w:val="00B320D9"/>
    <w:rsid w:val="00B32D42"/>
    <w:rsid w:val="00B37553"/>
    <w:rsid w:val="00B403F4"/>
    <w:rsid w:val="00B40C9A"/>
    <w:rsid w:val="00B40CCC"/>
    <w:rsid w:val="00B41098"/>
    <w:rsid w:val="00B41D44"/>
    <w:rsid w:val="00B420D2"/>
    <w:rsid w:val="00B42924"/>
    <w:rsid w:val="00B42A6D"/>
    <w:rsid w:val="00B43A54"/>
    <w:rsid w:val="00B44063"/>
    <w:rsid w:val="00B45B84"/>
    <w:rsid w:val="00B4646B"/>
    <w:rsid w:val="00B507E5"/>
    <w:rsid w:val="00B51C5D"/>
    <w:rsid w:val="00B525C2"/>
    <w:rsid w:val="00B52648"/>
    <w:rsid w:val="00B52FED"/>
    <w:rsid w:val="00B531FF"/>
    <w:rsid w:val="00B556F6"/>
    <w:rsid w:val="00B6033D"/>
    <w:rsid w:val="00B646F4"/>
    <w:rsid w:val="00B6508B"/>
    <w:rsid w:val="00B70B52"/>
    <w:rsid w:val="00B71D00"/>
    <w:rsid w:val="00B72098"/>
    <w:rsid w:val="00B74982"/>
    <w:rsid w:val="00B752BB"/>
    <w:rsid w:val="00B76330"/>
    <w:rsid w:val="00B7638A"/>
    <w:rsid w:val="00B801BE"/>
    <w:rsid w:val="00B815E1"/>
    <w:rsid w:val="00B82896"/>
    <w:rsid w:val="00B8431A"/>
    <w:rsid w:val="00B84D04"/>
    <w:rsid w:val="00B86450"/>
    <w:rsid w:val="00B90D00"/>
    <w:rsid w:val="00B9233A"/>
    <w:rsid w:val="00B93219"/>
    <w:rsid w:val="00B9431F"/>
    <w:rsid w:val="00B945BC"/>
    <w:rsid w:val="00B94B4B"/>
    <w:rsid w:val="00BA0AA5"/>
    <w:rsid w:val="00BA33D4"/>
    <w:rsid w:val="00BA3B45"/>
    <w:rsid w:val="00BA3B8D"/>
    <w:rsid w:val="00BA5DFE"/>
    <w:rsid w:val="00BB168C"/>
    <w:rsid w:val="00BB1F84"/>
    <w:rsid w:val="00BB23D3"/>
    <w:rsid w:val="00BB3989"/>
    <w:rsid w:val="00BC21E9"/>
    <w:rsid w:val="00BC23C2"/>
    <w:rsid w:val="00BC2F87"/>
    <w:rsid w:val="00BC371C"/>
    <w:rsid w:val="00BC4883"/>
    <w:rsid w:val="00BC6211"/>
    <w:rsid w:val="00BC7234"/>
    <w:rsid w:val="00BC7A28"/>
    <w:rsid w:val="00BD0DB1"/>
    <w:rsid w:val="00BE019E"/>
    <w:rsid w:val="00BE1B5A"/>
    <w:rsid w:val="00BE2925"/>
    <w:rsid w:val="00BE384E"/>
    <w:rsid w:val="00BE418D"/>
    <w:rsid w:val="00BE600D"/>
    <w:rsid w:val="00BF07A0"/>
    <w:rsid w:val="00C03C90"/>
    <w:rsid w:val="00C0465E"/>
    <w:rsid w:val="00C053E2"/>
    <w:rsid w:val="00C07999"/>
    <w:rsid w:val="00C07F65"/>
    <w:rsid w:val="00C140C2"/>
    <w:rsid w:val="00C146CD"/>
    <w:rsid w:val="00C14F6E"/>
    <w:rsid w:val="00C156C9"/>
    <w:rsid w:val="00C158CA"/>
    <w:rsid w:val="00C169F0"/>
    <w:rsid w:val="00C17A32"/>
    <w:rsid w:val="00C17AE1"/>
    <w:rsid w:val="00C17E22"/>
    <w:rsid w:val="00C21938"/>
    <w:rsid w:val="00C23B98"/>
    <w:rsid w:val="00C2463F"/>
    <w:rsid w:val="00C24BFC"/>
    <w:rsid w:val="00C263A6"/>
    <w:rsid w:val="00C30FA2"/>
    <w:rsid w:val="00C348AF"/>
    <w:rsid w:val="00C34A60"/>
    <w:rsid w:val="00C34F4D"/>
    <w:rsid w:val="00C35769"/>
    <w:rsid w:val="00C403DB"/>
    <w:rsid w:val="00C43531"/>
    <w:rsid w:val="00C447D2"/>
    <w:rsid w:val="00C44BC5"/>
    <w:rsid w:val="00C44D0C"/>
    <w:rsid w:val="00C47CC4"/>
    <w:rsid w:val="00C500C4"/>
    <w:rsid w:val="00C510EA"/>
    <w:rsid w:val="00C52E3C"/>
    <w:rsid w:val="00C54947"/>
    <w:rsid w:val="00C54D3E"/>
    <w:rsid w:val="00C5519F"/>
    <w:rsid w:val="00C55A3A"/>
    <w:rsid w:val="00C55B8B"/>
    <w:rsid w:val="00C57EFC"/>
    <w:rsid w:val="00C62F7D"/>
    <w:rsid w:val="00C7305F"/>
    <w:rsid w:val="00C73B54"/>
    <w:rsid w:val="00C777B3"/>
    <w:rsid w:val="00C801E3"/>
    <w:rsid w:val="00C81BB2"/>
    <w:rsid w:val="00C82173"/>
    <w:rsid w:val="00C82B96"/>
    <w:rsid w:val="00C837F2"/>
    <w:rsid w:val="00C856C3"/>
    <w:rsid w:val="00C85938"/>
    <w:rsid w:val="00C879EB"/>
    <w:rsid w:val="00C91093"/>
    <w:rsid w:val="00C912AB"/>
    <w:rsid w:val="00C926FA"/>
    <w:rsid w:val="00C928AE"/>
    <w:rsid w:val="00C973B7"/>
    <w:rsid w:val="00CA1CA1"/>
    <w:rsid w:val="00CA266B"/>
    <w:rsid w:val="00CA4AB5"/>
    <w:rsid w:val="00CA4CA6"/>
    <w:rsid w:val="00CA74C1"/>
    <w:rsid w:val="00CA7DBA"/>
    <w:rsid w:val="00CB5751"/>
    <w:rsid w:val="00CB5B48"/>
    <w:rsid w:val="00CB7CEE"/>
    <w:rsid w:val="00CC1B8B"/>
    <w:rsid w:val="00CC1CF4"/>
    <w:rsid w:val="00CC3EFE"/>
    <w:rsid w:val="00CC4B29"/>
    <w:rsid w:val="00CC4BF1"/>
    <w:rsid w:val="00CC7F1B"/>
    <w:rsid w:val="00CE226F"/>
    <w:rsid w:val="00CE23E5"/>
    <w:rsid w:val="00CE2ADD"/>
    <w:rsid w:val="00CE48F1"/>
    <w:rsid w:val="00CE5298"/>
    <w:rsid w:val="00CE6681"/>
    <w:rsid w:val="00CF3DE7"/>
    <w:rsid w:val="00CF5A26"/>
    <w:rsid w:val="00CF5CC6"/>
    <w:rsid w:val="00D00E29"/>
    <w:rsid w:val="00D01ACD"/>
    <w:rsid w:val="00D05E52"/>
    <w:rsid w:val="00D05F63"/>
    <w:rsid w:val="00D06DD7"/>
    <w:rsid w:val="00D07C66"/>
    <w:rsid w:val="00D10D17"/>
    <w:rsid w:val="00D12505"/>
    <w:rsid w:val="00D131D1"/>
    <w:rsid w:val="00D1364C"/>
    <w:rsid w:val="00D137E5"/>
    <w:rsid w:val="00D15EA6"/>
    <w:rsid w:val="00D17E41"/>
    <w:rsid w:val="00D2026C"/>
    <w:rsid w:val="00D21FC2"/>
    <w:rsid w:val="00D22765"/>
    <w:rsid w:val="00D23DDC"/>
    <w:rsid w:val="00D249CA"/>
    <w:rsid w:val="00D24F1A"/>
    <w:rsid w:val="00D27DB3"/>
    <w:rsid w:val="00D27EEF"/>
    <w:rsid w:val="00D333DE"/>
    <w:rsid w:val="00D3493D"/>
    <w:rsid w:val="00D34E86"/>
    <w:rsid w:val="00D34FC1"/>
    <w:rsid w:val="00D3552B"/>
    <w:rsid w:val="00D3675D"/>
    <w:rsid w:val="00D36954"/>
    <w:rsid w:val="00D40368"/>
    <w:rsid w:val="00D40533"/>
    <w:rsid w:val="00D4278C"/>
    <w:rsid w:val="00D44651"/>
    <w:rsid w:val="00D446ED"/>
    <w:rsid w:val="00D51B7A"/>
    <w:rsid w:val="00D53521"/>
    <w:rsid w:val="00D53A68"/>
    <w:rsid w:val="00D5471F"/>
    <w:rsid w:val="00D5768A"/>
    <w:rsid w:val="00D620C5"/>
    <w:rsid w:val="00D63564"/>
    <w:rsid w:val="00D672BE"/>
    <w:rsid w:val="00D7028D"/>
    <w:rsid w:val="00D70907"/>
    <w:rsid w:val="00D71DBF"/>
    <w:rsid w:val="00D71FC3"/>
    <w:rsid w:val="00D727C7"/>
    <w:rsid w:val="00D72E45"/>
    <w:rsid w:val="00D760F0"/>
    <w:rsid w:val="00D92464"/>
    <w:rsid w:val="00D935FC"/>
    <w:rsid w:val="00D97B27"/>
    <w:rsid w:val="00DA0213"/>
    <w:rsid w:val="00DA07DA"/>
    <w:rsid w:val="00DA1478"/>
    <w:rsid w:val="00DA4885"/>
    <w:rsid w:val="00DA4E7A"/>
    <w:rsid w:val="00DA5AF1"/>
    <w:rsid w:val="00DB04F9"/>
    <w:rsid w:val="00DB064A"/>
    <w:rsid w:val="00DB0E17"/>
    <w:rsid w:val="00DB2F55"/>
    <w:rsid w:val="00DB315A"/>
    <w:rsid w:val="00DB76EC"/>
    <w:rsid w:val="00DC19A0"/>
    <w:rsid w:val="00DC5368"/>
    <w:rsid w:val="00DC5F5D"/>
    <w:rsid w:val="00DD1627"/>
    <w:rsid w:val="00DD16FF"/>
    <w:rsid w:val="00DD35A4"/>
    <w:rsid w:val="00DD3BB0"/>
    <w:rsid w:val="00DD6496"/>
    <w:rsid w:val="00DD6585"/>
    <w:rsid w:val="00DD72A5"/>
    <w:rsid w:val="00DD7FA7"/>
    <w:rsid w:val="00DE0CB0"/>
    <w:rsid w:val="00DE1512"/>
    <w:rsid w:val="00DE2E24"/>
    <w:rsid w:val="00DE4195"/>
    <w:rsid w:val="00DE6E9F"/>
    <w:rsid w:val="00DF0404"/>
    <w:rsid w:val="00DF1F88"/>
    <w:rsid w:val="00DF5A9B"/>
    <w:rsid w:val="00DF6C17"/>
    <w:rsid w:val="00DF793D"/>
    <w:rsid w:val="00E00EF4"/>
    <w:rsid w:val="00E020B6"/>
    <w:rsid w:val="00E03570"/>
    <w:rsid w:val="00E04A5C"/>
    <w:rsid w:val="00E05033"/>
    <w:rsid w:val="00E05A06"/>
    <w:rsid w:val="00E07E0D"/>
    <w:rsid w:val="00E1173F"/>
    <w:rsid w:val="00E122B9"/>
    <w:rsid w:val="00E12C15"/>
    <w:rsid w:val="00E160C1"/>
    <w:rsid w:val="00E17198"/>
    <w:rsid w:val="00E20794"/>
    <w:rsid w:val="00E20F89"/>
    <w:rsid w:val="00E211ED"/>
    <w:rsid w:val="00E2181C"/>
    <w:rsid w:val="00E256D6"/>
    <w:rsid w:val="00E25F01"/>
    <w:rsid w:val="00E265F6"/>
    <w:rsid w:val="00E278FC"/>
    <w:rsid w:val="00E27E63"/>
    <w:rsid w:val="00E30105"/>
    <w:rsid w:val="00E30862"/>
    <w:rsid w:val="00E30CBC"/>
    <w:rsid w:val="00E32262"/>
    <w:rsid w:val="00E41257"/>
    <w:rsid w:val="00E4388B"/>
    <w:rsid w:val="00E43F8B"/>
    <w:rsid w:val="00E46204"/>
    <w:rsid w:val="00E47E33"/>
    <w:rsid w:val="00E54E3B"/>
    <w:rsid w:val="00E561E7"/>
    <w:rsid w:val="00E569B1"/>
    <w:rsid w:val="00E61968"/>
    <w:rsid w:val="00E62181"/>
    <w:rsid w:val="00E639C0"/>
    <w:rsid w:val="00E64385"/>
    <w:rsid w:val="00E64D18"/>
    <w:rsid w:val="00E666BB"/>
    <w:rsid w:val="00E670FD"/>
    <w:rsid w:val="00E673CB"/>
    <w:rsid w:val="00E67A8B"/>
    <w:rsid w:val="00E7036B"/>
    <w:rsid w:val="00E70793"/>
    <w:rsid w:val="00E70895"/>
    <w:rsid w:val="00E7305D"/>
    <w:rsid w:val="00E73B61"/>
    <w:rsid w:val="00E753AA"/>
    <w:rsid w:val="00E76B40"/>
    <w:rsid w:val="00E817B2"/>
    <w:rsid w:val="00E82307"/>
    <w:rsid w:val="00E82BD5"/>
    <w:rsid w:val="00E850F8"/>
    <w:rsid w:val="00E86AE6"/>
    <w:rsid w:val="00E87E89"/>
    <w:rsid w:val="00E90588"/>
    <w:rsid w:val="00E933A2"/>
    <w:rsid w:val="00E93F07"/>
    <w:rsid w:val="00E97133"/>
    <w:rsid w:val="00EA662B"/>
    <w:rsid w:val="00EA74FA"/>
    <w:rsid w:val="00EB1B93"/>
    <w:rsid w:val="00EB201E"/>
    <w:rsid w:val="00EB3860"/>
    <w:rsid w:val="00EB7F39"/>
    <w:rsid w:val="00EC0CEB"/>
    <w:rsid w:val="00EC105F"/>
    <w:rsid w:val="00EC7585"/>
    <w:rsid w:val="00EC7B5C"/>
    <w:rsid w:val="00ED05D3"/>
    <w:rsid w:val="00ED1FB3"/>
    <w:rsid w:val="00ED2E38"/>
    <w:rsid w:val="00ED3050"/>
    <w:rsid w:val="00EE0119"/>
    <w:rsid w:val="00EE066D"/>
    <w:rsid w:val="00EE1737"/>
    <w:rsid w:val="00EE1CC7"/>
    <w:rsid w:val="00EE1FEC"/>
    <w:rsid w:val="00EF0435"/>
    <w:rsid w:val="00EF0DF8"/>
    <w:rsid w:val="00EF1231"/>
    <w:rsid w:val="00EF1A8C"/>
    <w:rsid w:val="00EF1E3C"/>
    <w:rsid w:val="00EF3FAB"/>
    <w:rsid w:val="00EF4637"/>
    <w:rsid w:val="00EF63A6"/>
    <w:rsid w:val="00EF6410"/>
    <w:rsid w:val="00F04053"/>
    <w:rsid w:val="00F05558"/>
    <w:rsid w:val="00F05A1C"/>
    <w:rsid w:val="00F05E53"/>
    <w:rsid w:val="00F07373"/>
    <w:rsid w:val="00F07CB6"/>
    <w:rsid w:val="00F11E01"/>
    <w:rsid w:val="00F123A7"/>
    <w:rsid w:val="00F14166"/>
    <w:rsid w:val="00F141C9"/>
    <w:rsid w:val="00F15362"/>
    <w:rsid w:val="00F1774A"/>
    <w:rsid w:val="00F21925"/>
    <w:rsid w:val="00F23FD9"/>
    <w:rsid w:val="00F24640"/>
    <w:rsid w:val="00F25155"/>
    <w:rsid w:val="00F259AC"/>
    <w:rsid w:val="00F26DD8"/>
    <w:rsid w:val="00F31D0B"/>
    <w:rsid w:val="00F33186"/>
    <w:rsid w:val="00F35740"/>
    <w:rsid w:val="00F40B76"/>
    <w:rsid w:val="00F41F56"/>
    <w:rsid w:val="00F42747"/>
    <w:rsid w:val="00F43E6B"/>
    <w:rsid w:val="00F45FBE"/>
    <w:rsid w:val="00F46FCC"/>
    <w:rsid w:val="00F47ECA"/>
    <w:rsid w:val="00F5042B"/>
    <w:rsid w:val="00F5066C"/>
    <w:rsid w:val="00F50862"/>
    <w:rsid w:val="00F51F3D"/>
    <w:rsid w:val="00F535DC"/>
    <w:rsid w:val="00F53D3C"/>
    <w:rsid w:val="00F54091"/>
    <w:rsid w:val="00F55B58"/>
    <w:rsid w:val="00F60C0E"/>
    <w:rsid w:val="00F61744"/>
    <w:rsid w:val="00F6228B"/>
    <w:rsid w:val="00F65689"/>
    <w:rsid w:val="00F65712"/>
    <w:rsid w:val="00F657D1"/>
    <w:rsid w:val="00F65D04"/>
    <w:rsid w:val="00F67789"/>
    <w:rsid w:val="00F711BC"/>
    <w:rsid w:val="00F72214"/>
    <w:rsid w:val="00F74050"/>
    <w:rsid w:val="00F74EEF"/>
    <w:rsid w:val="00F776A0"/>
    <w:rsid w:val="00F826ED"/>
    <w:rsid w:val="00F86EA1"/>
    <w:rsid w:val="00F875BD"/>
    <w:rsid w:val="00F91EE5"/>
    <w:rsid w:val="00F93023"/>
    <w:rsid w:val="00F972CA"/>
    <w:rsid w:val="00F9781B"/>
    <w:rsid w:val="00FA023D"/>
    <w:rsid w:val="00FA3CBC"/>
    <w:rsid w:val="00FA3DAF"/>
    <w:rsid w:val="00FA6322"/>
    <w:rsid w:val="00FA633E"/>
    <w:rsid w:val="00FA7FA7"/>
    <w:rsid w:val="00FB1226"/>
    <w:rsid w:val="00FB2166"/>
    <w:rsid w:val="00FB27B0"/>
    <w:rsid w:val="00FB3938"/>
    <w:rsid w:val="00FB470D"/>
    <w:rsid w:val="00FB67DA"/>
    <w:rsid w:val="00FB7CF5"/>
    <w:rsid w:val="00FC0434"/>
    <w:rsid w:val="00FC46CF"/>
    <w:rsid w:val="00FC70CA"/>
    <w:rsid w:val="00FC7E77"/>
    <w:rsid w:val="00FD1160"/>
    <w:rsid w:val="00FD656D"/>
    <w:rsid w:val="00FD70F0"/>
    <w:rsid w:val="00FE0459"/>
    <w:rsid w:val="00FE064B"/>
    <w:rsid w:val="00FE0F8C"/>
    <w:rsid w:val="00FE491A"/>
    <w:rsid w:val="00FE631C"/>
    <w:rsid w:val="00FF0A9E"/>
    <w:rsid w:val="00FF1917"/>
    <w:rsid w:val="00FF667B"/>
    <w:rsid w:val="00FF7224"/>
    <w:rsid w:val="00FF74ED"/>
    <w:rsid w:val="00FF7699"/>
    <w:rsid w:val="44D07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DC505"/>
  <w15:docId w15:val="{368FDD62-D58E-48E3-B09A-5D61314D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42E2"/>
    <w:pPr>
      <w:spacing w:line="250" w:lineRule="exact"/>
    </w:pPr>
    <w:rPr>
      <w:rFonts w:cs="Times New Roman"/>
      <w:sz w:val="21"/>
      <w:szCs w:val="21"/>
      <w:lang w:eastAsia="en-AU"/>
    </w:rPr>
  </w:style>
  <w:style w:type="paragraph" w:styleId="Heading1">
    <w:name w:val="heading 1"/>
    <w:basedOn w:val="Normal"/>
    <w:next w:val="Heading2"/>
    <w:link w:val="Heading1Char"/>
    <w:qFormat/>
    <w:rsid w:val="00F93023"/>
    <w:pPr>
      <w:keepNext/>
      <w:numPr>
        <w:numId w:val="8"/>
      </w:numPr>
      <w:suppressAutoHyphens/>
      <w:spacing w:before="360" w:line="440" w:lineRule="exact"/>
      <w:outlineLvl w:val="0"/>
    </w:pPr>
    <w:rPr>
      <w:rFonts w:eastAsiaTheme="majorEastAsia" w:cstheme="majorBidi"/>
      <w:b/>
      <w:bCs/>
      <w:caps/>
      <w:color w:val="482D8C" w:themeColor="background2"/>
      <w:spacing w:val="-20"/>
      <w:kern w:val="36"/>
      <w:sz w:val="44"/>
      <w:szCs w:val="48"/>
    </w:rPr>
  </w:style>
  <w:style w:type="paragraph" w:styleId="Heading2">
    <w:name w:val="heading 2"/>
    <w:basedOn w:val="Normal"/>
    <w:next w:val="Heading3"/>
    <w:link w:val="Heading2Char"/>
    <w:unhideWhenUsed/>
    <w:qFormat/>
    <w:rsid w:val="00B22CD5"/>
    <w:pPr>
      <w:keepNext/>
      <w:suppressAutoHyphens/>
      <w:spacing w:before="240" w:after="60" w:line="300" w:lineRule="exact"/>
      <w:outlineLvl w:val="1"/>
    </w:pPr>
    <w:rPr>
      <w:b/>
      <w:caps/>
      <w:color w:val="AB4399"/>
      <w:sz w:val="38"/>
      <w:szCs w:val="36"/>
    </w:rPr>
  </w:style>
  <w:style w:type="paragraph" w:styleId="Heading3">
    <w:name w:val="heading 3"/>
    <w:basedOn w:val="bulletnumbers"/>
    <w:next w:val="Normal"/>
    <w:link w:val="Heading3Char"/>
    <w:unhideWhenUsed/>
    <w:qFormat/>
    <w:rsid w:val="00610F6E"/>
    <w:pPr>
      <w:keepNext/>
      <w:numPr>
        <w:numId w:val="7"/>
      </w:numPr>
      <w:suppressAutoHyphens/>
      <w:spacing w:before="240" w:after="60" w:line="240" w:lineRule="exact"/>
      <w:outlineLvl w:val="2"/>
    </w:pPr>
    <w:rPr>
      <w:b/>
      <w:color w:val="D189C4" w:themeColor="accent3" w:themeTint="99"/>
      <w:sz w:val="32"/>
      <w:szCs w:val="28"/>
    </w:rPr>
  </w:style>
  <w:style w:type="paragraph" w:styleId="Heading4">
    <w:name w:val="heading 4"/>
    <w:basedOn w:val="Normal"/>
    <w:link w:val="Heading4Char"/>
    <w:unhideWhenUsed/>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nhideWhenUsed/>
    <w:rsid w:val="00731AE2"/>
    <w:pPr>
      <w:keepNext/>
      <w:keepLines/>
      <w:spacing w:before="40" w:after="0"/>
      <w:outlineLvl w:val="4"/>
    </w:pPr>
    <w:rPr>
      <w:rFonts w:asciiTheme="majorHAnsi" w:eastAsiaTheme="majorEastAsia" w:hAnsiTheme="majorHAnsi" w:cstheme="majorBidi"/>
      <w:color w:val="252525" w:themeColor="accent1" w:themeShade="BF"/>
    </w:rPr>
  </w:style>
  <w:style w:type="paragraph" w:styleId="Heading6">
    <w:name w:val="heading 6"/>
    <w:basedOn w:val="Normal"/>
    <w:next w:val="Normal"/>
    <w:link w:val="Heading6Char"/>
    <w:rsid w:val="003C58A9"/>
    <w:pPr>
      <w:keepNext/>
      <w:tabs>
        <w:tab w:val="num" w:pos="1152"/>
      </w:tabs>
      <w:spacing w:after="0" w:line="240" w:lineRule="auto"/>
      <w:ind w:left="1152" w:hanging="1152"/>
      <w:outlineLvl w:val="5"/>
    </w:pPr>
    <w:rPr>
      <w:rFonts w:ascii="Calibri" w:eastAsia="Times New Roman" w:hAnsi="Calibri"/>
      <w:b/>
      <w:bCs/>
      <w:i/>
      <w:iCs/>
      <w:sz w:val="22"/>
      <w:szCs w:val="24"/>
      <w:lang w:eastAsia="en-US"/>
    </w:rPr>
  </w:style>
  <w:style w:type="paragraph" w:styleId="Heading7">
    <w:name w:val="heading 7"/>
    <w:basedOn w:val="Normal"/>
    <w:next w:val="Normal"/>
    <w:link w:val="Heading7Char"/>
    <w:rsid w:val="003C58A9"/>
    <w:pPr>
      <w:keepNext/>
      <w:tabs>
        <w:tab w:val="num" w:pos="1296"/>
      </w:tabs>
      <w:spacing w:after="0" w:line="240" w:lineRule="auto"/>
      <w:ind w:left="1296" w:hanging="1296"/>
      <w:outlineLvl w:val="6"/>
    </w:pPr>
    <w:rPr>
      <w:rFonts w:ascii="Calibri" w:eastAsia="Times New Roman" w:hAnsi="Calibri"/>
      <w:sz w:val="22"/>
      <w:szCs w:val="24"/>
      <w:u w:val="single"/>
      <w:lang w:eastAsia="en-US"/>
    </w:rPr>
  </w:style>
  <w:style w:type="paragraph" w:styleId="Heading8">
    <w:name w:val="heading 8"/>
    <w:basedOn w:val="Normal"/>
    <w:next w:val="Normal"/>
    <w:link w:val="Heading8Char"/>
    <w:unhideWhenUsed/>
    <w:rsid w:val="00F6228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Heading2"/>
    <w:next w:val="Normal"/>
    <w:link w:val="Heading9Char"/>
    <w:rsid w:val="005D1F71"/>
    <w:pPr>
      <w:tabs>
        <w:tab w:val="num" w:pos="1584"/>
      </w:tabs>
      <w:suppressAutoHyphens w:val="0"/>
      <w:spacing w:after="120" w:line="240" w:lineRule="auto"/>
      <w:ind w:left="1584" w:hanging="1584"/>
      <w:outlineLvl w:val="8"/>
    </w:pPr>
    <w:rPr>
      <w:rFonts w:ascii="Arial Bold" w:eastAsia="Times New Roman" w:hAnsi="Arial Bold"/>
      <w:color w:val="auto"/>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023"/>
    <w:rPr>
      <w:rFonts w:eastAsiaTheme="majorEastAsia" w:cstheme="majorBidi"/>
      <w:b/>
      <w:bCs/>
      <w:caps/>
      <w:color w:val="482D8C" w:themeColor="background2"/>
      <w:spacing w:val="-20"/>
      <w:kern w:val="36"/>
      <w:sz w:val="44"/>
      <w:szCs w:val="48"/>
      <w:lang w:eastAsia="en-AU"/>
    </w:rPr>
  </w:style>
  <w:style w:type="character" w:customStyle="1" w:styleId="Heading2Char">
    <w:name w:val="Heading 2 Char"/>
    <w:basedOn w:val="DefaultParagraphFont"/>
    <w:link w:val="Heading2"/>
    <w:uiPriority w:val="9"/>
    <w:rsid w:val="00B22CD5"/>
    <w:rPr>
      <w:rFonts w:cs="Times New Roman"/>
      <w:b/>
      <w:caps/>
      <w:color w:val="AB4399"/>
      <w:sz w:val="38"/>
      <w:szCs w:val="36"/>
      <w:lang w:eastAsia="en-AU"/>
    </w:rPr>
  </w:style>
  <w:style w:type="character" w:customStyle="1" w:styleId="Heading3Char">
    <w:name w:val="Heading 3 Char"/>
    <w:basedOn w:val="DefaultParagraphFont"/>
    <w:link w:val="Heading3"/>
    <w:rsid w:val="00610F6E"/>
    <w:rPr>
      <w:rFonts w:cs="Times New Roman"/>
      <w:b/>
      <w:color w:val="D189C4" w:themeColor="accent3" w:themeTint="99"/>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40190A"/>
    <w:pPr>
      <w:keepNext/>
      <w:tabs>
        <w:tab w:val="left" w:pos="630"/>
        <w:tab w:val="right" w:leader="dot" w:pos="9060"/>
      </w:tabs>
      <w:spacing w:before="12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E5FEC"/>
    <w:pPr>
      <w:keepNext/>
      <w:tabs>
        <w:tab w:val="left" w:pos="1320"/>
        <w:tab w:val="right" w:leader="dot" w:pos="9060"/>
      </w:tabs>
      <w:spacing w:before="120" w:after="120" w:line="240" w:lineRule="exact"/>
      <w:ind w:left="420"/>
    </w:pPr>
    <w:rPr>
      <w:rFonts w:eastAsiaTheme="minorEastAsia" w:cstheme="minorBidi"/>
      <w:noProof/>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5"/>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1"/>
      </w:numPr>
      <w:spacing w:after="60" w:line="240" w:lineRule="auto"/>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2"/>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3"/>
      </w:numPr>
      <w:tabs>
        <w:tab w:val="num" w:pos="360"/>
      </w:tabs>
      <w:ind w:left="993" w:hanging="276"/>
    </w:pPr>
  </w:style>
  <w:style w:type="paragraph" w:customStyle="1" w:styleId="Note">
    <w:name w:val="Note"/>
    <w:basedOn w:val="Normal"/>
    <w:link w:val="NoteChar"/>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rsid w:val="0086024E"/>
    <w:pPr>
      <w:jc w:val="right"/>
    </w:pPr>
    <w:rPr>
      <w:bCs w:val="0"/>
    </w:rPr>
  </w:style>
  <w:style w:type="paragraph" w:customStyle="1" w:styleId="Tabletext">
    <w:name w:val="Table text"/>
    <w:basedOn w:val="Normal"/>
    <w:link w:val="TabletextChar"/>
    <w:autoRedefine/>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rsid w:val="0086024E"/>
    <w:pPr>
      <w:numPr>
        <w:numId w:val="4"/>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rsid w:val="007D5985"/>
    <w:rPr>
      <w:b/>
    </w:rPr>
  </w:style>
  <w:style w:type="paragraph" w:customStyle="1" w:styleId="TableTextbolditalics">
    <w:name w:val="Table Text bold italics"/>
    <w:basedOn w:val="Tabletext"/>
    <w:rsid w:val="007D5985"/>
    <w:rPr>
      <w:b/>
      <w:i/>
    </w:rPr>
  </w:style>
  <w:style w:type="paragraph" w:customStyle="1" w:styleId="TableFiguresbold">
    <w:name w:val="Table Figures bold"/>
    <w:basedOn w:val="Tablefigures"/>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rsid w:val="00C85938"/>
    <w:rPr>
      <w:b/>
      <w:bCs/>
    </w:rPr>
  </w:style>
  <w:style w:type="paragraph" w:styleId="NoSpacing">
    <w:name w:val="No Spacing"/>
    <w:link w:val="NoSpacingChar"/>
    <w:uiPriority w:val="1"/>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aliases w:val="OLG List Paragraph Bullets"/>
    <w:basedOn w:val="Normal"/>
    <w:link w:val="ListParagraphChar"/>
    <w:uiPriority w:val="34"/>
    <w:qFormat/>
    <w:rsid w:val="00AA6E5F"/>
    <w:pPr>
      <w:ind w:left="720"/>
      <w:contextualSpacing/>
    </w:pPr>
  </w:style>
  <w:style w:type="paragraph" w:customStyle="1" w:styleId="Tableheadbold">
    <w:name w:val="Table head bold"/>
    <w:basedOn w:val="Normal"/>
    <w:next w:val="Tablebody"/>
    <w:rsid w:val="004B4981"/>
    <w:pPr>
      <w:spacing w:after="0"/>
    </w:pPr>
    <w:rPr>
      <w:rFonts w:asciiTheme="majorHAnsi" w:eastAsia="Times New Roman" w:hAnsiTheme="majorHAnsi"/>
      <w:b/>
    </w:rPr>
  </w:style>
  <w:style w:type="paragraph" w:customStyle="1" w:styleId="Tableheadblack">
    <w:name w:val="Table head black"/>
    <w:basedOn w:val="Tablehead"/>
    <w:rsid w:val="00B70B52"/>
    <w:rPr>
      <w:rFonts w:cstheme="majorHAnsi"/>
      <w:b/>
      <w:color w:val="auto"/>
      <w:szCs w:val="21"/>
    </w:rPr>
  </w:style>
  <w:style w:type="paragraph" w:customStyle="1" w:styleId="Tableheadtext">
    <w:name w:val="Table head text"/>
    <w:basedOn w:val="Note"/>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rsid w:val="00A56436"/>
    <w:rPr>
      <w:color w:val="FFFFFF" w:themeColor="background1"/>
    </w:rPr>
  </w:style>
  <w:style w:type="paragraph" w:customStyle="1" w:styleId="Normal1">
    <w:name w:val="Normal1"/>
    <w:basedOn w:val="Normal"/>
    <w:next w:val="Normal"/>
    <w:qFormat/>
    <w:rsid w:val="00C81BB2"/>
    <w:pPr>
      <w:keepNext/>
      <w:spacing w:after="0" w:line="240" w:lineRule="auto"/>
    </w:pPr>
    <w:rPr>
      <w:rFonts w:ascii="Calibri" w:hAnsi="Calibri"/>
      <w:noProof/>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6"/>
      </w:numPr>
      <w:contextualSpacing/>
    </w:pPr>
  </w:style>
  <w:style w:type="character" w:styleId="Emphasis">
    <w:name w:val="Emphasis"/>
    <w:basedOn w:val="DefaultParagraphFont"/>
    <w:uiPriority w:val="20"/>
    <w:rsid w:val="002A093C"/>
    <w:rPr>
      <w:i/>
      <w:iCs/>
    </w:rPr>
  </w:style>
  <w:style w:type="character" w:styleId="IntenseEmphasis">
    <w:name w:val="Intense Emphasis"/>
    <w:basedOn w:val="DefaultParagraphFont"/>
    <w:uiPriority w:val="21"/>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customStyle="1" w:styleId="Heading8Char">
    <w:name w:val="Heading 8 Char"/>
    <w:basedOn w:val="DefaultParagraphFont"/>
    <w:link w:val="Heading8"/>
    <w:uiPriority w:val="9"/>
    <w:semiHidden/>
    <w:rsid w:val="00F6228B"/>
    <w:rPr>
      <w:rFonts w:asciiTheme="majorHAnsi" w:eastAsiaTheme="majorEastAsia" w:hAnsiTheme="majorHAnsi" w:cstheme="majorBidi"/>
      <w:color w:val="272727" w:themeColor="text1" w:themeTint="D8"/>
      <w:sz w:val="21"/>
      <w:szCs w:val="21"/>
      <w:lang w:eastAsia="en-AU"/>
    </w:rPr>
  </w:style>
  <w:style w:type="character" w:styleId="PageNumber">
    <w:name w:val="page number"/>
    <w:basedOn w:val="DefaultParagraphFont"/>
    <w:rsid w:val="00F6228B"/>
  </w:style>
  <w:style w:type="paragraph" w:customStyle="1" w:styleId="Default">
    <w:name w:val="Default"/>
    <w:rsid w:val="00F6228B"/>
    <w:pPr>
      <w:autoSpaceDE w:val="0"/>
      <w:autoSpaceDN w:val="0"/>
      <w:adjustRightInd w:val="0"/>
      <w:spacing w:after="0" w:line="240" w:lineRule="auto"/>
    </w:pPr>
    <w:rPr>
      <w:rFonts w:ascii="Cambria" w:eastAsia="Times New Roman" w:hAnsi="Cambria" w:cs="Cambria"/>
      <w:color w:val="000000"/>
      <w:sz w:val="24"/>
      <w:szCs w:val="24"/>
      <w:lang w:eastAsia="en-AU"/>
    </w:rPr>
  </w:style>
  <w:style w:type="character" w:styleId="CommentReference">
    <w:name w:val="annotation reference"/>
    <w:basedOn w:val="DefaultParagraphFont"/>
    <w:semiHidden/>
    <w:unhideWhenUsed/>
    <w:rsid w:val="000D6CBD"/>
    <w:rPr>
      <w:sz w:val="16"/>
      <w:szCs w:val="16"/>
    </w:rPr>
  </w:style>
  <w:style w:type="paragraph" w:styleId="CommentText">
    <w:name w:val="annotation text"/>
    <w:basedOn w:val="Normal"/>
    <w:link w:val="CommentTextChar"/>
    <w:unhideWhenUsed/>
    <w:rsid w:val="000D6CBD"/>
    <w:pPr>
      <w:spacing w:line="240" w:lineRule="auto"/>
    </w:pPr>
    <w:rPr>
      <w:sz w:val="20"/>
      <w:szCs w:val="20"/>
    </w:rPr>
  </w:style>
  <w:style w:type="character" w:customStyle="1" w:styleId="CommentTextChar">
    <w:name w:val="Comment Text Char"/>
    <w:basedOn w:val="DefaultParagraphFont"/>
    <w:link w:val="CommentText"/>
    <w:rsid w:val="000D6CBD"/>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D6CBD"/>
    <w:rPr>
      <w:b/>
      <w:bCs/>
    </w:rPr>
  </w:style>
  <w:style w:type="character" w:customStyle="1" w:styleId="CommentSubjectChar">
    <w:name w:val="Comment Subject Char"/>
    <w:basedOn w:val="CommentTextChar"/>
    <w:link w:val="CommentSubject"/>
    <w:uiPriority w:val="99"/>
    <w:semiHidden/>
    <w:rsid w:val="000D6CBD"/>
    <w:rPr>
      <w:rFonts w:cs="Times New Roman"/>
      <w:b/>
      <w:bCs/>
      <w:sz w:val="20"/>
      <w:szCs w:val="20"/>
      <w:lang w:eastAsia="en-AU"/>
    </w:rPr>
  </w:style>
  <w:style w:type="paragraph" w:styleId="BodyText2">
    <w:name w:val="Body Text 2"/>
    <w:basedOn w:val="Normal"/>
    <w:link w:val="BodyText2Char"/>
    <w:uiPriority w:val="99"/>
    <w:unhideWhenUsed/>
    <w:rsid w:val="00C403DB"/>
    <w:pPr>
      <w:spacing w:after="120" w:line="480" w:lineRule="auto"/>
    </w:pPr>
  </w:style>
  <w:style w:type="character" w:customStyle="1" w:styleId="BodyText2Char">
    <w:name w:val="Body Text 2 Char"/>
    <w:basedOn w:val="DefaultParagraphFont"/>
    <w:link w:val="BodyText2"/>
    <w:uiPriority w:val="99"/>
    <w:rsid w:val="00C403DB"/>
    <w:rPr>
      <w:rFonts w:cs="Times New Roman"/>
      <w:sz w:val="21"/>
      <w:szCs w:val="21"/>
      <w:lang w:eastAsia="en-AU"/>
    </w:rPr>
  </w:style>
  <w:style w:type="character" w:styleId="UnresolvedMention">
    <w:name w:val="Unresolved Mention"/>
    <w:basedOn w:val="DefaultParagraphFont"/>
    <w:uiPriority w:val="99"/>
    <w:semiHidden/>
    <w:unhideWhenUsed/>
    <w:rsid w:val="00C403DB"/>
    <w:rPr>
      <w:color w:val="605E5C"/>
      <w:shd w:val="clear" w:color="auto" w:fill="E1DFDD"/>
    </w:rPr>
  </w:style>
  <w:style w:type="character" w:customStyle="1" w:styleId="Heading6Char">
    <w:name w:val="Heading 6 Char"/>
    <w:basedOn w:val="DefaultParagraphFont"/>
    <w:link w:val="Heading6"/>
    <w:rsid w:val="003C58A9"/>
    <w:rPr>
      <w:rFonts w:ascii="Calibri" w:eastAsia="Times New Roman" w:hAnsi="Calibri" w:cs="Times New Roman"/>
      <w:b/>
      <w:bCs/>
      <w:i/>
      <w:iCs/>
      <w:szCs w:val="24"/>
    </w:rPr>
  </w:style>
  <w:style w:type="character" w:customStyle="1" w:styleId="Heading7Char">
    <w:name w:val="Heading 7 Char"/>
    <w:basedOn w:val="DefaultParagraphFont"/>
    <w:link w:val="Heading7"/>
    <w:rsid w:val="003C58A9"/>
    <w:rPr>
      <w:rFonts w:ascii="Calibri" w:eastAsia="Times New Roman" w:hAnsi="Calibri" w:cs="Times New Roman"/>
      <w:szCs w:val="24"/>
      <w:u w:val="single"/>
    </w:rPr>
  </w:style>
  <w:style w:type="paragraph" w:styleId="Revision">
    <w:name w:val="Revision"/>
    <w:hidden/>
    <w:uiPriority w:val="99"/>
    <w:semiHidden/>
    <w:rsid w:val="0087736B"/>
    <w:pPr>
      <w:spacing w:after="0" w:line="240" w:lineRule="auto"/>
    </w:pPr>
    <w:rPr>
      <w:rFonts w:cs="Times New Roman"/>
      <w:sz w:val="21"/>
      <w:szCs w:val="21"/>
      <w:lang w:eastAsia="en-AU"/>
    </w:rPr>
  </w:style>
  <w:style w:type="character" w:styleId="FollowedHyperlink">
    <w:name w:val="FollowedHyperlink"/>
    <w:basedOn w:val="DefaultParagraphFont"/>
    <w:uiPriority w:val="99"/>
    <w:semiHidden/>
    <w:unhideWhenUsed/>
    <w:rsid w:val="0087736B"/>
    <w:rPr>
      <w:color w:val="7F7F7F" w:themeColor="followedHyperlink"/>
      <w:u w:val="single"/>
    </w:rPr>
  </w:style>
  <w:style w:type="paragraph" w:customStyle="1" w:styleId="reference">
    <w:name w:val="reference"/>
    <w:basedOn w:val="Normal"/>
    <w:link w:val="referenceChar"/>
    <w:qFormat/>
    <w:rsid w:val="006A7B38"/>
    <w:pPr>
      <w:shd w:val="clear" w:color="auto" w:fill="F2F2F2"/>
      <w:spacing w:after="0" w:line="240" w:lineRule="auto"/>
      <w:ind w:left="567" w:right="567"/>
    </w:pPr>
    <w:rPr>
      <w:rFonts w:ascii="Calibri" w:eastAsia="Times New Roman" w:hAnsi="Calibri"/>
      <w:sz w:val="20"/>
      <w:szCs w:val="16"/>
      <w:lang w:eastAsia="en-US" w:bidi="en-US"/>
    </w:rPr>
  </w:style>
  <w:style w:type="character" w:customStyle="1" w:styleId="referenceChar">
    <w:name w:val="reference Char"/>
    <w:link w:val="reference"/>
    <w:rsid w:val="006A7B38"/>
    <w:rPr>
      <w:rFonts w:ascii="Calibri" w:eastAsia="Times New Roman" w:hAnsi="Calibri" w:cs="Times New Roman"/>
      <w:sz w:val="20"/>
      <w:szCs w:val="16"/>
      <w:shd w:val="clear" w:color="auto" w:fill="F2F2F2"/>
      <w:lang w:bidi="en-US"/>
    </w:rPr>
  </w:style>
  <w:style w:type="character" w:customStyle="1" w:styleId="ListParagraphChar">
    <w:name w:val="List Paragraph Char"/>
    <w:aliases w:val="OLG List Paragraph Bullets Char"/>
    <w:link w:val="ListParagraph"/>
    <w:uiPriority w:val="34"/>
    <w:rsid w:val="006A7B38"/>
    <w:rPr>
      <w:rFonts w:cs="Times New Roman"/>
      <w:sz w:val="21"/>
      <w:szCs w:val="21"/>
      <w:lang w:eastAsia="en-AU"/>
    </w:rPr>
  </w:style>
  <w:style w:type="character" w:customStyle="1" w:styleId="Heading9Char">
    <w:name w:val="Heading 9 Char"/>
    <w:basedOn w:val="DefaultParagraphFont"/>
    <w:link w:val="Heading9"/>
    <w:rsid w:val="005D1F71"/>
    <w:rPr>
      <w:rFonts w:ascii="Arial Bold" w:eastAsia="Times New Roman" w:hAnsi="Arial Bold" w:cs="Times New Roman"/>
      <w:b/>
      <w:caps/>
      <w:sz w:val="28"/>
      <w:szCs w:val="24"/>
    </w:rPr>
  </w:style>
  <w:style w:type="paragraph" w:customStyle="1" w:styleId="TableReference">
    <w:name w:val="Table Reference"/>
    <w:basedOn w:val="Normal"/>
    <w:rsid w:val="0062060D"/>
    <w:pPr>
      <w:spacing w:after="0" w:line="240" w:lineRule="auto"/>
    </w:pPr>
    <w:rPr>
      <w:rFonts w:ascii="Calibri" w:eastAsia="Times New Roman" w:hAnsi="Calibri"/>
      <w:color w:val="008000"/>
      <w:sz w:val="12"/>
      <w:szCs w:val="14"/>
      <w:lang w:eastAsia="en-US"/>
    </w:rPr>
  </w:style>
  <w:style w:type="paragraph" w:customStyle="1" w:styleId="CommentaryTitle">
    <w:name w:val="Commentary Title"/>
    <w:basedOn w:val="Normal"/>
    <w:rsid w:val="0062060D"/>
    <w:pPr>
      <w:pageBreakBefore/>
      <w:spacing w:before="120" w:after="360" w:line="240" w:lineRule="auto"/>
    </w:pPr>
    <w:rPr>
      <w:rFonts w:ascii="Calibri" w:eastAsia="Times New Roman" w:hAnsi="Calibri"/>
      <w:b/>
      <w:bCs/>
      <w:sz w:val="22"/>
      <w:szCs w:val="24"/>
      <w:lang w:eastAsia="en-US"/>
    </w:rPr>
  </w:style>
  <w:style w:type="paragraph" w:customStyle="1" w:styleId="TableTitle">
    <w:name w:val="Table Title"/>
    <w:basedOn w:val="Normal"/>
    <w:next w:val="Normal"/>
    <w:rsid w:val="0062060D"/>
    <w:pPr>
      <w:spacing w:after="0" w:line="240" w:lineRule="auto"/>
      <w:jc w:val="right"/>
    </w:pPr>
    <w:rPr>
      <w:rFonts w:ascii="Calibri" w:eastAsia="Times New Roman" w:hAnsi="Calibri"/>
      <w:b/>
      <w:bCs/>
      <w:sz w:val="18"/>
      <w:szCs w:val="18"/>
      <w:lang w:eastAsia="en-US"/>
    </w:rPr>
  </w:style>
  <w:style w:type="paragraph" w:customStyle="1" w:styleId="TableText0">
    <w:name w:val="Table Text"/>
    <w:basedOn w:val="Normal"/>
    <w:next w:val="Normal"/>
    <w:rsid w:val="0062060D"/>
    <w:pPr>
      <w:spacing w:before="40" w:after="0" w:line="240" w:lineRule="auto"/>
    </w:pPr>
    <w:rPr>
      <w:rFonts w:ascii="Calibri" w:eastAsia="Times New Roman" w:hAnsi="Calibri"/>
      <w:sz w:val="18"/>
      <w:szCs w:val="18"/>
      <w:lang w:eastAsia="en-US"/>
    </w:rPr>
  </w:style>
  <w:style w:type="paragraph" w:customStyle="1" w:styleId="CommentaryText">
    <w:name w:val="Commentary Text"/>
    <w:basedOn w:val="Normal"/>
    <w:rsid w:val="0062060D"/>
    <w:pPr>
      <w:spacing w:after="120" w:line="240" w:lineRule="auto"/>
      <w:jc w:val="both"/>
    </w:pPr>
    <w:rPr>
      <w:rFonts w:ascii="Calibri" w:eastAsia="Times New Roman" w:hAnsi="Calibri"/>
      <w:sz w:val="20"/>
      <w:szCs w:val="16"/>
      <w:lang w:eastAsia="en-US"/>
    </w:rPr>
  </w:style>
  <w:style w:type="paragraph" w:customStyle="1" w:styleId="CommentaryHeading">
    <w:name w:val="Commentary Heading"/>
    <w:basedOn w:val="Normal"/>
    <w:rsid w:val="0062060D"/>
    <w:pPr>
      <w:keepNext/>
      <w:spacing w:before="120" w:after="60" w:line="240" w:lineRule="auto"/>
    </w:pPr>
    <w:rPr>
      <w:rFonts w:ascii="Calibri" w:eastAsia="Times New Roman" w:hAnsi="Calibri"/>
      <w:b/>
      <w:bCs/>
      <w:sz w:val="20"/>
      <w:szCs w:val="18"/>
      <w:lang w:eastAsia="en-US"/>
    </w:rPr>
  </w:style>
  <w:style w:type="paragraph" w:customStyle="1" w:styleId="Reference0">
    <w:name w:val="Reference"/>
    <w:basedOn w:val="TableTitle"/>
    <w:rsid w:val="0062060D"/>
    <w:pPr>
      <w:jc w:val="left"/>
    </w:pPr>
    <w:rPr>
      <w:sz w:val="20"/>
    </w:rPr>
  </w:style>
  <w:style w:type="paragraph" w:customStyle="1" w:styleId="Commentary-Bullet">
    <w:name w:val="Commentary - Bullet"/>
    <w:basedOn w:val="CommentaryText"/>
    <w:rsid w:val="0062060D"/>
    <w:pPr>
      <w:numPr>
        <w:numId w:val="10"/>
      </w:numPr>
      <w:tabs>
        <w:tab w:val="left" w:pos="3306"/>
      </w:tabs>
      <w:spacing w:after="60"/>
    </w:pPr>
  </w:style>
  <w:style w:type="paragraph" w:customStyle="1" w:styleId="headerhead">
    <w:name w:val="headerhead"/>
    <w:basedOn w:val="Normal"/>
    <w:link w:val="headerheadChar"/>
    <w:qFormat/>
    <w:rsid w:val="003826C2"/>
    <w:pPr>
      <w:spacing w:after="0" w:line="240" w:lineRule="auto"/>
      <w:jc w:val="center"/>
    </w:pPr>
    <w:rPr>
      <w:rFonts w:ascii="Calibri" w:eastAsia="Times New Roman" w:hAnsi="Calibri" w:cs="Arial"/>
      <w:b/>
      <w:caps/>
      <w:sz w:val="22"/>
      <w:szCs w:val="16"/>
      <w:lang w:eastAsia="en-US"/>
    </w:rPr>
  </w:style>
  <w:style w:type="character" w:customStyle="1" w:styleId="headerheadChar">
    <w:name w:val="headerhead Char"/>
    <w:link w:val="headerhead"/>
    <w:rsid w:val="003826C2"/>
    <w:rPr>
      <w:rFonts w:ascii="Calibri" w:eastAsia="Times New Roman" w:hAnsi="Calibri" w:cs="Arial"/>
      <w:b/>
      <w:caps/>
      <w:szCs w:val="16"/>
    </w:rPr>
  </w:style>
  <w:style w:type="paragraph" w:customStyle="1" w:styleId="Appxhead2">
    <w:name w:val="Appxhead2"/>
    <w:basedOn w:val="Normal"/>
    <w:link w:val="Appxhead2Char"/>
    <w:qFormat/>
    <w:rsid w:val="00B0598D"/>
    <w:pPr>
      <w:spacing w:before="240" w:after="120" w:line="240" w:lineRule="auto"/>
    </w:pPr>
    <w:rPr>
      <w:rFonts w:ascii="Arial" w:eastAsia="Times New Roman" w:hAnsi="Arial"/>
      <w:b/>
      <w:caps/>
      <w:sz w:val="28"/>
      <w:szCs w:val="28"/>
      <w:lang w:eastAsia="en-US"/>
    </w:rPr>
  </w:style>
  <w:style w:type="character" w:customStyle="1" w:styleId="Appxhead2Char">
    <w:name w:val="Appxhead2 Char"/>
    <w:link w:val="Appxhead2"/>
    <w:rsid w:val="00B0598D"/>
    <w:rPr>
      <w:rFonts w:ascii="Arial" w:eastAsia="Times New Roman" w:hAnsi="Arial" w:cs="Times New Roman"/>
      <w:b/>
      <w:caps/>
      <w:sz w:val="28"/>
      <w:szCs w:val="28"/>
    </w:rPr>
  </w:style>
  <w:style w:type="paragraph" w:customStyle="1" w:styleId="NotesNumber">
    <w:name w:val="Notes Number"/>
    <w:basedOn w:val="Normal"/>
    <w:rsid w:val="002C5CC0"/>
    <w:pPr>
      <w:numPr>
        <w:numId w:val="11"/>
      </w:numPr>
      <w:spacing w:after="0" w:line="240" w:lineRule="auto"/>
    </w:pPr>
    <w:rPr>
      <w:rFonts w:ascii="Calibri" w:eastAsia="Times New Roman" w:hAnsi="Calibri"/>
      <w:iCs/>
      <w:sz w:val="20"/>
      <w:szCs w:val="20"/>
      <w:lang w:eastAsia="en-US"/>
    </w:rPr>
  </w:style>
  <w:style w:type="paragraph" w:customStyle="1" w:styleId="NoteTitle">
    <w:name w:val="Note Title"/>
    <w:basedOn w:val="Normal"/>
    <w:rsid w:val="002C5CC0"/>
    <w:pPr>
      <w:numPr>
        <w:numId w:val="12"/>
      </w:numPr>
      <w:spacing w:after="240" w:line="240" w:lineRule="auto"/>
    </w:pPr>
    <w:rPr>
      <w:rFonts w:ascii="Calibri" w:eastAsia="Times New Roman" w:hAnsi="Calibri"/>
      <w:b/>
      <w:caps/>
      <w:sz w:val="22"/>
      <w:szCs w:val="16"/>
      <w:lang w:eastAsia="en-US"/>
    </w:rPr>
  </w:style>
  <w:style w:type="character" w:customStyle="1" w:styleId="apple-style-span">
    <w:name w:val="apple-style-span"/>
    <w:basedOn w:val="DefaultParagraphFont"/>
    <w:rsid w:val="002C5CC0"/>
  </w:style>
  <w:style w:type="paragraph" w:customStyle="1" w:styleId="NormalSF">
    <w:name w:val="Normal SF"/>
    <w:basedOn w:val="Normal"/>
    <w:qFormat/>
    <w:rsid w:val="002C5CC0"/>
    <w:pPr>
      <w:keepLines/>
      <w:spacing w:before="120" w:after="120" w:line="240" w:lineRule="auto"/>
    </w:pPr>
    <w:rPr>
      <w:rFonts w:ascii="Calibri" w:eastAsia="Times New Roman" w:hAnsi="Calibri"/>
      <w:sz w:val="22"/>
      <w:szCs w:val="24"/>
      <w:lang w:val="en-US"/>
    </w:rPr>
  </w:style>
  <w:style w:type="paragraph" w:styleId="FootnoteText">
    <w:name w:val="footnote text"/>
    <w:basedOn w:val="Normal"/>
    <w:link w:val="FootnoteTextChar"/>
    <w:semiHidden/>
    <w:rsid w:val="00DB315A"/>
    <w:pPr>
      <w:spacing w:after="0" w:line="240" w:lineRule="auto"/>
      <w:jc w:val="both"/>
    </w:pPr>
    <w:rPr>
      <w:rFonts w:ascii="Calibri" w:eastAsia="Times New Roman" w:hAnsi="Calibri"/>
      <w:color w:val="008000"/>
      <w:sz w:val="16"/>
      <w:szCs w:val="16"/>
      <w:lang w:eastAsia="en-US"/>
    </w:rPr>
  </w:style>
  <w:style w:type="character" w:customStyle="1" w:styleId="FootnoteTextChar">
    <w:name w:val="Footnote Text Char"/>
    <w:basedOn w:val="DefaultParagraphFont"/>
    <w:link w:val="FootnoteText"/>
    <w:semiHidden/>
    <w:rsid w:val="00DB315A"/>
    <w:rPr>
      <w:rFonts w:ascii="Calibri" w:eastAsia="Times New Roman" w:hAnsi="Calibri" w:cs="Times New Roman"/>
      <w:color w:val="008000"/>
      <w:sz w:val="16"/>
      <w:szCs w:val="16"/>
    </w:rPr>
  </w:style>
  <w:style w:type="character" w:styleId="FootnoteReference">
    <w:name w:val="footnote reference"/>
    <w:semiHidden/>
    <w:rsid w:val="00DB315A"/>
    <w:rPr>
      <w:vertAlign w:val="superscript"/>
    </w:rPr>
  </w:style>
  <w:style w:type="character" w:customStyle="1" w:styleId="cf01">
    <w:name w:val="cf01"/>
    <w:basedOn w:val="DefaultParagraphFont"/>
    <w:rsid w:val="00A03F0B"/>
    <w:rPr>
      <w:rFonts w:ascii="Segoe UI" w:hAnsi="Segoe UI" w:cs="Segoe UI" w:hint="default"/>
      <w:sz w:val="18"/>
      <w:szCs w:val="18"/>
    </w:rPr>
  </w:style>
  <w:style w:type="paragraph" w:customStyle="1" w:styleId="pf0">
    <w:name w:val="pf0"/>
    <w:basedOn w:val="Normal"/>
    <w:rsid w:val="0091524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010">
      <w:bodyDiv w:val="1"/>
      <w:marLeft w:val="0"/>
      <w:marRight w:val="0"/>
      <w:marTop w:val="0"/>
      <w:marBottom w:val="0"/>
      <w:divBdr>
        <w:top w:val="none" w:sz="0" w:space="0" w:color="auto"/>
        <w:left w:val="none" w:sz="0" w:space="0" w:color="auto"/>
        <w:bottom w:val="none" w:sz="0" w:space="0" w:color="auto"/>
        <w:right w:val="none" w:sz="0" w:space="0" w:color="auto"/>
      </w:divBdr>
    </w:div>
    <w:div w:id="568272210">
      <w:bodyDiv w:val="1"/>
      <w:marLeft w:val="0"/>
      <w:marRight w:val="0"/>
      <w:marTop w:val="0"/>
      <w:marBottom w:val="0"/>
      <w:divBdr>
        <w:top w:val="none" w:sz="0" w:space="0" w:color="auto"/>
        <w:left w:val="none" w:sz="0" w:space="0" w:color="auto"/>
        <w:bottom w:val="none" w:sz="0" w:space="0" w:color="auto"/>
        <w:right w:val="none" w:sz="0" w:space="0" w:color="auto"/>
      </w:divBdr>
    </w:div>
    <w:div w:id="1028137396">
      <w:bodyDiv w:val="1"/>
      <w:marLeft w:val="0"/>
      <w:marRight w:val="0"/>
      <w:marTop w:val="0"/>
      <w:marBottom w:val="0"/>
      <w:divBdr>
        <w:top w:val="none" w:sz="0" w:space="0" w:color="auto"/>
        <w:left w:val="none" w:sz="0" w:space="0" w:color="auto"/>
        <w:bottom w:val="none" w:sz="0" w:space="0" w:color="auto"/>
        <w:right w:val="none" w:sz="0" w:space="0" w:color="auto"/>
      </w:divBdr>
    </w:div>
    <w:div w:id="1173491208">
      <w:bodyDiv w:val="1"/>
      <w:marLeft w:val="0"/>
      <w:marRight w:val="0"/>
      <w:marTop w:val="0"/>
      <w:marBottom w:val="0"/>
      <w:divBdr>
        <w:top w:val="none" w:sz="0" w:space="0" w:color="auto"/>
        <w:left w:val="none" w:sz="0" w:space="0" w:color="auto"/>
        <w:bottom w:val="none" w:sz="0" w:space="0" w:color="auto"/>
        <w:right w:val="none" w:sz="0" w:space="0" w:color="auto"/>
      </w:divBdr>
    </w:div>
    <w:div w:id="1184786558">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32496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asury.act.gov.au/accountin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ha%20bourke\AppData\Local\Packages\Microsoft.MicrosoftEdge_8wekyb3d8bbwe\TempState\Downloads\Publication-template-purple%20(1).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F93E9-FB59-449A-A194-78CB0B729466}">
  <ds:schemaRefs>
    <ds:schemaRef ds:uri="http://schemas.openxmlformats.org/officeDocument/2006/bibliography"/>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6EE1BB-F3B4-4C3D-9BCE-638962B089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Publication-template-purple (1)</Template>
  <TotalTime>1</TotalTime>
  <Pages>20</Pages>
  <Words>6193</Words>
  <Characters>35302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AADP 309 - ACT Accounting Disclosure Paper on the 2023-24 Standards issued but yet to be Applied July 2024</vt:lpstr>
    </vt:vector>
  </TitlesOfParts>
  <Company>ACT Government</Company>
  <LinksUpToDate>false</LinksUpToDate>
  <CharactersWithSpaces>41413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AADP 309 - ACT Accounting Disclosure Paper on the 2023-24 Standards issued but yet to be Applied July 2024</dc:title>
  <dc:subject>Publication template purple</dc:subject>
  <dc:creator>ACT Government</dc:creator>
  <cp:keywords/>
  <dc:description/>
  <cp:lastModifiedBy>Lo, Jonathan</cp:lastModifiedBy>
  <cp:revision>2</cp:revision>
  <cp:lastPrinted>2023-07-10T00:43:00Z</cp:lastPrinted>
  <dcterms:created xsi:type="dcterms:W3CDTF">2026-07-01T23:20:00Z</dcterms:created>
  <dcterms:modified xsi:type="dcterms:W3CDTF">2026-07-01T23:20:00Z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2024-06-24T02:01:59Z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b47d01b0-0912-41bd-b270-8d6026bc6b72</vt:lpwstr>
  </property>
  <property fmtid="{D5CDD505-2E9C-101B-9397-08002B2CF9AE}" pid="8" name="MSIP_Label_69af8531-eb46-4968-8cb3-105d2f5ea87e_ContentBits">
    <vt:lpwstr>0</vt:lpwstr>
  </property>
</Properties>
</file>