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DAFC" w14:textId="026A63E9" w:rsidR="00CF5C85" w:rsidRDefault="005F7C37" w:rsidP="009A3151">
      <w:pPr>
        <w:pStyle w:val="Footer"/>
        <w:tabs>
          <w:tab w:val="clear" w:pos="4153"/>
          <w:tab w:val="clear" w:pos="8306"/>
        </w:tabs>
        <w:jc w:val="center"/>
        <w:rPr>
          <w:rFonts w:cs="Calibri"/>
          <w:b/>
        </w:rPr>
      </w:pPr>
      <w:r w:rsidRPr="002334EA">
        <w:rPr>
          <w:rFonts w:cs="Calibri"/>
          <w:b/>
          <w:noProof/>
          <w:lang w:eastAsia="en-AU"/>
        </w:rPr>
        <w:drawing>
          <wp:inline distT="0" distB="0" distL="0" distR="0" wp14:anchorId="0AA11B14" wp14:editId="5B1A304E">
            <wp:extent cx="2400300" cy="1133475"/>
            <wp:effectExtent l="0" t="0" r="0" b="9525"/>
            <wp:docPr id="1" name="Picture 1" descr="ACT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133475"/>
                    </a:xfrm>
                    <a:prstGeom prst="rect">
                      <a:avLst/>
                    </a:prstGeom>
                    <a:noFill/>
                    <a:ln>
                      <a:noFill/>
                    </a:ln>
                  </pic:spPr>
                </pic:pic>
              </a:graphicData>
            </a:graphic>
          </wp:inline>
        </w:drawing>
      </w:r>
    </w:p>
    <w:p w14:paraId="08F19864" w14:textId="77777777" w:rsidR="000B5D97" w:rsidRPr="00E056F8" w:rsidRDefault="000B5D97">
      <w:pPr>
        <w:pStyle w:val="Footer"/>
        <w:tabs>
          <w:tab w:val="clear" w:pos="4153"/>
          <w:tab w:val="clear" w:pos="8306"/>
        </w:tabs>
        <w:rPr>
          <w:rFonts w:cs="Calibri"/>
        </w:rPr>
      </w:pPr>
    </w:p>
    <w:p w14:paraId="22BC66A9" w14:textId="77777777" w:rsidR="00A72724" w:rsidRDefault="009C4957" w:rsidP="00A72724">
      <w:pPr>
        <w:pStyle w:val="Title"/>
      </w:pPr>
      <w:r w:rsidRPr="00211FF6">
        <w:t>AADP 30</w:t>
      </w:r>
      <w:r>
        <w:t>4</w:t>
      </w:r>
      <w:r w:rsidRPr="00211FF6">
        <w:t xml:space="preserve"> </w:t>
      </w:r>
      <w:r w:rsidRPr="006C3547">
        <w:t xml:space="preserve">ACT Accounting Disclosure Paper </w:t>
      </w:r>
    </w:p>
    <w:p w14:paraId="0B318477" w14:textId="77C02E48" w:rsidR="009C4957" w:rsidRPr="00E056F8" w:rsidRDefault="009C4957" w:rsidP="00A72724">
      <w:pPr>
        <w:pStyle w:val="Title"/>
      </w:pPr>
      <w:r w:rsidRPr="006C3547">
        <w:t>on</w:t>
      </w:r>
    </w:p>
    <w:p w14:paraId="1CE5F2AF" w14:textId="77777777" w:rsidR="00CF5C85" w:rsidRPr="00546699" w:rsidRDefault="00B2472E" w:rsidP="000B5D97">
      <w:pPr>
        <w:pStyle w:val="Title"/>
        <w:rPr>
          <w:color w:val="000000"/>
        </w:rPr>
      </w:pPr>
      <w:bookmarkStart w:id="0" w:name="_Toc234290670"/>
      <w:bookmarkStart w:id="1" w:name="_Toc45264665"/>
      <w:r w:rsidRPr="000B5D97">
        <w:t xml:space="preserve">Treatment of </w:t>
      </w:r>
      <w:r w:rsidRPr="000B5D97">
        <w:br/>
        <w:t xml:space="preserve">AASB Standards </w:t>
      </w:r>
      <w:r w:rsidR="008B5C0D" w:rsidRPr="000B5D97">
        <w:t>i</w:t>
      </w:r>
      <w:r w:rsidRPr="000B5D97">
        <w:t>ssued</w:t>
      </w:r>
      <w:r w:rsidRPr="000B5D97">
        <w:br/>
        <w:t xml:space="preserve">which are not </w:t>
      </w:r>
      <w:r w:rsidR="00383E86" w:rsidRPr="000B5D97">
        <w:t xml:space="preserve">yet </w:t>
      </w:r>
      <w:r w:rsidR="007D7141" w:rsidRPr="000B5D97">
        <w:t>effective</w:t>
      </w:r>
      <w:r w:rsidR="008B5C0D" w:rsidRPr="000B5D97">
        <w:br/>
        <w:t>as at 30 June</w:t>
      </w:r>
      <w:bookmarkEnd w:id="0"/>
      <w:r w:rsidR="00D2248C" w:rsidRPr="00D2248C">
        <w:rPr>
          <w:rFonts w:ascii="Arial Bold" w:hAnsi="Arial Bold"/>
        </w:rPr>
        <w:t xml:space="preserve"> </w:t>
      </w:r>
      <w:r w:rsidR="00B06821" w:rsidRPr="00546699">
        <w:rPr>
          <w:rFonts w:ascii="Arial Bold" w:hAnsi="Arial Bold"/>
          <w:color w:val="000000"/>
        </w:rPr>
        <w:t>2020</w:t>
      </w:r>
      <w:bookmarkEnd w:id="1"/>
    </w:p>
    <w:p w14:paraId="3C9BD254" w14:textId="30BB2774" w:rsidR="00B2472E" w:rsidRDefault="00B2472E" w:rsidP="001447FE">
      <w:pPr>
        <w:rPr>
          <w:rFonts w:cs="Calibri"/>
        </w:rPr>
      </w:pPr>
    </w:p>
    <w:p w14:paraId="16E5609D" w14:textId="0DA6B545" w:rsidR="00A72724" w:rsidRDefault="00A72724" w:rsidP="001447FE">
      <w:pPr>
        <w:rPr>
          <w:rFonts w:cs="Calibri"/>
        </w:rPr>
      </w:pPr>
    </w:p>
    <w:p w14:paraId="4F84DC40" w14:textId="49D4AA88" w:rsidR="00A72724" w:rsidRDefault="00A72724" w:rsidP="001447FE">
      <w:pPr>
        <w:rPr>
          <w:rFonts w:cs="Calibri"/>
        </w:rPr>
      </w:pPr>
    </w:p>
    <w:p w14:paraId="7E9F0389" w14:textId="491E769B" w:rsidR="00A72724" w:rsidRDefault="00A72724" w:rsidP="001447FE">
      <w:pPr>
        <w:rPr>
          <w:rFonts w:cs="Calibri"/>
        </w:rPr>
      </w:pPr>
    </w:p>
    <w:p w14:paraId="30B8E70F" w14:textId="3C2B4855" w:rsidR="00A72724" w:rsidRDefault="00A72724" w:rsidP="001447FE">
      <w:pPr>
        <w:rPr>
          <w:rFonts w:cs="Calibri"/>
        </w:rPr>
      </w:pPr>
    </w:p>
    <w:p w14:paraId="6382C71C" w14:textId="2FC5CBE8" w:rsidR="00A72724" w:rsidRDefault="00A72724" w:rsidP="001447FE">
      <w:pPr>
        <w:rPr>
          <w:rFonts w:cs="Calibri"/>
        </w:rPr>
      </w:pPr>
    </w:p>
    <w:p w14:paraId="522C443E" w14:textId="076041E4" w:rsidR="00A72724" w:rsidRDefault="00A72724" w:rsidP="001447FE">
      <w:pPr>
        <w:rPr>
          <w:rFonts w:cs="Calibri"/>
        </w:rPr>
      </w:pPr>
    </w:p>
    <w:p w14:paraId="12CC7F81" w14:textId="767C1F7A" w:rsidR="00A72724" w:rsidRDefault="00A72724" w:rsidP="001447FE">
      <w:pPr>
        <w:rPr>
          <w:rFonts w:cs="Calibri"/>
        </w:rPr>
      </w:pPr>
    </w:p>
    <w:p w14:paraId="12D0780B" w14:textId="7D779A63" w:rsidR="00A72724" w:rsidRDefault="00A72724" w:rsidP="001447FE">
      <w:pPr>
        <w:rPr>
          <w:rFonts w:cs="Calibri"/>
        </w:rPr>
      </w:pPr>
    </w:p>
    <w:p w14:paraId="706AB55C" w14:textId="77777777" w:rsidR="00A72724" w:rsidRPr="00E056F8" w:rsidRDefault="00A72724" w:rsidP="001447FE">
      <w:pPr>
        <w:rPr>
          <w:rFonts w:cs="Calibri"/>
        </w:rPr>
      </w:pPr>
    </w:p>
    <w:p w14:paraId="40E0C78B" w14:textId="77777777" w:rsidR="00CF5C85" w:rsidRPr="00D2248C" w:rsidRDefault="00CF5C85" w:rsidP="000B5D97">
      <w:pPr>
        <w:pStyle w:val="Title"/>
      </w:pPr>
      <w:bookmarkStart w:id="2" w:name="_Toc234290671"/>
      <w:bookmarkStart w:id="3" w:name="_Toc45264666"/>
      <w:r w:rsidRPr="000B5D97">
        <w:t xml:space="preserve">For </w:t>
      </w:r>
      <w:r w:rsidR="008F356C" w:rsidRPr="007A3F6A">
        <w:t>THE</w:t>
      </w:r>
      <w:r w:rsidR="008F356C">
        <w:t xml:space="preserve"> </w:t>
      </w:r>
      <w:r w:rsidRPr="000B5D97">
        <w:t>reporting period end</w:t>
      </w:r>
      <w:r w:rsidR="008F356C" w:rsidRPr="007A3F6A">
        <w:rPr>
          <w:color w:val="000000"/>
        </w:rPr>
        <w:t>ED</w:t>
      </w:r>
      <w:r w:rsidR="007A3F6A">
        <w:rPr>
          <w:color w:val="000000"/>
        </w:rPr>
        <w:t xml:space="preserve"> </w:t>
      </w:r>
      <w:r w:rsidR="009B209A" w:rsidRPr="000B5D97">
        <w:br/>
      </w:r>
      <w:r w:rsidRPr="000B5D97">
        <w:t xml:space="preserve">30 June </w:t>
      </w:r>
      <w:bookmarkEnd w:id="2"/>
      <w:r w:rsidR="00D2248C" w:rsidRPr="00C20884">
        <w:rPr>
          <w:rFonts w:ascii="Arial Bold" w:hAnsi="Arial Bold"/>
        </w:rPr>
        <w:t>20</w:t>
      </w:r>
      <w:r w:rsidR="00B06821" w:rsidRPr="00EB1620">
        <w:rPr>
          <w:rFonts w:ascii="Arial Bold" w:hAnsi="Arial Bold"/>
        </w:rPr>
        <w:t>20</w:t>
      </w:r>
      <w:bookmarkEnd w:id="3"/>
    </w:p>
    <w:p w14:paraId="0A53EFF9" w14:textId="77777777" w:rsidR="00CF5C85" w:rsidRPr="00E056F8" w:rsidRDefault="00CF5C85">
      <w:pPr>
        <w:rPr>
          <w:rFonts w:cs="Calibri"/>
        </w:rPr>
      </w:pPr>
    </w:p>
    <w:p w14:paraId="5129DA14" w14:textId="77777777" w:rsidR="00CF5C85" w:rsidRPr="00E056F8" w:rsidRDefault="00CF5C85">
      <w:pPr>
        <w:rPr>
          <w:rFonts w:cs="Calibri"/>
        </w:rPr>
        <w:sectPr w:rsidR="00CF5C85" w:rsidRPr="00E056F8" w:rsidSect="00676544">
          <w:footerReference w:type="even" r:id="rId12"/>
          <w:footerReference w:type="default" r:id="rId13"/>
          <w:footerReference w:type="first" r:id="rId14"/>
          <w:pgSz w:w="11907" w:h="16840" w:code="9"/>
          <w:pgMar w:top="1440" w:right="1797" w:bottom="1440" w:left="1797" w:header="720" w:footer="720" w:gutter="0"/>
          <w:pgNumType w:fmt="lowerRoman"/>
          <w:cols w:space="720"/>
          <w:noEndnote/>
          <w:titlePg/>
        </w:sectPr>
      </w:pPr>
    </w:p>
    <w:p w14:paraId="4DA01B10" w14:textId="77777777" w:rsidR="00E85BD9" w:rsidRPr="00FC069E" w:rsidRDefault="00D55647" w:rsidP="00FC069E">
      <w:pPr>
        <w:pStyle w:val="Subtitle"/>
      </w:pPr>
      <w:bookmarkStart w:id="4" w:name="_Toc45264667"/>
      <w:r>
        <w:lastRenderedPageBreak/>
        <w:t>Table of Contents</w:t>
      </w:r>
      <w:bookmarkEnd w:id="4"/>
    </w:p>
    <w:p w14:paraId="123B20F0" w14:textId="613A9553" w:rsidR="00E963C4" w:rsidRPr="008743F1" w:rsidRDefault="0071010C">
      <w:pPr>
        <w:pStyle w:val="TOC1"/>
        <w:rPr>
          <w:b w:val="0"/>
          <w:bCs w:val="0"/>
          <w:caps w:val="0"/>
          <w:noProof/>
          <w:sz w:val="22"/>
          <w:szCs w:val="22"/>
          <w:lang w:eastAsia="en-AU"/>
        </w:rPr>
      </w:pPr>
      <w:r>
        <w:fldChar w:fldCharType="begin"/>
      </w:r>
      <w:r>
        <w:instrText xml:space="preserve"> TOC \o "1-2" \h \z \u </w:instrText>
      </w:r>
      <w:r>
        <w:fldChar w:fldCharType="separate"/>
      </w:r>
      <w:hyperlink w:anchor="_Toc45264664" w:history="1">
        <w:r w:rsidR="00E963C4" w:rsidRPr="003D781F">
          <w:rPr>
            <w:rStyle w:val="Hyperlink"/>
            <w:noProof/>
          </w:rPr>
          <w:t>ACT Accounting Policy</w:t>
        </w:r>
        <w:r w:rsidR="00E963C4">
          <w:rPr>
            <w:noProof/>
            <w:webHidden/>
          </w:rPr>
          <w:tab/>
        </w:r>
        <w:r w:rsidR="00E963C4">
          <w:rPr>
            <w:noProof/>
            <w:webHidden/>
          </w:rPr>
          <w:fldChar w:fldCharType="begin"/>
        </w:r>
        <w:r w:rsidR="00E963C4">
          <w:rPr>
            <w:noProof/>
            <w:webHidden/>
          </w:rPr>
          <w:instrText xml:space="preserve"> PAGEREF _Toc45264664 \h </w:instrText>
        </w:r>
        <w:r w:rsidR="00E963C4">
          <w:rPr>
            <w:noProof/>
            <w:webHidden/>
          </w:rPr>
        </w:r>
        <w:r w:rsidR="00E963C4">
          <w:rPr>
            <w:noProof/>
            <w:webHidden/>
          </w:rPr>
          <w:fldChar w:fldCharType="separate"/>
        </w:r>
        <w:r w:rsidR="00A54815">
          <w:rPr>
            <w:noProof/>
            <w:webHidden/>
          </w:rPr>
          <w:t>i</w:t>
        </w:r>
        <w:r w:rsidR="00E963C4">
          <w:rPr>
            <w:noProof/>
            <w:webHidden/>
          </w:rPr>
          <w:fldChar w:fldCharType="end"/>
        </w:r>
      </w:hyperlink>
    </w:p>
    <w:p w14:paraId="016B4ECA" w14:textId="5E33EEC1" w:rsidR="00E963C4" w:rsidRPr="008743F1" w:rsidRDefault="00A72724">
      <w:pPr>
        <w:pStyle w:val="TOC1"/>
        <w:rPr>
          <w:b w:val="0"/>
          <w:bCs w:val="0"/>
          <w:caps w:val="0"/>
          <w:noProof/>
          <w:sz w:val="22"/>
          <w:szCs w:val="22"/>
          <w:lang w:eastAsia="en-AU"/>
        </w:rPr>
      </w:pPr>
      <w:hyperlink w:anchor="_Toc45264665" w:history="1">
        <w:r w:rsidR="00E963C4" w:rsidRPr="003D781F">
          <w:rPr>
            <w:rStyle w:val="Hyperlink"/>
            <w:noProof/>
          </w:rPr>
          <w:t>Treatment of  AASB Standards issued which are not yet effective as at 30 June</w:t>
        </w:r>
        <w:r w:rsidR="00E963C4" w:rsidRPr="003D781F">
          <w:rPr>
            <w:rStyle w:val="Hyperlink"/>
            <w:rFonts w:ascii="Arial Bold" w:hAnsi="Arial Bold"/>
            <w:noProof/>
          </w:rPr>
          <w:t xml:space="preserve"> 2020</w:t>
        </w:r>
        <w:r w:rsidR="00E963C4">
          <w:rPr>
            <w:noProof/>
            <w:webHidden/>
          </w:rPr>
          <w:tab/>
        </w:r>
        <w:r w:rsidR="00E963C4">
          <w:rPr>
            <w:noProof/>
            <w:webHidden/>
          </w:rPr>
          <w:fldChar w:fldCharType="begin"/>
        </w:r>
        <w:r w:rsidR="00E963C4">
          <w:rPr>
            <w:noProof/>
            <w:webHidden/>
          </w:rPr>
          <w:instrText xml:space="preserve"> PAGEREF _Toc45264665 \h </w:instrText>
        </w:r>
        <w:r w:rsidR="00E963C4">
          <w:rPr>
            <w:noProof/>
            <w:webHidden/>
          </w:rPr>
        </w:r>
        <w:r w:rsidR="00E963C4">
          <w:rPr>
            <w:noProof/>
            <w:webHidden/>
          </w:rPr>
          <w:fldChar w:fldCharType="separate"/>
        </w:r>
        <w:r w:rsidR="00A54815">
          <w:rPr>
            <w:noProof/>
            <w:webHidden/>
          </w:rPr>
          <w:t>i</w:t>
        </w:r>
        <w:r w:rsidR="00E963C4">
          <w:rPr>
            <w:noProof/>
            <w:webHidden/>
          </w:rPr>
          <w:fldChar w:fldCharType="end"/>
        </w:r>
      </w:hyperlink>
    </w:p>
    <w:p w14:paraId="0CBA4652" w14:textId="0BFB129C" w:rsidR="00E963C4" w:rsidRPr="008743F1" w:rsidRDefault="00A72724">
      <w:pPr>
        <w:pStyle w:val="TOC1"/>
        <w:rPr>
          <w:b w:val="0"/>
          <w:bCs w:val="0"/>
          <w:caps w:val="0"/>
          <w:noProof/>
          <w:sz w:val="22"/>
          <w:szCs w:val="22"/>
          <w:lang w:eastAsia="en-AU"/>
        </w:rPr>
      </w:pPr>
      <w:hyperlink w:anchor="_Toc45264666" w:history="1">
        <w:r w:rsidR="00E963C4" w:rsidRPr="003D781F">
          <w:rPr>
            <w:rStyle w:val="Hyperlink"/>
            <w:noProof/>
          </w:rPr>
          <w:t xml:space="preserve">For THE reporting period endED  30 June </w:t>
        </w:r>
        <w:r w:rsidR="00E963C4" w:rsidRPr="003D781F">
          <w:rPr>
            <w:rStyle w:val="Hyperlink"/>
            <w:rFonts w:ascii="Arial Bold" w:hAnsi="Arial Bold"/>
            <w:noProof/>
          </w:rPr>
          <w:t>2020</w:t>
        </w:r>
        <w:r w:rsidR="00E963C4">
          <w:rPr>
            <w:noProof/>
            <w:webHidden/>
          </w:rPr>
          <w:tab/>
        </w:r>
        <w:r w:rsidR="00E963C4">
          <w:rPr>
            <w:noProof/>
            <w:webHidden/>
          </w:rPr>
          <w:fldChar w:fldCharType="begin"/>
        </w:r>
        <w:r w:rsidR="00E963C4">
          <w:rPr>
            <w:noProof/>
            <w:webHidden/>
          </w:rPr>
          <w:instrText xml:space="preserve"> PAGEREF _Toc45264666 \h </w:instrText>
        </w:r>
        <w:r w:rsidR="00E963C4">
          <w:rPr>
            <w:noProof/>
            <w:webHidden/>
          </w:rPr>
        </w:r>
        <w:r w:rsidR="00E963C4">
          <w:rPr>
            <w:noProof/>
            <w:webHidden/>
          </w:rPr>
          <w:fldChar w:fldCharType="separate"/>
        </w:r>
        <w:r w:rsidR="00A54815">
          <w:rPr>
            <w:noProof/>
            <w:webHidden/>
          </w:rPr>
          <w:t>i</w:t>
        </w:r>
        <w:r w:rsidR="00E963C4">
          <w:rPr>
            <w:noProof/>
            <w:webHidden/>
          </w:rPr>
          <w:fldChar w:fldCharType="end"/>
        </w:r>
      </w:hyperlink>
    </w:p>
    <w:p w14:paraId="61286E56" w14:textId="04ECE558" w:rsidR="00E963C4" w:rsidRPr="008743F1" w:rsidRDefault="00A72724">
      <w:pPr>
        <w:pStyle w:val="TOC2"/>
        <w:rPr>
          <w:rFonts w:cs="Times New Roman"/>
          <w:szCs w:val="22"/>
          <w:lang w:eastAsia="en-AU"/>
        </w:rPr>
      </w:pPr>
      <w:hyperlink w:anchor="_Toc45264667" w:history="1">
        <w:r w:rsidR="00E963C4" w:rsidRPr="003D781F">
          <w:rPr>
            <w:rStyle w:val="Hyperlink"/>
          </w:rPr>
          <w:t>Table of Contents</w:t>
        </w:r>
        <w:r w:rsidR="00E963C4">
          <w:rPr>
            <w:webHidden/>
          </w:rPr>
          <w:tab/>
        </w:r>
        <w:r w:rsidR="00E963C4">
          <w:rPr>
            <w:webHidden/>
          </w:rPr>
          <w:fldChar w:fldCharType="begin"/>
        </w:r>
        <w:r w:rsidR="00E963C4">
          <w:rPr>
            <w:webHidden/>
          </w:rPr>
          <w:instrText xml:space="preserve"> PAGEREF _Toc45264667 \h </w:instrText>
        </w:r>
        <w:r w:rsidR="00E963C4">
          <w:rPr>
            <w:webHidden/>
          </w:rPr>
        </w:r>
        <w:r w:rsidR="00E963C4">
          <w:rPr>
            <w:webHidden/>
          </w:rPr>
          <w:fldChar w:fldCharType="separate"/>
        </w:r>
        <w:r w:rsidR="00A54815">
          <w:rPr>
            <w:webHidden/>
          </w:rPr>
          <w:t>i</w:t>
        </w:r>
        <w:r w:rsidR="00E963C4">
          <w:rPr>
            <w:webHidden/>
          </w:rPr>
          <w:fldChar w:fldCharType="end"/>
        </w:r>
      </w:hyperlink>
    </w:p>
    <w:p w14:paraId="671DC792" w14:textId="66B308D4" w:rsidR="00E963C4" w:rsidRPr="008743F1" w:rsidRDefault="00A72724">
      <w:pPr>
        <w:pStyle w:val="TOC1"/>
        <w:rPr>
          <w:b w:val="0"/>
          <w:bCs w:val="0"/>
          <w:caps w:val="0"/>
          <w:noProof/>
          <w:sz w:val="22"/>
          <w:szCs w:val="22"/>
          <w:lang w:eastAsia="en-AU"/>
        </w:rPr>
      </w:pPr>
      <w:hyperlink w:anchor="_Toc45264668" w:history="1">
        <w:r w:rsidR="00E963C4" w:rsidRPr="003D781F">
          <w:rPr>
            <w:rStyle w:val="Hyperlink"/>
            <w:rFonts w:cs="Calibri"/>
            <w:noProof/>
          </w:rPr>
          <w:t>1</w:t>
        </w:r>
        <w:r w:rsidR="00E963C4" w:rsidRPr="008743F1">
          <w:rPr>
            <w:b w:val="0"/>
            <w:bCs w:val="0"/>
            <w:caps w:val="0"/>
            <w:noProof/>
            <w:sz w:val="22"/>
            <w:szCs w:val="22"/>
            <w:lang w:eastAsia="en-AU"/>
          </w:rPr>
          <w:tab/>
        </w:r>
        <w:r w:rsidR="00E963C4" w:rsidRPr="003D781F">
          <w:rPr>
            <w:rStyle w:val="Hyperlink"/>
            <w:rFonts w:cs="Calibri"/>
            <w:noProof/>
          </w:rPr>
          <w:t>Introduction</w:t>
        </w:r>
        <w:r w:rsidR="00E963C4">
          <w:rPr>
            <w:noProof/>
            <w:webHidden/>
          </w:rPr>
          <w:tab/>
        </w:r>
        <w:r w:rsidR="00E963C4">
          <w:rPr>
            <w:noProof/>
            <w:webHidden/>
          </w:rPr>
          <w:fldChar w:fldCharType="begin"/>
        </w:r>
        <w:r w:rsidR="00E963C4">
          <w:rPr>
            <w:noProof/>
            <w:webHidden/>
          </w:rPr>
          <w:instrText xml:space="preserve"> PAGEREF _Toc45264668 \h </w:instrText>
        </w:r>
        <w:r w:rsidR="00E963C4">
          <w:rPr>
            <w:noProof/>
            <w:webHidden/>
          </w:rPr>
        </w:r>
        <w:r w:rsidR="00E963C4">
          <w:rPr>
            <w:noProof/>
            <w:webHidden/>
          </w:rPr>
          <w:fldChar w:fldCharType="separate"/>
        </w:r>
        <w:r w:rsidR="00A54815">
          <w:rPr>
            <w:noProof/>
            <w:webHidden/>
          </w:rPr>
          <w:t>1</w:t>
        </w:r>
        <w:r w:rsidR="00E963C4">
          <w:rPr>
            <w:noProof/>
            <w:webHidden/>
          </w:rPr>
          <w:fldChar w:fldCharType="end"/>
        </w:r>
      </w:hyperlink>
    </w:p>
    <w:p w14:paraId="7C7E2AF7" w14:textId="654FA330" w:rsidR="00E963C4" w:rsidRPr="008743F1" w:rsidRDefault="00A72724">
      <w:pPr>
        <w:pStyle w:val="TOC2"/>
        <w:rPr>
          <w:rFonts w:cs="Times New Roman"/>
          <w:szCs w:val="22"/>
          <w:lang w:eastAsia="en-AU"/>
        </w:rPr>
      </w:pPr>
      <w:hyperlink w:anchor="_Toc45264669" w:history="1">
        <w:r w:rsidR="00E963C4" w:rsidRPr="003D781F">
          <w:rPr>
            <w:rStyle w:val="Hyperlink"/>
          </w:rPr>
          <w:t>1.1</w:t>
        </w:r>
        <w:r w:rsidR="00E963C4" w:rsidRPr="008743F1">
          <w:rPr>
            <w:rFonts w:cs="Times New Roman"/>
            <w:szCs w:val="22"/>
            <w:lang w:eastAsia="en-AU"/>
          </w:rPr>
          <w:tab/>
        </w:r>
        <w:r w:rsidR="00E963C4" w:rsidRPr="003D781F">
          <w:rPr>
            <w:rStyle w:val="Hyperlink"/>
          </w:rPr>
          <w:t>Application</w:t>
        </w:r>
        <w:r w:rsidR="00E963C4">
          <w:rPr>
            <w:webHidden/>
          </w:rPr>
          <w:tab/>
        </w:r>
        <w:r w:rsidR="00E963C4">
          <w:rPr>
            <w:webHidden/>
          </w:rPr>
          <w:fldChar w:fldCharType="begin"/>
        </w:r>
        <w:r w:rsidR="00E963C4">
          <w:rPr>
            <w:webHidden/>
          </w:rPr>
          <w:instrText xml:space="preserve"> PAGEREF _Toc45264669 \h </w:instrText>
        </w:r>
        <w:r w:rsidR="00E963C4">
          <w:rPr>
            <w:webHidden/>
          </w:rPr>
        </w:r>
        <w:r w:rsidR="00E963C4">
          <w:rPr>
            <w:webHidden/>
          </w:rPr>
          <w:fldChar w:fldCharType="separate"/>
        </w:r>
        <w:r w:rsidR="00A54815">
          <w:rPr>
            <w:webHidden/>
          </w:rPr>
          <w:t>1</w:t>
        </w:r>
        <w:r w:rsidR="00E963C4">
          <w:rPr>
            <w:webHidden/>
          </w:rPr>
          <w:fldChar w:fldCharType="end"/>
        </w:r>
      </w:hyperlink>
    </w:p>
    <w:p w14:paraId="0F433A66" w14:textId="632F3DCD" w:rsidR="00E963C4" w:rsidRPr="008743F1" w:rsidRDefault="00A72724">
      <w:pPr>
        <w:pStyle w:val="TOC1"/>
        <w:rPr>
          <w:b w:val="0"/>
          <w:bCs w:val="0"/>
          <w:caps w:val="0"/>
          <w:noProof/>
          <w:sz w:val="22"/>
          <w:szCs w:val="22"/>
          <w:lang w:eastAsia="en-AU"/>
        </w:rPr>
      </w:pPr>
      <w:hyperlink w:anchor="_Toc45264670" w:history="1">
        <w:r w:rsidR="00E963C4" w:rsidRPr="003D781F">
          <w:rPr>
            <w:rStyle w:val="Hyperlink"/>
            <w:rFonts w:cs="Calibri"/>
            <w:noProof/>
          </w:rPr>
          <w:t>2</w:t>
        </w:r>
        <w:r w:rsidR="00E963C4" w:rsidRPr="008743F1">
          <w:rPr>
            <w:b w:val="0"/>
            <w:bCs w:val="0"/>
            <w:caps w:val="0"/>
            <w:noProof/>
            <w:sz w:val="22"/>
            <w:szCs w:val="22"/>
            <w:lang w:eastAsia="en-AU"/>
          </w:rPr>
          <w:tab/>
        </w:r>
        <w:r w:rsidR="00E963C4" w:rsidRPr="003D781F">
          <w:rPr>
            <w:rStyle w:val="Hyperlink"/>
            <w:rFonts w:cs="Calibri"/>
            <w:noProof/>
          </w:rPr>
          <w:t>Treatment of AASB Standards Issued Which are Not Yet Effective</w:t>
        </w:r>
        <w:r w:rsidR="00E963C4">
          <w:rPr>
            <w:noProof/>
            <w:webHidden/>
          </w:rPr>
          <w:tab/>
        </w:r>
        <w:r w:rsidR="00E963C4">
          <w:rPr>
            <w:noProof/>
            <w:webHidden/>
          </w:rPr>
          <w:fldChar w:fldCharType="begin"/>
        </w:r>
        <w:r w:rsidR="00E963C4">
          <w:rPr>
            <w:noProof/>
            <w:webHidden/>
          </w:rPr>
          <w:instrText xml:space="preserve"> PAGEREF _Toc45264670 \h </w:instrText>
        </w:r>
        <w:r w:rsidR="00E963C4">
          <w:rPr>
            <w:noProof/>
            <w:webHidden/>
          </w:rPr>
        </w:r>
        <w:r w:rsidR="00E963C4">
          <w:rPr>
            <w:noProof/>
            <w:webHidden/>
          </w:rPr>
          <w:fldChar w:fldCharType="separate"/>
        </w:r>
        <w:r w:rsidR="00A54815">
          <w:rPr>
            <w:noProof/>
            <w:webHidden/>
          </w:rPr>
          <w:t>1</w:t>
        </w:r>
        <w:r w:rsidR="00E963C4">
          <w:rPr>
            <w:noProof/>
            <w:webHidden/>
          </w:rPr>
          <w:fldChar w:fldCharType="end"/>
        </w:r>
      </w:hyperlink>
    </w:p>
    <w:p w14:paraId="2124077D" w14:textId="38F74CDA" w:rsidR="00E963C4" w:rsidRPr="008743F1" w:rsidRDefault="00A72724">
      <w:pPr>
        <w:pStyle w:val="TOC2"/>
        <w:rPr>
          <w:rFonts w:cs="Times New Roman"/>
          <w:szCs w:val="22"/>
          <w:lang w:eastAsia="en-AU"/>
        </w:rPr>
      </w:pPr>
      <w:hyperlink w:anchor="_Toc45264671" w:history="1">
        <w:r w:rsidR="00E963C4" w:rsidRPr="003D781F">
          <w:rPr>
            <w:rStyle w:val="Hyperlink"/>
          </w:rPr>
          <w:t>2.1</w:t>
        </w:r>
        <w:r w:rsidR="00E963C4" w:rsidRPr="008743F1">
          <w:rPr>
            <w:rFonts w:cs="Times New Roman"/>
            <w:szCs w:val="22"/>
            <w:lang w:eastAsia="en-AU"/>
          </w:rPr>
          <w:tab/>
        </w:r>
        <w:r w:rsidR="00E963C4" w:rsidRPr="003D781F">
          <w:rPr>
            <w:rStyle w:val="Hyperlink"/>
          </w:rPr>
          <w:t>Disclosures Required for Standards Issued but Not yet Effective</w:t>
        </w:r>
        <w:r w:rsidR="00E963C4">
          <w:rPr>
            <w:webHidden/>
          </w:rPr>
          <w:tab/>
        </w:r>
        <w:r w:rsidR="00E963C4">
          <w:rPr>
            <w:webHidden/>
          </w:rPr>
          <w:fldChar w:fldCharType="begin"/>
        </w:r>
        <w:r w:rsidR="00E963C4">
          <w:rPr>
            <w:webHidden/>
          </w:rPr>
          <w:instrText xml:space="preserve"> PAGEREF _Toc45264671 \h </w:instrText>
        </w:r>
        <w:r w:rsidR="00E963C4">
          <w:rPr>
            <w:webHidden/>
          </w:rPr>
        </w:r>
        <w:r w:rsidR="00E963C4">
          <w:rPr>
            <w:webHidden/>
          </w:rPr>
          <w:fldChar w:fldCharType="separate"/>
        </w:r>
        <w:r w:rsidR="00A54815">
          <w:rPr>
            <w:webHidden/>
          </w:rPr>
          <w:t>1</w:t>
        </w:r>
        <w:r w:rsidR="00E963C4">
          <w:rPr>
            <w:webHidden/>
          </w:rPr>
          <w:fldChar w:fldCharType="end"/>
        </w:r>
      </w:hyperlink>
    </w:p>
    <w:p w14:paraId="7E40153B" w14:textId="3A0FD0CF" w:rsidR="00E963C4" w:rsidRPr="008743F1" w:rsidRDefault="00A72724">
      <w:pPr>
        <w:pStyle w:val="TOC1"/>
        <w:rPr>
          <w:b w:val="0"/>
          <w:bCs w:val="0"/>
          <w:caps w:val="0"/>
          <w:noProof/>
          <w:sz w:val="22"/>
          <w:szCs w:val="22"/>
          <w:lang w:eastAsia="en-AU"/>
        </w:rPr>
      </w:pPr>
      <w:hyperlink w:anchor="_Toc45264672" w:history="1">
        <w:r w:rsidR="00E963C4" w:rsidRPr="003D781F">
          <w:rPr>
            <w:rStyle w:val="Hyperlink"/>
            <w:rFonts w:cs="Calibri"/>
            <w:noProof/>
          </w:rPr>
          <w:t>3</w:t>
        </w:r>
        <w:r w:rsidR="00E963C4" w:rsidRPr="008743F1">
          <w:rPr>
            <w:b w:val="0"/>
            <w:bCs w:val="0"/>
            <w:caps w:val="0"/>
            <w:noProof/>
            <w:sz w:val="22"/>
            <w:szCs w:val="22"/>
            <w:lang w:eastAsia="en-AU"/>
          </w:rPr>
          <w:tab/>
        </w:r>
        <w:r w:rsidR="00E963C4" w:rsidRPr="003D781F">
          <w:rPr>
            <w:rStyle w:val="Hyperlink"/>
            <w:rFonts w:cs="Calibri"/>
            <w:noProof/>
          </w:rPr>
          <w:t>Summaries of Changes to Standards and Interpretations Issued but Not yet Effective</w:t>
        </w:r>
        <w:r w:rsidR="00E963C4">
          <w:rPr>
            <w:noProof/>
            <w:webHidden/>
          </w:rPr>
          <w:tab/>
        </w:r>
        <w:r w:rsidR="00E963C4">
          <w:rPr>
            <w:noProof/>
            <w:webHidden/>
          </w:rPr>
          <w:fldChar w:fldCharType="begin"/>
        </w:r>
        <w:r w:rsidR="00E963C4">
          <w:rPr>
            <w:noProof/>
            <w:webHidden/>
          </w:rPr>
          <w:instrText xml:space="preserve"> PAGEREF _Toc45264672 \h </w:instrText>
        </w:r>
        <w:r w:rsidR="00E963C4">
          <w:rPr>
            <w:noProof/>
            <w:webHidden/>
          </w:rPr>
        </w:r>
        <w:r w:rsidR="00E963C4">
          <w:rPr>
            <w:noProof/>
            <w:webHidden/>
          </w:rPr>
          <w:fldChar w:fldCharType="separate"/>
        </w:r>
        <w:r w:rsidR="00A54815">
          <w:rPr>
            <w:noProof/>
            <w:webHidden/>
          </w:rPr>
          <w:t>2</w:t>
        </w:r>
        <w:r w:rsidR="00E963C4">
          <w:rPr>
            <w:noProof/>
            <w:webHidden/>
          </w:rPr>
          <w:fldChar w:fldCharType="end"/>
        </w:r>
      </w:hyperlink>
    </w:p>
    <w:p w14:paraId="7B7B7BEE" w14:textId="6FB0FFB4" w:rsidR="00E963C4" w:rsidRPr="008743F1" w:rsidRDefault="00A72724">
      <w:pPr>
        <w:pStyle w:val="TOC2"/>
        <w:rPr>
          <w:rFonts w:cs="Times New Roman"/>
          <w:szCs w:val="22"/>
          <w:lang w:eastAsia="en-AU"/>
        </w:rPr>
      </w:pPr>
      <w:hyperlink w:anchor="_Toc45264673" w:history="1">
        <w:r w:rsidR="00E963C4" w:rsidRPr="003D781F">
          <w:rPr>
            <w:rStyle w:val="Hyperlink"/>
          </w:rPr>
          <w:t>3.1</w:t>
        </w:r>
        <w:r w:rsidR="00E963C4" w:rsidRPr="008743F1">
          <w:rPr>
            <w:rFonts w:cs="Times New Roman"/>
            <w:szCs w:val="22"/>
            <w:lang w:eastAsia="en-AU"/>
          </w:rPr>
          <w:tab/>
        </w:r>
        <w:r w:rsidR="00E963C4" w:rsidRPr="003D781F">
          <w:rPr>
            <w:rStyle w:val="Hyperlink"/>
          </w:rPr>
          <w:t>AASB 17 Insurance Contracts (appl. 1 January 2021)</w:t>
        </w:r>
        <w:r w:rsidR="00E963C4">
          <w:rPr>
            <w:webHidden/>
          </w:rPr>
          <w:tab/>
        </w:r>
        <w:r w:rsidR="00E963C4">
          <w:rPr>
            <w:webHidden/>
          </w:rPr>
          <w:fldChar w:fldCharType="begin"/>
        </w:r>
        <w:r w:rsidR="00E963C4">
          <w:rPr>
            <w:webHidden/>
          </w:rPr>
          <w:instrText xml:space="preserve"> PAGEREF _Toc45264673 \h </w:instrText>
        </w:r>
        <w:r w:rsidR="00E963C4">
          <w:rPr>
            <w:webHidden/>
          </w:rPr>
        </w:r>
        <w:r w:rsidR="00E963C4">
          <w:rPr>
            <w:webHidden/>
          </w:rPr>
          <w:fldChar w:fldCharType="separate"/>
        </w:r>
        <w:r w:rsidR="00A54815">
          <w:rPr>
            <w:webHidden/>
          </w:rPr>
          <w:t>3</w:t>
        </w:r>
        <w:r w:rsidR="00E963C4">
          <w:rPr>
            <w:webHidden/>
          </w:rPr>
          <w:fldChar w:fldCharType="end"/>
        </w:r>
      </w:hyperlink>
    </w:p>
    <w:p w14:paraId="4B4E5145" w14:textId="036D8C7D" w:rsidR="00E963C4" w:rsidRPr="008743F1" w:rsidRDefault="00A72724">
      <w:pPr>
        <w:pStyle w:val="TOC2"/>
        <w:rPr>
          <w:rFonts w:cs="Times New Roman"/>
          <w:szCs w:val="22"/>
          <w:lang w:eastAsia="en-AU"/>
        </w:rPr>
      </w:pPr>
      <w:hyperlink w:anchor="_Toc45264674" w:history="1">
        <w:r w:rsidR="00E963C4" w:rsidRPr="003D781F">
          <w:rPr>
            <w:rStyle w:val="Hyperlink"/>
          </w:rPr>
          <w:t>3.2</w:t>
        </w:r>
        <w:r w:rsidR="00E963C4" w:rsidRPr="008743F1">
          <w:rPr>
            <w:rFonts w:cs="Times New Roman"/>
            <w:szCs w:val="22"/>
            <w:lang w:eastAsia="en-AU"/>
          </w:rPr>
          <w:tab/>
        </w:r>
        <w:r w:rsidR="00E963C4" w:rsidRPr="003D781F">
          <w:rPr>
            <w:rStyle w:val="Hyperlink"/>
          </w:rPr>
          <w:t>AASB 1059 Service Concession Arrangements: Grantors (appl. 1 January 2020)</w:t>
        </w:r>
        <w:r w:rsidR="00E963C4">
          <w:rPr>
            <w:webHidden/>
          </w:rPr>
          <w:tab/>
        </w:r>
        <w:r w:rsidR="00E963C4">
          <w:rPr>
            <w:webHidden/>
          </w:rPr>
          <w:fldChar w:fldCharType="begin"/>
        </w:r>
        <w:r w:rsidR="00E963C4">
          <w:rPr>
            <w:webHidden/>
          </w:rPr>
          <w:instrText xml:space="preserve"> PAGEREF _Toc45264674 \h </w:instrText>
        </w:r>
        <w:r w:rsidR="00E963C4">
          <w:rPr>
            <w:webHidden/>
          </w:rPr>
        </w:r>
        <w:r w:rsidR="00E963C4">
          <w:rPr>
            <w:webHidden/>
          </w:rPr>
          <w:fldChar w:fldCharType="separate"/>
        </w:r>
        <w:r w:rsidR="00A54815">
          <w:rPr>
            <w:webHidden/>
          </w:rPr>
          <w:t>3</w:t>
        </w:r>
        <w:r w:rsidR="00E963C4">
          <w:rPr>
            <w:webHidden/>
          </w:rPr>
          <w:fldChar w:fldCharType="end"/>
        </w:r>
      </w:hyperlink>
    </w:p>
    <w:p w14:paraId="1690AEFE" w14:textId="25F93061" w:rsidR="00E963C4" w:rsidRPr="008743F1" w:rsidRDefault="00A72724">
      <w:pPr>
        <w:pStyle w:val="TOC2"/>
        <w:rPr>
          <w:rFonts w:cs="Times New Roman"/>
          <w:szCs w:val="22"/>
          <w:lang w:eastAsia="en-AU"/>
        </w:rPr>
      </w:pPr>
      <w:hyperlink w:anchor="_Toc45264675" w:history="1">
        <w:r w:rsidR="00E963C4" w:rsidRPr="003D781F">
          <w:rPr>
            <w:rStyle w:val="Hyperlink"/>
          </w:rPr>
          <w:t>3.3</w:t>
        </w:r>
        <w:r w:rsidR="00E963C4" w:rsidRPr="008743F1">
          <w:rPr>
            <w:rFonts w:cs="Times New Roman"/>
            <w:szCs w:val="22"/>
            <w:lang w:eastAsia="en-AU"/>
          </w:rPr>
          <w:tab/>
        </w:r>
        <w:r w:rsidR="00E963C4" w:rsidRPr="003D781F">
          <w:rPr>
            <w:rStyle w:val="Hyperlink"/>
          </w:rPr>
          <w:t>AASB 1060 General Purpose Financial Statements – Simplified Disclosure for -Profit and Not-For-Profit TIER 2 Entities (appl. 1 July 2021)</w:t>
        </w:r>
        <w:r w:rsidR="00E963C4">
          <w:rPr>
            <w:webHidden/>
          </w:rPr>
          <w:tab/>
        </w:r>
        <w:r w:rsidR="00E963C4">
          <w:rPr>
            <w:webHidden/>
          </w:rPr>
          <w:fldChar w:fldCharType="begin"/>
        </w:r>
        <w:r w:rsidR="00E963C4">
          <w:rPr>
            <w:webHidden/>
          </w:rPr>
          <w:instrText xml:space="preserve"> PAGEREF _Toc45264675 \h </w:instrText>
        </w:r>
        <w:r w:rsidR="00E963C4">
          <w:rPr>
            <w:webHidden/>
          </w:rPr>
        </w:r>
        <w:r w:rsidR="00E963C4">
          <w:rPr>
            <w:webHidden/>
          </w:rPr>
          <w:fldChar w:fldCharType="separate"/>
        </w:r>
        <w:r w:rsidR="00A54815">
          <w:rPr>
            <w:webHidden/>
          </w:rPr>
          <w:t>4</w:t>
        </w:r>
        <w:r w:rsidR="00E963C4">
          <w:rPr>
            <w:webHidden/>
          </w:rPr>
          <w:fldChar w:fldCharType="end"/>
        </w:r>
      </w:hyperlink>
    </w:p>
    <w:p w14:paraId="47960177" w14:textId="1B2AD634" w:rsidR="00E963C4" w:rsidRPr="008743F1" w:rsidRDefault="00A72724">
      <w:pPr>
        <w:pStyle w:val="TOC2"/>
        <w:rPr>
          <w:rFonts w:cs="Times New Roman"/>
          <w:szCs w:val="22"/>
          <w:lang w:eastAsia="en-AU"/>
        </w:rPr>
      </w:pPr>
      <w:hyperlink w:anchor="_Toc45264676" w:history="1">
        <w:r w:rsidR="00E963C4" w:rsidRPr="003D781F">
          <w:rPr>
            <w:rStyle w:val="Hyperlink"/>
          </w:rPr>
          <w:t>3.4</w:t>
        </w:r>
        <w:r w:rsidR="00E963C4" w:rsidRPr="008743F1">
          <w:rPr>
            <w:rFonts w:cs="Times New Roman"/>
            <w:szCs w:val="22"/>
            <w:lang w:eastAsia="en-AU"/>
          </w:rPr>
          <w:tab/>
        </w:r>
        <w:r w:rsidR="00E963C4" w:rsidRPr="003D781F">
          <w:rPr>
            <w:rStyle w:val="Hyperlink"/>
          </w:rPr>
          <w:t>AASB 2014-10 Amendments to Australian Accounting Standards – Sale or Contribution of Assets between an Investor and Its Associate or Joint Venture (Appl. 1 January 2022)</w:t>
        </w:r>
        <w:r w:rsidR="00E963C4">
          <w:rPr>
            <w:webHidden/>
          </w:rPr>
          <w:tab/>
        </w:r>
        <w:r w:rsidR="00E963C4">
          <w:rPr>
            <w:webHidden/>
          </w:rPr>
          <w:fldChar w:fldCharType="begin"/>
        </w:r>
        <w:r w:rsidR="00E963C4">
          <w:rPr>
            <w:webHidden/>
          </w:rPr>
          <w:instrText xml:space="preserve"> PAGEREF _Toc45264676 \h </w:instrText>
        </w:r>
        <w:r w:rsidR="00E963C4">
          <w:rPr>
            <w:webHidden/>
          </w:rPr>
        </w:r>
        <w:r w:rsidR="00E963C4">
          <w:rPr>
            <w:webHidden/>
          </w:rPr>
          <w:fldChar w:fldCharType="separate"/>
        </w:r>
        <w:r w:rsidR="00A54815">
          <w:rPr>
            <w:webHidden/>
          </w:rPr>
          <w:t>5</w:t>
        </w:r>
        <w:r w:rsidR="00E963C4">
          <w:rPr>
            <w:webHidden/>
          </w:rPr>
          <w:fldChar w:fldCharType="end"/>
        </w:r>
      </w:hyperlink>
    </w:p>
    <w:p w14:paraId="60C31F19" w14:textId="1B98AB8C" w:rsidR="00E963C4" w:rsidRPr="008743F1" w:rsidRDefault="00A72724">
      <w:pPr>
        <w:pStyle w:val="TOC2"/>
        <w:rPr>
          <w:rFonts w:cs="Times New Roman"/>
          <w:szCs w:val="22"/>
          <w:lang w:eastAsia="en-AU"/>
        </w:rPr>
      </w:pPr>
      <w:hyperlink w:anchor="_Toc45264677" w:history="1">
        <w:r w:rsidR="00E963C4" w:rsidRPr="003D781F">
          <w:rPr>
            <w:rStyle w:val="Hyperlink"/>
          </w:rPr>
          <w:t>3.5</w:t>
        </w:r>
        <w:r w:rsidR="00E963C4" w:rsidRPr="008743F1">
          <w:rPr>
            <w:rFonts w:cs="Times New Roman"/>
            <w:szCs w:val="22"/>
            <w:lang w:eastAsia="en-AU"/>
          </w:rPr>
          <w:tab/>
        </w:r>
        <w:r w:rsidR="00E963C4" w:rsidRPr="003D781F">
          <w:rPr>
            <w:rStyle w:val="Hyperlink"/>
          </w:rPr>
          <w:t>AASB 2018-6 Amendments to Australian Accounting Standards – Definition of a Business (appl. 1 January 2020)</w:t>
        </w:r>
        <w:r w:rsidR="00E963C4">
          <w:rPr>
            <w:webHidden/>
          </w:rPr>
          <w:tab/>
        </w:r>
        <w:r w:rsidR="00E963C4">
          <w:rPr>
            <w:webHidden/>
          </w:rPr>
          <w:fldChar w:fldCharType="begin"/>
        </w:r>
        <w:r w:rsidR="00E963C4">
          <w:rPr>
            <w:webHidden/>
          </w:rPr>
          <w:instrText xml:space="preserve"> PAGEREF _Toc45264677 \h </w:instrText>
        </w:r>
        <w:r w:rsidR="00E963C4">
          <w:rPr>
            <w:webHidden/>
          </w:rPr>
        </w:r>
        <w:r w:rsidR="00E963C4">
          <w:rPr>
            <w:webHidden/>
          </w:rPr>
          <w:fldChar w:fldCharType="separate"/>
        </w:r>
        <w:r w:rsidR="00A54815">
          <w:rPr>
            <w:webHidden/>
          </w:rPr>
          <w:t>5</w:t>
        </w:r>
        <w:r w:rsidR="00E963C4">
          <w:rPr>
            <w:webHidden/>
          </w:rPr>
          <w:fldChar w:fldCharType="end"/>
        </w:r>
      </w:hyperlink>
    </w:p>
    <w:p w14:paraId="388CFF5D" w14:textId="6CEDE669" w:rsidR="00E963C4" w:rsidRPr="008743F1" w:rsidRDefault="00A72724">
      <w:pPr>
        <w:pStyle w:val="TOC2"/>
        <w:rPr>
          <w:rFonts w:cs="Times New Roman"/>
          <w:szCs w:val="22"/>
          <w:lang w:eastAsia="en-AU"/>
        </w:rPr>
      </w:pPr>
      <w:hyperlink w:anchor="_Toc45264678" w:history="1">
        <w:r w:rsidR="00E963C4" w:rsidRPr="003D781F">
          <w:rPr>
            <w:rStyle w:val="Hyperlink"/>
          </w:rPr>
          <w:t>3.6</w:t>
        </w:r>
        <w:r w:rsidR="00E963C4" w:rsidRPr="008743F1">
          <w:rPr>
            <w:rFonts w:cs="Times New Roman"/>
            <w:szCs w:val="22"/>
            <w:lang w:eastAsia="en-AU"/>
          </w:rPr>
          <w:tab/>
        </w:r>
        <w:r w:rsidR="00E963C4" w:rsidRPr="003D781F">
          <w:rPr>
            <w:rStyle w:val="Hyperlink"/>
          </w:rPr>
          <w:t>AASB 2018-7 Amendments to Australian Accounting Standards – Definition of Material (appl. 1 January 2020)</w:t>
        </w:r>
        <w:r w:rsidR="00E963C4">
          <w:rPr>
            <w:webHidden/>
          </w:rPr>
          <w:tab/>
        </w:r>
        <w:r w:rsidR="00E963C4">
          <w:rPr>
            <w:webHidden/>
          </w:rPr>
          <w:fldChar w:fldCharType="begin"/>
        </w:r>
        <w:r w:rsidR="00E963C4">
          <w:rPr>
            <w:webHidden/>
          </w:rPr>
          <w:instrText xml:space="preserve"> PAGEREF _Toc45264678 \h </w:instrText>
        </w:r>
        <w:r w:rsidR="00E963C4">
          <w:rPr>
            <w:webHidden/>
          </w:rPr>
        </w:r>
        <w:r w:rsidR="00E963C4">
          <w:rPr>
            <w:webHidden/>
          </w:rPr>
          <w:fldChar w:fldCharType="separate"/>
        </w:r>
        <w:r w:rsidR="00A54815">
          <w:rPr>
            <w:webHidden/>
          </w:rPr>
          <w:t>6</w:t>
        </w:r>
        <w:r w:rsidR="00E963C4">
          <w:rPr>
            <w:webHidden/>
          </w:rPr>
          <w:fldChar w:fldCharType="end"/>
        </w:r>
      </w:hyperlink>
    </w:p>
    <w:p w14:paraId="142D613D" w14:textId="7AA59A1D" w:rsidR="00E963C4" w:rsidRPr="008743F1" w:rsidRDefault="00A72724">
      <w:pPr>
        <w:pStyle w:val="TOC2"/>
        <w:rPr>
          <w:rFonts w:cs="Times New Roman"/>
          <w:szCs w:val="22"/>
          <w:lang w:eastAsia="en-AU"/>
        </w:rPr>
      </w:pPr>
      <w:hyperlink w:anchor="_Toc45264679" w:history="1">
        <w:r w:rsidR="00E963C4" w:rsidRPr="003D781F">
          <w:rPr>
            <w:rStyle w:val="Hyperlink"/>
          </w:rPr>
          <w:t>3.7</w:t>
        </w:r>
        <w:r w:rsidR="00E963C4" w:rsidRPr="008743F1">
          <w:rPr>
            <w:rFonts w:cs="Times New Roman"/>
            <w:szCs w:val="22"/>
            <w:lang w:eastAsia="en-AU"/>
          </w:rPr>
          <w:tab/>
        </w:r>
        <w:r w:rsidR="00E963C4" w:rsidRPr="003D781F">
          <w:rPr>
            <w:rStyle w:val="Hyperlink"/>
          </w:rPr>
          <w:t>AASB 2019-1 Amendments to Australian Accounting Standards – References to the conceptual Framework (appl. 1 January 2020)</w:t>
        </w:r>
        <w:r w:rsidR="00E963C4">
          <w:rPr>
            <w:webHidden/>
          </w:rPr>
          <w:tab/>
        </w:r>
        <w:r w:rsidR="00E963C4">
          <w:rPr>
            <w:webHidden/>
          </w:rPr>
          <w:fldChar w:fldCharType="begin"/>
        </w:r>
        <w:r w:rsidR="00E963C4">
          <w:rPr>
            <w:webHidden/>
          </w:rPr>
          <w:instrText xml:space="preserve"> PAGEREF _Toc45264679 \h </w:instrText>
        </w:r>
        <w:r w:rsidR="00E963C4">
          <w:rPr>
            <w:webHidden/>
          </w:rPr>
        </w:r>
        <w:r w:rsidR="00E963C4">
          <w:rPr>
            <w:webHidden/>
          </w:rPr>
          <w:fldChar w:fldCharType="separate"/>
        </w:r>
        <w:r w:rsidR="00A54815">
          <w:rPr>
            <w:webHidden/>
          </w:rPr>
          <w:t>6</w:t>
        </w:r>
        <w:r w:rsidR="00E963C4">
          <w:rPr>
            <w:webHidden/>
          </w:rPr>
          <w:fldChar w:fldCharType="end"/>
        </w:r>
      </w:hyperlink>
    </w:p>
    <w:p w14:paraId="2BF81B75" w14:textId="7552A807" w:rsidR="00E963C4" w:rsidRPr="008743F1" w:rsidRDefault="00A72724">
      <w:pPr>
        <w:pStyle w:val="TOC2"/>
        <w:rPr>
          <w:rFonts w:cs="Times New Roman"/>
          <w:szCs w:val="22"/>
          <w:lang w:eastAsia="en-AU"/>
        </w:rPr>
      </w:pPr>
      <w:hyperlink w:anchor="_Toc45264680" w:history="1">
        <w:r w:rsidR="00E963C4" w:rsidRPr="003D781F">
          <w:rPr>
            <w:rStyle w:val="Hyperlink"/>
          </w:rPr>
          <w:t>3.8</w:t>
        </w:r>
        <w:r w:rsidR="00E963C4" w:rsidRPr="008743F1">
          <w:rPr>
            <w:rFonts w:cs="Times New Roman"/>
            <w:szCs w:val="22"/>
            <w:lang w:eastAsia="en-AU"/>
          </w:rPr>
          <w:tab/>
        </w:r>
        <w:r w:rsidR="00E963C4" w:rsidRPr="003D781F">
          <w:rPr>
            <w:rStyle w:val="Hyperlink"/>
          </w:rPr>
          <w:t>AASB 2019-2 Amendments to Australian Accounting Standards – Implementation of AASB 1059 (Appl. 1 January 2020)</w:t>
        </w:r>
        <w:r w:rsidR="00E963C4">
          <w:rPr>
            <w:webHidden/>
          </w:rPr>
          <w:tab/>
        </w:r>
        <w:r w:rsidR="00E963C4">
          <w:rPr>
            <w:webHidden/>
          </w:rPr>
          <w:fldChar w:fldCharType="begin"/>
        </w:r>
        <w:r w:rsidR="00E963C4">
          <w:rPr>
            <w:webHidden/>
          </w:rPr>
          <w:instrText xml:space="preserve"> PAGEREF _Toc45264680 \h </w:instrText>
        </w:r>
        <w:r w:rsidR="00E963C4">
          <w:rPr>
            <w:webHidden/>
          </w:rPr>
        </w:r>
        <w:r w:rsidR="00E963C4">
          <w:rPr>
            <w:webHidden/>
          </w:rPr>
          <w:fldChar w:fldCharType="separate"/>
        </w:r>
        <w:r w:rsidR="00A54815">
          <w:rPr>
            <w:webHidden/>
          </w:rPr>
          <w:t>7</w:t>
        </w:r>
        <w:r w:rsidR="00E963C4">
          <w:rPr>
            <w:webHidden/>
          </w:rPr>
          <w:fldChar w:fldCharType="end"/>
        </w:r>
      </w:hyperlink>
    </w:p>
    <w:p w14:paraId="6842171E" w14:textId="018C4E9E" w:rsidR="00E963C4" w:rsidRPr="008743F1" w:rsidRDefault="00A72724">
      <w:pPr>
        <w:pStyle w:val="TOC2"/>
        <w:rPr>
          <w:rFonts w:cs="Times New Roman"/>
          <w:szCs w:val="22"/>
          <w:lang w:eastAsia="en-AU"/>
        </w:rPr>
      </w:pPr>
      <w:hyperlink w:anchor="_Toc45264681" w:history="1">
        <w:r w:rsidR="00E963C4" w:rsidRPr="003D781F">
          <w:rPr>
            <w:rStyle w:val="Hyperlink"/>
          </w:rPr>
          <w:t>3.9</w:t>
        </w:r>
        <w:r w:rsidR="00E963C4" w:rsidRPr="008743F1">
          <w:rPr>
            <w:rFonts w:cs="Times New Roman"/>
            <w:szCs w:val="22"/>
            <w:lang w:eastAsia="en-AU"/>
          </w:rPr>
          <w:tab/>
        </w:r>
        <w:r w:rsidR="00E963C4" w:rsidRPr="003D781F">
          <w:rPr>
            <w:rStyle w:val="Hyperlink"/>
          </w:rPr>
          <w:t>AASB 2019-3 Amendments to Australian Accounting Standards – Interest Rate Benchmark Reform (Appl. 1 Janurary 2020)</w:t>
        </w:r>
        <w:r w:rsidR="00E963C4">
          <w:rPr>
            <w:webHidden/>
          </w:rPr>
          <w:tab/>
        </w:r>
        <w:r w:rsidR="00E963C4">
          <w:rPr>
            <w:webHidden/>
          </w:rPr>
          <w:fldChar w:fldCharType="begin"/>
        </w:r>
        <w:r w:rsidR="00E963C4">
          <w:rPr>
            <w:webHidden/>
          </w:rPr>
          <w:instrText xml:space="preserve"> PAGEREF _Toc45264681 \h </w:instrText>
        </w:r>
        <w:r w:rsidR="00E963C4">
          <w:rPr>
            <w:webHidden/>
          </w:rPr>
        </w:r>
        <w:r w:rsidR="00E963C4">
          <w:rPr>
            <w:webHidden/>
          </w:rPr>
          <w:fldChar w:fldCharType="separate"/>
        </w:r>
        <w:r w:rsidR="00A54815">
          <w:rPr>
            <w:webHidden/>
          </w:rPr>
          <w:t>7</w:t>
        </w:r>
        <w:r w:rsidR="00E963C4">
          <w:rPr>
            <w:webHidden/>
          </w:rPr>
          <w:fldChar w:fldCharType="end"/>
        </w:r>
      </w:hyperlink>
    </w:p>
    <w:p w14:paraId="4A7DBBE8" w14:textId="5BAC8953" w:rsidR="00E963C4" w:rsidRPr="008743F1" w:rsidRDefault="00A72724">
      <w:pPr>
        <w:pStyle w:val="TOC2"/>
        <w:rPr>
          <w:rFonts w:cs="Times New Roman"/>
          <w:szCs w:val="22"/>
          <w:lang w:eastAsia="en-AU"/>
        </w:rPr>
      </w:pPr>
      <w:hyperlink w:anchor="_Toc45264682" w:history="1">
        <w:r w:rsidR="00E963C4" w:rsidRPr="003D781F">
          <w:rPr>
            <w:rStyle w:val="Hyperlink"/>
          </w:rPr>
          <w:t>3.10</w:t>
        </w:r>
        <w:r w:rsidR="00E963C4" w:rsidRPr="008743F1">
          <w:rPr>
            <w:rFonts w:cs="Times New Roman"/>
            <w:szCs w:val="22"/>
            <w:lang w:eastAsia="en-AU"/>
          </w:rPr>
          <w:tab/>
        </w:r>
        <w:r w:rsidR="00E963C4" w:rsidRPr="003D781F">
          <w:rPr>
            <w:rStyle w:val="Hyperlink"/>
          </w:rPr>
          <w:t>AASB 2019-5 Amendments to Australian Accounting Standards – Disclosure of the Effect of New IRIS Standards Not Yet Issued in Australia (Appl. 1 January 2020)</w:t>
        </w:r>
        <w:r w:rsidR="00E963C4">
          <w:rPr>
            <w:webHidden/>
          </w:rPr>
          <w:tab/>
        </w:r>
        <w:r w:rsidR="00E963C4">
          <w:rPr>
            <w:webHidden/>
          </w:rPr>
          <w:fldChar w:fldCharType="begin"/>
        </w:r>
        <w:r w:rsidR="00E963C4">
          <w:rPr>
            <w:webHidden/>
          </w:rPr>
          <w:instrText xml:space="preserve"> PAGEREF _Toc45264682 \h </w:instrText>
        </w:r>
        <w:r w:rsidR="00E963C4">
          <w:rPr>
            <w:webHidden/>
          </w:rPr>
        </w:r>
        <w:r w:rsidR="00E963C4">
          <w:rPr>
            <w:webHidden/>
          </w:rPr>
          <w:fldChar w:fldCharType="separate"/>
        </w:r>
        <w:r w:rsidR="00A54815">
          <w:rPr>
            <w:webHidden/>
          </w:rPr>
          <w:t>7</w:t>
        </w:r>
        <w:r w:rsidR="00E963C4">
          <w:rPr>
            <w:webHidden/>
          </w:rPr>
          <w:fldChar w:fldCharType="end"/>
        </w:r>
      </w:hyperlink>
    </w:p>
    <w:p w14:paraId="549E7D3C" w14:textId="47C66D15" w:rsidR="00E963C4" w:rsidRPr="008743F1" w:rsidRDefault="00A72724">
      <w:pPr>
        <w:pStyle w:val="TOC2"/>
        <w:rPr>
          <w:rFonts w:cs="Times New Roman"/>
          <w:szCs w:val="22"/>
          <w:lang w:eastAsia="en-AU"/>
        </w:rPr>
      </w:pPr>
      <w:hyperlink w:anchor="_Toc45264683" w:history="1">
        <w:r w:rsidR="00E963C4" w:rsidRPr="003D781F">
          <w:rPr>
            <w:rStyle w:val="Hyperlink"/>
          </w:rPr>
          <w:t>3.11</w:t>
        </w:r>
        <w:r w:rsidR="00E963C4" w:rsidRPr="008743F1">
          <w:rPr>
            <w:rFonts w:cs="Times New Roman"/>
            <w:szCs w:val="22"/>
            <w:lang w:eastAsia="en-AU"/>
          </w:rPr>
          <w:tab/>
        </w:r>
        <w:r w:rsidR="00E963C4" w:rsidRPr="003D781F">
          <w:rPr>
            <w:rStyle w:val="Hyperlink"/>
          </w:rPr>
          <w:t>AASB 2019-7 Amendments to Australian Accounting Standards – Disclosre of GFS Measures of Key Fiscal Aggregates and GAAP/GFS Reconciliations (appl. 1 January 2020)</w:t>
        </w:r>
        <w:r w:rsidR="00E963C4">
          <w:rPr>
            <w:webHidden/>
          </w:rPr>
          <w:tab/>
        </w:r>
        <w:r w:rsidR="00E963C4">
          <w:rPr>
            <w:webHidden/>
          </w:rPr>
          <w:fldChar w:fldCharType="begin"/>
        </w:r>
        <w:r w:rsidR="00E963C4">
          <w:rPr>
            <w:webHidden/>
          </w:rPr>
          <w:instrText xml:space="preserve"> PAGEREF _Toc45264683 \h </w:instrText>
        </w:r>
        <w:r w:rsidR="00E963C4">
          <w:rPr>
            <w:webHidden/>
          </w:rPr>
        </w:r>
        <w:r w:rsidR="00E963C4">
          <w:rPr>
            <w:webHidden/>
          </w:rPr>
          <w:fldChar w:fldCharType="separate"/>
        </w:r>
        <w:r w:rsidR="00A54815">
          <w:rPr>
            <w:webHidden/>
          </w:rPr>
          <w:t>8</w:t>
        </w:r>
        <w:r w:rsidR="00E963C4">
          <w:rPr>
            <w:webHidden/>
          </w:rPr>
          <w:fldChar w:fldCharType="end"/>
        </w:r>
      </w:hyperlink>
    </w:p>
    <w:p w14:paraId="5F374B59" w14:textId="7BD94797" w:rsidR="00E963C4" w:rsidRPr="008743F1" w:rsidRDefault="00A72724">
      <w:pPr>
        <w:pStyle w:val="TOC2"/>
        <w:rPr>
          <w:rFonts w:cs="Times New Roman"/>
          <w:szCs w:val="22"/>
          <w:lang w:eastAsia="en-AU"/>
        </w:rPr>
      </w:pPr>
      <w:hyperlink w:anchor="_Toc45264684" w:history="1">
        <w:r w:rsidR="00E963C4" w:rsidRPr="003D781F">
          <w:rPr>
            <w:rStyle w:val="Hyperlink"/>
          </w:rPr>
          <w:t>3.12</w:t>
        </w:r>
        <w:r w:rsidR="00E963C4" w:rsidRPr="008743F1">
          <w:rPr>
            <w:rFonts w:cs="Times New Roman"/>
            <w:szCs w:val="22"/>
            <w:lang w:eastAsia="en-AU"/>
          </w:rPr>
          <w:tab/>
        </w:r>
        <w:r w:rsidR="00E963C4" w:rsidRPr="003D781F">
          <w:rPr>
            <w:rStyle w:val="Hyperlink"/>
          </w:rPr>
          <w:t>AASB 2020-1 Amendments to Australian Accounting Standards – Classification of Liabilities as Current or Non-Current (appl. 1 January 2022)</w:t>
        </w:r>
        <w:r w:rsidR="00E963C4">
          <w:rPr>
            <w:webHidden/>
          </w:rPr>
          <w:tab/>
        </w:r>
        <w:r w:rsidR="00E963C4">
          <w:rPr>
            <w:webHidden/>
          </w:rPr>
          <w:fldChar w:fldCharType="begin"/>
        </w:r>
        <w:r w:rsidR="00E963C4">
          <w:rPr>
            <w:webHidden/>
          </w:rPr>
          <w:instrText xml:space="preserve"> PAGEREF _Toc45264684 \h </w:instrText>
        </w:r>
        <w:r w:rsidR="00E963C4">
          <w:rPr>
            <w:webHidden/>
          </w:rPr>
        </w:r>
        <w:r w:rsidR="00E963C4">
          <w:rPr>
            <w:webHidden/>
          </w:rPr>
          <w:fldChar w:fldCharType="separate"/>
        </w:r>
        <w:r w:rsidR="00A54815">
          <w:rPr>
            <w:webHidden/>
          </w:rPr>
          <w:t>8</w:t>
        </w:r>
        <w:r w:rsidR="00E963C4">
          <w:rPr>
            <w:webHidden/>
          </w:rPr>
          <w:fldChar w:fldCharType="end"/>
        </w:r>
      </w:hyperlink>
    </w:p>
    <w:p w14:paraId="67528C64" w14:textId="6077525E" w:rsidR="00E963C4" w:rsidRPr="008743F1" w:rsidRDefault="00A72724">
      <w:pPr>
        <w:pStyle w:val="TOC2"/>
        <w:rPr>
          <w:rFonts w:cs="Times New Roman"/>
          <w:szCs w:val="22"/>
          <w:lang w:eastAsia="en-AU"/>
        </w:rPr>
      </w:pPr>
      <w:hyperlink w:anchor="_Toc45264685" w:history="1">
        <w:r w:rsidR="00E963C4" w:rsidRPr="003D781F">
          <w:rPr>
            <w:rStyle w:val="Hyperlink"/>
          </w:rPr>
          <w:t>3.13</w:t>
        </w:r>
        <w:r w:rsidR="00E963C4" w:rsidRPr="008743F1">
          <w:rPr>
            <w:rFonts w:cs="Times New Roman"/>
            <w:szCs w:val="22"/>
            <w:lang w:eastAsia="en-AU"/>
          </w:rPr>
          <w:tab/>
        </w:r>
        <w:r w:rsidR="00E963C4" w:rsidRPr="003D781F">
          <w:rPr>
            <w:rStyle w:val="Hyperlink"/>
          </w:rPr>
          <w:t>AASB 2020-2 Amendments to Australian Accounting Standards – Removal of Special Purpose Financial Statmeents for Certain For-Profit Private Sector Entities (appl. 1 July 2021)</w:t>
        </w:r>
        <w:r w:rsidR="00E963C4">
          <w:rPr>
            <w:webHidden/>
          </w:rPr>
          <w:tab/>
        </w:r>
        <w:r w:rsidR="00E963C4">
          <w:rPr>
            <w:webHidden/>
          </w:rPr>
          <w:fldChar w:fldCharType="begin"/>
        </w:r>
        <w:r w:rsidR="00E963C4">
          <w:rPr>
            <w:webHidden/>
          </w:rPr>
          <w:instrText xml:space="preserve"> PAGEREF _Toc45264685 \h </w:instrText>
        </w:r>
        <w:r w:rsidR="00E963C4">
          <w:rPr>
            <w:webHidden/>
          </w:rPr>
        </w:r>
        <w:r w:rsidR="00E963C4">
          <w:rPr>
            <w:webHidden/>
          </w:rPr>
          <w:fldChar w:fldCharType="separate"/>
        </w:r>
        <w:r w:rsidR="00A54815">
          <w:rPr>
            <w:webHidden/>
          </w:rPr>
          <w:t>9</w:t>
        </w:r>
        <w:r w:rsidR="00E963C4">
          <w:rPr>
            <w:webHidden/>
          </w:rPr>
          <w:fldChar w:fldCharType="end"/>
        </w:r>
      </w:hyperlink>
    </w:p>
    <w:p w14:paraId="64E0CA38" w14:textId="795DF1AC" w:rsidR="00E963C4" w:rsidRPr="008743F1" w:rsidRDefault="00A72724">
      <w:pPr>
        <w:pStyle w:val="TOC2"/>
        <w:rPr>
          <w:rFonts w:cs="Times New Roman"/>
          <w:szCs w:val="22"/>
          <w:lang w:eastAsia="en-AU"/>
        </w:rPr>
      </w:pPr>
      <w:hyperlink w:anchor="_Toc45264686" w:history="1">
        <w:r w:rsidR="00E963C4" w:rsidRPr="003D781F">
          <w:rPr>
            <w:rStyle w:val="Hyperlink"/>
          </w:rPr>
          <w:t>3.14</w:t>
        </w:r>
        <w:r w:rsidR="00E963C4" w:rsidRPr="008743F1">
          <w:rPr>
            <w:rFonts w:cs="Times New Roman"/>
            <w:szCs w:val="22"/>
            <w:lang w:eastAsia="en-AU"/>
          </w:rPr>
          <w:tab/>
        </w:r>
        <w:r w:rsidR="00E963C4" w:rsidRPr="003D781F">
          <w:rPr>
            <w:rStyle w:val="Hyperlink"/>
          </w:rPr>
          <w:t>AASB 2020-3 Amendments to Australian Accounting Standards – Annual Improvements 2018-2020 and Other Amendments (appl. 1 July 2022)</w:t>
        </w:r>
        <w:r w:rsidR="00E963C4">
          <w:rPr>
            <w:webHidden/>
          </w:rPr>
          <w:tab/>
        </w:r>
        <w:r w:rsidR="00E963C4">
          <w:rPr>
            <w:webHidden/>
          </w:rPr>
          <w:fldChar w:fldCharType="begin"/>
        </w:r>
        <w:r w:rsidR="00E963C4">
          <w:rPr>
            <w:webHidden/>
          </w:rPr>
          <w:instrText xml:space="preserve"> PAGEREF _Toc45264686 \h </w:instrText>
        </w:r>
        <w:r w:rsidR="00E963C4">
          <w:rPr>
            <w:webHidden/>
          </w:rPr>
        </w:r>
        <w:r w:rsidR="00E963C4">
          <w:rPr>
            <w:webHidden/>
          </w:rPr>
          <w:fldChar w:fldCharType="separate"/>
        </w:r>
        <w:r w:rsidR="00A54815">
          <w:rPr>
            <w:webHidden/>
          </w:rPr>
          <w:t>9</w:t>
        </w:r>
        <w:r w:rsidR="00E963C4">
          <w:rPr>
            <w:webHidden/>
          </w:rPr>
          <w:fldChar w:fldCharType="end"/>
        </w:r>
      </w:hyperlink>
    </w:p>
    <w:p w14:paraId="1EBAA3C8" w14:textId="2A5F6601" w:rsidR="00E963C4" w:rsidRPr="008743F1" w:rsidRDefault="00A72724">
      <w:pPr>
        <w:pStyle w:val="TOC2"/>
        <w:rPr>
          <w:rFonts w:cs="Times New Roman"/>
          <w:szCs w:val="22"/>
          <w:lang w:eastAsia="en-AU"/>
        </w:rPr>
      </w:pPr>
      <w:hyperlink w:anchor="_Toc45264687" w:history="1">
        <w:r w:rsidR="00E963C4" w:rsidRPr="003D781F">
          <w:rPr>
            <w:rStyle w:val="Hyperlink"/>
          </w:rPr>
          <w:t>3.15</w:t>
        </w:r>
        <w:r w:rsidR="00E963C4" w:rsidRPr="008743F1">
          <w:rPr>
            <w:rFonts w:cs="Times New Roman"/>
            <w:szCs w:val="22"/>
            <w:lang w:eastAsia="en-AU"/>
          </w:rPr>
          <w:tab/>
        </w:r>
        <w:r w:rsidR="00E963C4" w:rsidRPr="003D781F">
          <w:rPr>
            <w:rStyle w:val="Hyperlink"/>
          </w:rPr>
          <w:t>AASB 2020-4 Amendments to Australian Accounting Standards – COVID -19 Related Rent Concessions (appl. 1 June 2020)</w:t>
        </w:r>
        <w:r w:rsidR="00E963C4">
          <w:rPr>
            <w:webHidden/>
          </w:rPr>
          <w:tab/>
        </w:r>
        <w:r w:rsidR="00E963C4">
          <w:rPr>
            <w:webHidden/>
          </w:rPr>
          <w:fldChar w:fldCharType="begin"/>
        </w:r>
        <w:r w:rsidR="00E963C4">
          <w:rPr>
            <w:webHidden/>
          </w:rPr>
          <w:instrText xml:space="preserve"> PAGEREF _Toc45264687 \h </w:instrText>
        </w:r>
        <w:r w:rsidR="00E963C4">
          <w:rPr>
            <w:webHidden/>
          </w:rPr>
        </w:r>
        <w:r w:rsidR="00E963C4">
          <w:rPr>
            <w:webHidden/>
          </w:rPr>
          <w:fldChar w:fldCharType="separate"/>
        </w:r>
        <w:r w:rsidR="00A54815">
          <w:rPr>
            <w:webHidden/>
          </w:rPr>
          <w:t>10</w:t>
        </w:r>
        <w:r w:rsidR="00E963C4">
          <w:rPr>
            <w:webHidden/>
          </w:rPr>
          <w:fldChar w:fldCharType="end"/>
        </w:r>
      </w:hyperlink>
    </w:p>
    <w:p w14:paraId="7929F689" w14:textId="283F66DE" w:rsidR="00E963C4" w:rsidRPr="008743F1" w:rsidRDefault="00A72724">
      <w:pPr>
        <w:pStyle w:val="TOC1"/>
        <w:rPr>
          <w:b w:val="0"/>
          <w:bCs w:val="0"/>
          <w:caps w:val="0"/>
          <w:noProof/>
          <w:sz w:val="22"/>
          <w:szCs w:val="22"/>
          <w:lang w:eastAsia="en-AU"/>
        </w:rPr>
      </w:pPr>
      <w:hyperlink w:anchor="_Toc45264688" w:history="1">
        <w:r w:rsidR="00E963C4" w:rsidRPr="003D781F">
          <w:rPr>
            <w:rStyle w:val="Hyperlink"/>
            <w:noProof/>
          </w:rPr>
          <w:t>ATTACHMENT A</w:t>
        </w:r>
        <w:r w:rsidR="00E963C4">
          <w:rPr>
            <w:noProof/>
            <w:webHidden/>
          </w:rPr>
          <w:tab/>
        </w:r>
        <w:r w:rsidR="00E963C4">
          <w:rPr>
            <w:noProof/>
            <w:webHidden/>
          </w:rPr>
          <w:fldChar w:fldCharType="begin"/>
        </w:r>
        <w:r w:rsidR="00E963C4">
          <w:rPr>
            <w:noProof/>
            <w:webHidden/>
          </w:rPr>
          <w:instrText xml:space="preserve"> PAGEREF _Toc45264688 \h </w:instrText>
        </w:r>
        <w:r w:rsidR="00E963C4">
          <w:rPr>
            <w:noProof/>
            <w:webHidden/>
          </w:rPr>
        </w:r>
        <w:r w:rsidR="00E963C4">
          <w:rPr>
            <w:noProof/>
            <w:webHidden/>
          </w:rPr>
          <w:fldChar w:fldCharType="separate"/>
        </w:r>
        <w:r w:rsidR="00A54815">
          <w:rPr>
            <w:noProof/>
            <w:webHidden/>
          </w:rPr>
          <w:t>11</w:t>
        </w:r>
        <w:r w:rsidR="00E963C4">
          <w:rPr>
            <w:noProof/>
            <w:webHidden/>
          </w:rPr>
          <w:fldChar w:fldCharType="end"/>
        </w:r>
      </w:hyperlink>
    </w:p>
    <w:p w14:paraId="59E3DF87" w14:textId="77777777" w:rsidR="00CF5C85" w:rsidRPr="00E056F8" w:rsidRDefault="0071010C" w:rsidP="00496610">
      <w:pPr>
        <w:pStyle w:val="TOC2"/>
        <w:sectPr w:rsidR="00CF5C85" w:rsidRPr="00E056F8" w:rsidSect="00D53E43">
          <w:headerReference w:type="even" r:id="rId15"/>
          <w:headerReference w:type="default" r:id="rId16"/>
          <w:headerReference w:type="first" r:id="rId17"/>
          <w:pgSz w:w="11907" w:h="16840" w:code="9"/>
          <w:pgMar w:top="1674" w:right="851" w:bottom="851" w:left="851" w:header="720" w:footer="567" w:gutter="0"/>
          <w:pgNumType w:fmt="lowerRoman" w:start="1"/>
          <w:cols w:space="720"/>
          <w:noEndnote/>
          <w:docGrid w:linePitch="326"/>
        </w:sectPr>
      </w:pPr>
      <w:r>
        <w:rPr>
          <w:rFonts w:cs="Times New Roman"/>
          <w:noProof w:val="0"/>
          <w:sz w:val="20"/>
        </w:rPr>
        <w:fldChar w:fldCharType="end"/>
      </w:r>
    </w:p>
    <w:p w14:paraId="16031E54" w14:textId="77777777" w:rsidR="00CF5C85" w:rsidRPr="00E056F8" w:rsidRDefault="00CF5C85" w:rsidP="004D4236">
      <w:pPr>
        <w:pStyle w:val="Heading1"/>
        <w:rPr>
          <w:rFonts w:cs="Calibri"/>
        </w:rPr>
      </w:pPr>
      <w:bookmarkStart w:id="7" w:name="_Toc91480210"/>
      <w:bookmarkStart w:id="8" w:name="_Toc98757559"/>
      <w:bookmarkStart w:id="9" w:name="_Toc98821839"/>
      <w:bookmarkStart w:id="10" w:name="_Toc98826654"/>
      <w:bookmarkStart w:id="11" w:name="_Toc234228959"/>
      <w:bookmarkStart w:id="12" w:name="_Toc45264668"/>
      <w:r w:rsidRPr="00E056F8">
        <w:rPr>
          <w:rFonts w:cs="Calibri"/>
        </w:rPr>
        <w:lastRenderedPageBreak/>
        <w:t>Introduction</w:t>
      </w:r>
      <w:bookmarkEnd w:id="7"/>
      <w:bookmarkEnd w:id="8"/>
      <w:bookmarkEnd w:id="9"/>
      <w:bookmarkEnd w:id="10"/>
      <w:bookmarkEnd w:id="11"/>
      <w:bookmarkEnd w:id="12"/>
    </w:p>
    <w:p w14:paraId="10AF3FA8" w14:textId="77777777" w:rsidR="00CF5C85" w:rsidRPr="00E056F8" w:rsidRDefault="00CF5C85" w:rsidP="004D4236">
      <w:pPr>
        <w:pStyle w:val="Heading2"/>
        <w:rPr>
          <w:rFonts w:cs="Calibri"/>
        </w:rPr>
      </w:pPr>
      <w:bookmarkStart w:id="13" w:name="_Toc98757560"/>
      <w:bookmarkStart w:id="14" w:name="_Toc98821840"/>
      <w:bookmarkStart w:id="15" w:name="_Toc98826655"/>
      <w:bookmarkStart w:id="16" w:name="_Toc234228960"/>
      <w:bookmarkStart w:id="17" w:name="_Toc45264669"/>
      <w:r w:rsidRPr="00E056F8">
        <w:rPr>
          <w:rFonts w:cs="Calibri"/>
        </w:rPr>
        <w:t>Application</w:t>
      </w:r>
      <w:bookmarkEnd w:id="13"/>
      <w:bookmarkEnd w:id="14"/>
      <w:bookmarkEnd w:id="15"/>
      <w:bookmarkEnd w:id="16"/>
      <w:bookmarkEnd w:id="17"/>
    </w:p>
    <w:p w14:paraId="2E29B9EB" w14:textId="77777777" w:rsidR="00CF5C85" w:rsidRDefault="00CF5C85" w:rsidP="00B2472E">
      <w:pPr>
        <w:pStyle w:val="BodyText2"/>
        <w:rPr>
          <w:rFonts w:cs="Calibri"/>
        </w:rPr>
      </w:pPr>
      <w:r w:rsidRPr="00E056F8">
        <w:rPr>
          <w:rFonts w:cs="Calibri"/>
        </w:rPr>
        <w:t xml:space="preserve">This ACT Accounting Policy applies to </w:t>
      </w:r>
      <w:r w:rsidR="00307B51" w:rsidRPr="00E056F8">
        <w:rPr>
          <w:rFonts w:cs="Calibri"/>
        </w:rPr>
        <w:t>directorates</w:t>
      </w:r>
      <w:r w:rsidR="00F76D58" w:rsidRPr="00E056F8">
        <w:rPr>
          <w:rFonts w:cs="Calibri"/>
        </w:rPr>
        <w:t xml:space="preserve"> and </w:t>
      </w:r>
      <w:r w:rsidR="000167D7">
        <w:rPr>
          <w:rFonts w:cs="Calibri"/>
        </w:rPr>
        <w:t>t</w:t>
      </w:r>
      <w:r w:rsidR="00F76D58" w:rsidRPr="00E056F8">
        <w:rPr>
          <w:rFonts w:cs="Calibri"/>
        </w:rPr>
        <w:t xml:space="preserve">erritory authorities and covers </w:t>
      </w:r>
      <w:r w:rsidR="00B2472E" w:rsidRPr="00E056F8">
        <w:rPr>
          <w:rFonts w:cs="Calibri"/>
        </w:rPr>
        <w:t xml:space="preserve">Australian Accounting Standards </w:t>
      </w:r>
      <w:r w:rsidR="00A1314E">
        <w:rPr>
          <w:rFonts w:cs="Calibri"/>
        </w:rPr>
        <w:t xml:space="preserve">and Interpretations </w:t>
      </w:r>
      <w:r w:rsidR="00B2472E" w:rsidRPr="00E056F8">
        <w:rPr>
          <w:rFonts w:cs="Calibri"/>
        </w:rPr>
        <w:t xml:space="preserve">which have been issued </w:t>
      </w:r>
      <w:r w:rsidR="00A1314E">
        <w:rPr>
          <w:rFonts w:cs="Calibri"/>
        </w:rPr>
        <w:t>as</w:t>
      </w:r>
      <w:r w:rsidR="00B2472E" w:rsidRPr="00E056F8">
        <w:rPr>
          <w:rFonts w:cs="Calibri"/>
        </w:rPr>
        <w:t xml:space="preserve"> </w:t>
      </w:r>
      <w:r w:rsidR="00A1314E">
        <w:rPr>
          <w:rFonts w:cs="Calibri"/>
        </w:rPr>
        <w:t xml:space="preserve">at </w:t>
      </w:r>
      <w:r w:rsidR="00F831EA">
        <w:rPr>
          <w:rFonts w:cs="Calibri"/>
        </w:rPr>
        <w:t>30</w:t>
      </w:r>
      <w:r w:rsidR="00C065CF">
        <w:rPr>
          <w:rFonts w:cs="Calibri"/>
        </w:rPr>
        <w:t> </w:t>
      </w:r>
      <w:proofErr w:type="gramStart"/>
      <w:r w:rsidR="00F831EA">
        <w:rPr>
          <w:rFonts w:cs="Calibri"/>
        </w:rPr>
        <w:t>June</w:t>
      </w:r>
      <w:r w:rsidR="00C065CF">
        <w:rPr>
          <w:rFonts w:cs="Calibri"/>
        </w:rPr>
        <w:t> </w:t>
      </w:r>
      <w:r w:rsidR="00DB4A2B" w:rsidRPr="00F831EA">
        <w:rPr>
          <w:rFonts w:cs="Calibri"/>
        </w:rPr>
        <w:t xml:space="preserve"> </w:t>
      </w:r>
      <w:r w:rsidR="00CC3818">
        <w:rPr>
          <w:rFonts w:cs="Calibri"/>
        </w:rPr>
        <w:t>2</w:t>
      </w:r>
      <w:r w:rsidR="00CC7280" w:rsidRPr="006A4C81">
        <w:rPr>
          <w:rFonts w:cs="Calibri"/>
        </w:rPr>
        <w:t>020</w:t>
      </w:r>
      <w:proofErr w:type="gramEnd"/>
      <w:r w:rsidR="00CC7280">
        <w:rPr>
          <w:rFonts w:cs="Calibri"/>
        </w:rPr>
        <w:t xml:space="preserve"> </w:t>
      </w:r>
      <w:r w:rsidR="00F76D58" w:rsidRPr="00E056F8">
        <w:rPr>
          <w:rFonts w:cs="Calibri"/>
        </w:rPr>
        <w:t>that</w:t>
      </w:r>
      <w:r w:rsidR="00B2472E" w:rsidRPr="00E056F8">
        <w:rPr>
          <w:rFonts w:cs="Calibri"/>
        </w:rPr>
        <w:t xml:space="preserve"> are not yet </w:t>
      </w:r>
      <w:r w:rsidR="008E58E5" w:rsidRPr="00E056F8">
        <w:rPr>
          <w:rFonts w:cs="Calibri"/>
        </w:rPr>
        <w:t>effective</w:t>
      </w:r>
      <w:r w:rsidR="00F76D58" w:rsidRPr="00E056F8">
        <w:rPr>
          <w:rFonts w:cs="Calibri"/>
        </w:rPr>
        <w:t xml:space="preserve">.  These standards </w:t>
      </w:r>
      <w:r w:rsidR="00A1314E">
        <w:rPr>
          <w:rFonts w:cs="Calibri"/>
        </w:rPr>
        <w:t xml:space="preserve">and interpretations </w:t>
      </w:r>
      <w:r w:rsidR="00F76D58" w:rsidRPr="00E056F8">
        <w:rPr>
          <w:rFonts w:cs="Calibri"/>
        </w:rPr>
        <w:t>will apply</w:t>
      </w:r>
      <w:r w:rsidR="00B2472E" w:rsidRPr="00E056F8">
        <w:rPr>
          <w:rFonts w:cs="Calibri"/>
        </w:rPr>
        <w:t xml:space="preserve"> </w:t>
      </w:r>
      <w:r w:rsidR="001C68B8" w:rsidRPr="00E056F8">
        <w:rPr>
          <w:rFonts w:cs="Calibri"/>
        </w:rPr>
        <w:t xml:space="preserve">during </w:t>
      </w:r>
      <w:r w:rsidR="00B2472E" w:rsidRPr="00E056F8">
        <w:rPr>
          <w:rFonts w:cs="Calibri"/>
        </w:rPr>
        <w:t>reporting period</w:t>
      </w:r>
      <w:r w:rsidR="00F76D58" w:rsidRPr="00E056F8">
        <w:rPr>
          <w:rFonts w:cs="Calibri"/>
        </w:rPr>
        <w:t>s</w:t>
      </w:r>
      <w:r w:rsidR="00A1314E">
        <w:rPr>
          <w:rFonts w:cs="Calibri"/>
        </w:rPr>
        <w:t xml:space="preserve"> </w:t>
      </w:r>
      <w:r w:rsidR="002B60B9">
        <w:rPr>
          <w:rFonts w:cs="Calibri"/>
        </w:rPr>
        <w:t xml:space="preserve">later </w:t>
      </w:r>
      <w:r w:rsidR="00A1314E">
        <w:rPr>
          <w:rFonts w:cs="Calibri"/>
        </w:rPr>
        <w:t xml:space="preserve">than </w:t>
      </w:r>
      <w:r w:rsidR="00CC7280" w:rsidRPr="006A4C81">
        <w:rPr>
          <w:rFonts w:cs="Calibri"/>
        </w:rPr>
        <w:t>2019-20</w:t>
      </w:r>
      <w:r w:rsidR="00B2472E" w:rsidRPr="00E056F8">
        <w:rPr>
          <w:rFonts w:cs="Calibri"/>
        </w:rPr>
        <w:t xml:space="preserve">.  </w:t>
      </w:r>
    </w:p>
    <w:p w14:paraId="11CE3475" w14:textId="77777777" w:rsidR="00C00F85" w:rsidRPr="00E056F8" w:rsidRDefault="00C00F85" w:rsidP="00D930E1"/>
    <w:p w14:paraId="2EBF15F1" w14:textId="77777777" w:rsidR="00F65C06" w:rsidRPr="00E056F8" w:rsidRDefault="001447FE" w:rsidP="00F65C06">
      <w:pPr>
        <w:pStyle w:val="Heading1"/>
        <w:rPr>
          <w:rFonts w:cs="Calibri"/>
        </w:rPr>
      </w:pPr>
      <w:bookmarkStart w:id="18" w:name="_Toc234228963"/>
      <w:bookmarkStart w:id="19" w:name="_Toc45264670"/>
      <w:r w:rsidRPr="00E056F8">
        <w:rPr>
          <w:rFonts w:cs="Calibri"/>
        </w:rPr>
        <w:t xml:space="preserve">Treatment of </w:t>
      </w:r>
      <w:r w:rsidR="00F65C06" w:rsidRPr="00E056F8">
        <w:rPr>
          <w:rFonts w:cs="Calibri"/>
        </w:rPr>
        <w:t xml:space="preserve">AASB </w:t>
      </w:r>
      <w:r w:rsidR="001D674E" w:rsidRPr="00E056F8">
        <w:rPr>
          <w:rFonts w:cs="Calibri"/>
        </w:rPr>
        <w:t xml:space="preserve">Standards </w:t>
      </w:r>
      <w:r w:rsidR="00B254E0" w:rsidRPr="00E056F8">
        <w:rPr>
          <w:rFonts w:cs="Calibri"/>
        </w:rPr>
        <w:t xml:space="preserve">Issued Which are </w:t>
      </w:r>
      <w:r w:rsidR="00F76D58" w:rsidRPr="00E056F8">
        <w:rPr>
          <w:rFonts w:cs="Calibri"/>
        </w:rPr>
        <w:t>Not Y</w:t>
      </w:r>
      <w:r w:rsidR="00F65C06" w:rsidRPr="00E056F8">
        <w:rPr>
          <w:rFonts w:cs="Calibri"/>
        </w:rPr>
        <w:t xml:space="preserve">et </w:t>
      </w:r>
      <w:bookmarkEnd w:id="18"/>
      <w:r w:rsidR="007D7141" w:rsidRPr="00E056F8">
        <w:rPr>
          <w:rFonts w:cs="Calibri"/>
        </w:rPr>
        <w:t>Effective</w:t>
      </w:r>
      <w:bookmarkEnd w:id="19"/>
    </w:p>
    <w:p w14:paraId="73B9832F" w14:textId="77777777" w:rsidR="001447FE" w:rsidRPr="00E056F8" w:rsidRDefault="00F76D58" w:rsidP="00E41CFF">
      <w:pPr>
        <w:pStyle w:val="Heading2"/>
        <w:rPr>
          <w:rFonts w:cs="Calibri"/>
        </w:rPr>
      </w:pPr>
      <w:bookmarkStart w:id="20" w:name="_Toc234228964"/>
      <w:bookmarkStart w:id="21" w:name="_Toc45264671"/>
      <w:bookmarkStart w:id="22" w:name="_Toc91480212"/>
      <w:r w:rsidRPr="00E056F8">
        <w:rPr>
          <w:rFonts w:cs="Calibri"/>
        </w:rPr>
        <w:t>Disclosures R</w:t>
      </w:r>
      <w:r w:rsidR="001447FE" w:rsidRPr="00E056F8">
        <w:rPr>
          <w:rFonts w:cs="Calibri"/>
        </w:rPr>
        <w:t xml:space="preserve">equired </w:t>
      </w:r>
      <w:r w:rsidR="001D674E" w:rsidRPr="00E056F8">
        <w:rPr>
          <w:rFonts w:cs="Calibri"/>
        </w:rPr>
        <w:t xml:space="preserve">for Standards Issued but </w:t>
      </w:r>
      <w:r w:rsidRPr="00E056F8">
        <w:rPr>
          <w:rFonts w:cs="Calibri"/>
        </w:rPr>
        <w:t>N</w:t>
      </w:r>
      <w:r w:rsidR="001D674E" w:rsidRPr="00E056F8">
        <w:rPr>
          <w:rFonts w:cs="Calibri"/>
        </w:rPr>
        <w:t xml:space="preserve">ot </w:t>
      </w:r>
      <w:r w:rsidR="0004506C" w:rsidRPr="00E056F8">
        <w:rPr>
          <w:rFonts w:cs="Calibri"/>
        </w:rPr>
        <w:t>yet</w:t>
      </w:r>
      <w:r w:rsidR="001D674E" w:rsidRPr="00E056F8">
        <w:rPr>
          <w:rFonts w:cs="Calibri"/>
        </w:rPr>
        <w:t xml:space="preserve"> </w:t>
      </w:r>
      <w:bookmarkEnd w:id="20"/>
      <w:r w:rsidR="007D7141" w:rsidRPr="00E056F8">
        <w:rPr>
          <w:rFonts w:cs="Calibri"/>
        </w:rPr>
        <w:t>Effective</w:t>
      </w:r>
      <w:bookmarkEnd w:id="21"/>
      <w:r w:rsidR="001D674E" w:rsidRPr="00E056F8">
        <w:rPr>
          <w:rFonts w:cs="Calibri"/>
        </w:rPr>
        <w:t xml:space="preserve"> </w:t>
      </w:r>
      <w:bookmarkStart w:id="23" w:name="_Toc217284962"/>
      <w:bookmarkEnd w:id="22"/>
      <w:bookmarkEnd w:id="23"/>
    </w:p>
    <w:p w14:paraId="2EEA8A9A" w14:textId="77777777" w:rsidR="001447FE" w:rsidRPr="00E056F8" w:rsidRDefault="001447FE" w:rsidP="00476801">
      <w:pPr>
        <w:pStyle w:val="BodyText2"/>
        <w:rPr>
          <w:rFonts w:cs="Calibri"/>
        </w:rPr>
      </w:pPr>
      <w:r w:rsidRPr="00E056F8">
        <w:rPr>
          <w:rFonts w:cs="Calibri"/>
        </w:rPr>
        <w:t>When a</w:t>
      </w:r>
      <w:r w:rsidR="008A2D92" w:rsidRPr="00E056F8">
        <w:rPr>
          <w:rFonts w:cs="Calibri"/>
        </w:rPr>
        <w:t xml:space="preserve"> </w:t>
      </w:r>
      <w:r w:rsidR="00307B51" w:rsidRPr="00E056F8">
        <w:rPr>
          <w:rFonts w:cs="Calibri"/>
        </w:rPr>
        <w:t>directorate</w:t>
      </w:r>
      <w:r w:rsidRPr="00E056F8">
        <w:rPr>
          <w:rFonts w:cs="Calibri"/>
        </w:rPr>
        <w:t xml:space="preserve"> or </w:t>
      </w:r>
      <w:r w:rsidR="00F22B7D">
        <w:rPr>
          <w:rFonts w:cs="Calibri"/>
        </w:rPr>
        <w:t>t</w:t>
      </w:r>
      <w:r w:rsidRPr="00E056F8">
        <w:rPr>
          <w:rFonts w:cs="Calibri"/>
        </w:rPr>
        <w:t xml:space="preserve">erritory </w:t>
      </w:r>
      <w:r w:rsidR="004D7116" w:rsidRPr="00E056F8">
        <w:rPr>
          <w:rFonts w:cs="Calibri"/>
        </w:rPr>
        <w:t>a</w:t>
      </w:r>
      <w:r w:rsidRPr="00E056F8">
        <w:rPr>
          <w:rFonts w:cs="Calibri"/>
        </w:rPr>
        <w:t xml:space="preserve">uthority has not </w:t>
      </w:r>
      <w:r w:rsidR="00D46B5A" w:rsidRPr="00E056F8">
        <w:rPr>
          <w:rFonts w:cs="Calibri"/>
        </w:rPr>
        <w:t>early adopted a new accounting standard</w:t>
      </w:r>
      <w:r w:rsidRPr="00E056F8">
        <w:rPr>
          <w:rFonts w:cs="Calibri"/>
        </w:rPr>
        <w:t>, due to the fact that the standard is effective</w:t>
      </w:r>
      <w:r w:rsidR="00566CE8" w:rsidRPr="00E056F8">
        <w:rPr>
          <w:rFonts w:cs="Calibri"/>
        </w:rPr>
        <w:t xml:space="preserve"> (i</w:t>
      </w:r>
      <w:r w:rsidR="004E43B1" w:rsidRPr="00E056F8">
        <w:rPr>
          <w:rFonts w:cs="Calibri"/>
        </w:rPr>
        <w:t>.</w:t>
      </w:r>
      <w:r w:rsidR="00566CE8" w:rsidRPr="00E056F8">
        <w:rPr>
          <w:rFonts w:cs="Calibri"/>
        </w:rPr>
        <w:t>e</w:t>
      </w:r>
      <w:r w:rsidR="004E43B1" w:rsidRPr="00E056F8">
        <w:rPr>
          <w:rFonts w:cs="Calibri"/>
        </w:rPr>
        <w:t>.</w:t>
      </w:r>
      <w:r w:rsidR="00566CE8" w:rsidRPr="00E056F8">
        <w:rPr>
          <w:rFonts w:cs="Calibri"/>
        </w:rPr>
        <w:t xml:space="preserve"> compulsory)</w:t>
      </w:r>
      <w:r w:rsidRPr="00E056F8">
        <w:rPr>
          <w:rFonts w:cs="Calibri"/>
        </w:rPr>
        <w:t xml:space="preserve"> </w:t>
      </w:r>
      <w:r w:rsidR="001A2444">
        <w:rPr>
          <w:rFonts w:cs="Calibri"/>
        </w:rPr>
        <w:t>in</w:t>
      </w:r>
      <w:r w:rsidRPr="00E056F8">
        <w:rPr>
          <w:rFonts w:cs="Calibri"/>
        </w:rPr>
        <w:t xml:space="preserve"> a later reporting period, </w:t>
      </w:r>
      <w:r w:rsidR="00D46B5A" w:rsidRPr="00E056F8">
        <w:rPr>
          <w:rFonts w:cs="Calibri"/>
        </w:rPr>
        <w:t>AASB </w:t>
      </w:r>
      <w:r w:rsidR="001D674E" w:rsidRPr="00E056F8">
        <w:rPr>
          <w:rFonts w:cs="Calibri"/>
        </w:rPr>
        <w:t xml:space="preserve">108 </w:t>
      </w:r>
      <w:r w:rsidR="008F62AF" w:rsidRPr="00354614">
        <w:rPr>
          <w:rFonts w:cs="Calibri"/>
          <w:i/>
        </w:rPr>
        <w:t>Accounting Policies, Changes in Accounting Estimates and Errors</w:t>
      </w:r>
      <w:r w:rsidR="008F62AF">
        <w:rPr>
          <w:rFonts w:cs="Calibri"/>
        </w:rPr>
        <w:t xml:space="preserve"> </w:t>
      </w:r>
      <w:r w:rsidR="001D674E" w:rsidRPr="00E056F8">
        <w:rPr>
          <w:rFonts w:cs="Calibri"/>
        </w:rPr>
        <w:t xml:space="preserve">requires </w:t>
      </w:r>
      <w:r w:rsidRPr="00E056F8">
        <w:rPr>
          <w:rFonts w:cs="Calibri"/>
        </w:rPr>
        <w:t xml:space="preserve">the </w:t>
      </w:r>
      <w:r w:rsidR="00307B51" w:rsidRPr="00E056F8">
        <w:rPr>
          <w:rFonts w:cs="Calibri"/>
        </w:rPr>
        <w:t>directorate</w:t>
      </w:r>
      <w:r w:rsidRPr="00E056F8">
        <w:rPr>
          <w:rFonts w:cs="Calibri"/>
        </w:rPr>
        <w:t xml:space="preserve"> </w:t>
      </w:r>
      <w:r w:rsidR="001D674E" w:rsidRPr="00E056F8">
        <w:rPr>
          <w:rFonts w:cs="Calibri"/>
        </w:rPr>
        <w:t xml:space="preserve">or </w:t>
      </w:r>
      <w:r w:rsidR="00F22B7D">
        <w:rPr>
          <w:rFonts w:cs="Calibri"/>
        </w:rPr>
        <w:t>t</w:t>
      </w:r>
      <w:r w:rsidRPr="00E056F8">
        <w:rPr>
          <w:rFonts w:cs="Calibri"/>
        </w:rPr>
        <w:t xml:space="preserve">erritory </w:t>
      </w:r>
      <w:r w:rsidR="00F76D58" w:rsidRPr="00E056F8">
        <w:rPr>
          <w:rFonts w:cs="Calibri"/>
        </w:rPr>
        <w:t>a</w:t>
      </w:r>
      <w:r w:rsidRPr="00E056F8">
        <w:rPr>
          <w:rFonts w:cs="Calibri"/>
        </w:rPr>
        <w:t xml:space="preserve">uthority to disclose details regarding that standard and its potential </w:t>
      </w:r>
      <w:r w:rsidR="00F76D58" w:rsidRPr="00E056F8">
        <w:rPr>
          <w:rFonts w:cs="Calibri"/>
        </w:rPr>
        <w:t xml:space="preserve">financial </w:t>
      </w:r>
      <w:r w:rsidRPr="00E056F8">
        <w:rPr>
          <w:rFonts w:cs="Calibri"/>
        </w:rPr>
        <w:t xml:space="preserve">impact on the financial </w:t>
      </w:r>
      <w:r w:rsidR="008A2D92" w:rsidRPr="00E056F8">
        <w:rPr>
          <w:rFonts w:cs="Calibri"/>
        </w:rPr>
        <w:t>statements</w:t>
      </w:r>
      <w:r w:rsidR="00D26522" w:rsidRPr="00E056F8">
        <w:rPr>
          <w:rFonts w:cs="Calibri"/>
        </w:rPr>
        <w:t xml:space="preserve"> which may occur when the standard is applied</w:t>
      </w:r>
      <w:r w:rsidRPr="00E056F8">
        <w:rPr>
          <w:rFonts w:cs="Calibri"/>
        </w:rPr>
        <w:t>.</w:t>
      </w:r>
      <w:r w:rsidR="00F76D58" w:rsidRPr="00E056F8">
        <w:rPr>
          <w:rFonts w:cs="Calibri"/>
        </w:rPr>
        <w:t xml:space="preserve">  </w:t>
      </w:r>
      <w:r w:rsidR="001D674E" w:rsidRPr="00E056F8">
        <w:rPr>
          <w:rFonts w:cs="Calibri"/>
        </w:rPr>
        <w:t>AASB</w:t>
      </w:r>
      <w:r w:rsidR="00F76D58" w:rsidRPr="00E056F8">
        <w:rPr>
          <w:rFonts w:cs="Calibri"/>
        </w:rPr>
        <w:t> </w:t>
      </w:r>
      <w:r w:rsidR="00635D0B">
        <w:rPr>
          <w:rFonts w:cs="Calibri"/>
        </w:rPr>
        <w:t>108.</w:t>
      </w:r>
      <w:r w:rsidR="001D674E" w:rsidRPr="00E056F8">
        <w:rPr>
          <w:rFonts w:cs="Calibri"/>
        </w:rPr>
        <w:t>30 and 31 contain the disclosure requirements.</w:t>
      </w:r>
    </w:p>
    <w:p w14:paraId="76D3F867" w14:textId="77777777" w:rsidR="00566CE8" w:rsidRDefault="00655F8E" w:rsidP="00655F8E">
      <w:pPr>
        <w:spacing w:before="100" w:beforeAutospacing="1"/>
        <w:rPr>
          <w:rFonts w:cs="Calibri"/>
        </w:rPr>
      </w:pPr>
      <w:r w:rsidRPr="00E056F8">
        <w:rPr>
          <w:rFonts w:cs="Calibri"/>
        </w:rPr>
        <w:t>This policy paper has been developed to assist agencies in making these disclosures.</w:t>
      </w:r>
      <w:r w:rsidR="00EF26BD" w:rsidRPr="00E056F8">
        <w:rPr>
          <w:rFonts w:cs="Calibri"/>
        </w:rPr>
        <w:t xml:space="preserve"> </w:t>
      </w:r>
      <w:r w:rsidRPr="00E056F8">
        <w:rPr>
          <w:rFonts w:cs="Calibri"/>
        </w:rPr>
        <w:t xml:space="preserve"> As such, </w:t>
      </w:r>
      <w:r w:rsidR="00F76D58" w:rsidRPr="00E056F8">
        <w:rPr>
          <w:rFonts w:cs="Calibri"/>
        </w:rPr>
        <w:t xml:space="preserve">this paper provides an indication of what changes have been </w:t>
      </w:r>
      <w:r w:rsidR="00566CE8" w:rsidRPr="00E056F8">
        <w:rPr>
          <w:rFonts w:cs="Calibri"/>
        </w:rPr>
        <w:t>included in</w:t>
      </w:r>
      <w:r w:rsidR="00F76D58" w:rsidRPr="00E056F8">
        <w:rPr>
          <w:rFonts w:cs="Calibri"/>
        </w:rPr>
        <w:t xml:space="preserve"> standards </w:t>
      </w:r>
      <w:r w:rsidR="00D26522" w:rsidRPr="00E056F8">
        <w:rPr>
          <w:rFonts w:cs="Calibri"/>
        </w:rPr>
        <w:t xml:space="preserve">which have been </w:t>
      </w:r>
      <w:r w:rsidR="00F76D58" w:rsidRPr="00E056F8">
        <w:rPr>
          <w:rFonts w:cs="Calibri"/>
        </w:rPr>
        <w:t xml:space="preserve">issued but </w:t>
      </w:r>
      <w:r w:rsidR="00D46B5A" w:rsidRPr="00E056F8">
        <w:rPr>
          <w:rFonts w:cs="Calibri"/>
        </w:rPr>
        <w:t xml:space="preserve">are </w:t>
      </w:r>
      <w:r w:rsidR="00F76D58" w:rsidRPr="00E056F8">
        <w:rPr>
          <w:rFonts w:cs="Calibri"/>
        </w:rPr>
        <w:t xml:space="preserve">not yet </w:t>
      </w:r>
      <w:r w:rsidR="007D7141" w:rsidRPr="00E056F8">
        <w:rPr>
          <w:rFonts w:cs="Calibri"/>
        </w:rPr>
        <w:t>effective</w:t>
      </w:r>
      <w:r w:rsidR="00F76D58" w:rsidRPr="00E056F8">
        <w:rPr>
          <w:rFonts w:cs="Calibri"/>
        </w:rPr>
        <w:t xml:space="preserve">.  This will assist agencies in identifying which of the standards </w:t>
      </w:r>
      <w:r w:rsidR="008A2D92" w:rsidRPr="00E056F8">
        <w:rPr>
          <w:rFonts w:cs="Calibri"/>
        </w:rPr>
        <w:t>may</w:t>
      </w:r>
      <w:r w:rsidR="00F76D58" w:rsidRPr="00E056F8">
        <w:rPr>
          <w:rFonts w:cs="Calibri"/>
        </w:rPr>
        <w:t xml:space="preserve"> have a potential material financial impact on them</w:t>
      </w:r>
      <w:r w:rsidR="00566CE8" w:rsidRPr="00E056F8">
        <w:rPr>
          <w:rFonts w:cs="Calibri"/>
        </w:rPr>
        <w:t xml:space="preserve"> when they are applied</w:t>
      </w:r>
      <w:r w:rsidR="00F76D58" w:rsidRPr="00E056F8">
        <w:rPr>
          <w:rFonts w:cs="Calibri"/>
        </w:rPr>
        <w:t xml:space="preserve">.  </w:t>
      </w:r>
    </w:p>
    <w:p w14:paraId="3CED8C0B" w14:textId="77777777" w:rsidR="00C00F85" w:rsidRPr="00E056F8" w:rsidRDefault="00C00F85" w:rsidP="00C00F85">
      <w:pPr>
        <w:rPr>
          <w:rFonts w:cs="Calibri"/>
        </w:rPr>
      </w:pPr>
    </w:p>
    <w:p w14:paraId="002248F5" w14:textId="77777777" w:rsidR="00566CE8" w:rsidRPr="00E056F8" w:rsidRDefault="008A2D92" w:rsidP="00655F8E">
      <w:pPr>
        <w:spacing w:before="100" w:beforeAutospacing="1"/>
        <w:rPr>
          <w:rFonts w:cs="Calibri"/>
          <w:b/>
        </w:rPr>
      </w:pPr>
      <w:r w:rsidRPr="00E056F8">
        <w:rPr>
          <w:rFonts w:cs="Calibri"/>
          <w:b/>
        </w:rPr>
        <w:t>Agencies are required</w:t>
      </w:r>
      <w:r w:rsidR="00F76D58" w:rsidRPr="00E056F8">
        <w:rPr>
          <w:rFonts w:cs="Calibri"/>
          <w:b/>
        </w:rPr>
        <w:t xml:space="preserve"> to</w:t>
      </w:r>
      <w:r w:rsidR="00566CE8" w:rsidRPr="00E056F8">
        <w:rPr>
          <w:rFonts w:cs="Calibri"/>
          <w:b/>
        </w:rPr>
        <w:t>:</w:t>
      </w:r>
    </w:p>
    <w:p w14:paraId="3E559301" w14:textId="77777777" w:rsidR="00566CE8" w:rsidRPr="00E056F8" w:rsidRDefault="0031426D" w:rsidP="00CD6C75">
      <w:pPr>
        <w:numPr>
          <w:ilvl w:val="0"/>
          <w:numId w:val="5"/>
        </w:numPr>
        <w:spacing w:before="100" w:beforeAutospacing="1"/>
        <w:rPr>
          <w:rFonts w:cs="Calibri"/>
          <w:b/>
        </w:rPr>
      </w:pPr>
      <w:r w:rsidRPr="00E056F8">
        <w:rPr>
          <w:rFonts w:cs="Calibri"/>
          <w:b/>
        </w:rPr>
        <w:t>Identify those standards that will apply to their agency upon application, by r</w:t>
      </w:r>
      <w:r w:rsidR="00566CE8" w:rsidRPr="00E056F8">
        <w:rPr>
          <w:rFonts w:cs="Calibri"/>
          <w:b/>
        </w:rPr>
        <w:t>ead</w:t>
      </w:r>
      <w:r w:rsidRPr="00E056F8">
        <w:rPr>
          <w:rFonts w:cs="Calibri"/>
          <w:b/>
        </w:rPr>
        <w:t>ing</w:t>
      </w:r>
      <w:r w:rsidR="00566CE8" w:rsidRPr="00E056F8">
        <w:rPr>
          <w:rFonts w:cs="Calibri"/>
          <w:b/>
        </w:rPr>
        <w:t xml:space="preserve"> this</w:t>
      </w:r>
      <w:r w:rsidRPr="00E056F8">
        <w:rPr>
          <w:rFonts w:cs="Calibri"/>
          <w:b/>
        </w:rPr>
        <w:t xml:space="preserve"> policy;</w:t>
      </w:r>
    </w:p>
    <w:p w14:paraId="73F56973" w14:textId="77777777" w:rsidR="00566CE8" w:rsidRPr="00E056F8" w:rsidRDefault="0031426D" w:rsidP="00CD6C75">
      <w:pPr>
        <w:numPr>
          <w:ilvl w:val="0"/>
          <w:numId w:val="5"/>
        </w:numPr>
        <w:spacing w:before="100" w:beforeAutospacing="1"/>
        <w:rPr>
          <w:rFonts w:cs="Calibri"/>
          <w:b/>
        </w:rPr>
      </w:pPr>
      <w:r w:rsidRPr="00E056F8">
        <w:rPr>
          <w:rFonts w:cs="Calibri"/>
          <w:b/>
        </w:rPr>
        <w:t>Assess whether there may be a material financial impact upon the agency (f</w:t>
      </w:r>
      <w:r w:rsidR="00566CE8" w:rsidRPr="00E056F8">
        <w:rPr>
          <w:rFonts w:cs="Calibri"/>
          <w:b/>
        </w:rPr>
        <w:t>or all standards and interpretations that will apply</w:t>
      </w:r>
      <w:r w:rsidRPr="00E056F8">
        <w:rPr>
          <w:rFonts w:cs="Calibri"/>
          <w:b/>
        </w:rPr>
        <w:t>) by</w:t>
      </w:r>
      <w:r w:rsidR="00566CE8" w:rsidRPr="00E056F8">
        <w:rPr>
          <w:rFonts w:cs="Calibri"/>
          <w:b/>
        </w:rPr>
        <w:t xml:space="preserve"> </w:t>
      </w:r>
      <w:r w:rsidR="00A12C51" w:rsidRPr="00E056F8">
        <w:rPr>
          <w:rFonts w:cs="Calibri"/>
          <w:b/>
        </w:rPr>
        <w:t>r</w:t>
      </w:r>
      <w:r w:rsidR="00566CE8" w:rsidRPr="00E056F8">
        <w:rPr>
          <w:rFonts w:cs="Calibri"/>
          <w:b/>
        </w:rPr>
        <w:t>eview</w:t>
      </w:r>
      <w:r w:rsidRPr="00E056F8">
        <w:rPr>
          <w:rFonts w:cs="Calibri"/>
          <w:b/>
        </w:rPr>
        <w:t>ing</w:t>
      </w:r>
      <w:r w:rsidR="00566CE8" w:rsidRPr="00E056F8">
        <w:rPr>
          <w:rFonts w:cs="Calibri"/>
          <w:b/>
        </w:rPr>
        <w:t xml:space="preserve"> the changes listed </w:t>
      </w:r>
      <w:r w:rsidR="00A12C51" w:rsidRPr="00E056F8">
        <w:rPr>
          <w:rFonts w:cs="Calibri"/>
          <w:b/>
        </w:rPr>
        <w:t xml:space="preserve">in this policy </w:t>
      </w:r>
      <w:r w:rsidR="00566CE8" w:rsidRPr="00E056F8">
        <w:rPr>
          <w:rFonts w:cs="Calibri"/>
          <w:b/>
          <w:u w:val="single"/>
        </w:rPr>
        <w:t>and</w:t>
      </w:r>
      <w:r w:rsidR="00566CE8" w:rsidRPr="00E056F8">
        <w:rPr>
          <w:rFonts w:cs="Calibri"/>
          <w:b/>
        </w:rPr>
        <w:t xml:space="preserve"> refe</w:t>
      </w:r>
      <w:r w:rsidRPr="00E056F8">
        <w:rPr>
          <w:rFonts w:cs="Calibri"/>
          <w:b/>
        </w:rPr>
        <w:t>r</w:t>
      </w:r>
      <w:r w:rsidR="00566CE8" w:rsidRPr="00E056F8">
        <w:rPr>
          <w:rFonts w:cs="Calibri"/>
          <w:b/>
        </w:rPr>
        <w:t>r</w:t>
      </w:r>
      <w:r w:rsidRPr="00E056F8">
        <w:rPr>
          <w:rFonts w:cs="Calibri"/>
          <w:b/>
        </w:rPr>
        <w:t>ing directly</w:t>
      </w:r>
      <w:r w:rsidR="00566CE8" w:rsidRPr="00E056F8">
        <w:rPr>
          <w:rFonts w:cs="Calibri"/>
          <w:b/>
        </w:rPr>
        <w:t xml:space="preserve"> to the standards</w:t>
      </w:r>
      <w:r w:rsidRPr="00E056F8">
        <w:rPr>
          <w:rFonts w:cs="Calibri"/>
          <w:b/>
        </w:rPr>
        <w:t xml:space="preserve"> and/or interpretations</w:t>
      </w:r>
      <w:r w:rsidR="00566CE8" w:rsidRPr="00E056F8">
        <w:rPr>
          <w:rFonts w:cs="Calibri"/>
          <w:b/>
        </w:rPr>
        <w:t>;</w:t>
      </w:r>
    </w:p>
    <w:p w14:paraId="28DB5212" w14:textId="77777777" w:rsidR="00A12C51" w:rsidRPr="00E056F8" w:rsidRDefault="002D70BD" w:rsidP="00CD6C75">
      <w:pPr>
        <w:numPr>
          <w:ilvl w:val="0"/>
          <w:numId w:val="5"/>
        </w:numPr>
        <w:spacing w:before="100" w:beforeAutospacing="1"/>
        <w:rPr>
          <w:rFonts w:cs="Calibri"/>
          <w:b/>
        </w:rPr>
      </w:pPr>
      <w:r>
        <w:rPr>
          <w:rFonts w:cs="Calibri"/>
          <w:b/>
        </w:rPr>
        <w:t xml:space="preserve">Only </w:t>
      </w:r>
      <w:r w:rsidRPr="00433B5E">
        <w:rPr>
          <w:rFonts w:cs="Calibri"/>
          <w:b/>
          <w:color w:val="000000"/>
        </w:rPr>
        <w:t>disclose</w:t>
      </w:r>
      <w:r w:rsidRPr="00143742">
        <w:rPr>
          <w:rFonts w:cs="Calibri"/>
          <w:b/>
        </w:rPr>
        <w:t xml:space="preserve"> </w:t>
      </w:r>
      <w:r w:rsidR="0031426D" w:rsidRPr="00E056F8">
        <w:rPr>
          <w:rFonts w:cs="Calibri"/>
          <w:b/>
        </w:rPr>
        <w:t xml:space="preserve">details of the standards and interpretations </w:t>
      </w:r>
      <w:r w:rsidR="003843BC" w:rsidRPr="00E056F8">
        <w:rPr>
          <w:rFonts w:cs="Calibri"/>
          <w:b/>
        </w:rPr>
        <w:t>which</w:t>
      </w:r>
      <w:r w:rsidR="0031426D" w:rsidRPr="00E056F8">
        <w:rPr>
          <w:rFonts w:cs="Calibri"/>
          <w:b/>
        </w:rPr>
        <w:t xml:space="preserve"> apply </w:t>
      </w:r>
      <w:r w:rsidR="0055741A" w:rsidRPr="00433B5E">
        <w:rPr>
          <w:rFonts w:cs="Calibri"/>
          <w:b/>
          <w:color w:val="000000"/>
        </w:rPr>
        <w:t>and</w:t>
      </w:r>
      <w:r w:rsidR="0055741A">
        <w:rPr>
          <w:rFonts w:cs="Calibri"/>
          <w:b/>
        </w:rPr>
        <w:t xml:space="preserve"> </w:t>
      </w:r>
      <w:r w:rsidR="0031426D" w:rsidRPr="00E056F8">
        <w:rPr>
          <w:rFonts w:cs="Calibri"/>
          <w:b/>
        </w:rPr>
        <w:t>are assessed as having a material financial impact</w:t>
      </w:r>
      <w:r>
        <w:rPr>
          <w:rFonts w:cs="Calibri"/>
          <w:b/>
        </w:rPr>
        <w:t xml:space="preserve"> </w:t>
      </w:r>
      <w:r w:rsidRPr="00433B5E">
        <w:rPr>
          <w:rFonts w:cs="Calibri"/>
          <w:b/>
        </w:rPr>
        <w:t>on them</w:t>
      </w:r>
      <w:r w:rsidR="0031426D" w:rsidRPr="00E056F8">
        <w:rPr>
          <w:rFonts w:cs="Calibri"/>
          <w:b/>
        </w:rPr>
        <w:t>,</w:t>
      </w:r>
      <w:r>
        <w:rPr>
          <w:rFonts w:cs="Calibri"/>
          <w:b/>
        </w:rPr>
        <w:t xml:space="preserve"> or where they have not yet assessed their impact</w:t>
      </w:r>
      <w:r w:rsidR="0031426D" w:rsidRPr="00E056F8">
        <w:rPr>
          <w:rFonts w:cs="Calibri"/>
          <w:b/>
        </w:rPr>
        <w:t xml:space="preserve"> in the format as presented in the </w:t>
      </w:r>
      <w:r w:rsidR="006A4C81">
        <w:rPr>
          <w:rFonts w:cs="Calibri"/>
          <w:b/>
          <w:color w:val="000000"/>
        </w:rPr>
        <w:t>2019-20</w:t>
      </w:r>
      <w:r w:rsidR="00106D81">
        <w:rPr>
          <w:rFonts w:cs="Calibri"/>
          <w:b/>
        </w:rPr>
        <w:t xml:space="preserve"> </w:t>
      </w:r>
      <w:r w:rsidR="0031426D" w:rsidRPr="00E056F8">
        <w:rPr>
          <w:rFonts w:cs="Calibri"/>
          <w:b/>
        </w:rPr>
        <w:t xml:space="preserve">Model Financial Statements </w:t>
      </w:r>
      <w:r w:rsidR="00A12C51" w:rsidRPr="00E056F8">
        <w:rPr>
          <w:rFonts w:cs="Calibri"/>
          <w:b/>
        </w:rPr>
        <w:t xml:space="preserve">(and </w:t>
      </w:r>
      <w:r w:rsidR="00933921" w:rsidRPr="00354614">
        <w:rPr>
          <w:rFonts w:cs="Calibri"/>
          <w:b/>
          <w:u w:val="single"/>
        </w:rPr>
        <w:t xml:space="preserve">Attachment </w:t>
      </w:r>
      <w:r w:rsidR="00A12C51" w:rsidRPr="00354614">
        <w:rPr>
          <w:rFonts w:cs="Calibri"/>
          <w:b/>
          <w:u w:val="single"/>
        </w:rPr>
        <w:t>A</w:t>
      </w:r>
      <w:r w:rsidR="00A12C51" w:rsidRPr="00E056F8">
        <w:rPr>
          <w:rFonts w:cs="Calibri"/>
          <w:b/>
        </w:rPr>
        <w:t>)</w:t>
      </w:r>
      <w:r w:rsidR="0031426D" w:rsidRPr="00E056F8">
        <w:rPr>
          <w:rFonts w:cs="Calibri"/>
          <w:b/>
        </w:rPr>
        <w:t>; and</w:t>
      </w:r>
      <w:r w:rsidR="00A12C51" w:rsidRPr="00E056F8">
        <w:rPr>
          <w:rFonts w:cs="Calibri"/>
          <w:b/>
        </w:rPr>
        <w:t xml:space="preserve"> </w:t>
      </w:r>
    </w:p>
    <w:p w14:paraId="00E84898" w14:textId="77777777" w:rsidR="00933921" w:rsidRDefault="00933921" w:rsidP="00CD6C75">
      <w:pPr>
        <w:numPr>
          <w:ilvl w:val="0"/>
          <w:numId w:val="5"/>
        </w:numPr>
        <w:spacing w:before="100" w:beforeAutospacing="1"/>
        <w:rPr>
          <w:rFonts w:cs="Calibri"/>
          <w:b/>
          <w:color w:val="000000"/>
        </w:rPr>
      </w:pPr>
      <w:r w:rsidRPr="00433B5E">
        <w:rPr>
          <w:rFonts w:cs="Calibri"/>
          <w:b/>
          <w:color w:val="000000"/>
        </w:rPr>
        <w:t>Not disclose details of the standards and interpretations which either do not apply or which apply but are assessed as not having a material impact on them.</w:t>
      </w:r>
    </w:p>
    <w:p w14:paraId="6A35B0B4" w14:textId="77777777" w:rsidR="00C00F85" w:rsidRPr="00E963C4" w:rsidRDefault="00E963C4" w:rsidP="00C00F85">
      <w:pPr>
        <w:rPr>
          <w:b/>
          <w:bCs/>
        </w:rPr>
      </w:pPr>
      <w:r>
        <w:br w:type="page"/>
      </w:r>
      <w:r w:rsidRPr="00E963C4">
        <w:rPr>
          <w:b/>
          <w:bCs/>
        </w:rPr>
        <w:lastRenderedPageBreak/>
        <w:t>2.1 Continued</w:t>
      </w:r>
    </w:p>
    <w:p w14:paraId="28C8E028" w14:textId="77777777" w:rsidR="00E963C4" w:rsidRDefault="00E963C4" w:rsidP="00E41CFF">
      <w:pPr>
        <w:rPr>
          <w:rFonts w:cs="Calibri"/>
        </w:rPr>
      </w:pPr>
    </w:p>
    <w:p w14:paraId="3D4C19A6" w14:textId="77777777" w:rsidR="00D930E1" w:rsidRDefault="00D15BEF" w:rsidP="00E41CFF">
      <w:pPr>
        <w:rPr>
          <w:rFonts w:cs="Calibri"/>
          <w:color w:val="000000"/>
        </w:rPr>
      </w:pPr>
      <w:r w:rsidRPr="00E056F8">
        <w:rPr>
          <w:rFonts w:cs="Calibri"/>
        </w:rPr>
        <w:t xml:space="preserve">For </w:t>
      </w:r>
      <w:r w:rsidR="004B41D0" w:rsidRPr="00E056F8">
        <w:rPr>
          <w:rFonts w:cs="Calibri"/>
        </w:rPr>
        <w:t>disclosure</w:t>
      </w:r>
      <w:r w:rsidRPr="00E056F8">
        <w:rPr>
          <w:rFonts w:cs="Calibri"/>
        </w:rPr>
        <w:t xml:space="preserve"> requirements, a</w:t>
      </w:r>
      <w:r w:rsidR="00E41CFF" w:rsidRPr="00E056F8">
        <w:rPr>
          <w:rFonts w:cs="Calibri"/>
        </w:rPr>
        <w:t>gencies should refer</w:t>
      </w:r>
      <w:r w:rsidR="004B41D0" w:rsidRPr="00E056F8">
        <w:rPr>
          <w:rFonts w:cs="Calibri"/>
        </w:rPr>
        <w:t xml:space="preserve"> to</w:t>
      </w:r>
      <w:r w:rsidR="00E41CFF" w:rsidRPr="00E056F8">
        <w:rPr>
          <w:rFonts w:cs="Calibri"/>
        </w:rPr>
        <w:t xml:space="preserve"> </w:t>
      </w:r>
      <w:r w:rsidR="004B41D0" w:rsidRPr="00354614">
        <w:rPr>
          <w:rFonts w:cs="Calibri"/>
          <w:u w:val="single"/>
        </w:rPr>
        <w:t>Attachment A</w:t>
      </w:r>
      <w:r w:rsidR="004B41D0" w:rsidRPr="00E056F8">
        <w:rPr>
          <w:rFonts w:cs="Calibri"/>
        </w:rPr>
        <w:t xml:space="preserve"> as it provides an updated </w:t>
      </w:r>
      <w:r w:rsidR="00837355" w:rsidRPr="00DB4C49">
        <w:rPr>
          <w:rFonts w:cs="Calibri"/>
          <w:color w:val="000000"/>
        </w:rPr>
        <w:t>Appendix</w:t>
      </w:r>
      <w:r w:rsidR="00DB4C49" w:rsidRPr="00DB4C49">
        <w:rPr>
          <w:rFonts w:cs="Calibri"/>
          <w:color w:val="000000"/>
        </w:rPr>
        <w:t> </w:t>
      </w:r>
      <w:r w:rsidR="00837355" w:rsidRPr="00DB4C49">
        <w:rPr>
          <w:rFonts w:cs="Calibri"/>
          <w:color w:val="000000"/>
        </w:rPr>
        <w:t>C</w:t>
      </w:r>
      <w:r w:rsidR="00837355">
        <w:rPr>
          <w:rFonts w:cs="Calibri"/>
          <w:i/>
        </w:rPr>
        <w:t xml:space="preserve"> </w:t>
      </w:r>
      <w:r w:rsidR="00CC6412" w:rsidRPr="00E056F8">
        <w:rPr>
          <w:rFonts w:cs="Calibri"/>
          <w:i/>
        </w:rPr>
        <w:t>Impact of Accounting Standards Issued but yet to be Applied</w:t>
      </w:r>
      <w:r w:rsidR="004B41D0" w:rsidRPr="00E056F8">
        <w:rPr>
          <w:rFonts w:cs="Calibri"/>
          <w:i/>
        </w:rPr>
        <w:t xml:space="preserve"> </w:t>
      </w:r>
      <w:r w:rsidR="004B41D0" w:rsidRPr="00E056F8">
        <w:rPr>
          <w:rFonts w:cs="Calibri"/>
        </w:rPr>
        <w:t>disclosure which contains a list of standards and interpretations</w:t>
      </w:r>
      <w:r w:rsidR="001766D7" w:rsidRPr="00E056F8">
        <w:rPr>
          <w:rFonts w:cs="Calibri"/>
        </w:rPr>
        <w:t>,</w:t>
      </w:r>
      <w:r w:rsidR="004B41D0" w:rsidRPr="00E056F8">
        <w:rPr>
          <w:rFonts w:cs="Calibri"/>
        </w:rPr>
        <w:t xml:space="preserve"> </w:t>
      </w:r>
      <w:r w:rsidR="001766D7" w:rsidRPr="00E056F8">
        <w:rPr>
          <w:rFonts w:cs="Calibri"/>
        </w:rPr>
        <w:t xml:space="preserve">which are assessed as being applicable to ‘Example Agency’, </w:t>
      </w:r>
      <w:r w:rsidR="004B41D0" w:rsidRPr="00E056F8">
        <w:rPr>
          <w:rFonts w:cs="Calibri"/>
        </w:rPr>
        <w:t xml:space="preserve">that have been issued but are not yet </w:t>
      </w:r>
      <w:r w:rsidR="008E58E5" w:rsidRPr="00E056F8">
        <w:rPr>
          <w:rFonts w:cs="Calibri"/>
        </w:rPr>
        <w:t>effective</w:t>
      </w:r>
      <w:r w:rsidR="004B41D0" w:rsidRPr="00E056F8">
        <w:rPr>
          <w:rFonts w:cs="Calibri"/>
        </w:rPr>
        <w:t xml:space="preserve"> </w:t>
      </w:r>
      <w:r w:rsidR="001A2E5C">
        <w:rPr>
          <w:rFonts w:cs="Calibri"/>
        </w:rPr>
        <w:t>for</w:t>
      </w:r>
      <w:r w:rsidR="004B41D0" w:rsidRPr="00E056F8">
        <w:rPr>
          <w:rFonts w:cs="Calibri"/>
        </w:rPr>
        <w:t xml:space="preserve"> the </w:t>
      </w:r>
      <w:r w:rsidR="006A4C81">
        <w:rPr>
          <w:rFonts w:cs="Calibri"/>
          <w:color w:val="000000"/>
        </w:rPr>
        <w:t>2019-20</w:t>
      </w:r>
      <w:r w:rsidR="00106D81">
        <w:rPr>
          <w:rFonts w:cs="Calibri"/>
        </w:rPr>
        <w:t xml:space="preserve"> </w:t>
      </w:r>
      <w:r w:rsidR="004B41D0" w:rsidRPr="00E056F8">
        <w:rPr>
          <w:rFonts w:cs="Calibri"/>
        </w:rPr>
        <w:t>financial year</w:t>
      </w:r>
      <w:r w:rsidR="00355B1C" w:rsidRPr="00494BC8">
        <w:rPr>
          <w:rFonts w:cs="Calibri"/>
        </w:rPr>
        <w:t>.</w:t>
      </w:r>
      <w:r w:rsidR="001766D7" w:rsidRPr="00494BC8">
        <w:rPr>
          <w:rFonts w:cs="Calibri"/>
        </w:rPr>
        <w:t xml:space="preserve"> </w:t>
      </w:r>
      <w:r w:rsidR="004B41D0" w:rsidRPr="00E056F8">
        <w:rPr>
          <w:rFonts w:cs="Calibri"/>
        </w:rPr>
        <w:t xml:space="preserve">This updates </w:t>
      </w:r>
      <w:r w:rsidR="00E41CFF" w:rsidRPr="00E056F8">
        <w:rPr>
          <w:rFonts w:cs="Calibri"/>
        </w:rPr>
        <w:t xml:space="preserve">the example provided within </w:t>
      </w:r>
      <w:r w:rsidR="00837355" w:rsidRPr="00DB4C49">
        <w:rPr>
          <w:rFonts w:cs="Calibri"/>
          <w:color w:val="000000"/>
        </w:rPr>
        <w:t>Appendix C</w:t>
      </w:r>
      <w:r w:rsidR="00837355">
        <w:rPr>
          <w:rFonts w:cs="Calibri"/>
        </w:rPr>
        <w:t xml:space="preserve"> </w:t>
      </w:r>
      <w:r w:rsidR="00E41CFF" w:rsidRPr="00E056F8">
        <w:rPr>
          <w:rFonts w:cs="Calibri"/>
        </w:rPr>
        <w:t>as presented</w:t>
      </w:r>
      <w:r w:rsidR="00087138" w:rsidRPr="00E056F8">
        <w:rPr>
          <w:rFonts w:cs="Calibri"/>
        </w:rPr>
        <w:t xml:space="preserve"> </w:t>
      </w:r>
      <w:r w:rsidR="00E41CFF" w:rsidRPr="00E056F8">
        <w:rPr>
          <w:rFonts w:cs="Calibri"/>
        </w:rPr>
        <w:t xml:space="preserve">in the </w:t>
      </w:r>
      <w:r w:rsidR="006A4C81">
        <w:rPr>
          <w:rFonts w:cs="Calibri"/>
          <w:color w:val="000000"/>
        </w:rPr>
        <w:t>2019-20</w:t>
      </w:r>
      <w:r w:rsidR="00106D81">
        <w:rPr>
          <w:rFonts w:cs="Calibri"/>
        </w:rPr>
        <w:t xml:space="preserve"> </w:t>
      </w:r>
      <w:r w:rsidR="00E41CFF" w:rsidRPr="00E056F8">
        <w:rPr>
          <w:rFonts w:cs="Calibri"/>
        </w:rPr>
        <w:t xml:space="preserve">Model Financial </w:t>
      </w:r>
      <w:r w:rsidR="00CC6412" w:rsidRPr="00E056F8">
        <w:rPr>
          <w:rFonts w:cs="Calibri"/>
        </w:rPr>
        <w:t>Statements</w:t>
      </w:r>
      <w:r w:rsidRPr="00E056F8">
        <w:rPr>
          <w:rFonts w:cs="Calibri"/>
        </w:rPr>
        <w:t xml:space="preserve">.  </w:t>
      </w:r>
      <w:r w:rsidR="0008536C" w:rsidRPr="00433B5E">
        <w:rPr>
          <w:rFonts w:cs="Calibri"/>
          <w:color w:val="000000"/>
        </w:rPr>
        <w:t>As noted above</w:t>
      </w:r>
      <w:r w:rsidR="00C55DEE" w:rsidRPr="00433B5E">
        <w:rPr>
          <w:rFonts w:cs="Calibri"/>
          <w:color w:val="000000"/>
        </w:rPr>
        <w:t>,</w:t>
      </w:r>
      <w:r w:rsidR="0008536C" w:rsidRPr="00433B5E">
        <w:rPr>
          <w:rFonts w:cs="Calibri"/>
          <w:color w:val="000000"/>
        </w:rPr>
        <w:t xml:space="preserve"> the listing of standards in </w:t>
      </w:r>
      <w:r w:rsidR="0008536C" w:rsidRPr="00ED68F2">
        <w:rPr>
          <w:rFonts w:cs="Calibri"/>
          <w:b/>
          <w:bCs/>
          <w:color w:val="000000"/>
        </w:rPr>
        <w:t>Attachment A</w:t>
      </w:r>
      <w:r w:rsidR="0008536C" w:rsidRPr="00433B5E">
        <w:rPr>
          <w:rFonts w:cs="Calibri"/>
          <w:color w:val="000000"/>
        </w:rPr>
        <w:t xml:space="preserve"> and the associated commentary is to assist agencies in making the necessary disclosures</w:t>
      </w:r>
      <w:r w:rsidR="000838C5" w:rsidRPr="00433B5E">
        <w:rPr>
          <w:rFonts w:cs="Calibri"/>
          <w:color w:val="000000"/>
        </w:rPr>
        <w:t>.  Agencies should assess from the list what standards they need to disclose bearing in mind the criteria in the next paragraph</w:t>
      </w:r>
      <w:r w:rsidR="00C55DEE" w:rsidRPr="00433B5E">
        <w:rPr>
          <w:rFonts w:cs="Calibri"/>
          <w:color w:val="000000"/>
        </w:rPr>
        <w:t>.</w:t>
      </w:r>
      <w:r w:rsidR="0008536C" w:rsidRPr="00433B5E">
        <w:rPr>
          <w:rFonts w:cs="Calibri"/>
          <w:color w:val="000000"/>
        </w:rPr>
        <w:t xml:space="preserve"> </w:t>
      </w:r>
    </w:p>
    <w:p w14:paraId="2B80DB35" w14:textId="77777777" w:rsidR="00E41CFF" w:rsidRPr="00433B5E" w:rsidRDefault="00E41CFF" w:rsidP="00E41CFF">
      <w:pPr>
        <w:rPr>
          <w:rFonts w:cs="Calibri"/>
          <w:color w:val="000000"/>
        </w:rPr>
      </w:pPr>
    </w:p>
    <w:p w14:paraId="09665B4C" w14:textId="77777777" w:rsidR="00FB4B39" w:rsidRDefault="00FB4B39" w:rsidP="00E41CFF">
      <w:pPr>
        <w:rPr>
          <w:rFonts w:cs="Calibri"/>
        </w:rPr>
      </w:pPr>
      <w:r w:rsidRPr="00E056F8">
        <w:rPr>
          <w:rFonts w:cs="Calibri"/>
        </w:rPr>
        <w:t xml:space="preserve">Note that </w:t>
      </w:r>
      <w:r w:rsidR="00CC6412" w:rsidRPr="00E056F8">
        <w:rPr>
          <w:rFonts w:cs="Calibri"/>
        </w:rPr>
        <w:t>only</w:t>
      </w:r>
      <w:r w:rsidRPr="00E056F8">
        <w:rPr>
          <w:rFonts w:cs="Calibri"/>
        </w:rPr>
        <w:t xml:space="preserve"> </w:t>
      </w:r>
      <w:r w:rsidR="002259CC" w:rsidRPr="00433B5E">
        <w:rPr>
          <w:rFonts w:cs="Calibri"/>
          <w:color w:val="000000"/>
        </w:rPr>
        <w:t>the</w:t>
      </w:r>
      <w:r w:rsidR="002259CC">
        <w:rPr>
          <w:rFonts w:cs="Calibri"/>
        </w:rPr>
        <w:t xml:space="preserve"> </w:t>
      </w:r>
      <w:r w:rsidRPr="00E056F8">
        <w:rPr>
          <w:rFonts w:cs="Calibri"/>
        </w:rPr>
        <w:t xml:space="preserve">standards issued but not yet </w:t>
      </w:r>
      <w:r w:rsidR="00844055" w:rsidRPr="00E056F8">
        <w:rPr>
          <w:rFonts w:cs="Calibri"/>
        </w:rPr>
        <w:t>effective</w:t>
      </w:r>
      <w:r w:rsidRPr="00E056F8">
        <w:rPr>
          <w:rFonts w:cs="Calibri"/>
        </w:rPr>
        <w:t xml:space="preserve"> </w:t>
      </w:r>
      <w:r w:rsidR="00CC6412" w:rsidRPr="00E056F8">
        <w:rPr>
          <w:rFonts w:cs="Calibri"/>
        </w:rPr>
        <w:t xml:space="preserve">which </w:t>
      </w:r>
      <w:r w:rsidR="00D25E52">
        <w:rPr>
          <w:rFonts w:cs="Calibri"/>
        </w:rPr>
        <w:t>either</w:t>
      </w:r>
      <w:r w:rsidR="00D25E52" w:rsidRPr="00E056F8">
        <w:rPr>
          <w:rFonts w:cs="Calibri"/>
        </w:rPr>
        <w:t xml:space="preserve"> </w:t>
      </w:r>
      <w:r w:rsidR="00CC6412" w:rsidRPr="00E056F8">
        <w:rPr>
          <w:rFonts w:cs="Calibri"/>
        </w:rPr>
        <w:t xml:space="preserve">are applicable to </w:t>
      </w:r>
      <w:r w:rsidR="004D7116" w:rsidRPr="00E056F8">
        <w:rPr>
          <w:rFonts w:cs="Calibri"/>
        </w:rPr>
        <w:t>an</w:t>
      </w:r>
      <w:r w:rsidR="00CC6412" w:rsidRPr="00E056F8">
        <w:rPr>
          <w:rFonts w:cs="Calibri"/>
        </w:rPr>
        <w:t xml:space="preserve"> agency </w:t>
      </w:r>
      <w:r w:rsidR="002D70BD" w:rsidRPr="00433B5E">
        <w:rPr>
          <w:rFonts w:cs="Calibri"/>
        </w:rPr>
        <w:t>and are assessed as having a material financial impact</w:t>
      </w:r>
      <w:r w:rsidR="002259CC" w:rsidRPr="00433B5E">
        <w:rPr>
          <w:rFonts w:cs="Calibri"/>
        </w:rPr>
        <w:t xml:space="preserve"> </w:t>
      </w:r>
      <w:r w:rsidR="00331ABF">
        <w:rPr>
          <w:rFonts w:cs="Calibri"/>
        </w:rPr>
        <w:t>or</w:t>
      </w:r>
      <w:r w:rsidR="002259CC" w:rsidRPr="00433B5E">
        <w:rPr>
          <w:rFonts w:cs="Calibri"/>
        </w:rPr>
        <w:t xml:space="preserve"> the standards where such an assessment</w:t>
      </w:r>
      <w:r w:rsidR="002D70BD" w:rsidRPr="00433B5E">
        <w:rPr>
          <w:rFonts w:cs="Calibri"/>
        </w:rPr>
        <w:t xml:space="preserve"> </w:t>
      </w:r>
      <w:r w:rsidR="002259CC" w:rsidRPr="00433B5E">
        <w:rPr>
          <w:rFonts w:cs="Calibri"/>
        </w:rPr>
        <w:t xml:space="preserve">has not </w:t>
      </w:r>
      <w:r w:rsidR="00213F25">
        <w:rPr>
          <w:rFonts w:cs="Calibri"/>
        </w:rPr>
        <w:t xml:space="preserve">yet </w:t>
      </w:r>
      <w:r w:rsidR="002259CC" w:rsidRPr="00433B5E">
        <w:rPr>
          <w:rFonts w:cs="Calibri"/>
        </w:rPr>
        <w:t>been made</w:t>
      </w:r>
      <w:r w:rsidR="002259CC" w:rsidRPr="002259CC">
        <w:rPr>
          <w:rFonts w:cs="Calibri"/>
          <w:color w:val="FF0000"/>
        </w:rPr>
        <w:t xml:space="preserve"> </w:t>
      </w:r>
      <w:r w:rsidRPr="00E056F8">
        <w:rPr>
          <w:rFonts w:cs="Calibri"/>
        </w:rPr>
        <w:t xml:space="preserve">must be included in </w:t>
      </w:r>
      <w:r w:rsidR="00837355" w:rsidRPr="00DB4C49">
        <w:rPr>
          <w:rFonts w:cs="Calibri"/>
          <w:color w:val="000000"/>
        </w:rPr>
        <w:t>Appendix C</w:t>
      </w:r>
      <w:r w:rsidRPr="00E056F8">
        <w:rPr>
          <w:rFonts w:cs="Calibri"/>
        </w:rPr>
        <w:t>.</w:t>
      </w:r>
      <w:r w:rsidR="00704A36" w:rsidRPr="00E056F8">
        <w:rPr>
          <w:rFonts w:cs="Calibri"/>
        </w:rPr>
        <w:t xml:space="preserve">  </w:t>
      </w:r>
      <w:r w:rsidR="008450B8" w:rsidRPr="00E056F8">
        <w:rPr>
          <w:rFonts w:cs="Calibri"/>
        </w:rPr>
        <w:t xml:space="preserve">Agencies should also check the additional standards listed in the commentary to </w:t>
      </w:r>
      <w:r w:rsidR="00837355" w:rsidRPr="00DB4C49">
        <w:rPr>
          <w:rFonts w:cs="Calibri"/>
        </w:rPr>
        <w:t>Appendix C</w:t>
      </w:r>
      <w:r w:rsidR="00837355">
        <w:rPr>
          <w:rFonts w:cs="Calibri"/>
        </w:rPr>
        <w:t xml:space="preserve"> </w:t>
      </w:r>
      <w:r w:rsidR="008450B8" w:rsidRPr="00E056F8">
        <w:rPr>
          <w:rFonts w:cs="Calibri"/>
        </w:rPr>
        <w:t xml:space="preserve">(as appearing in </w:t>
      </w:r>
      <w:r w:rsidR="008450B8" w:rsidRPr="00ED68F2">
        <w:rPr>
          <w:rFonts w:cs="Calibri"/>
          <w:b/>
          <w:bCs/>
        </w:rPr>
        <w:t>Attachment A</w:t>
      </w:r>
      <w:r w:rsidR="008450B8" w:rsidRPr="00ED68F2">
        <w:rPr>
          <w:rFonts w:cs="Calibri"/>
        </w:rPr>
        <w:t>)</w:t>
      </w:r>
      <w:r w:rsidR="008450B8" w:rsidRPr="00E056F8">
        <w:rPr>
          <w:rFonts w:cs="Calibri"/>
        </w:rPr>
        <w:t xml:space="preserve">.  These standards have been assessed as not applicable to most </w:t>
      </w:r>
      <w:r w:rsidR="00C1500E" w:rsidRPr="00E056F8">
        <w:rPr>
          <w:rFonts w:cs="Calibri"/>
        </w:rPr>
        <w:t>agencies;</w:t>
      </w:r>
      <w:r w:rsidR="008450B8" w:rsidRPr="00E056F8">
        <w:rPr>
          <w:rFonts w:cs="Calibri"/>
        </w:rPr>
        <w:t xml:space="preserve"> however, agencies should verify that they don’t apply.</w:t>
      </w:r>
      <w:r w:rsidR="0008536C">
        <w:rPr>
          <w:rFonts w:cs="Calibri"/>
        </w:rPr>
        <w:t xml:space="preserve"> </w:t>
      </w:r>
    </w:p>
    <w:p w14:paraId="36C91A52" w14:textId="77777777" w:rsidR="00C00F85" w:rsidRPr="00E056F8" w:rsidRDefault="00C00F85" w:rsidP="00E41CFF">
      <w:pPr>
        <w:rPr>
          <w:rFonts w:cs="Calibri"/>
        </w:rPr>
      </w:pPr>
    </w:p>
    <w:p w14:paraId="5C039FF8" w14:textId="77777777" w:rsidR="00B5063C" w:rsidRPr="00E056F8" w:rsidRDefault="00E41CFF" w:rsidP="001766D7">
      <w:pPr>
        <w:pStyle w:val="Heading1"/>
        <w:rPr>
          <w:rFonts w:cs="Calibri"/>
          <w:szCs w:val="24"/>
        </w:rPr>
      </w:pPr>
      <w:bookmarkStart w:id="24" w:name="_Toc234228966"/>
      <w:bookmarkStart w:id="25" w:name="_Toc45264672"/>
      <w:r w:rsidRPr="00E056F8">
        <w:rPr>
          <w:rFonts w:cs="Calibri"/>
        </w:rPr>
        <w:t xml:space="preserve">Summaries of Changes to Standards </w:t>
      </w:r>
      <w:r w:rsidR="002E07CE" w:rsidRPr="00E056F8">
        <w:rPr>
          <w:rFonts w:cs="Calibri"/>
          <w:szCs w:val="24"/>
        </w:rPr>
        <w:t>and Interpretations</w:t>
      </w:r>
      <w:r w:rsidR="002E07CE" w:rsidRPr="00E056F8">
        <w:rPr>
          <w:rFonts w:cs="Calibri"/>
        </w:rPr>
        <w:t xml:space="preserve"> </w:t>
      </w:r>
      <w:r w:rsidR="003163AF" w:rsidRPr="00E056F8">
        <w:rPr>
          <w:rFonts w:cs="Calibri"/>
        </w:rPr>
        <w:t xml:space="preserve">Issued but Not </w:t>
      </w:r>
      <w:r w:rsidR="0004506C" w:rsidRPr="00E056F8">
        <w:rPr>
          <w:rFonts w:cs="Calibri"/>
        </w:rPr>
        <w:t>yet</w:t>
      </w:r>
      <w:r w:rsidR="00FB4B39" w:rsidRPr="00E056F8">
        <w:rPr>
          <w:rFonts w:cs="Calibri"/>
        </w:rPr>
        <w:t xml:space="preserve"> </w:t>
      </w:r>
      <w:bookmarkEnd w:id="24"/>
      <w:r w:rsidR="007D7141" w:rsidRPr="00E056F8">
        <w:rPr>
          <w:rFonts w:cs="Calibri"/>
        </w:rPr>
        <w:t>Effective</w:t>
      </w:r>
      <w:bookmarkEnd w:id="25"/>
      <w:r w:rsidR="00B5063C" w:rsidRPr="00E056F8">
        <w:rPr>
          <w:rFonts w:cs="Calibri"/>
          <w:szCs w:val="24"/>
        </w:rPr>
        <w:t xml:space="preserve"> </w:t>
      </w:r>
    </w:p>
    <w:p w14:paraId="121CC151" w14:textId="77777777" w:rsidR="00B5063C" w:rsidRPr="00E056F8" w:rsidRDefault="00B5063C" w:rsidP="001766D7">
      <w:pPr>
        <w:pStyle w:val="BodyText2"/>
        <w:keepNext/>
        <w:rPr>
          <w:rFonts w:cs="Calibri"/>
          <w:szCs w:val="24"/>
        </w:rPr>
      </w:pPr>
      <w:r w:rsidRPr="00E056F8">
        <w:rPr>
          <w:rFonts w:cs="Calibri"/>
          <w:szCs w:val="24"/>
        </w:rPr>
        <w:t>The following standards</w:t>
      </w:r>
      <w:r w:rsidR="00FB4B39" w:rsidRPr="00E056F8">
        <w:rPr>
          <w:rFonts w:cs="Calibri"/>
          <w:szCs w:val="24"/>
        </w:rPr>
        <w:t xml:space="preserve"> and interpretations</w:t>
      </w:r>
      <w:r w:rsidRPr="00E056F8">
        <w:rPr>
          <w:rFonts w:cs="Calibri"/>
          <w:szCs w:val="24"/>
        </w:rPr>
        <w:t xml:space="preserve">, currently issued by the AASB, which </w:t>
      </w:r>
      <w:r w:rsidR="00FB4B39" w:rsidRPr="00E056F8">
        <w:rPr>
          <w:rFonts w:cs="Calibri"/>
          <w:szCs w:val="24"/>
        </w:rPr>
        <w:t xml:space="preserve">apply to reporting periods </w:t>
      </w:r>
      <w:r w:rsidR="00246CFA" w:rsidRPr="00E056F8">
        <w:rPr>
          <w:rFonts w:cs="Calibri"/>
          <w:szCs w:val="24"/>
        </w:rPr>
        <w:t xml:space="preserve">ending </w:t>
      </w:r>
      <w:r w:rsidR="00FB4B39" w:rsidRPr="00E056F8">
        <w:rPr>
          <w:rFonts w:cs="Calibri"/>
          <w:szCs w:val="24"/>
        </w:rPr>
        <w:t xml:space="preserve">after 30 June </w:t>
      </w:r>
      <w:r w:rsidR="006A4C81">
        <w:rPr>
          <w:rFonts w:cs="Calibri"/>
          <w:color w:val="000000"/>
          <w:szCs w:val="24"/>
        </w:rPr>
        <w:t>2020</w:t>
      </w:r>
      <w:r w:rsidR="00106D81">
        <w:rPr>
          <w:rFonts w:cs="Calibri"/>
          <w:szCs w:val="24"/>
        </w:rPr>
        <w:t xml:space="preserve"> </w:t>
      </w:r>
      <w:r w:rsidR="003163AF" w:rsidRPr="00E056F8">
        <w:rPr>
          <w:rFonts w:cs="Calibri"/>
          <w:szCs w:val="24"/>
        </w:rPr>
        <w:t>include</w:t>
      </w:r>
      <w:r w:rsidR="00FB4B39" w:rsidRPr="00E056F8">
        <w:rPr>
          <w:rFonts w:cs="Calibri"/>
          <w:szCs w:val="24"/>
        </w:rPr>
        <w:t xml:space="preserve">: </w:t>
      </w:r>
    </w:p>
    <w:p w14:paraId="7430FA31" w14:textId="77777777" w:rsidR="00B5063C" w:rsidRPr="00E056F8" w:rsidRDefault="00B5063C" w:rsidP="001766D7">
      <w:pPr>
        <w:pStyle w:val="BodyText2"/>
        <w:keepNext/>
        <w:tabs>
          <w:tab w:val="left" w:pos="1701"/>
        </w:tabs>
        <w:spacing w:before="0" w:after="0"/>
        <w:ind w:left="1701" w:hanging="1701"/>
        <w:rPr>
          <w:rFonts w:cs="Calibri"/>
          <w:sz w:val="14"/>
          <w:szCs w:val="24"/>
        </w:rPr>
      </w:pPr>
    </w:p>
    <w:p w14:paraId="15FB2BBB" w14:textId="77777777" w:rsidR="00B5063C" w:rsidRPr="00E056F8" w:rsidRDefault="00B5063C" w:rsidP="001766D7">
      <w:pPr>
        <w:pStyle w:val="BodyText2"/>
        <w:keepNext/>
        <w:tabs>
          <w:tab w:val="left" w:pos="1701"/>
        </w:tabs>
        <w:spacing w:before="0" w:after="0"/>
        <w:ind w:left="1701" w:hanging="1701"/>
        <w:rPr>
          <w:rFonts w:cs="Calibri"/>
          <w:b/>
          <w:szCs w:val="24"/>
        </w:rPr>
      </w:pPr>
      <w:r w:rsidRPr="00E056F8">
        <w:rPr>
          <w:rFonts w:cs="Calibri"/>
          <w:b/>
          <w:szCs w:val="24"/>
        </w:rPr>
        <w:t>AASB Compiled Standards</w:t>
      </w:r>
      <w:r w:rsidR="00837355">
        <w:rPr>
          <w:rFonts w:cs="Calibri"/>
          <w:b/>
          <w:szCs w:val="24"/>
        </w:rPr>
        <w:t xml:space="preserve"> </w:t>
      </w:r>
    </w:p>
    <w:p w14:paraId="5FC95735" w14:textId="77777777" w:rsidR="00C00F85" w:rsidRDefault="00B303A4" w:rsidP="00B5063C">
      <w:pPr>
        <w:pStyle w:val="BodyText2"/>
        <w:tabs>
          <w:tab w:val="left" w:pos="1701"/>
        </w:tabs>
        <w:spacing w:before="0" w:after="0"/>
        <w:ind w:left="1701" w:hanging="1701"/>
        <w:rPr>
          <w:rFonts w:cs="Calibri"/>
          <w:i/>
          <w:szCs w:val="24"/>
        </w:rPr>
      </w:pPr>
      <w:r w:rsidRPr="003F15C6">
        <w:rPr>
          <w:rFonts w:cs="Calibri"/>
          <w:color w:val="000000"/>
          <w:szCs w:val="24"/>
        </w:rPr>
        <w:t>AASB 1059</w:t>
      </w:r>
      <w:r w:rsidRPr="00B115AE">
        <w:rPr>
          <w:rFonts w:cs="Calibri"/>
          <w:szCs w:val="24"/>
        </w:rPr>
        <w:tab/>
      </w:r>
      <w:r w:rsidRPr="00EF2F70">
        <w:rPr>
          <w:rFonts w:cs="Calibri"/>
          <w:i/>
          <w:szCs w:val="24"/>
        </w:rPr>
        <w:t>Service Concession Arrangements: Grantor</w:t>
      </w:r>
      <w:r w:rsidR="00827E4D" w:rsidRPr="00EF2F70">
        <w:rPr>
          <w:rFonts w:cs="Calibri"/>
          <w:i/>
          <w:szCs w:val="24"/>
        </w:rPr>
        <w:t>s</w:t>
      </w:r>
    </w:p>
    <w:p w14:paraId="4A2387E3" w14:textId="77777777" w:rsidR="00AF7A64" w:rsidRDefault="00AF7A64" w:rsidP="00B5063C">
      <w:pPr>
        <w:pStyle w:val="BodyText2"/>
        <w:tabs>
          <w:tab w:val="left" w:pos="1701"/>
        </w:tabs>
        <w:spacing w:before="0" w:after="0"/>
        <w:ind w:left="1701" w:hanging="1701"/>
        <w:rPr>
          <w:rFonts w:cs="Calibri"/>
          <w:i/>
          <w:iCs/>
          <w:szCs w:val="24"/>
        </w:rPr>
      </w:pPr>
      <w:r w:rsidRPr="00D56B11">
        <w:rPr>
          <w:rFonts w:cs="Calibri"/>
          <w:szCs w:val="24"/>
        </w:rPr>
        <w:t>AASB 1060</w:t>
      </w:r>
      <w:r w:rsidRPr="00D56B11">
        <w:rPr>
          <w:rFonts w:cs="Calibri"/>
          <w:szCs w:val="24"/>
        </w:rPr>
        <w:tab/>
      </w:r>
      <w:r w:rsidRPr="00D56B11">
        <w:rPr>
          <w:rFonts w:cs="Calibri"/>
          <w:i/>
          <w:iCs/>
          <w:szCs w:val="24"/>
        </w:rPr>
        <w:t>General Purpose Financial Statements – Simplified Disclosures for For-Profit and Not-for-Profit Tier 2 Entities</w:t>
      </w:r>
    </w:p>
    <w:p w14:paraId="5020DE10" w14:textId="77777777" w:rsidR="00ED68F2" w:rsidRPr="00D56B11" w:rsidRDefault="00ED68F2" w:rsidP="00ED68F2"/>
    <w:p w14:paraId="17F3FA69" w14:textId="77777777" w:rsidR="00B5063C" w:rsidRPr="002E4FAB" w:rsidRDefault="00B5063C" w:rsidP="00B5063C">
      <w:pPr>
        <w:pStyle w:val="BodyText2"/>
        <w:tabs>
          <w:tab w:val="left" w:pos="1701"/>
        </w:tabs>
        <w:spacing w:before="0" w:after="0"/>
        <w:ind w:left="1701" w:hanging="1701"/>
        <w:rPr>
          <w:rFonts w:cs="Calibri"/>
          <w:b/>
          <w:szCs w:val="24"/>
        </w:rPr>
      </w:pPr>
      <w:r w:rsidRPr="002E4FAB">
        <w:rPr>
          <w:rFonts w:cs="Calibri"/>
          <w:b/>
          <w:szCs w:val="24"/>
        </w:rPr>
        <w:t>AASB Amending Standards</w:t>
      </w:r>
    </w:p>
    <w:p w14:paraId="05DA4585" w14:textId="77777777" w:rsidR="00CE3A4B" w:rsidRDefault="00CE3A4B" w:rsidP="003F468F">
      <w:pPr>
        <w:pStyle w:val="BodyText2"/>
        <w:tabs>
          <w:tab w:val="left" w:pos="1701"/>
        </w:tabs>
        <w:spacing w:before="0" w:after="0"/>
        <w:ind w:left="1701" w:hanging="1701"/>
        <w:rPr>
          <w:rFonts w:cs="Calibri"/>
          <w:i/>
          <w:szCs w:val="24"/>
        </w:rPr>
      </w:pPr>
      <w:r w:rsidRPr="009B44CA">
        <w:rPr>
          <w:rFonts w:cs="Calibri"/>
          <w:szCs w:val="24"/>
        </w:rPr>
        <w:t xml:space="preserve">AASB 2019-1 </w:t>
      </w:r>
      <w:r w:rsidRPr="009B44CA">
        <w:rPr>
          <w:rFonts w:cs="Calibri"/>
          <w:szCs w:val="24"/>
        </w:rPr>
        <w:tab/>
      </w:r>
      <w:r w:rsidRPr="009B44CA">
        <w:rPr>
          <w:rFonts w:cs="Calibri"/>
          <w:i/>
          <w:szCs w:val="24"/>
        </w:rPr>
        <w:t xml:space="preserve">Amendments to Australian Accounting </w:t>
      </w:r>
      <w:r w:rsidR="00E12195" w:rsidRPr="009B44CA">
        <w:rPr>
          <w:rFonts w:cs="Calibri"/>
          <w:i/>
          <w:szCs w:val="24"/>
        </w:rPr>
        <w:t>Standards</w:t>
      </w:r>
      <w:r w:rsidRPr="009B44CA">
        <w:rPr>
          <w:rFonts w:cs="Calibri"/>
          <w:i/>
          <w:szCs w:val="24"/>
        </w:rPr>
        <w:t xml:space="preserve"> </w:t>
      </w:r>
      <w:r w:rsidRPr="009B44CA">
        <w:rPr>
          <w:rFonts w:cs="Calibri"/>
          <w:i/>
          <w:szCs w:val="24"/>
        </w:rPr>
        <w:softHyphen/>
        <w:t>– References to the Conceptual Framework</w:t>
      </w:r>
    </w:p>
    <w:p w14:paraId="21A9BBB6" w14:textId="77777777" w:rsidR="00F53884" w:rsidRPr="00D56B11" w:rsidRDefault="00F53884" w:rsidP="003F468F">
      <w:pPr>
        <w:pStyle w:val="BodyText2"/>
        <w:tabs>
          <w:tab w:val="left" w:pos="1701"/>
        </w:tabs>
        <w:spacing w:before="0" w:after="0"/>
        <w:ind w:left="1701" w:hanging="1701"/>
        <w:rPr>
          <w:rFonts w:cs="Calibri"/>
          <w:szCs w:val="24"/>
        </w:rPr>
      </w:pPr>
      <w:r w:rsidRPr="00D56B11">
        <w:rPr>
          <w:rFonts w:cs="Calibri"/>
          <w:szCs w:val="24"/>
        </w:rPr>
        <w:t>AASB 2019-2</w:t>
      </w:r>
      <w:r w:rsidR="00427574" w:rsidRPr="00D56B11">
        <w:rPr>
          <w:rFonts w:cs="Calibri"/>
          <w:szCs w:val="24"/>
        </w:rPr>
        <w:tab/>
      </w:r>
      <w:r w:rsidR="00427574" w:rsidRPr="00D56B11">
        <w:rPr>
          <w:rFonts w:cs="Calibri"/>
          <w:i/>
          <w:iCs/>
          <w:szCs w:val="24"/>
        </w:rPr>
        <w:t xml:space="preserve">Amendments </w:t>
      </w:r>
      <w:r w:rsidR="00011528" w:rsidRPr="00D56B11">
        <w:rPr>
          <w:rFonts w:cs="Calibri"/>
          <w:i/>
          <w:iCs/>
          <w:szCs w:val="24"/>
        </w:rPr>
        <w:t>to Australian Accounting Standards – Implementation of AASB 1059</w:t>
      </w:r>
      <w:r w:rsidR="00011528" w:rsidRPr="00D56B11">
        <w:rPr>
          <w:rFonts w:cs="Calibri"/>
          <w:szCs w:val="24"/>
        </w:rPr>
        <w:t xml:space="preserve"> </w:t>
      </w:r>
    </w:p>
    <w:p w14:paraId="0792F808" w14:textId="77777777" w:rsidR="00147EEE" w:rsidRPr="00D56B11" w:rsidRDefault="00147EEE" w:rsidP="003F468F">
      <w:pPr>
        <w:pStyle w:val="BodyText2"/>
        <w:tabs>
          <w:tab w:val="left" w:pos="1701"/>
        </w:tabs>
        <w:spacing w:before="0" w:after="0"/>
        <w:ind w:left="1701" w:hanging="1701"/>
        <w:rPr>
          <w:rFonts w:cs="Calibri"/>
          <w:szCs w:val="24"/>
        </w:rPr>
      </w:pPr>
      <w:r w:rsidRPr="00D56B11">
        <w:rPr>
          <w:rFonts w:cs="Calibri"/>
          <w:szCs w:val="24"/>
        </w:rPr>
        <w:t>AASB 2019-3</w:t>
      </w:r>
      <w:r w:rsidRPr="00D56B11">
        <w:rPr>
          <w:rFonts w:cs="Calibri"/>
          <w:szCs w:val="24"/>
        </w:rPr>
        <w:tab/>
      </w:r>
      <w:r w:rsidRPr="00D56B11">
        <w:rPr>
          <w:rFonts w:cs="Calibri"/>
          <w:i/>
          <w:iCs/>
          <w:szCs w:val="24"/>
        </w:rPr>
        <w:t>Amendments to Australian Accounting Standards – Interest Rate Benchmark Reform</w:t>
      </w:r>
    </w:p>
    <w:p w14:paraId="2C420640" w14:textId="77777777" w:rsidR="00147EEE" w:rsidRPr="00D56B11" w:rsidRDefault="00147EEE" w:rsidP="003F468F">
      <w:pPr>
        <w:pStyle w:val="BodyText2"/>
        <w:tabs>
          <w:tab w:val="left" w:pos="1701"/>
        </w:tabs>
        <w:spacing w:before="0" w:after="0"/>
        <w:ind w:left="1701" w:hanging="1701"/>
        <w:rPr>
          <w:rFonts w:cs="Calibri"/>
          <w:i/>
          <w:iCs/>
          <w:szCs w:val="24"/>
        </w:rPr>
      </w:pPr>
      <w:r w:rsidRPr="00D56B11">
        <w:rPr>
          <w:rFonts w:cs="Calibri"/>
          <w:szCs w:val="24"/>
        </w:rPr>
        <w:t>AASB 2019-5</w:t>
      </w:r>
      <w:r w:rsidRPr="00D56B11">
        <w:rPr>
          <w:rFonts w:cs="Calibri"/>
          <w:szCs w:val="24"/>
        </w:rPr>
        <w:tab/>
      </w:r>
      <w:r w:rsidR="002A5EEE" w:rsidRPr="00D56B11">
        <w:rPr>
          <w:rFonts w:cs="Calibri"/>
          <w:i/>
          <w:iCs/>
          <w:szCs w:val="24"/>
        </w:rPr>
        <w:t>Amendments</w:t>
      </w:r>
      <w:r w:rsidRPr="00D56B11">
        <w:rPr>
          <w:rFonts w:cs="Calibri"/>
          <w:i/>
          <w:iCs/>
          <w:szCs w:val="24"/>
        </w:rPr>
        <w:t xml:space="preserve"> to Austra</w:t>
      </w:r>
      <w:r w:rsidR="00181C9A" w:rsidRPr="00D56B11">
        <w:rPr>
          <w:rFonts w:cs="Calibri"/>
          <w:i/>
          <w:iCs/>
          <w:szCs w:val="24"/>
        </w:rPr>
        <w:t>l</w:t>
      </w:r>
      <w:r w:rsidRPr="00D56B11">
        <w:rPr>
          <w:rFonts w:cs="Calibri"/>
          <w:i/>
          <w:iCs/>
          <w:szCs w:val="24"/>
        </w:rPr>
        <w:t>ian Accounting Standards – Disclosure of the Effect of New IFRS Standards Not Yet Issued in Australia</w:t>
      </w:r>
    </w:p>
    <w:p w14:paraId="7BF699B1" w14:textId="77777777" w:rsidR="00147EEE" w:rsidRPr="00D56B11" w:rsidRDefault="00147EEE" w:rsidP="003F468F">
      <w:pPr>
        <w:pStyle w:val="BodyText2"/>
        <w:tabs>
          <w:tab w:val="left" w:pos="1701"/>
        </w:tabs>
        <w:spacing w:before="0" w:after="0"/>
        <w:ind w:left="1701" w:hanging="1701"/>
        <w:rPr>
          <w:rFonts w:cs="Calibri"/>
          <w:szCs w:val="24"/>
        </w:rPr>
      </w:pPr>
      <w:r w:rsidRPr="00D56B11">
        <w:rPr>
          <w:rFonts w:cs="Calibri"/>
          <w:szCs w:val="24"/>
        </w:rPr>
        <w:t>AASB 2019-7</w:t>
      </w:r>
      <w:r w:rsidRPr="00D56B11">
        <w:rPr>
          <w:rFonts w:cs="Calibri"/>
          <w:szCs w:val="24"/>
        </w:rPr>
        <w:tab/>
      </w:r>
      <w:r w:rsidRPr="00D56B11">
        <w:rPr>
          <w:rFonts w:cs="Calibri"/>
          <w:i/>
          <w:iCs/>
          <w:szCs w:val="24"/>
        </w:rPr>
        <w:t>Amendments to Australian Accounting Standards – Disclosure of GFS Measures of Key Fiscal Aggregates and GAAP/GFS Reconciliations</w:t>
      </w:r>
    </w:p>
    <w:p w14:paraId="3E731057" w14:textId="77777777" w:rsidR="00147EEE" w:rsidRPr="00D56B11" w:rsidRDefault="00147EEE" w:rsidP="003F468F">
      <w:pPr>
        <w:pStyle w:val="BodyText2"/>
        <w:tabs>
          <w:tab w:val="left" w:pos="1701"/>
        </w:tabs>
        <w:spacing w:before="0" w:after="0"/>
        <w:ind w:left="1701" w:hanging="1701"/>
        <w:rPr>
          <w:rFonts w:cs="Calibri"/>
          <w:szCs w:val="24"/>
        </w:rPr>
      </w:pPr>
      <w:r w:rsidRPr="00D56B11">
        <w:rPr>
          <w:rFonts w:cs="Calibri"/>
          <w:szCs w:val="24"/>
        </w:rPr>
        <w:t>AASB 2020-1</w:t>
      </w:r>
      <w:r w:rsidRPr="00D56B11">
        <w:rPr>
          <w:rFonts w:cs="Calibri"/>
          <w:szCs w:val="24"/>
        </w:rPr>
        <w:tab/>
      </w:r>
      <w:r w:rsidRPr="00D56B11">
        <w:rPr>
          <w:rFonts w:cs="Calibri"/>
          <w:i/>
          <w:iCs/>
          <w:szCs w:val="24"/>
        </w:rPr>
        <w:t xml:space="preserve">Amendments to Australian Accounting Standards </w:t>
      </w:r>
      <w:r w:rsidR="00181C9A" w:rsidRPr="00D56B11">
        <w:rPr>
          <w:rFonts w:cs="Calibri"/>
          <w:i/>
          <w:iCs/>
          <w:szCs w:val="24"/>
        </w:rPr>
        <w:t>–</w:t>
      </w:r>
      <w:r w:rsidRPr="00D56B11">
        <w:rPr>
          <w:rFonts w:cs="Calibri"/>
          <w:i/>
          <w:iCs/>
          <w:szCs w:val="24"/>
        </w:rPr>
        <w:t xml:space="preserve"> Cl</w:t>
      </w:r>
      <w:r w:rsidR="00181C9A" w:rsidRPr="00D56B11">
        <w:rPr>
          <w:rFonts w:cs="Calibri"/>
          <w:i/>
          <w:iCs/>
          <w:szCs w:val="24"/>
        </w:rPr>
        <w:t>assification of Liabilities as current or Non-Current</w:t>
      </w:r>
    </w:p>
    <w:p w14:paraId="5F46A8F4" w14:textId="77777777" w:rsidR="00181C9A" w:rsidRPr="00D56B11" w:rsidRDefault="00181C9A" w:rsidP="003F468F">
      <w:pPr>
        <w:pStyle w:val="BodyText2"/>
        <w:tabs>
          <w:tab w:val="left" w:pos="1701"/>
        </w:tabs>
        <w:spacing w:before="0" w:after="0"/>
        <w:ind w:left="1701" w:hanging="1701"/>
        <w:rPr>
          <w:rFonts w:cs="Calibri"/>
          <w:i/>
          <w:iCs/>
          <w:szCs w:val="24"/>
        </w:rPr>
      </w:pPr>
      <w:r w:rsidRPr="00D56B11">
        <w:rPr>
          <w:rFonts w:cs="Calibri"/>
          <w:szCs w:val="24"/>
        </w:rPr>
        <w:t>AASB 2020-2</w:t>
      </w:r>
      <w:r w:rsidRPr="00D56B11">
        <w:rPr>
          <w:rFonts w:cs="Calibri"/>
          <w:szCs w:val="24"/>
        </w:rPr>
        <w:tab/>
      </w:r>
      <w:r w:rsidRPr="00D56B11">
        <w:rPr>
          <w:rFonts w:cs="Calibri"/>
          <w:i/>
          <w:iCs/>
          <w:szCs w:val="24"/>
        </w:rPr>
        <w:t xml:space="preserve">Amendments to Australian Accounting Standards – Removal of Special Purpose Financial Statements for </w:t>
      </w:r>
      <w:r w:rsidR="002A5EEE" w:rsidRPr="00D56B11">
        <w:rPr>
          <w:rFonts w:cs="Calibri"/>
          <w:i/>
          <w:iCs/>
          <w:szCs w:val="24"/>
        </w:rPr>
        <w:t>Certain</w:t>
      </w:r>
      <w:r w:rsidRPr="00D56B11">
        <w:rPr>
          <w:rFonts w:cs="Calibri"/>
          <w:i/>
          <w:iCs/>
          <w:szCs w:val="24"/>
        </w:rPr>
        <w:t xml:space="preserve"> For-Profit Private Sector Entities</w:t>
      </w:r>
    </w:p>
    <w:p w14:paraId="34CC8031" w14:textId="77777777" w:rsidR="00203DAE" w:rsidRPr="00D56B11" w:rsidRDefault="00203DAE" w:rsidP="003F468F">
      <w:pPr>
        <w:pStyle w:val="BodyText2"/>
        <w:tabs>
          <w:tab w:val="left" w:pos="1701"/>
        </w:tabs>
        <w:spacing w:before="0" w:after="0"/>
        <w:ind w:left="1701" w:hanging="1701"/>
        <w:rPr>
          <w:rFonts w:cs="Calibri"/>
          <w:i/>
          <w:iCs/>
          <w:szCs w:val="24"/>
        </w:rPr>
      </w:pPr>
      <w:r w:rsidRPr="00D56B11">
        <w:rPr>
          <w:rFonts w:cs="Calibri"/>
          <w:szCs w:val="24"/>
        </w:rPr>
        <w:t>AASB 2020-3</w:t>
      </w:r>
      <w:r w:rsidRPr="00D56B11">
        <w:rPr>
          <w:rFonts w:cs="Calibri"/>
          <w:szCs w:val="24"/>
        </w:rPr>
        <w:tab/>
      </w:r>
      <w:r w:rsidRPr="00D56B11">
        <w:rPr>
          <w:rFonts w:cs="Calibri"/>
          <w:i/>
          <w:iCs/>
          <w:szCs w:val="24"/>
        </w:rPr>
        <w:t>Amendments to Australian Accounting Standards</w:t>
      </w:r>
      <w:r w:rsidR="007B5FBD" w:rsidRPr="00D56B11">
        <w:rPr>
          <w:rFonts w:cs="Calibri"/>
          <w:i/>
          <w:iCs/>
          <w:szCs w:val="24"/>
        </w:rPr>
        <w:t xml:space="preserve"> – </w:t>
      </w:r>
      <w:r w:rsidRPr="00D56B11">
        <w:rPr>
          <w:rFonts w:cs="Calibri"/>
          <w:i/>
          <w:iCs/>
          <w:szCs w:val="24"/>
        </w:rPr>
        <w:t>Annual Improvements</w:t>
      </w:r>
      <w:r w:rsidR="007B5FBD" w:rsidRPr="00D56B11">
        <w:rPr>
          <w:rFonts w:cs="Calibri"/>
          <w:i/>
          <w:iCs/>
          <w:szCs w:val="24"/>
        </w:rPr>
        <w:t xml:space="preserve"> </w:t>
      </w:r>
      <w:r w:rsidRPr="00D56B11">
        <w:rPr>
          <w:rFonts w:cs="Calibri"/>
          <w:i/>
          <w:iCs/>
          <w:szCs w:val="24"/>
        </w:rPr>
        <w:t>2018-2020 and other Amendments</w:t>
      </w:r>
    </w:p>
    <w:p w14:paraId="245EB2B1" w14:textId="77777777" w:rsidR="00C11C8A" w:rsidRPr="00A46E78" w:rsidRDefault="007B5FBD" w:rsidP="00A46E78">
      <w:pPr>
        <w:pStyle w:val="BodyText2"/>
        <w:tabs>
          <w:tab w:val="left" w:pos="1701"/>
        </w:tabs>
        <w:spacing w:before="0" w:after="0"/>
        <w:ind w:left="1701" w:hanging="1701"/>
        <w:rPr>
          <w:rFonts w:cs="Calibri"/>
          <w:i/>
          <w:iCs/>
          <w:szCs w:val="24"/>
        </w:rPr>
      </w:pPr>
      <w:r w:rsidRPr="00D56B11">
        <w:rPr>
          <w:rFonts w:cs="Calibri"/>
          <w:szCs w:val="24"/>
        </w:rPr>
        <w:t>AASB 2020-4</w:t>
      </w:r>
      <w:r w:rsidRPr="00D56B11">
        <w:rPr>
          <w:rFonts w:cs="Calibri"/>
          <w:szCs w:val="24"/>
        </w:rPr>
        <w:tab/>
      </w:r>
      <w:r w:rsidRPr="00D56B11">
        <w:rPr>
          <w:rFonts w:cs="Calibri"/>
          <w:i/>
          <w:iCs/>
          <w:szCs w:val="24"/>
        </w:rPr>
        <w:t>Amendments to Australian Accounting Standards – Covid-19 Related Rent Concessions</w:t>
      </w:r>
    </w:p>
    <w:p w14:paraId="5FF9F070" w14:textId="77777777" w:rsidR="00DD5F0D" w:rsidRPr="00D53D02" w:rsidRDefault="00ED68F2" w:rsidP="00ED68F2">
      <w:pPr>
        <w:pStyle w:val="Heading2"/>
      </w:pPr>
      <w:r>
        <w:rPr>
          <w:rFonts w:cs="Calibri"/>
          <w:strike/>
        </w:rPr>
        <w:br w:type="page"/>
      </w:r>
      <w:bookmarkStart w:id="26" w:name="_Toc45264673"/>
      <w:r w:rsidR="00DD5F0D" w:rsidRPr="00D53D02">
        <w:lastRenderedPageBreak/>
        <w:t>AASB 17 I</w:t>
      </w:r>
      <w:r w:rsidR="00496610">
        <w:t>nsurance Contracts</w:t>
      </w:r>
      <w:r w:rsidR="00DD5F0D" w:rsidRPr="00D53D02">
        <w:t xml:space="preserve"> (a</w:t>
      </w:r>
      <w:r w:rsidR="00496610">
        <w:t>ppl.</w:t>
      </w:r>
      <w:r w:rsidR="00DD5F0D" w:rsidRPr="00D53D02">
        <w:t xml:space="preserve"> 1 J</w:t>
      </w:r>
      <w:r w:rsidR="00496610">
        <w:t>anuary</w:t>
      </w:r>
      <w:r w:rsidR="00DD5F0D" w:rsidRPr="00D53D02">
        <w:t xml:space="preserve"> 2021)</w:t>
      </w:r>
      <w:bookmarkEnd w:id="26"/>
    </w:p>
    <w:p w14:paraId="1289E51D" w14:textId="77777777" w:rsidR="0016288C" w:rsidRPr="004041E0" w:rsidRDefault="0016288C" w:rsidP="004041E0">
      <w:pPr>
        <w:rPr>
          <w:b/>
        </w:rPr>
      </w:pPr>
    </w:p>
    <w:p w14:paraId="4F2736A4" w14:textId="77777777" w:rsidR="00DD5F0D" w:rsidRPr="00D53D02" w:rsidRDefault="0016288C" w:rsidP="00D930E1">
      <w:pPr>
        <w:spacing w:after="120"/>
        <w:jc w:val="left"/>
        <w:rPr>
          <w:b/>
        </w:rPr>
      </w:pPr>
      <w:r w:rsidRPr="00D53D02">
        <w:rPr>
          <w:b/>
        </w:rPr>
        <w:t>Background</w:t>
      </w:r>
    </w:p>
    <w:p w14:paraId="2E6818C1" w14:textId="77777777" w:rsidR="00CA6B62" w:rsidRPr="00A46E78" w:rsidRDefault="00AC7927" w:rsidP="00504E82">
      <w:r w:rsidRPr="00D53D02">
        <w:t xml:space="preserve">AASB 17 establishes principles for the recognition, measurement, presentation and disclosure of insurance contracts issued.  </w:t>
      </w:r>
      <w:r w:rsidR="002D57E0" w:rsidRPr="00D53D02">
        <w:t xml:space="preserve">It also requires similar principles to be applied to reinsurance contracts held and investment contracts with discretionary participation features issued.  The objective is to ensure that entities provide relevant information in a way that faithfully represents those contracts.  This information </w:t>
      </w:r>
      <w:r w:rsidR="00CD7910" w:rsidRPr="00D53D02">
        <w:t>gives a basis for users of financial statements to assess the effect that contracts within the scope of AASB 17 have on the financial position, financial performance and cash flows of the entity.</w:t>
      </w:r>
      <w:r w:rsidR="005B3BED">
        <w:t xml:space="preserve"> </w:t>
      </w:r>
      <w:r w:rsidR="005B3BED" w:rsidRPr="00A46E78">
        <w:t xml:space="preserve">At its meeting on 17 March 2020, the International Accounting Standards Board (IASB) agreed to defer the effective date of IFRS 17 to annual reporting periods beginning on or after 1 January 2023. </w:t>
      </w:r>
      <w:r w:rsidR="005532CD" w:rsidRPr="00A46E78">
        <w:t xml:space="preserve"> </w:t>
      </w:r>
      <w:r w:rsidR="00455502" w:rsidRPr="00A46E78">
        <w:t>T</w:t>
      </w:r>
      <w:r w:rsidR="005532CD" w:rsidRPr="00A46E78">
        <w:t>he</w:t>
      </w:r>
      <w:r w:rsidR="005B3BED" w:rsidRPr="00A46E78">
        <w:t xml:space="preserve"> IASB </w:t>
      </w:r>
      <w:r w:rsidR="00455502" w:rsidRPr="00A46E78">
        <w:t>issued</w:t>
      </w:r>
      <w:r w:rsidR="005B3BED" w:rsidRPr="00A46E78">
        <w:t xml:space="preserve"> the necessary amendments to IFRS 17</w:t>
      </w:r>
      <w:r w:rsidR="00455502" w:rsidRPr="00A46E78">
        <w:t xml:space="preserve"> on 25 June 2020 and </w:t>
      </w:r>
      <w:r w:rsidR="005532CD" w:rsidRPr="00A46E78">
        <w:t xml:space="preserve">the AASB is expected to </w:t>
      </w:r>
      <w:r w:rsidR="00455502" w:rsidRPr="00A46E78">
        <w:t xml:space="preserve">similarly </w:t>
      </w:r>
      <w:r w:rsidR="005532CD" w:rsidRPr="00A46E78">
        <w:t xml:space="preserve">amend AASB 17 </w:t>
      </w:r>
      <w:r w:rsidR="00455502" w:rsidRPr="00A46E78">
        <w:t>soon</w:t>
      </w:r>
      <w:r w:rsidR="005532CD" w:rsidRPr="00A46E78">
        <w:t>.</w:t>
      </w:r>
      <w:r w:rsidR="005B3BED" w:rsidRPr="00A46E78">
        <w:t xml:space="preserve"> </w:t>
      </w:r>
      <w:r w:rsidR="00C81635" w:rsidRPr="00A46E78">
        <w:t xml:space="preserve">AASB 17 does not apply to superannuation entities applying AASB 1056 </w:t>
      </w:r>
      <w:r w:rsidR="00C81635" w:rsidRPr="00A46E78">
        <w:rPr>
          <w:i/>
          <w:iCs/>
        </w:rPr>
        <w:t>Superannuation Entities</w:t>
      </w:r>
      <w:r w:rsidR="00C81635" w:rsidRPr="00A46E78">
        <w:t xml:space="preserve"> and not-for-profit public sector entities. The AASB is assessing the applicability of AASB 17 to not-for-profit public sector </w:t>
      </w:r>
      <w:r w:rsidR="008121F4" w:rsidRPr="00A46E78">
        <w:t>enti</w:t>
      </w:r>
      <w:r w:rsidR="008121F4">
        <w:t>t</w:t>
      </w:r>
      <w:r w:rsidR="008121F4" w:rsidRPr="00A46E78">
        <w:t>ies</w:t>
      </w:r>
      <w:r w:rsidR="00C81635" w:rsidRPr="00A46E78">
        <w:t xml:space="preserve">.  In November 2017, the AASB issued Discussion Paper </w:t>
      </w:r>
      <w:r w:rsidR="00C81635" w:rsidRPr="00A46E78">
        <w:rPr>
          <w:i/>
          <w:iCs/>
        </w:rPr>
        <w:t>Australian-specific Insurance Issues – Regulatory Disclosures and Public Sector Entities</w:t>
      </w:r>
      <w:r w:rsidR="00C81635" w:rsidRPr="00A46E78">
        <w:t>.</w:t>
      </w:r>
    </w:p>
    <w:p w14:paraId="6A8A8285" w14:textId="77777777" w:rsidR="00CD7910" w:rsidRPr="00D53D02" w:rsidRDefault="00CD7910" w:rsidP="00504E82"/>
    <w:p w14:paraId="5EBE236C" w14:textId="77777777" w:rsidR="00CD7910" w:rsidRPr="00D53D02" w:rsidRDefault="00CD7910" w:rsidP="00504E82">
      <w:pPr>
        <w:rPr>
          <w:b/>
        </w:rPr>
      </w:pPr>
      <w:r w:rsidRPr="00D53D02">
        <w:rPr>
          <w:b/>
        </w:rPr>
        <w:t>Impact</w:t>
      </w:r>
    </w:p>
    <w:p w14:paraId="3F61D0C8" w14:textId="77777777" w:rsidR="00D90C43" w:rsidRDefault="00C81635" w:rsidP="00504E82">
      <w:r w:rsidRPr="00141381">
        <w:t>Currently,</w:t>
      </w:r>
      <w:r>
        <w:t xml:space="preserve"> </w:t>
      </w:r>
      <w:r w:rsidR="00CD7910" w:rsidRPr="00D53D02">
        <w:t xml:space="preserve">AASB 17 will have </w:t>
      </w:r>
      <w:r w:rsidR="00F370CB" w:rsidRPr="00D53D02">
        <w:t>no</w:t>
      </w:r>
      <w:r w:rsidR="00CD7910" w:rsidRPr="00D53D02">
        <w:t xml:space="preserve"> impact on directorates and territory authorities.</w:t>
      </w:r>
    </w:p>
    <w:p w14:paraId="26936DBD" w14:textId="77777777" w:rsidR="00B115AE" w:rsidRDefault="00B115AE" w:rsidP="00504E82"/>
    <w:p w14:paraId="00E5A06A" w14:textId="77777777" w:rsidR="0012701A" w:rsidRDefault="0012701A" w:rsidP="00B115AE">
      <w:pPr>
        <w:pStyle w:val="Heading2"/>
      </w:pPr>
      <w:bookmarkStart w:id="27" w:name="_Toc45264674"/>
      <w:r w:rsidRPr="00386BEF">
        <w:t>AASB 1059 S</w:t>
      </w:r>
      <w:r w:rsidR="00ED68F2">
        <w:t>ervice Concession Arrangements</w:t>
      </w:r>
      <w:r w:rsidRPr="00386BEF">
        <w:t>: G</w:t>
      </w:r>
      <w:r w:rsidR="00ED68F2">
        <w:t>rantors</w:t>
      </w:r>
      <w:r w:rsidRPr="00386BEF">
        <w:t xml:space="preserve"> (appl. 1 January 20</w:t>
      </w:r>
      <w:r w:rsidR="00A83CFA" w:rsidRPr="0075589B">
        <w:t>20</w:t>
      </w:r>
      <w:r w:rsidR="000F76DD">
        <w:t>)</w:t>
      </w:r>
      <w:bookmarkEnd w:id="27"/>
    </w:p>
    <w:p w14:paraId="0447B131" w14:textId="77777777" w:rsidR="00462EB6" w:rsidRDefault="00462EB6" w:rsidP="00462EB6"/>
    <w:p w14:paraId="4D655E7F" w14:textId="77777777" w:rsidR="00FC3243" w:rsidRDefault="00FC3243" w:rsidP="00462EB6">
      <w:pPr>
        <w:rPr>
          <w:b/>
        </w:rPr>
      </w:pPr>
      <w:r w:rsidRPr="00FC3243">
        <w:rPr>
          <w:b/>
        </w:rPr>
        <w:t>Background</w:t>
      </w:r>
    </w:p>
    <w:p w14:paraId="44E70E3A" w14:textId="77777777" w:rsidR="00FC3243" w:rsidRDefault="00FC3243" w:rsidP="00462EB6">
      <w:r w:rsidRPr="00FC3243">
        <w:t>AASB</w:t>
      </w:r>
      <w:r>
        <w:t xml:space="preserve"> 1059 addresses the accounting for a services concession arrangement by a grantor that is a public sector entity by prescribing the accounting arrangement from a grantor’s perspective.</w:t>
      </w:r>
    </w:p>
    <w:p w14:paraId="6F19AAB9" w14:textId="77777777" w:rsidR="00D67D1C" w:rsidRDefault="00D67D1C" w:rsidP="00EF56D6">
      <w:pPr>
        <w:keepNext/>
        <w:rPr>
          <w:rFonts w:cs="Calibri"/>
        </w:rPr>
      </w:pPr>
    </w:p>
    <w:p w14:paraId="46B76B60" w14:textId="77777777" w:rsidR="00EF56D6" w:rsidRPr="004C3683" w:rsidRDefault="00EF56D6" w:rsidP="00EF56D6">
      <w:pPr>
        <w:keepNext/>
        <w:rPr>
          <w:rFonts w:cs="Calibri"/>
        </w:rPr>
      </w:pPr>
      <w:r w:rsidRPr="004C3683">
        <w:rPr>
          <w:rFonts w:cs="Calibri"/>
        </w:rPr>
        <w:t>AASB 1059 applies to arrangements that involve an operator providing public services related to a service concession asset on behalf of a public sector grantor for a specified period of time and managing at least some of those services.  An arrangement within the scope of this Standard typically involves an operator constructing the assets used to provide the public service or upgrading the assets (for example by increasing their capacity) and operating and maintaining the assets for a specified period of time.  Such arrangements are often described as build-operate-transfer or rehabilitate-operate transfer concession arrangements or public-private partnerships (PPPs).</w:t>
      </w:r>
    </w:p>
    <w:p w14:paraId="059F1892" w14:textId="77777777" w:rsidR="00EF56D6" w:rsidRDefault="00EF56D6" w:rsidP="00EF56D6"/>
    <w:p w14:paraId="437E5296" w14:textId="77777777" w:rsidR="00EF56D6" w:rsidRPr="002126A9" w:rsidRDefault="00EF56D6" w:rsidP="00EF56D6">
      <w:pPr>
        <w:keepNext/>
        <w:rPr>
          <w:rFonts w:cs="Calibri"/>
          <w:b/>
        </w:rPr>
      </w:pPr>
      <w:r w:rsidRPr="002126A9">
        <w:rPr>
          <w:rFonts w:cs="Calibri"/>
          <w:b/>
        </w:rPr>
        <w:t>Impact</w:t>
      </w:r>
    </w:p>
    <w:p w14:paraId="60330B26" w14:textId="77777777" w:rsidR="00504E82" w:rsidRDefault="00F74AC1" w:rsidP="004041E0">
      <w:pPr>
        <w:keepNext/>
        <w:rPr>
          <w:rFonts w:cs="Calibri"/>
        </w:rPr>
      </w:pPr>
      <w:r w:rsidRPr="00141381">
        <w:rPr>
          <w:rFonts w:cs="Calibri"/>
        </w:rPr>
        <w:t>This standard will impact only impact the Transport and City Services Directorate.</w:t>
      </w:r>
    </w:p>
    <w:p w14:paraId="213F95A9" w14:textId="77777777" w:rsidR="002D7B6F" w:rsidRPr="00141381" w:rsidRDefault="00ED68F2" w:rsidP="00ED68F2">
      <w:pPr>
        <w:pStyle w:val="Heading2"/>
      </w:pPr>
      <w:r>
        <w:rPr>
          <w:rFonts w:cs="Calibri"/>
        </w:rPr>
        <w:br w:type="page"/>
      </w:r>
      <w:bookmarkStart w:id="28" w:name="_Toc45264675"/>
      <w:r w:rsidR="002D7B6F" w:rsidRPr="00141381">
        <w:lastRenderedPageBreak/>
        <w:t>AASB 1060 General Purpose F</w:t>
      </w:r>
      <w:r>
        <w:t xml:space="preserve">inancial </w:t>
      </w:r>
      <w:r w:rsidR="002D7B6F" w:rsidRPr="00141381">
        <w:t>S</w:t>
      </w:r>
      <w:r>
        <w:t>tatements</w:t>
      </w:r>
      <w:r w:rsidR="002D7B6F" w:rsidRPr="00141381">
        <w:t xml:space="preserve"> </w:t>
      </w:r>
      <w:r>
        <w:t>–</w:t>
      </w:r>
      <w:r w:rsidR="002D7B6F" w:rsidRPr="00141381">
        <w:t xml:space="preserve"> S</w:t>
      </w:r>
      <w:r>
        <w:t xml:space="preserve">implified Disclosure for -Profit and Not-For-Profit </w:t>
      </w:r>
      <w:r w:rsidR="002D7B6F" w:rsidRPr="00141381">
        <w:t>TIER 2 E</w:t>
      </w:r>
      <w:r>
        <w:t>ntities</w:t>
      </w:r>
      <w:r w:rsidR="002D7B6F" w:rsidRPr="00141381">
        <w:t xml:space="preserve"> (appl. 1 J</w:t>
      </w:r>
      <w:r>
        <w:t>uly</w:t>
      </w:r>
      <w:r w:rsidR="002D7B6F" w:rsidRPr="00141381">
        <w:t xml:space="preserve"> 2021)</w:t>
      </w:r>
      <w:bookmarkEnd w:id="28"/>
    </w:p>
    <w:p w14:paraId="1F5D3A9B" w14:textId="77777777" w:rsidR="002D7B6F" w:rsidRPr="00141381" w:rsidRDefault="002D7B6F" w:rsidP="004041E0">
      <w:pPr>
        <w:keepNext/>
        <w:rPr>
          <w:rFonts w:cs="Calibri"/>
        </w:rPr>
      </w:pPr>
    </w:p>
    <w:p w14:paraId="569E075A" w14:textId="77777777" w:rsidR="008541F6" w:rsidRPr="00141381" w:rsidRDefault="008541F6" w:rsidP="008541F6">
      <w:pPr>
        <w:rPr>
          <w:b/>
        </w:rPr>
      </w:pPr>
      <w:r w:rsidRPr="00141381">
        <w:rPr>
          <w:b/>
        </w:rPr>
        <w:t>Background</w:t>
      </w:r>
    </w:p>
    <w:p w14:paraId="078CE6A2" w14:textId="77777777" w:rsidR="008541F6" w:rsidRPr="00141381" w:rsidRDefault="008541F6" w:rsidP="008541F6">
      <w:pPr>
        <w:rPr>
          <w:bCs/>
        </w:rPr>
      </w:pPr>
      <w:r w:rsidRPr="00141381">
        <w:rPr>
          <w:bCs/>
        </w:rPr>
        <w:t xml:space="preserve">AASB 1060 sets out a new, separate disclosure standard to be applied by all agencies that are reporting under Tier 2 of the Differential Framework in AASB 1053 </w:t>
      </w:r>
      <w:r w:rsidR="009405F1" w:rsidRPr="00141381">
        <w:rPr>
          <w:bCs/>
        </w:rPr>
        <w:t>Application of Tiers of Australian Accounting Standards</w:t>
      </w:r>
      <w:r w:rsidR="00A64C95" w:rsidRPr="00141381">
        <w:rPr>
          <w:bCs/>
        </w:rPr>
        <w:t xml:space="preserve">.  AASB 1060 has been developed based on a new methodology and principles to be used in determining the Tier 2 disclosures that are necessary for meeting user needs, to replace the current Reduced Disclosure Requirements (RDR) framework.  The methodology and </w:t>
      </w:r>
      <w:r w:rsidR="008121F4" w:rsidRPr="00141381">
        <w:rPr>
          <w:bCs/>
        </w:rPr>
        <w:t>principles</w:t>
      </w:r>
      <w:r w:rsidR="00A64C95" w:rsidRPr="00141381">
        <w:rPr>
          <w:bCs/>
        </w:rPr>
        <w:t xml:space="preserve"> applied are outlined in the Basis for Conclusions to AASB 1060.</w:t>
      </w:r>
    </w:p>
    <w:p w14:paraId="43788DA6" w14:textId="77777777" w:rsidR="00A64C95" w:rsidRPr="00141381" w:rsidRDefault="00A64C95" w:rsidP="008541F6">
      <w:pPr>
        <w:rPr>
          <w:bCs/>
        </w:rPr>
      </w:pPr>
    </w:p>
    <w:p w14:paraId="02DEE702" w14:textId="77777777" w:rsidR="00A64C95" w:rsidRPr="00141381" w:rsidRDefault="00A64C95" w:rsidP="008541F6">
      <w:pPr>
        <w:rPr>
          <w:bCs/>
        </w:rPr>
      </w:pPr>
      <w:r w:rsidRPr="00141381">
        <w:rPr>
          <w:bCs/>
        </w:rPr>
        <w:t>AASB 1060 does not change:</w:t>
      </w:r>
    </w:p>
    <w:p w14:paraId="3C50F911" w14:textId="77777777" w:rsidR="00A64C95" w:rsidRPr="00141381" w:rsidRDefault="00A64C95" w:rsidP="00CD6C75">
      <w:pPr>
        <w:numPr>
          <w:ilvl w:val="0"/>
          <w:numId w:val="21"/>
        </w:numPr>
        <w:rPr>
          <w:bCs/>
        </w:rPr>
      </w:pPr>
      <w:r w:rsidRPr="00141381">
        <w:rPr>
          <w:bCs/>
        </w:rPr>
        <w:t>Which agencies are permitted to apply Tier 2 reporting requirements; and</w:t>
      </w:r>
    </w:p>
    <w:p w14:paraId="096FC3A5" w14:textId="77777777" w:rsidR="00A64C95" w:rsidRPr="00B85C1D" w:rsidRDefault="00A64C95" w:rsidP="00CD6C75">
      <w:pPr>
        <w:numPr>
          <w:ilvl w:val="0"/>
          <w:numId w:val="21"/>
        </w:numPr>
        <w:rPr>
          <w:bCs/>
        </w:rPr>
      </w:pPr>
      <w:r w:rsidRPr="00B85C1D">
        <w:rPr>
          <w:bCs/>
        </w:rPr>
        <w:t>The recognition and measurement requirements of Tier 2, which are the same as for Tier1.</w:t>
      </w:r>
    </w:p>
    <w:p w14:paraId="1FB1397B" w14:textId="77777777" w:rsidR="00A64C95" w:rsidRPr="00B85C1D" w:rsidRDefault="00A64C95" w:rsidP="00A64C95">
      <w:pPr>
        <w:rPr>
          <w:bCs/>
        </w:rPr>
      </w:pPr>
    </w:p>
    <w:p w14:paraId="6CF6E16C" w14:textId="77777777" w:rsidR="008541F6" w:rsidRPr="00B85C1D" w:rsidRDefault="00A64C95" w:rsidP="007F0346">
      <w:pPr>
        <w:rPr>
          <w:bCs/>
        </w:rPr>
      </w:pPr>
      <w:r w:rsidRPr="00B85C1D">
        <w:rPr>
          <w:bCs/>
        </w:rPr>
        <w:t xml:space="preserve">The disclosures that are relevant to Tier 2 entities are set out in </w:t>
      </w:r>
      <w:r w:rsidR="007F0346" w:rsidRPr="00B85C1D">
        <w:rPr>
          <w:bCs/>
        </w:rPr>
        <w:t>AASB 1060</w:t>
      </w:r>
      <w:r w:rsidRPr="00B85C1D">
        <w:rPr>
          <w:bCs/>
        </w:rPr>
        <w:t xml:space="preserve">. Disclosure requirements set out in the body or appendix of other Standards will no longer be shaded or unshaded in relation to Tier 2 requirements. While </w:t>
      </w:r>
      <w:r w:rsidR="007F0346" w:rsidRPr="00B85C1D">
        <w:rPr>
          <w:bCs/>
        </w:rPr>
        <w:t>agencies</w:t>
      </w:r>
      <w:r w:rsidRPr="00B85C1D">
        <w:rPr>
          <w:bCs/>
        </w:rPr>
        <w:t xml:space="preserve"> that comply with this Standard need to apply the recognition and measurement requirements in other Standards, they are exempt from the disclosure requirements in specified paragraphs in other Standards. Tier 2 </w:t>
      </w:r>
      <w:r w:rsidR="007F0346" w:rsidRPr="00B85C1D">
        <w:rPr>
          <w:bCs/>
        </w:rPr>
        <w:t>agencies</w:t>
      </w:r>
      <w:r w:rsidRPr="00B85C1D">
        <w:rPr>
          <w:bCs/>
        </w:rPr>
        <w:t xml:space="preserve"> are also not required to comply with other Standards that deal only with presentation and disclosure. Consequential amendments to the relevant Standards are set out in Appendix C</w:t>
      </w:r>
      <w:r w:rsidR="007F0346" w:rsidRPr="00B85C1D">
        <w:rPr>
          <w:bCs/>
        </w:rPr>
        <w:t xml:space="preserve"> to AASB 1060</w:t>
      </w:r>
      <w:r w:rsidRPr="00B85C1D">
        <w:rPr>
          <w:bCs/>
        </w:rPr>
        <w:t xml:space="preserve">.  While this Standard includes certain presentation requirements, these do not result in presentations or classifications that are different to those required for Tier 1 entities. The only exception is the option not to include a separate statement of changes in equity in certain circumstances, as set out in paragraph 26 of the Standard.  </w:t>
      </w:r>
    </w:p>
    <w:p w14:paraId="5632DFD9" w14:textId="77777777" w:rsidR="008541F6" w:rsidRPr="00B85C1D" w:rsidRDefault="008541F6" w:rsidP="00143742"/>
    <w:p w14:paraId="78C26C28" w14:textId="77777777" w:rsidR="008541F6" w:rsidRPr="00B85C1D" w:rsidRDefault="008541F6" w:rsidP="008541F6">
      <w:pPr>
        <w:keepNext/>
        <w:rPr>
          <w:rFonts w:cs="Calibri"/>
          <w:b/>
        </w:rPr>
      </w:pPr>
      <w:r w:rsidRPr="00B85C1D">
        <w:rPr>
          <w:rFonts w:cs="Calibri"/>
          <w:b/>
        </w:rPr>
        <w:t>Impact</w:t>
      </w:r>
    </w:p>
    <w:p w14:paraId="55BC430D" w14:textId="77777777" w:rsidR="008541F6" w:rsidRPr="00B85C1D" w:rsidRDefault="00CE3DFA" w:rsidP="008541F6">
      <w:pPr>
        <w:rPr>
          <w:rFonts w:cs="Calibri"/>
        </w:rPr>
      </w:pPr>
      <w:r w:rsidRPr="00B85C1D">
        <w:rPr>
          <w:rFonts w:cs="Calibri"/>
        </w:rPr>
        <w:t xml:space="preserve">It is ACT Disclosure Policy that agencies that are consolidated into the Whole of Government financial statements are not allowed to adopt Tier 2 reporting. </w:t>
      </w:r>
      <w:r w:rsidR="00E32B27" w:rsidRPr="00B85C1D">
        <w:rPr>
          <w:rFonts w:cs="Calibri"/>
        </w:rPr>
        <w:t xml:space="preserve"> As a </w:t>
      </w:r>
      <w:r w:rsidR="008121F4" w:rsidRPr="00B85C1D">
        <w:rPr>
          <w:rFonts w:cs="Calibri"/>
        </w:rPr>
        <w:t>result, there</w:t>
      </w:r>
      <w:r w:rsidRPr="00B85C1D">
        <w:rPr>
          <w:rFonts w:cs="Calibri"/>
        </w:rPr>
        <w:t xml:space="preserve"> is no impact on </w:t>
      </w:r>
      <w:r w:rsidR="00A63194" w:rsidRPr="00B85C1D">
        <w:rPr>
          <w:rFonts w:cs="Calibri"/>
        </w:rPr>
        <w:t>directorates</w:t>
      </w:r>
      <w:r w:rsidRPr="00B85C1D">
        <w:rPr>
          <w:rFonts w:cs="Calibri"/>
        </w:rPr>
        <w:t xml:space="preserve"> and territory</w:t>
      </w:r>
      <w:r w:rsidR="00A63194" w:rsidRPr="00B85C1D">
        <w:rPr>
          <w:rFonts w:cs="Calibri"/>
        </w:rPr>
        <w:t xml:space="preserve"> authorities. </w:t>
      </w:r>
    </w:p>
    <w:p w14:paraId="326521C4" w14:textId="77777777" w:rsidR="008C0E39" w:rsidRPr="006330BF" w:rsidRDefault="00F30E1D" w:rsidP="00F30E1D">
      <w:pPr>
        <w:pStyle w:val="Heading2"/>
      </w:pPr>
      <w:r>
        <w:br w:type="page"/>
      </w:r>
      <w:bookmarkStart w:id="29" w:name="_Toc487644364"/>
      <w:bookmarkStart w:id="30" w:name="_Toc45264676"/>
      <w:r w:rsidR="008C0E39" w:rsidRPr="006330BF">
        <w:lastRenderedPageBreak/>
        <w:t>AASB 2014-10 Amendments to Australian Accounting Standards – Sale or Contribution of Assets between an Investor and Its Associate or Joint Venture (Appl. 1 January 20</w:t>
      </w:r>
      <w:r w:rsidR="005F6DAE" w:rsidRPr="006330BF">
        <w:t>2</w:t>
      </w:r>
      <w:r w:rsidR="00C57135">
        <w:t>2</w:t>
      </w:r>
      <w:r w:rsidR="008C0E39" w:rsidRPr="006330BF">
        <w:t>)</w:t>
      </w:r>
      <w:bookmarkEnd w:id="29"/>
      <w:bookmarkEnd w:id="30"/>
      <w:r w:rsidR="008C0E39" w:rsidRPr="006330BF">
        <w:t xml:space="preserve"> </w:t>
      </w:r>
    </w:p>
    <w:p w14:paraId="6CCD2016" w14:textId="77777777" w:rsidR="00D67D1C" w:rsidRDefault="00D67D1C" w:rsidP="008C0E39">
      <w:pPr>
        <w:spacing w:line="276" w:lineRule="auto"/>
        <w:rPr>
          <w:rFonts w:cs="Calibri"/>
          <w:b/>
        </w:rPr>
      </w:pPr>
    </w:p>
    <w:p w14:paraId="1454DB90" w14:textId="77777777" w:rsidR="008C0E39" w:rsidRPr="006330BF" w:rsidRDefault="008C0E39" w:rsidP="008C0E39">
      <w:pPr>
        <w:spacing w:line="276" w:lineRule="auto"/>
        <w:rPr>
          <w:rFonts w:cs="Calibri"/>
          <w:b/>
        </w:rPr>
      </w:pPr>
      <w:r w:rsidRPr="006330BF">
        <w:rPr>
          <w:rFonts w:cs="Calibri"/>
          <w:b/>
        </w:rPr>
        <w:t>Background</w:t>
      </w:r>
    </w:p>
    <w:p w14:paraId="1677E8A0" w14:textId="77777777" w:rsidR="008C0E39" w:rsidRPr="006330BF" w:rsidRDefault="008C0E39" w:rsidP="008C0E39">
      <w:pPr>
        <w:spacing w:line="276" w:lineRule="auto"/>
        <w:rPr>
          <w:rFonts w:cs="Calibri"/>
        </w:rPr>
      </w:pPr>
      <w:r w:rsidRPr="006330BF">
        <w:t xml:space="preserve">AASB 2014-10 amends AASB 10 </w:t>
      </w:r>
      <w:r w:rsidRPr="006330BF">
        <w:rPr>
          <w:i/>
        </w:rPr>
        <w:t>Consolidated Financial Statements</w:t>
      </w:r>
      <w:r w:rsidRPr="006330BF">
        <w:t xml:space="preserve"> and AASB 128 </w:t>
      </w:r>
      <w:r w:rsidRPr="006330BF">
        <w:rPr>
          <w:i/>
        </w:rPr>
        <w:t>Investments in Associates and Joint Ventures</w:t>
      </w:r>
      <w:r w:rsidRPr="006330BF">
        <w:t xml:space="preserve"> to address an inconsistency between the</w:t>
      </w:r>
      <w:r w:rsidRPr="006330BF">
        <w:rPr>
          <w:rFonts w:cs="Calibri"/>
        </w:rPr>
        <w:t xml:space="preserve"> requirements in AASB 10 and those in AASB 128 (August 2011), in dealing with the sale or contribution of assets between an investor and its associate or joint venture.  The amendments require:</w:t>
      </w:r>
    </w:p>
    <w:p w14:paraId="1123F647" w14:textId="77777777" w:rsidR="00A45DD6" w:rsidRPr="007D47CA" w:rsidRDefault="008C0E39" w:rsidP="00CD6C75">
      <w:pPr>
        <w:numPr>
          <w:ilvl w:val="0"/>
          <w:numId w:val="2"/>
        </w:numPr>
        <w:autoSpaceDE w:val="0"/>
        <w:autoSpaceDN w:val="0"/>
        <w:adjustRightInd w:val="0"/>
        <w:rPr>
          <w:rFonts w:cs="Calibri"/>
          <w:szCs w:val="24"/>
          <w:lang w:eastAsia="en-AU"/>
        </w:rPr>
      </w:pPr>
      <w:r w:rsidRPr="006330BF">
        <w:rPr>
          <w:rFonts w:cs="Calibri"/>
          <w:szCs w:val="24"/>
          <w:lang w:eastAsia="en-AU"/>
        </w:rPr>
        <w:t>a full gain or loss to be recognised when a transaction involves a business (whether it is housed in a subsidiary or not); and</w:t>
      </w:r>
    </w:p>
    <w:p w14:paraId="2BABC574" w14:textId="77777777" w:rsidR="008C0E39" w:rsidRPr="006330BF" w:rsidRDefault="008C0E39" w:rsidP="00CD6C75">
      <w:pPr>
        <w:numPr>
          <w:ilvl w:val="0"/>
          <w:numId w:val="2"/>
        </w:numPr>
        <w:autoSpaceDE w:val="0"/>
        <w:autoSpaceDN w:val="0"/>
        <w:adjustRightInd w:val="0"/>
        <w:rPr>
          <w:rFonts w:cs="Calibri"/>
          <w:szCs w:val="24"/>
          <w:lang w:eastAsia="en-AU"/>
        </w:rPr>
      </w:pPr>
      <w:r w:rsidRPr="006330BF">
        <w:rPr>
          <w:rFonts w:cs="Calibri"/>
          <w:szCs w:val="24"/>
          <w:lang w:eastAsia="en-AU"/>
        </w:rPr>
        <w:t>a partial gain or loss to be recognised when a transaction involves assets that do not constitute a business, even if these assets are housed in a subsidiary.</w:t>
      </w:r>
    </w:p>
    <w:p w14:paraId="77C2CDCD" w14:textId="77777777" w:rsidR="00C12662" w:rsidRDefault="00C12662" w:rsidP="005F6DAE">
      <w:pPr>
        <w:keepNext/>
        <w:rPr>
          <w:rFonts w:cs="Calibri"/>
        </w:rPr>
      </w:pPr>
    </w:p>
    <w:p w14:paraId="075E2970" w14:textId="77777777" w:rsidR="005F6DAE" w:rsidRPr="006330BF" w:rsidRDefault="005F6DAE" w:rsidP="005F6DAE">
      <w:pPr>
        <w:keepNext/>
        <w:rPr>
          <w:rFonts w:cs="Calibri"/>
        </w:rPr>
      </w:pPr>
      <w:r w:rsidRPr="006330BF">
        <w:rPr>
          <w:rFonts w:cs="Calibri"/>
        </w:rPr>
        <w:t xml:space="preserve">AASB 2017-5 </w:t>
      </w:r>
      <w:r w:rsidRPr="006330BF">
        <w:rPr>
          <w:rFonts w:cs="Calibri"/>
          <w:i/>
        </w:rPr>
        <w:t>Amendments to Australian Accounting Standards – Effective date of Amendments to AASB 10 and AASB 128 and Editorial Corrections</w:t>
      </w:r>
      <w:r w:rsidRPr="006330BF">
        <w:rPr>
          <w:rFonts w:cs="Calibri"/>
        </w:rPr>
        <w:t xml:space="preserve"> deferred the mandatory effective date (application date) of amendments to AASB 10 and AASB 128 made in AASB 2014-10 so that the amendments are required to be applied for annual reporting periods beginning on or after 1 January 2022. </w:t>
      </w:r>
    </w:p>
    <w:p w14:paraId="426859D2" w14:textId="77777777" w:rsidR="005F6DAE" w:rsidRPr="00F30E1D" w:rsidRDefault="005F6DAE" w:rsidP="00B115AE">
      <w:pPr>
        <w:rPr>
          <w:sz w:val="22"/>
          <w:szCs w:val="22"/>
          <w:lang w:eastAsia="en-AU"/>
        </w:rPr>
      </w:pPr>
    </w:p>
    <w:p w14:paraId="384AA69B" w14:textId="77777777" w:rsidR="00C83C40" w:rsidRPr="006330BF" w:rsidRDefault="00C83C40" w:rsidP="00C83C40">
      <w:pPr>
        <w:autoSpaceDE w:val="0"/>
        <w:autoSpaceDN w:val="0"/>
        <w:adjustRightInd w:val="0"/>
        <w:rPr>
          <w:rFonts w:cs="Calibri"/>
          <w:b/>
          <w:szCs w:val="24"/>
          <w:lang w:eastAsia="en-AU"/>
        </w:rPr>
      </w:pPr>
      <w:r w:rsidRPr="006330BF">
        <w:rPr>
          <w:rFonts w:cs="Calibri"/>
          <w:b/>
          <w:szCs w:val="24"/>
          <w:lang w:eastAsia="en-AU"/>
        </w:rPr>
        <w:t>Impact</w:t>
      </w:r>
    </w:p>
    <w:p w14:paraId="22E64F91" w14:textId="77777777" w:rsidR="00B74B09" w:rsidRDefault="00C83C40" w:rsidP="00D03116">
      <w:pPr>
        <w:spacing w:line="276" w:lineRule="auto"/>
        <w:rPr>
          <w:rFonts w:cs="Calibri"/>
        </w:rPr>
      </w:pPr>
      <w:r w:rsidRPr="006330BF">
        <w:rPr>
          <w:rFonts w:cs="Calibri"/>
        </w:rPr>
        <w:t xml:space="preserve">Directorates and territory authorities do not generally have any investments in subsidiaries, joint ventures and associates and this standard will not have any material financial impact on them. </w:t>
      </w:r>
    </w:p>
    <w:p w14:paraId="78873D8C" w14:textId="77777777" w:rsidR="00F30E1D" w:rsidRPr="00F30E1D" w:rsidRDefault="00F30E1D" w:rsidP="00D03116">
      <w:pPr>
        <w:spacing w:line="276" w:lineRule="auto"/>
        <w:rPr>
          <w:rFonts w:cs="Calibri"/>
          <w:sz w:val="20"/>
        </w:rPr>
      </w:pPr>
    </w:p>
    <w:p w14:paraId="775115D2" w14:textId="77777777" w:rsidR="00F30E1D" w:rsidRPr="00F30E1D" w:rsidRDefault="00F30E1D" w:rsidP="00F30E1D">
      <w:pPr>
        <w:pStyle w:val="Heading2"/>
      </w:pPr>
      <w:bookmarkStart w:id="31" w:name="_Toc45264677"/>
      <w:r w:rsidRPr="00F30E1D">
        <w:t>AASB 2018-6 Amendments to Australian Accounting Standards – D</w:t>
      </w:r>
      <w:r>
        <w:t>efinition of</w:t>
      </w:r>
      <w:r w:rsidRPr="00F30E1D">
        <w:t xml:space="preserve"> a Business (appl. 1 January 2020)</w:t>
      </w:r>
      <w:bookmarkEnd w:id="31"/>
      <w:r w:rsidRPr="00F30E1D">
        <w:t xml:space="preserve"> </w:t>
      </w:r>
    </w:p>
    <w:p w14:paraId="7CBF2421" w14:textId="77777777" w:rsidR="00D67D1C" w:rsidRDefault="00D67D1C" w:rsidP="00F30E1D">
      <w:pPr>
        <w:spacing w:line="276" w:lineRule="auto"/>
        <w:rPr>
          <w:rFonts w:cs="Calibri"/>
          <w:b/>
        </w:rPr>
      </w:pPr>
    </w:p>
    <w:p w14:paraId="4BD9F628" w14:textId="77777777" w:rsidR="00F30E1D" w:rsidRPr="00F30E1D" w:rsidRDefault="00F30E1D" w:rsidP="00F30E1D">
      <w:pPr>
        <w:spacing w:line="276" w:lineRule="auto"/>
        <w:rPr>
          <w:rFonts w:cs="Calibri"/>
          <w:b/>
        </w:rPr>
      </w:pPr>
      <w:r w:rsidRPr="00F30E1D">
        <w:rPr>
          <w:rFonts w:cs="Calibri"/>
          <w:b/>
        </w:rPr>
        <w:t>Background</w:t>
      </w:r>
    </w:p>
    <w:p w14:paraId="03C5333A" w14:textId="77777777" w:rsidR="00F30E1D" w:rsidRPr="00F30E1D" w:rsidRDefault="00F30E1D" w:rsidP="00F30E1D">
      <w:pPr>
        <w:spacing w:line="276" w:lineRule="auto"/>
        <w:rPr>
          <w:rFonts w:cs="Calibri"/>
        </w:rPr>
      </w:pPr>
      <w:r w:rsidRPr="00F30E1D">
        <w:rPr>
          <w:rFonts w:cs="Calibri"/>
        </w:rPr>
        <w:t>AASB 2018-6 amends AASB 3 Business Combinations to clarify the definition of a business, assisting agencies to determine whether a transaction should be accounted for as a business combination or as an asset acquisition.  The amendments:</w:t>
      </w:r>
    </w:p>
    <w:p w14:paraId="3F4AF19E" w14:textId="77777777" w:rsidR="00F30E1D" w:rsidRPr="00F30E1D" w:rsidRDefault="00F30E1D" w:rsidP="00F30E1D">
      <w:pPr>
        <w:numPr>
          <w:ilvl w:val="0"/>
          <w:numId w:val="19"/>
        </w:numPr>
        <w:spacing w:line="276" w:lineRule="auto"/>
        <w:rPr>
          <w:rFonts w:cs="Calibri"/>
        </w:rPr>
      </w:pPr>
      <w:r w:rsidRPr="00F30E1D">
        <w:rPr>
          <w:rFonts w:cs="Calibri"/>
        </w:rPr>
        <w:t>clarify that to be considered as a business, an acquired set of activities and assets must include, at a minimum, an input and a substantive process that together significantly contribute to the ability to create outputs;</w:t>
      </w:r>
    </w:p>
    <w:p w14:paraId="3924010E" w14:textId="77777777" w:rsidR="00F30E1D" w:rsidRPr="00F30E1D" w:rsidRDefault="00F30E1D" w:rsidP="00F30E1D">
      <w:pPr>
        <w:numPr>
          <w:ilvl w:val="0"/>
          <w:numId w:val="19"/>
        </w:numPr>
        <w:spacing w:line="276" w:lineRule="auto"/>
        <w:rPr>
          <w:rFonts w:cs="Calibri"/>
        </w:rPr>
      </w:pPr>
      <w:r w:rsidRPr="00F30E1D">
        <w:rPr>
          <w:rFonts w:cs="Calibri"/>
        </w:rPr>
        <w:t>remove the assessment of whether market participants are capable of replacing any missing inputs or processes and continuing to produce outputs;</w:t>
      </w:r>
    </w:p>
    <w:p w14:paraId="35495AF1" w14:textId="77777777" w:rsidR="00F30E1D" w:rsidRPr="00F30E1D" w:rsidRDefault="00F30E1D" w:rsidP="00F30E1D">
      <w:pPr>
        <w:numPr>
          <w:ilvl w:val="0"/>
          <w:numId w:val="19"/>
        </w:numPr>
        <w:spacing w:line="276" w:lineRule="auto"/>
        <w:rPr>
          <w:rFonts w:cs="Calibri"/>
        </w:rPr>
      </w:pPr>
      <w:r w:rsidRPr="00F30E1D">
        <w:rPr>
          <w:rFonts w:cs="Calibri"/>
        </w:rPr>
        <w:t>add guidance and illustrative examples to help entities assess whether a substantive process has been acquired;</w:t>
      </w:r>
    </w:p>
    <w:p w14:paraId="5A3295C2" w14:textId="77777777" w:rsidR="00F30E1D" w:rsidRPr="00F30E1D" w:rsidRDefault="00F30E1D" w:rsidP="00F30E1D">
      <w:pPr>
        <w:numPr>
          <w:ilvl w:val="0"/>
          <w:numId w:val="19"/>
        </w:numPr>
        <w:spacing w:line="276" w:lineRule="auto"/>
        <w:rPr>
          <w:rFonts w:cs="Calibri"/>
        </w:rPr>
      </w:pPr>
      <w:r w:rsidRPr="00F30E1D">
        <w:rPr>
          <w:rFonts w:cs="Calibri"/>
        </w:rPr>
        <w:t>narrow the definitions of a business and of outputs by focusing on goods and services provided to customers and by removing the reference to an ability to reduce costs; and</w:t>
      </w:r>
    </w:p>
    <w:p w14:paraId="61A814E2" w14:textId="77777777" w:rsidR="00F30E1D" w:rsidRPr="00F30E1D" w:rsidRDefault="00F30E1D" w:rsidP="00F30E1D">
      <w:pPr>
        <w:numPr>
          <w:ilvl w:val="0"/>
          <w:numId w:val="19"/>
        </w:numPr>
        <w:spacing w:line="276" w:lineRule="auto"/>
        <w:rPr>
          <w:rFonts w:cs="Calibri"/>
        </w:rPr>
      </w:pPr>
      <w:r w:rsidRPr="00F30E1D">
        <w:rPr>
          <w:rFonts w:cs="Calibri"/>
        </w:rPr>
        <w:t>add an optional concentration test that permits a simplified assessment of whether an acquired set of activities and assets is not a business.</w:t>
      </w:r>
    </w:p>
    <w:p w14:paraId="0836010A" w14:textId="77777777" w:rsidR="00F30E1D" w:rsidRPr="00F30E1D" w:rsidRDefault="00F30E1D" w:rsidP="00F30E1D">
      <w:pPr>
        <w:spacing w:line="276" w:lineRule="auto"/>
        <w:rPr>
          <w:rFonts w:cs="Calibri"/>
          <w:b/>
          <w:sz w:val="20"/>
        </w:rPr>
      </w:pPr>
    </w:p>
    <w:p w14:paraId="1AD2956E" w14:textId="77777777" w:rsidR="00D67D1C" w:rsidRDefault="00D67D1C">
      <w:pPr>
        <w:jc w:val="left"/>
        <w:rPr>
          <w:rFonts w:cs="Calibri"/>
          <w:b/>
        </w:rPr>
      </w:pPr>
      <w:r>
        <w:rPr>
          <w:rFonts w:cs="Calibri"/>
          <w:b/>
        </w:rPr>
        <w:br w:type="page"/>
      </w:r>
    </w:p>
    <w:p w14:paraId="1BBB6AAA" w14:textId="77777777" w:rsidR="00F30E1D" w:rsidRPr="00F30E1D" w:rsidRDefault="00F30E1D" w:rsidP="00F30E1D">
      <w:pPr>
        <w:spacing w:line="276" w:lineRule="auto"/>
        <w:rPr>
          <w:rFonts w:cs="Calibri"/>
          <w:b/>
        </w:rPr>
      </w:pPr>
      <w:r w:rsidRPr="00F30E1D">
        <w:rPr>
          <w:rFonts w:cs="Calibri"/>
          <w:b/>
        </w:rPr>
        <w:lastRenderedPageBreak/>
        <w:t>Impact</w:t>
      </w:r>
    </w:p>
    <w:p w14:paraId="7FF7BD17" w14:textId="77777777" w:rsidR="00143742" w:rsidRDefault="00F30E1D" w:rsidP="00F30E1D">
      <w:pPr>
        <w:spacing w:line="276" w:lineRule="auto"/>
        <w:rPr>
          <w:rFonts w:cs="Calibri"/>
        </w:rPr>
      </w:pPr>
      <w:r w:rsidRPr="00F30E1D">
        <w:rPr>
          <w:rFonts w:cs="Calibri"/>
        </w:rPr>
        <w:t>The is no financial impact on directorates and territory authorities.</w:t>
      </w:r>
    </w:p>
    <w:p w14:paraId="5E1E2A8B" w14:textId="77777777" w:rsidR="00977FCF" w:rsidRPr="001A4EE8" w:rsidRDefault="00977FCF" w:rsidP="00143742">
      <w:pPr>
        <w:pStyle w:val="Heading2"/>
        <w:keepNext/>
        <w:rPr>
          <w:rFonts w:cs="Calibri"/>
        </w:rPr>
      </w:pPr>
      <w:bookmarkStart w:id="32" w:name="_Toc45264678"/>
      <w:r w:rsidRPr="001A4EE8">
        <w:t>AASB 2018-</w:t>
      </w:r>
      <w:r w:rsidR="009A7635" w:rsidRPr="001A4EE8">
        <w:t>7 A</w:t>
      </w:r>
      <w:r w:rsidR="00F30E1D">
        <w:t>mendments</w:t>
      </w:r>
      <w:r w:rsidRPr="001A4EE8">
        <w:t xml:space="preserve"> to Australian Accounting Standards – D</w:t>
      </w:r>
      <w:r w:rsidR="00F30E1D">
        <w:t>efinition of Material</w:t>
      </w:r>
      <w:r w:rsidRPr="001A4EE8">
        <w:t xml:space="preserve"> (appl. 1 January 2020)</w:t>
      </w:r>
      <w:bookmarkEnd w:id="32"/>
      <w:r w:rsidRPr="001A4EE8">
        <w:t xml:space="preserve"> </w:t>
      </w:r>
    </w:p>
    <w:p w14:paraId="4652F4D5" w14:textId="77777777" w:rsidR="00977FCF" w:rsidRPr="001A4EE8" w:rsidRDefault="00977FCF" w:rsidP="00977FCF">
      <w:pPr>
        <w:keepNext/>
        <w:rPr>
          <w:rFonts w:cs="Calibri"/>
          <w:b/>
        </w:rPr>
      </w:pPr>
    </w:p>
    <w:p w14:paraId="77875D27" w14:textId="77777777" w:rsidR="00977FCF" w:rsidRPr="001A4EE8" w:rsidRDefault="00977FCF" w:rsidP="00977FCF">
      <w:pPr>
        <w:keepNext/>
        <w:rPr>
          <w:rFonts w:cs="Calibri"/>
          <w:b/>
        </w:rPr>
      </w:pPr>
      <w:r w:rsidRPr="001A4EE8">
        <w:rPr>
          <w:rFonts w:cs="Calibri"/>
          <w:b/>
        </w:rPr>
        <w:t>Background</w:t>
      </w:r>
    </w:p>
    <w:p w14:paraId="1F0D8FD7" w14:textId="77777777" w:rsidR="00977FCF" w:rsidRPr="001A4EE8" w:rsidRDefault="00D06CE7" w:rsidP="00977FCF">
      <w:pPr>
        <w:keepNext/>
        <w:rPr>
          <w:rFonts w:cs="Calibri"/>
        </w:rPr>
      </w:pPr>
      <w:r w:rsidRPr="001A4EE8">
        <w:rPr>
          <w:rFonts w:cs="Calibri"/>
        </w:rPr>
        <w:t xml:space="preserve">AASB 2018-7 </w:t>
      </w:r>
      <w:r w:rsidR="004F35EA" w:rsidRPr="001A4EE8">
        <w:rPr>
          <w:rFonts w:cs="Calibri"/>
        </w:rPr>
        <w:t xml:space="preserve">amends the definition of material in AASB 101 </w:t>
      </w:r>
      <w:r w:rsidR="004F35EA" w:rsidRPr="001A4EE8">
        <w:rPr>
          <w:rFonts w:cs="Calibri"/>
          <w:i/>
        </w:rPr>
        <w:t>Presentation of Financial Statements</w:t>
      </w:r>
      <w:r w:rsidR="004F35EA" w:rsidRPr="001A4EE8">
        <w:rPr>
          <w:rFonts w:cs="Calibri"/>
        </w:rPr>
        <w:t xml:space="preserve"> and AASB 108 </w:t>
      </w:r>
      <w:r w:rsidR="004F35EA" w:rsidRPr="001A4EE8">
        <w:rPr>
          <w:rFonts w:cs="Calibri"/>
          <w:i/>
        </w:rPr>
        <w:t>Accounting Policies, Changes</w:t>
      </w:r>
      <w:r w:rsidR="0010046C" w:rsidRPr="001A4EE8">
        <w:rPr>
          <w:rFonts w:cs="Calibri"/>
          <w:i/>
        </w:rPr>
        <w:t xml:space="preserve"> in Accounting Estimates and Errors</w:t>
      </w:r>
      <w:r w:rsidR="0010046C" w:rsidRPr="001A4EE8">
        <w:rPr>
          <w:rFonts w:cs="Calibri"/>
        </w:rPr>
        <w:t xml:space="preserve">. The amendments clarify the definition of material and its application </w:t>
      </w:r>
      <w:r w:rsidR="00F14149" w:rsidRPr="001A4EE8">
        <w:rPr>
          <w:rFonts w:cs="Calibri"/>
        </w:rPr>
        <w:t>by improving the wording and aligning the definition across AASB standards and other publications.  The amendment also includes some supporting requirements in AASB 101 in the definition to give it more prominence.</w:t>
      </w:r>
    </w:p>
    <w:p w14:paraId="6653E985" w14:textId="77777777" w:rsidR="00977FCF" w:rsidRPr="001A4EE8" w:rsidRDefault="00977FCF" w:rsidP="00977FCF">
      <w:pPr>
        <w:keepNext/>
        <w:rPr>
          <w:rFonts w:cs="Calibri"/>
          <w:b/>
        </w:rPr>
      </w:pPr>
    </w:p>
    <w:p w14:paraId="3C3278EB" w14:textId="77777777" w:rsidR="00977FCF" w:rsidRPr="001A4EE8" w:rsidRDefault="00977FCF" w:rsidP="00977FCF">
      <w:pPr>
        <w:keepNext/>
        <w:rPr>
          <w:rFonts w:cs="Calibri"/>
          <w:b/>
        </w:rPr>
      </w:pPr>
      <w:r w:rsidRPr="001A4EE8">
        <w:rPr>
          <w:rFonts w:cs="Calibri"/>
          <w:b/>
        </w:rPr>
        <w:t>Impact</w:t>
      </w:r>
    </w:p>
    <w:p w14:paraId="7755B4E5" w14:textId="77777777" w:rsidR="00977FCF" w:rsidRDefault="00F14149" w:rsidP="00977FCF">
      <w:pPr>
        <w:keepNext/>
        <w:rPr>
          <w:rFonts w:cs="Calibri"/>
        </w:rPr>
      </w:pPr>
      <w:r w:rsidRPr="001A4EE8">
        <w:rPr>
          <w:rFonts w:cs="Calibri"/>
        </w:rPr>
        <w:t>There is no financial impact on directorates and territory author</w:t>
      </w:r>
      <w:r w:rsidR="0097593E" w:rsidRPr="001A4EE8">
        <w:rPr>
          <w:rFonts w:cs="Calibri"/>
        </w:rPr>
        <w:t>it</w:t>
      </w:r>
      <w:r w:rsidRPr="001A4EE8">
        <w:rPr>
          <w:rFonts w:cs="Calibri"/>
        </w:rPr>
        <w:t>ies.</w:t>
      </w:r>
    </w:p>
    <w:p w14:paraId="2E09BA1E" w14:textId="77777777" w:rsidR="00143742" w:rsidRPr="001A4EE8" w:rsidRDefault="00143742" w:rsidP="00977FCF">
      <w:pPr>
        <w:keepNext/>
        <w:rPr>
          <w:rFonts w:cs="Calibri"/>
        </w:rPr>
      </w:pPr>
    </w:p>
    <w:p w14:paraId="4635CD5E" w14:textId="77777777" w:rsidR="001D0BC9" w:rsidRPr="00DA1C27" w:rsidRDefault="001D0BC9" w:rsidP="00143742">
      <w:pPr>
        <w:pStyle w:val="Heading2"/>
        <w:keepNext/>
        <w:rPr>
          <w:rFonts w:cs="Calibri"/>
        </w:rPr>
      </w:pPr>
      <w:bookmarkStart w:id="33" w:name="_Toc45264679"/>
      <w:r w:rsidRPr="00DA1C27">
        <w:t>AASB 2019-1 Amendments to Australian Accounting Standards – R</w:t>
      </w:r>
      <w:r w:rsidR="00F30E1D">
        <w:t>eferences</w:t>
      </w:r>
      <w:r w:rsidRPr="00DA1C27">
        <w:t xml:space="preserve"> to the conceptual Framework (appl. 1 January 2020)</w:t>
      </w:r>
      <w:bookmarkEnd w:id="33"/>
      <w:r w:rsidRPr="00DA1C27">
        <w:t xml:space="preserve"> </w:t>
      </w:r>
    </w:p>
    <w:p w14:paraId="19145908" w14:textId="77777777" w:rsidR="001D0BC9" w:rsidRPr="00DA1C27" w:rsidRDefault="001D0BC9" w:rsidP="00B74B09">
      <w:pPr>
        <w:keepNext/>
        <w:rPr>
          <w:rFonts w:cs="Calibri"/>
          <w:b/>
        </w:rPr>
      </w:pPr>
    </w:p>
    <w:p w14:paraId="3CA83F21" w14:textId="77777777" w:rsidR="001D0BC9" w:rsidRPr="00DA1C27" w:rsidRDefault="001D0BC9" w:rsidP="001D0BC9">
      <w:pPr>
        <w:keepNext/>
        <w:rPr>
          <w:rFonts w:cs="Calibri"/>
          <w:b/>
        </w:rPr>
      </w:pPr>
      <w:r w:rsidRPr="00DA1C27">
        <w:rPr>
          <w:rFonts w:cs="Calibri"/>
          <w:b/>
        </w:rPr>
        <w:t>Background</w:t>
      </w:r>
    </w:p>
    <w:p w14:paraId="1D8AA9CF" w14:textId="77777777" w:rsidR="001D0BC9" w:rsidRPr="00DA1C27" w:rsidRDefault="001D0BC9" w:rsidP="001D0BC9">
      <w:pPr>
        <w:keepNext/>
        <w:rPr>
          <w:rFonts w:cs="Calibri"/>
        </w:rPr>
      </w:pPr>
      <w:r w:rsidRPr="00DA1C27">
        <w:rPr>
          <w:rFonts w:cs="Calibri"/>
        </w:rPr>
        <w:t xml:space="preserve">AASB 2019-1 </w:t>
      </w:r>
      <w:r w:rsidR="004C209D" w:rsidRPr="00DA1C27">
        <w:rPr>
          <w:rFonts w:cs="Calibri"/>
        </w:rPr>
        <w:t xml:space="preserve">sets out amendments to the Australian Accounting Standards, Interpretations and Other pronouncements to reflect the issue of the </w:t>
      </w:r>
      <w:r w:rsidR="004C209D" w:rsidRPr="00DA1C27">
        <w:rPr>
          <w:rFonts w:cs="Calibri"/>
          <w:i/>
        </w:rPr>
        <w:t>Conceptual Framework for Financial Reporting (Conceptual Framework)</w:t>
      </w:r>
      <w:r w:rsidR="004C209D" w:rsidRPr="00DA1C27">
        <w:rPr>
          <w:rFonts w:cs="Calibri"/>
        </w:rPr>
        <w:t xml:space="preserve"> </w:t>
      </w:r>
      <w:r w:rsidR="00C67EA2" w:rsidRPr="00DA1C27">
        <w:rPr>
          <w:rFonts w:cs="Calibri"/>
        </w:rPr>
        <w:t xml:space="preserve">by the AASB.  </w:t>
      </w:r>
    </w:p>
    <w:p w14:paraId="6BA1355A" w14:textId="77777777" w:rsidR="00C67EA2" w:rsidRPr="00DA1C27" w:rsidRDefault="00C67EA2" w:rsidP="001D0BC9">
      <w:pPr>
        <w:keepNext/>
        <w:rPr>
          <w:rFonts w:cs="Calibri"/>
        </w:rPr>
      </w:pPr>
    </w:p>
    <w:p w14:paraId="22889EA8" w14:textId="77777777" w:rsidR="00C67EA2" w:rsidRPr="00DA1C27" w:rsidRDefault="00C67EA2" w:rsidP="001D0BC9">
      <w:pPr>
        <w:keepNext/>
        <w:rPr>
          <w:rFonts w:cs="Calibri"/>
        </w:rPr>
      </w:pPr>
      <w:r w:rsidRPr="00DA1C27">
        <w:rPr>
          <w:rFonts w:cs="Calibri"/>
        </w:rPr>
        <w:t xml:space="preserve">The application of the </w:t>
      </w:r>
      <w:r w:rsidRPr="00DA1C27">
        <w:rPr>
          <w:rFonts w:cs="Calibri"/>
          <w:i/>
        </w:rPr>
        <w:t>Conceptual Framework</w:t>
      </w:r>
      <w:r w:rsidRPr="00DA1C27">
        <w:rPr>
          <w:rFonts w:cs="Calibri"/>
        </w:rPr>
        <w:t xml:space="preserve"> is at present limited to:</w:t>
      </w:r>
    </w:p>
    <w:p w14:paraId="6E3B484E" w14:textId="77777777" w:rsidR="00C67EA2" w:rsidRPr="00DA1C27" w:rsidRDefault="00C67EA2" w:rsidP="00CD6C75">
      <w:pPr>
        <w:keepNext/>
        <w:numPr>
          <w:ilvl w:val="0"/>
          <w:numId w:val="20"/>
        </w:numPr>
        <w:rPr>
          <w:rFonts w:cs="Calibri"/>
        </w:rPr>
      </w:pPr>
      <w:r w:rsidRPr="00DA1C27">
        <w:rPr>
          <w:rFonts w:cs="Calibri"/>
        </w:rPr>
        <w:t>for-profit private sector entities that have public accountability and are required by legislation to comply with Australian Accounting Standards; and</w:t>
      </w:r>
    </w:p>
    <w:p w14:paraId="7351B7CB" w14:textId="77777777" w:rsidR="00C67EA2" w:rsidRPr="00DA1C27" w:rsidRDefault="00C67EA2" w:rsidP="00CD6C75">
      <w:pPr>
        <w:keepNext/>
        <w:numPr>
          <w:ilvl w:val="0"/>
          <w:numId w:val="20"/>
        </w:numPr>
        <w:rPr>
          <w:rFonts w:cs="Calibri"/>
        </w:rPr>
      </w:pPr>
      <w:r w:rsidRPr="00DA1C27">
        <w:rPr>
          <w:rFonts w:cs="Calibri"/>
        </w:rPr>
        <w:t xml:space="preserve">other for-profit entities that voluntarily elect to apply the Conceptual Framework, which would permit compliance with </w:t>
      </w:r>
      <w:r w:rsidR="00D2503C" w:rsidRPr="00DA1C27">
        <w:rPr>
          <w:rFonts w:cs="Calibri"/>
        </w:rPr>
        <w:t>Australian</w:t>
      </w:r>
      <w:r w:rsidRPr="00DA1C27">
        <w:rPr>
          <w:rFonts w:cs="Calibri"/>
        </w:rPr>
        <w:t xml:space="preserve"> Accounting Standards (Tier 1) and International Financial Reporting </w:t>
      </w:r>
      <w:r w:rsidR="00D2503C" w:rsidRPr="00DA1C27">
        <w:rPr>
          <w:rFonts w:cs="Calibri"/>
        </w:rPr>
        <w:t>Standards</w:t>
      </w:r>
      <w:r w:rsidRPr="00DA1C27">
        <w:rPr>
          <w:rFonts w:cs="Calibri"/>
        </w:rPr>
        <w:t xml:space="preserve"> (IFRS Standards).  </w:t>
      </w:r>
    </w:p>
    <w:p w14:paraId="2104D079" w14:textId="77777777" w:rsidR="00C67EA2" w:rsidRPr="00DA1C27" w:rsidRDefault="00C67EA2" w:rsidP="00C67EA2">
      <w:pPr>
        <w:keepNext/>
        <w:rPr>
          <w:rFonts w:cs="Calibri"/>
        </w:rPr>
      </w:pPr>
    </w:p>
    <w:p w14:paraId="50BE70D2" w14:textId="77777777" w:rsidR="00C67EA2" w:rsidRPr="00DA1C27" w:rsidRDefault="00C67EA2" w:rsidP="00C67EA2">
      <w:pPr>
        <w:keepNext/>
        <w:rPr>
          <w:rFonts w:cs="Calibri"/>
        </w:rPr>
      </w:pPr>
      <w:r w:rsidRPr="00DA1C27">
        <w:rPr>
          <w:rFonts w:cs="Calibri"/>
        </w:rPr>
        <w:t>AASB 2019-1 makes amendments to Australian Accounting Standards, Interpretations and other pro</w:t>
      </w:r>
      <w:r w:rsidR="00D2503C" w:rsidRPr="00DA1C27">
        <w:rPr>
          <w:rFonts w:cs="Calibri"/>
        </w:rPr>
        <w:t>no</w:t>
      </w:r>
      <w:r w:rsidRPr="00DA1C27">
        <w:rPr>
          <w:rFonts w:cs="Calibri"/>
        </w:rPr>
        <w:t xml:space="preserve">uncements to permit other entities to continue using the </w:t>
      </w:r>
      <w:r w:rsidRPr="00DA1C27">
        <w:rPr>
          <w:rFonts w:cs="Calibri"/>
          <w:i/>
        </w:rPr>
        <w:t>Framework for the Preparation and Presentation of Financial Statements</w:t>
      </w:r>
      <w:r w:rsidRPr="00DA1C27">
        <w:rPr>
          <w:rFonts w:cs="Calibri"/>
        </w:rPr>
        <w:t xml:space="preserve"> ad</w:t>
      </w:r>
      <w:r w:rsidR="00C77F21" w:rsidRPr="00DA1C27">
        <w:rPr>
          <w:rFonts w:cs="Calibri"/>
        </w:rPr>
        <w:t>o</w:t>
      </w:r>
      <w:r w:rsidRPr="00DA1C27">
        <w:rPr>
          <w:rFonts w:cs="Calibri"/>
        </w:rPr>
        <w:t>pted by the AASB in 2004 (</w:t>
      </w:r>
      <w:r w:rsidRPr="00DA1C27">
        <w:rPr>
          <w:rFonts w:cs="Calibri"/>
          <w:i/>
        </w:rPr>
        <w:t>Framework</w:t>
      </w:r>
      <w:r w:rsidRPr="00DA1C27">
        <w:rPr>
          <w:rFonts w:cs="Calibri"/>
        </w:rPr>
        <w:t xml:space="preserve">) </w:t>
      </w:r>
      <w:r w:rsidR="00310DC0" w:rsidRPr="00DA1C27">
        <w:rPr>
          <w:rFonts w:cs="Calibri"/>
        </w:rPr>
        <w:t xml:space="preserve">and Statement of Accounting Concepts SAC 1 </w:t>
      </w:r>
      <w:r w:rsidR="00310DC0" w:rsidRPr="00DA1C27">
        <w:rPr>
          <w:rFonts w:cs="Calibri"/>
          <w:i/>
        </w:rPr>
        <w:t>Definition of the Reporting Entity</w:t>
      </w:r>
      <w:r w:rsidR="00310DC0" w:rsidRPr="00DA1C27">
        <w:rPr>
          <w:rFonts w:cs="Calibri"/>
        </w:rPr>
        <w:t xml:space="preserve"> to determine whether they are a reporting entity that needs to prepare general purpose financial statements that comply wit</w:t>
      </w:r>
      <w:r w:rsidR="00C77F21" w:rsidRPr="00DA1C27">
        <w:rPr>
          <w:rFonts w:cs="Calibri"/>
        </w:rPr>
        <w:t>h</w:t>
      </w:r>
      <w:r w:rsidR="00310DC0" w:rsidRPr="00DA1C27">
        <w:rPr>
          <w:rFonts w:cs="Calibri"/>
        </w:rPr>
        <w:t xml:space="preserve"> Australian Accounting Standards.  </w:t>
      </w:r>
      <w:r w:rsidRPr="00DA1C27">
        <w:rPr>
          <w:rFonts w:cs="Calibri"/>
        </w:rPr>
        <w:t xml:space="preserve"> </w:t>
      </w:r>
    </w:p>
    <w:p w14:paraId="34FB1157" w14:textId="77777777" w:rsidR="00C77F21" w:rsidRPr="00DA1C27" w:rsidRDefault="00C77F21" w:rsidP="00C67EA2">
      <w:pPr>
        <w:keepNext/>
        <w:rPr>
          <w:rFonts w:cs="Calibri"/>
        </w:rPr>
      </w:pPr>
    </w:p>
    <w:p w14:paraId="1ED50369" w14:textId="77777777" w:rsidR="00C77F21" w:rsidRPr="00DA1C27" w:rsidRDefault="00C77F21" w:rsidP="00C77F21">
      <w:pPr>
        <w:keepNext/>
        <w:rPr>
          <w:rFonts w:cs="Calibri"/>
          <w:b/>
        </w:rPr>
      </w:pPr>
      <w:r w:rsidRPr="00DA1C27">
        <w:rPr>
          <w:rFonts w:cs="Calibri"/>
          <w:b/>
        </w:rPr>
        <w:t>Impact</w:t>
      </w:r>
    </w:p>
    <w:p w14:paraId="6CF08D96" w14:textId="77777777" w:rsidR="00F30E1D" w:rsidRDefault="00C77F21" w:rsidP="00C77F21">
      <w:pPr>
        <w:rPr>
          <w:rFonts w:cs="Calibri"/>
        </w:rPr>
      </w:pPr>
      <w:r w:rsidRPr="00DA1C27">
        <w:rPr>
          <w:rFonts w:cs="Calibri"/>
        </w:rPr>
        <w:t>This standard will not apply to ACT Government directorates and Terr</w:t>
      </w:r>
      <w:r w:rsidR="00780106" w:rsidRPr="00DA1C27">
        <w:rPr>
          <w:rFonts w:cs="Calibri"/>
        </w:rPr>
        <w:t>it</w:t>
      </w:r>
      <w:r w:rsidRPr="00DA1C27">
        <w:rPr>
          <w:rFonts w:cs="Calibri"/>
        </w:rPr>
        <w:t>ory authorities and will have no financial impact on them.</w:t>
      </w:r>
    </w:p>
    <w:p w14:paraId="6374A768" w14:textId="77777777" w:rsidR="00F30E1D" w:rsidRPr="00447D27" w:rsidRDefault="00F30E1D" w:rsidP="00F30E1D">
      <w:pPr>
        <w:pStyle w:val="Heading2"/>
      </w:pPr>
      <w:r>
        <w:rPr>
          <w:rFonts w:cs="Calibri"/>
        </w:rPr>
        <w:br w:type="page"/>
      </w:r>
      <w:bookmarkStart w:id="34" w:name="_Toc45264680"/>
      <w:r>
        <w:lastRenderedPageBreak/>
        <w:t>AASB 2019-2 Amendments to Australian Accounting Standards – Implementation of AASB 1059 (Appl. 1 January 2020)</w:t>
      </w:r>
      <w:bookmarkEnd w:id="34"/>
    </w:p>
    <w:p w14:paraId="0D471AA0" w14:textId="77777777" w:rsidR="00F30E1D" w:rsidRDefault="00F30E1D" w:rsidP="00F30E1D"/>
    <w:p w14:paraId="7BD5176E" w14:textId="77777777" w:rsidR="00C44063" w:rsidRPr="00447D27" w:rsidRDefault="00C44063" w:rsidP="00C44063">
      <w:pPr>
        <w:keepNext/>
        <w:rPr>
          <w:rFonts w:cs="Calibri"/>
          <w:b/>
        </w:rPr>
      </w:pPr>
      <w:r w:rsidRPr="00447D27">
        <w:rPr>
          <w:rFonts w:cs="Calibri"/>
          <w:b/>
        </w:rPr>
        <w:t>Background</w:t>
      </w:r>
    </w:p>
    <w:p w14:paraId="38F0D6B7" w14:textId="77777777" w:rsidR="00FC5EF1" w:rsidRPr="00447D27" w:rsidRDefault="005B3BED" w:rsidP="00C44063">
      <w:pPr>
        <w:keepNext/>
        <w:rPr>
          <w:rFonts w:cs="Calibri"/>
          <w:bCs/>
        </w:rPr>
      </w:pPr>
      <w:r w:rsidRPr="00447D27">
        <w:rPr>
          <w:rFonts w:cs="Calibri"/>
          <w:bCs/>
        </w:rPr>
        <w:t xml:space="preserve">AASB 2019-2 </w:t>
      </w:r>
      <w:r w:rsidR="00E765BD" w:rsidRPr="00447D27">
        <w:rPr>
          <w:rFonts w:cs="Calibri"/>
          <w:bCs/>
        </w:rPr>
        <w:t xml:space="preserve">amends </w:t>
      </w:r>
      <w:r w:rsidR="00FC5EF1" w:rsidRPr="00447D27">
        <w:rPr>
          <w:rFonts w:cs="Calibri"/>
          <w:bCs/>
        </w:rPr>
        <w:t xml:space="preserve">AASB 16 </w:t>
      </w:r>
      <w:r w:rsidR="00FC5EF1" w:rsidRPr="00447D27">
        <w:rPr>
          <w:rFonts w:cs="Calibri"/>
          <w:bCs/>
          <w:i/>
          <w:iCs/>
        </w:rPr>
        <w:t>Leases</w:t>
      </w:r>
      <w:r w:rsidR="00FC5EF1" w:rsidRPr="00447D27">
        <w:rPr>
          <w:rFonts w:cs="Calibri"/>
          <w:bCs/>
        </w:rPr>
        <w:t xml:space="preserve"> and AASB 1059 </w:t>
      </w:r>
      <w:r w:rsidR="00FC5EF1" w:rsidRPr="00447D27">
        <w:rPr>
          <w:rFonts w:cs="Calibri"/>
          <w:bCs/>
          <w:i/>
          <w:iCs/>
        </w:rPr>
        <w:t xml:space="preserve">Service </w:t>
      </w:r>
      <w:r w:rsidR="008121F4" w:rsidRPr="00447D27">
        <w:rPr>
          <w:rFonts w:cs="Calibri"/>
          <w:bCs/>
          <w:i/>
          <w:iCs/>
        </w:rPr>
        <w:t>Concession</w:t>
      </w:r>
      <w:r w:rsidR="00FC5EF1" w:rsidRPr="00447D27">
        <w:rPr>
          <w:rFonts w:cs="Calibri"/>
          <w:bCs/>
          <w:i/>
          <w:iCs/>
        </w:rPr>
        <w:t xml:space="preserve"> Arrangements: Grantors</w:t>
      </w:r>
      <w:r w:rsidR="00FC5EF1" w:rsidRPr="00447D27">
        <w:rPr>
          <w:rFonts w:cs="Calibri"/>
          <w:bCs/>
        </w:rPr>
        <w:t xml:space="preserve"> mainly to:</w:t>
      </w:r>
    </w:p>
    <w:p w14:paraId="0A69F8C9" w14:textId="77777777" w:rsidR="005B3BED" w:rsidRPr="00447D27" w:rsidRDefault="00FC5EF1" w:rsidP="00CD6C75">
      <w:pPr>
        <w:keepNext/>
        <w:numPr>
          <w:ilvl w:val="0"/>
          <w:numId w:val="22"/>
        </w:numPr>
        <w:rPr>
          <w:rFonts w:cs="Calibri"/>
          <w:bCs/>
        </w:rPr>
      </w:pPr>
      <w:r w:rsidRPr="00447D27">
        <w:rPr>
          <w:rFonts w:cs="Calibri"/>
          <w:bCs/>
        </w:rPr>
        <w:t>Provide a practical expedient to grantors of service concession arrangements so that AASB 16 need not be applied to service concession assets recognised under AA</w:t>
      </w:r>
      <w:r w:rsidR="00D67D1C">
        <w:rPr>
          <w:rFonts w:cs="Calibri"/>
          <w:bCs/>
        </w:rPr>
        <w:t>SB </w:t>
      </w:r>
      <w:r w:rsidRPr="00447D27">
        <w:rPr>
          <w:rFonts w:cs="Calibri"/>
          <w:bCs/>
        </w:rPr>
        <w:t>1059; and</w:t>
      </w:r>
    </w:p>
    <w:p w14:paraId="1E79E361" w14:textId="77777777" w:rsidR="00FC5EF1" w:rsidRPr="00447D27" w:rsidRDefault="00FC5EF1" w:rsidP="00CD6C75">
      <w:pPr>
        <w:keepNext/>
        <w:numPr>
          <w:ilvl w:val="0"/>
          <w:numId w:val="22"/>
        </w:numPr>
        <w:rPr>
          <w:rFonts w:cs="Calibri"/>
          <w:bCs/>
        </w:rPr>
      </w:pPr>
      <w:r w:rsidRPr="00447D27">
        <w:rPr>
          <w:rFonts w:cs="Calibri"/>
          <w:bCs/>
        </w:rPr>
        <w:t>Clarify measurement requirements for the liability of grantors that use the modified retrospective approach</w:t>
      </w:r>
      <w:r w:rsidR="00B20363" w:rsidRPr="00447D27">
        <w:rPr>
          <w:rFonts w:cs="Calibri"/>
          <w:bCs/>
        </w:rPr>
        <w:t xml:space="preserve"> upon initial adoption of AASB 1059.</w:t>
      </w:r>
    </w:p>
    <w:p w14:paraId="4514C818" w14:textId="77777777" w:rsidR="00B335C5" w:rsidRPr="00447D27" w:rsidRDefault="00B335C5" w:rsidP="00B335C5">
      <w:pPr>
        <w:keepNext/>
        <w:rPr>
          <w:rFonts w:cs="Calibri"/>
          <w:strike/>
        </w:rPr>
      </w:pPr>
    </w:p>
    <w:p w14:paraId="494D21FA" w14:textId="77777777" w:rsidR="00C44063" w:rsidRPr="00447D27" w:rsidRDefault="00C44063" w:rsidP="00C44063">
      <w:pPr>
        <w:keepNext/>
        <w:rPr>
          <w:rFonts w:cs="Calibri"/>
          <w:b/>
        </w:rPr>
      </w:pPr>
      <w:r w:rsidRPr="00447D27">
        <w:rPr>
          <w:rFonts w:cs="Calibri"/>
          <w:b/>
        </w:rPr>
        <w:t>Impact</w:t>
      </w:r>
    </w:p>
    <w:p w14:paraId="2F1D44D2" w14:textId="77777777" w:rsidR="00B335C5" w:rsidRDefault="009B7D95" w:rsidP="00B335C5">
      <w:pPr>
        <w:keepNext/>
        <w:rPr>
          <w:rFonts w:cs="Calibri"/>
        </w:rPr>
      </w:pPr>
      <w:r w:rsidRPr="00447D27">
        <w:rPr>
          <w:rFonts w:cs="Calibri"/>
        </w:rPr>
        <w:t xml:space="preserve">This standard will impact </w:t>
      </w:r>
      <w:r w:rsidR="00782D2E" w:rsidRPr="00447D27">
        <w:rPr>
          <w:rFonts w:cs="Calibri"/>
        </w:rPr>
        <w:t xml:space="preserve">only impact the Transport and City Services Directorate. </w:t>
      </w:r>
    </w:p>
    <w:p w14:paraId="10E5ED54" w14:textId="77777777" w:rsidR="00F30E1D" w:rsidRDefault="00F30E1D" w:rsidP="00B335C5">
      <w:pPr>
        <w:keepNext/>
        <w:rPr>
          <w:rFonts w:cs="Calibri"/>
        </w:rPr>
      </w:pPr>
    </w:p>
    <w:p w14:paraId="5FCE7C77" w14:textId="77777777" w:rsidR="00F30E1D" w:rsidRDefault="00F30E1D" w:rsidP="00F30E1D">
      <w:pPr>
        <w:pStyle w:val="Heading2"/>
      </w:pPr>
      <w:bookmarkStart w:id="35" w:name="_Toc45264681"/>
      <w:r w:rsidRPr="00F30E1D">
        <w:t>AASB</w:t>
      </w:r>
      <w:r>
        <w:t xml:space="preserve"> 2019-3 Amendments to Australian Accounting Standards – Interest Rate Benchmark Reform (Appl. 1 Janurary 2020)</w:t>
      </w:r>
      <w:bookmarkEnd w:id="35"/>
    </w:p>
    <w:p w14:paraId="0F89CFFA" w14:textId="77777777" w:rsidR="00C44063" w:rsidRPr="00447D27" w:rsidRDefault="00C44063" w:rsidP="00C44063">
      <w:pPr>
        <w:keepNext/>
        <w:rPr>
          <w:rFonts w:cs="Calibri"/>
          <w:b/>
        </w:rPr>
      </w:pPr>
    </w:p>
    <w:p w14:paraId="34FC6F21" w14:textId="77777777" w:rsidR="00C44063" w:rsidRPr="00447D27" w:rsidRDefault="00C44063" w:rsidP="00C44063">
      <w:pPr>
        <w:keepNext/>
        <w:rPr>
          <w:rFonts w:cs="Calibri"/>
          <w:b/>
        </w:rPr>
      </w:pPr>
      <w:r w:rsidRPr="00447D27">
        <w:rPr>
          <w:rFonts w:cs="Calibri"/>
          <w:b/>
        </w:rPr>
        <w:t>Background</w:t>
      </w:r>
    </w:p>
    <w:p w14:paraId="53401F80" w14:textId="77777777" w:rsidR="00B51187" w:rsidRPr="00447D27" w:rsidRDefault="0040164B" w:rsidP="00C44063">
      <w:pPr>
        <w:keepNext/>
        <w:rPr>
          <w:rFonts w:cs="Calibri"/>
          <w:bCs/>
        </w:rPr>
      </w:pPr>
      <w:r w:rsidRPr="00447D27">
        <w:rPr>
          <w:rFonts w:cs="Calibri"/>
          <w:bCs/>
        </w:rPr>
        <w:t xml:space="preserve">AASB 2019-3 amends AASB 7 </w:t>
      </w:r>
      <w:r w:rsidRPr="00447D27">
        <w:rPr>
          <w:rFonts w:cs="Calibri"/>
          <w:bCs/>
          <w:i/>
          <w:iCs/>
        </w:rPr>
        <w:t>Financial Instruments</w:t>
      </w:r>
      <w:r w:rsidR="000D65C2" w:rsidRPr="00447D27">
        <w:rPr>
          <w:rFonts w:cs="Calibri"/>
          <w:bCs/>
          <w:i/>
          <w:iCs/>
        </w:rPr>
        <w:t>: Disclosures</w:t>
      </w:r>
      <w:r w:rsidRPr="00447D27">
        <w:rPr>
          <w:rFonts w:cs="Calibri"/>
          <w:bCs/>
        </w:rPr>
        <w:t xml:space="preserve">, </w:t>
      </w:r>
      <w:r w:rsidR="000D65C2" w:rsidRPr="00447D27">
        <w:rPr>
          <w:rFonts w:cs="Calibri"/>
          <w:bCs/>
        </w:rPr>
        <w:t xml:space="preserve">AASB 9 </w:t>
      </w:r>
      <w:r w:rsidR="000D65C2" w:rsidRPr="00447D27">
        <w:rPr>
          <w:rFonts w:cs="Calibri"/>
          <w:bCs/>
          <w:i/>
          <w:iCs/>
        </w:rPr>
        <w:t>Financial Instruments</w:t>
      </w:r>
      <w:r w:rsidR="000D65C2" w:rsidRPr="00447D27">
        <w:rPr>
          <w:rFonts w:cs="Calibri"/>
          <w:bCs/>
        </w:rPr>
        <w:t xml:space="preserve"> and AASB 139 </w:t>
      </w:r>
      <w:r w:rsidR="000D65C2" w:rsidRPr="00447D27">
        <w:rPr>
          <w:rFonts w:cs="Calibri"/>
          <w:bCs/>
          <w:i/>
          <w:iCs/>
        </w:rPr>
        <w:t>Financial Instruments</w:t>
      </w:r>
      <w:r w:rsidR="00773FED" w:rsidRPr="00447D27">
        <w:rPr>
          <w:rFonts w:cs="Calibri"/>
          <w:bCs/>
          <w:i/>
          <w:iCs/>
        </w:rPr>
        <w:t xml:space="preserve">: </w:t>
      </w:r>
      <w:r w:rsidR="000D65C2" w:rsidRPr="00447D27">
        <w:rPr>
          <w:rFonts w:cs="Calibri"/>
          <w:bCs/>
          <w:i/>
          <w:iCs/>
        </w:rPr>
        <w:t>Recognition and Measurement</w:t>
      </w:r>
      <w:r w:rsidR="00773FED" w:rsidRPr="00447D27">
        <w:rPr>
          <w:rFonts w:cs="Calibri"/>
          <w:bCs/>
          <w:i/>
          <w:iCs/>
        </w:rPr>
        <w:t xml:space="preserve">. </w:t>
      </w:r>
      <w:r w:rsidR="00773FED" w:rsidRPr="00447D27">
        <w:rPr>
          <w:rFonts w:cs="Calibri"/>
          <w:bCs/>
        </w:rPr>
        <w:t>These amendments</w:t>
      </w:r>
      <w:r w:rsidR="000D65C2" w:rsidRPr="00447D27">
        <w:rPr>
          <w:rFonts w:cs="Calibri"/>
          <w:bCs/>
        </w:rPr>
        <w:t xml:space="preserve"> were issued in response to the effects of Interbank Offered Rates reform on financial reporting. </w:t>
      </w:r>
      <w:r w:rsidR="00773FED" w:rsidRPr="00447D27">
        <w:rPr>
          <w:rFonts w:cs="Calibri"/>
          <w:bCs/>
        </w:rPr>
        <w:t>They provide mandatory temporary relief enabling hedge accounting to continue during the period of uncertainty before the replacement of an existing interest rate benchmark with an alternative ‘nearly risk free’ benchmark.</w:t>
      </w:r>
    </w:p>
    <w:p w14:paraId="5E055B86" w14:textId="77777777" w:rsidR="00B335C5" w:rsidRPr="00447D27" w:rsidRDefault="00B335C5" w:rsidP="00B335C5"/>
    <w:p w14:paraId="0E94FE59" w14:textId="77777777" w:rsidR="00C44063" w:rsidRPr="00447D27" w:rsidRDefault="00C44063" w:rsidP="00C44063">
      <w:pPr>
        <w:keepNext/>
        <w:rPr>
          <w:rFonts w:cs="Calibri"/>
          <w:b/>
        </w:rPr>
      </w:pPr>
      <w:r w:rsidRPr="00447D27">
        <w:rPr>
          <w:rFonts w:cs="Calibri"/>
          <w:b/>
        </w:rPr>
        <w:t>Impact</w:t>
      </w:r>
    </w:p>
    <w:p w14:paraId="04EE4792" w14:textId="77777777" w:rsidR="00773FED" w:rsidRPr="00447D27" w:rsidRDefault="00773FED" w:rsidP="00773FED">
      <w:pPr>
        <w:rPr>
          <w:rFonts w:cs="Calibri"/>
        </w:rPr>
      </w:pPr>
      <w:r w:rsidRPr="00447D27">
        <w:rPr>
          <w:rFonts w:cs="Calibri"/>
        </w:rPr>
        <w:t xml:space="preserve">This standard will not apply to ACT Government directorates and </w:t>
      </w:r>
      <w:r w:rsidR="00722513" w:rsidRPr="00447D27">
        <w:rPr>
          <w:rFonts w:cs="Calibri"/>
        </w:rPr>
        <w:t>t</w:t>
      </w:r>
      <w:r w:rsidRPr="00447D27">
        <w:rPr>
          <w:rFonts w:cs="Calibri"/>
        </w:rPr>
        <w:t>erritory authorities and will have no financial impact on them.</w:t>
      </w:r>
    </w:p>
    <w:p w14:paraId="443C5819" w14:textId="77777777" w:rsidR="00B335C5" w:rsidRPr="00447D27" w:rsidRDefault="00B335C5" w:rsidP="00B335C5"/>
    <w:p w14:paraId="5A0C896D" w14:textId="77777777" w:rsidR="00B335C5" w:rsidRDefault="00B335C5" w:rsidP="008743F1">
      <w:pPr>
        <w:pStyle w:val="Heading2"/>
        <w:keepNext/>
        <w:ind w:left="578" w:hanging="578"/>
      </w:pPr>
      <w:bookmarkStart w:id="36" w:name="_Toc45264682"/>
      <w:r w:rsidRPr="00447D27">
        <w:t>AASB 2019-5 Amendments to Australian Accounting Standards – D</w:t>
      </w:r>
      <w:r w:rsidR="00F30E1D">
        <w:t>isclosure of the Effect of New IRIS Standards Not Yet Issued in Australia</w:t>
      </w:r>
      <w:r w:rsidR="00E963C4">
        <w:t xml:space="preserve"> (Appl. 1 January 2020)</w:t>
      </w:r>
      <w:bookmarkEnd w:id="36"/>
      <w:r w:rsidR="00E963C4">
        <w:t xml:space="preserve"> </w:t>
      </w:r>
    </w:p>
    <w:p w14:paraId="2E010C57" w14:textId="77777777" w:rsidR="00E963C4" w:rsidRPr="00E963C4" w:rsidRDefault="00E963C4" w:rsidP="00E963C4"/>
    <w:p w14:paraId="7943351A" w14:textId="77777777" w:rsidR="00C44063" w:rsidRPr="00447D27" w:rsidRDefault="00C44063" w:rsidP="00C44063">
      <w:pPr>
        <w:keepNext/>
        <w:rPr>
          <w:rFonts w:cs="Calibri"/>
          <w:b/>
        </w:rPr>
      </w:pPr>
      <w:r w:rsidRPr="00447D27">
        <w:rPr>
          <w:rFonts w:cs="Calibri"/>
          <w:b/>
        </w:rPr>
        <w:t>Background</w:t>
      </w:r>
    </w:p>
    <w:p w14:paraId="22591BEF" w14:textId="77777777" w:rsidR="00C44063" w:rsidRPr="00447D27" w:rsidRDefault="00722513" w:rsidP="00C44063">
      <w:r w:rsidRPr="00447D27">
        <w:t xml:space="preserve">AASB 2019-5 makes amendments to AASB 1054 </w:t>
      </w:r>
      <w:r w:rsidRPr="00447D27">
        <w:rPr>
          <w:i/>
          <w:iCs/>
        </w:rPr>
        <w:t>Australian Additional Disclosures</w:t>
      </w:r>
      <w:r w:rsidRPr="00447D27">
        <w:t xml:space="preserve"> by adding a disclosure requirement for an entity intending to comply with </w:t>
      </w:r>
      <w:r w:rsidR="009F2881" w:rsidRPr="00447D27">
        <w:t xml:space="preserve">IFRS Standards will now be required </w:t>
      </w:r>
      <w:r w:rsidRPr="00447D27">
        <w:t xml:space="preserve">to disclose </w:t>
      </w:r>
      <w:r w:rsidR="009F2881" w:rsidRPr="00447D27">
        <w:t>the potential effect of new IFRS standards that have not yet been issued by the AASB as Australian Accounting Standards. This will ensure IFRS compliance for for-profit publicly accountable entities, when they comply with Australian Accounting Standards.</w:t>
      </w:r>
    </w:p>
    <w:p w14:paraId="4F917278" w14:textId="77777777" w:rsidR="00722513" w:rsidRPr="00447D27" w:rsidRDefault="00722513" w:rsidP="00C44063">
      <w:pPr>
        <w:keepNext/>
        <w:rPr>
          <w:rFonts w:cs="Calibri"/>
          <w:b/>
        </w:rPr>
      </w:pPr>
    </w:p>
    <w:p w14:paraId="19E14CD9" w14:textId="77777777" w:rsidR="00C44063" w:rsidRPr="00447D27" w:rsidRDefault="00C44063" w:rsidP="00C44063">
      <w:pPr>
        <w:keepNext/>
        <w:rPr>
          <w:rFonts w:cs="Calibri"/>
          <w:b/>
        </w:rPr>
      </w:pPr>
      <w:r w:rsidRPr="00447D27">
        <w:rPr>
          <w:rFonts w:cs="Calibri"/>
          <w:b/>
        </w:rPr>
        <w:t>Impact</w:t>
      </w:r>
    </w:p>
    <w:p w14:paraId="734DDFD8" w14:textId="77777777" w:rsidR="009F2881" w:rsidRPr="00447D27" w:rsidRDefault="009F2881" w:rsidP="00C44063">
      <w:pPr>
        <w:keepNext/>
        <w:rPr>
          <w:rFonts w:cs="Calibri"/>
          <w:bCs/>
        </w:rPr>
      </w:pPr>
      <w:r w:rsidRPr="00447D27">
        <w:rPr>
          <w:rFonts w:cs="Calibri"/>
          <w:bCs/>
        </w:rPr>
        <w:t>There is no impact on directorates and territory authorities</w:t>
      </w:r>
      <w:r w:rsidR="00037AB5" w:rsidRPr="00447D27">
        <w:rPr>
          <w:rFonts w:cs="Calibri"/>
          <w:bCs/>
        </w:rPr>
        <w:t>.</w:t>
      </w:r>
    </w:p>
    <w:p w14:paraId="0D915875" w14:textId="77777777" w:rsidR="00D67D1C" w:rsidRDefault="00D67D1C">
      <w:pPr>
        <w:jc w:val="left"/>
      </w:pPr>
      <w:r>
        <w:br w:type="page"/>
      </w:r>
    </w:p>
    <w:p w14:paraId="1BFB4511" w14:textId="77777777" w:rsidR="00B335C5" w:rsidRPr="00447D27" w:rsidRDefault="00B335C5" w:rsidP="00B115AE">
      <w:pPr>
        <w:pStyle w:val="Heading2"/>
        <w:keepNext/>
        <w:ind w:left="578" w:hanging="578"/>
      </w:pPr>
      <w:bookmarkStart w:id="37" w:name="_Toc45264683"/>
      <w:r w:rsidRPr="00447D27">
        <w:lastRenderedPageBreak/>
        <w:t>AASB 2019-</w:t>
      </w:r>
      <w:r w:rsidR="00B34947" w:rsidRPr="00447D27">
        <w:t>7</w:t>
      </w:r>
      <w:r w:rsidRPr="00447D27">
        <w:t xml:space="preserve"> Amendments to Australian Accounting Standards – </w:t>
      </w:r>
      <w:r w:rsidR="00B34947" w:rsidRPr="00447D27">
        <w:t>D</w:t>
      </w:r>
      <w:r w:rsidR="00E963C4">
        <w:t xml:space="preserve">isclosre of GFS Measures of Key Fiscal Aggregates and GAAP/GFS Reconciliations </w:t>
      </w:r>
      <w:r w:rsidRPr="00447D27">
        <w:t>(appl. 1 January 2020)</w:t>
      </w:r>
      <w:bookmarkEnd w:id="37"/>
    </w:p>
    <w:p w14:paraId="1195585F" w14:textId="77777777" w:rsidR="00B335C5" w:rsidRPr="00447D27" w:rsidRDefault="00B335C5" w:rsidP="00B335C5"/>
    <w:p w14:paraId="296BFB05" w14:textId="77777777" w:rsidR="00C44063" w:rsidRPr="00447D27" w:rsidRDefault="00C44063" w:rsidP="00C44063">
      <w:pPr>
        <w:keepNext/>
        <w:rPr>
          <w:rFonts w:cs="Calibri"/>
          <w:b/>
        </w:rPr>
      </w:pPr>
      <w:r w:rsidRPr="00447D27">
        <w:rPr>
          <w:rFonts w:cs="Calibri"/>
          <w:b/>
        </w:rPr>
        <w:t>Background</w:t>
      </w:r>
    </w:p>
    <w:p w14:paraId="2E89C5BC" w14:textId="77777777" w:rsidR="009F2881" w:rsidRPr="00447D27" w:rsidRDefault="006B2DF7" w:rsidP="00C44063">
      <w:pPr>
        <w:keepNext/>
        <w:rPr>
          <w:rFonts w:cs="Calibri"/>
          <w:bCs/>
        </w:rPr>
      </w:pPr>
      <w:r w:rsidRPr="00447D27">
        <w:rPr>
          <w:rFonts w:cs="Calibri"/>
          <w:bCs/>
        </w:rPr>
        <w:t>AASB 2019-7 makes amendments to AASB 1049 Whole of Government and General Government Sector Financial Reporting to:</w:t>
      </w:r>
    </w:p>
    <w:p w14:paraId="76738BBE" w14:textId="77777777" w:rsidR="006B2DF7" w:rsidRPr="00447D27" w:rsidRDefault="006B2DF7" w:rsidP="00CD6C75">
      <w:pPr>
        <w:keepNext/>
        <w:numPr>
          <w:ilvl w:val="0"/>
          <w:numId w:val="24"/>
        </w:numPr>
        <w:rPr>
          <w:rFonts w:cs="Calibri"/>
          <w:bCs/>
        </w:rPr>
      </w:pPr>
      <w:r w:rsidRPr="00447D27">
        <w:rPr>
          <w:rFonts w:cs="Calibri"/>
          <w:bCs/>
        </w:rPr>
        <w:t xml:space="preserve">Provide optional relief, for the General Government </w:t>
      </w:r>
      <w:r w:rsidR="008121F4" w:rsidRPr="00447D27">
        <w:rPr>
          <w:rFonts w:cs="Calibri"/>
          <w:bCs/>
        </w:rPr>
        <w:t>Sector (</w:t>
      </w:r>
      <w:r w:rsidRPr="00447D27">
        <w:rPr>
          <w:rFonts w:cs="Calibri"/>
          <w:bCs/>
        </w:rPr>
        <w:t xml:space="preserve">GGS) financial statements and the </w:t>
      </w:r>
      <w:r w:rsidR="008121F4" w:rsidRPr="00447D27">
        <w:rPr>
          <w:rFonts w:cs="Calibri"/>
          <w:bCs/>
        </w:rPr>
        <w:t>whole of</w:t>
      </w:r>
      <w:r w:rsidRPr="00447D27">
        <w:rPr>
          <w:rFonts w:cs="Calibri"/>
          <w:bCs/>
        </w:rPr>
        <w:t xml:space="preserve"> government financial statements (including the Public Non-Financial Corporations (PNFC) and Public  Financial Corporations (PFC) sectors) from:</w:t>
      </w:r>
    </w:p>
    <w:p w14:paraId="49C4FF0B" w14:textId="77777777" w:rsidR="009F2881" w:rsidRPr="00447D27" w:rsidRDefault="00037AB5" w:rsidP="00CD6C75">
      <w:pPr>
        <w:keepNext/>
        <w:numPr>
          <w:ilvl w:val="0"/>
          <w:numId w:val="25"/>
        </w:numPr>
        <w:rPr>
          <w:rFonts w:cs="Calibri"/>
          <w:bCs/>
        </w:rPr>
      </w:pPr>
      <w:r w:rsidRPr="00447D27">
        <w:rPr>
          <w:rFonts w:cs="Calibri"/>
          <w:bCs/>
        </w:rPr>
        <w:t>d</w:t>
      </w:r>
      <w:r w:rsidR="006B2DF7" w:rsidRPr="00447D27">
        <w:rPr>
          <w:rFonts w:cs="Calibri"/>
          <w:bCs/>
        </w:rPr>
        <w:t xml:space="preserve">isclosure of the key fiscal aggregates measured in accordance with the ABS GFS Manual </w:t>
      </w:r>
      <w:r w:rsidR="00347E17" w:rsidRPr="00447D27">
        <w:rPr>
          <w:rFonts w:cs="Calibri"/>
          <w:bCs/>
        </w:rPr>
        <w:t xml:space="preserve">where they differ from the key fiscal aggregates measured consistently with Australian Accounting </w:t>
      </w:r>
      <w:r w:rsidR="008121F4" w:rsidRPr="00447D27">
        <w:rPr>
          <w:rFonts w:cs="Calibri"/>
          <w:bCs/>
        </w:rPr>
        <w:t>Standards; and</w:t>
      </w:r>
    </w:p>
    <w:p w14:paraId="25792F20" w14:textId="77777777" w:rsidR="00037AB5" w:rsidRPr="00447D27" w:rsidRDefault="00037AB5" w:rsidP="00CD6C75">
      <w:pPr>
        <w:keepNext/>
        <w:numPr>
          <w:ilvl w:val="0"/>
          <w:numId w:val="25"/>
        </w:numPr>
        <w:rPr>
          <w:rFonts w:cs="Calibri"/>
          <w:bCs/>
        </w:rPr>
      </w:pPr>
      <w:r w:rsidRPr="00447D27">
        <w:rPr>
          <w:rFonts w:cs="Calibri"/>
          <w:bCs/>
        </w:rPr>
        <w:t>a reconciliation of the two measures of key fiscal aggregates; and</w:t>
      </w:r>
    </w:p>
    <w:p w14:paraId="3511A835" w14:textId="77777777" w:rsidR="00037AB5" w:rsidRPr="00447D27" w:rsidRDefault="00037AB5" w:rsidP="00037AB5">
      <w:pPr>
        <w:keepNext/>
        <w:rPr>
          <w:rFonts w:cs="Calibri"/>
          <w:bCs/>
        </w:rPr>
      </w:pPr>
    </w:p>
    <w:p w14:paraId="016EBAF8" w14:textId="77777777" w:rsidR="00C44063" w:rsidRPr="00447D27" w:rsidRDefault="00037AB5" w:rsidP="00CD6C75">
      <w:pPr>
        <w:keepNext/>
        <w:numPr>
          <w:ilvl w:val="0"/>
          <w:numId w:val="20"/>
        </w:numPr>
        <w:rPr>
          <w:rFonts w:cs="Calibri"/>
          <w:bCs/>
        </w:rPr>
      </w:pPr>
      <w:r w:rsidRPr="00447D27">
        <w:rPr>
          <w:rFonts w:cs="Calibri"/>
          <w:bCs/>
        </w:rPr>
        <w:t xml:space="preserve">Where the entity elects to adopt the optional relief – require additional disclosure to explain how each key fiscal aggregate is calculated and how it differs </w:t>
      </w:r>
      <w:r w:rsidR="00FE38D6" w:rsidRPr="00447D27">
        <w:rPr>
          <w:rFonts w:cs="Calibri"/>
          <w:bCs/>
        </w:rPr>
        <w:t xml:space="preserve">from </w:t>
      </w:r>
      <w:r w:rsidR="008121F4" w:rsidRPr="00447D27">
        <w:rPr>
          <w:rFonts w:cs="Calibri"/>
          <w:bCs/>
        </w:rPr>
        <w:t>its</w:t>
      </w:r>
      <w:r w:rsidR="00FE38D6" w:rsidRPr="00447D27">
        <w:rPr>
          <w:rFonts w:cs="Calibri"/>
          <w:bCs/>
        </w:rPr>
        <w:t xml:space="preserve"> corresponding GFS measure. The explanation may be qualitative rather than quantitative.</w:t>
      </w:r>
    </w:p>
    <w:p w14:paraId="10077B09" w14:textId="77777777" w:rsidR="00FE38D6" w:rsidRPr="00447D27" w:rsidRDefault="00FE38D6" w:rsidP="00C44063">
      <w:pPr>
        <w:keepNext/>
        <w:rPr>
          <w:rFonts w:cs="Calibri"/>
          <w:b/>
        </w:rPr>
      </w:pPr>
    </w:p>
    <w:p w14:paraId="0A07D1EE" w14:textId="77777777" w:rsidR="00C44063" w:rsidRPr="00447D27" w:rsidRDefault="00C44063" w:rsidP="00C44063">
      <w:pPr>
        <w:keepNext/>
        <w:rPr>
          <w:rFonts w:cs="Calibri"/>
          <w:b/>
        </w:rPr>
      </w:pPr>
      <w:r w:rsidRPr="00447D27">
        <w:rPr>
          <w:rFonts w:cs="Calibri"/>
          <w:b/>
        </w:rPr>
        <w:t>Impact</w:t>
      </w:r>
    </w:p>
    <w:p w14:paraId="690D4547" w14:textId="77777777" w:rsidR="00FE38D6" w:rsidRPr="00447D27" w:rsidRDefault="00FE38D6" w:rsidP="00C44063">
      <w:pPr>
        <w:keepNext/>
        <w:rPr>
          <w:rFonts w:cs="Calibri"/>
          <w:bCs/>
        </w:rPr>
      </w:pPr>
      <w:r w:rsidRPr="00447D27">
        <w:rPr>
          <w:rFonts w:cs="Calibri"/>
          <w:bCs/>
        </w:rPr>
        <w:t xml:space="preserve">This standard applies to whole of government reporting and does not apply to directorates and territory authorities. </w:t>
      </w:r>
    </w:p>
    <w:p w14:paraId="3D27A4A0" w14:textId="77777777" w:rsidR="00C44063" w:rsidRPr="00447D27" w:rsidRDefault="00C44063" w:rsidP="00B335C5"/>
    <w:p w14:paraId="34E3589B" w14:textId="77777777" w:rsidR="00B335C5" w:rsidRPr="00447D27" w:rsidRDefault="00B335C5" w:rsidP="00B115AE">
      <w:pPr>
        <w:pStyle w:val="Heading2"/>
        <w:keepNext/>
        <w:ind w:left="578" w:hanging="578"/>
      </w:pPr>
      <w:bookmarkStart w:id="38" w:name="_Toc45264684"/>
      <w:r w:rsidRPr="00447D27">
        <w:t xml:space="preserve">AASB </w:t>
      </w:r>
      <w:r w:rsidR="00B34947" w:rsidRPr="00447D27">
        <w:t>2020-1</w:t>
      </w:r>
      <w:r w:rsidRPr="00447D27">
        <w:t xml:space="preserve"> Amendments to Australian Accounting Standards – </w:t>
      </w:r>
      <w:r w:rsidR="00B34947" w:rsidRPr="00447D27">
        <w:t>C</w:t>
      </w:r>
      <w:r w:rsidR="00E963C4">
        <w:t xml:space="preserve">lassification of Liabilities as Current or Non-Current </w:t>
      </w:r>
      <w:r w:rsidRPr="00447D27">
        <w:t>(appl. 1 January 202</w:t>
      </w:r>
      <w:r w:rsidR="00B34947" w:rsidRPr="00447D27">
        <w:t>2</w:t>
      </w:r>
      <w:r w:rsidRPr="00447D27">
        <w:t>)</w:t>
      </w:r>
      <w:bookmarkEnd w:id="38"/>
    </w:p>
    <w:p w14:paraId="10CAFAEB" w14:textId="77777777" w:rsidR="00B335C5" w:rsidRPr="00447D27" w:rsidRDefault="00B335C5" w:rsidP="00B335C5"/>
    <w:p w14:paraId="5608BD38" w14:textId="77777777" w:rsidR="00C44063" w:rsidRPr="00447D27" w:rsidRDefault="00C44063" w:rsidP="00C44063">
      <w:pPr>
        <w:keepNext/>
        <w:rPr>
          <w:rFonts w:cs="Calibri"/>
          <w:b/>
        </w:rPr>
      </w:pPr>
      <w:r w:rsidRPr="00447D27">
        <w:rPr>
          <w:rFonts w:cs="Calibri"/>
          <w:b/>
        </w:rPr>
        <w:t>Background</w:t>
      </w:r>
    </w:p>
    <w:p w14:paraId="285001DC" w14:textId="77777777" w:rsidR="00B02673" w:rsidRPr="00447D27" w:rsidRDefault="008F7ADE" w:rsidP="00B02673">
      <w:pPr>
        <w:keepNext/>
      </w:pPr>
      <w:r w:rsidRPr="00447D27">
        <w:t>AASB 2021-1</w:t>
      </w:r>
      <w:r w:rsidR="00B02673" w:rsidRPr="00447D27">
        <w:t xml:space="preserve"> amends AASB 101 </w:t>
      </w:r>
      <w:r w:rsidR="00F57F49" w:rsidRPr="00447D27">
        <w:rPr>
          <w:i/>
          <w:iCs/>
        </w:rPr>
        <w:t>Presentation of Financial Statements</w:t>
      </w:r>
      <w:r w:rsidR="00F57F49" w:rsidRPr="00447D27">
        <w:t xml:space="preserve"> </w:t>
      </w:r>
      <w:r w:rsidR="00B02673" w:rsidRPr="00447D27">
        <w:t xml:space="preserve">to clarify requirements for the presentation of liabilities in the statement of financial position as current or non-current. It </w:t>
      </w:r>
      <w:r w:rsidR="00D050D4" w:rsidRPr="00447D27">
        <w:t>currently applies to</w:t>
      </w:r>
      <w:r w:rsidR="00B02673" w:rsidRPr="00447D27">
        <w:t xml:space="preserve"> annual reporting periods beginning on or after 1 January 2022 with earlier application permitted</w:t>
      </w:r>
      <w:r w:rsidR="00D050D4" w:rsidRPr="00447D27">
        <w:t>,</w:t>
      </w:r>
      <w:r w:rsidR="00B02673" w:rsidRPr="00447D27">
        <w:t xml:space="preserve"> however the AASB has recently issued ED 301 </w:t>
      </w:r>
      <w:r w:rsidR="00B02673" w:rsidRPr="00447D27">
        <w:rPr>
          <w:i/>
          <w:iCs/>
        </w:rPr>
        <w:t>Classification of Liabilities as Current or Non-Current – Deferral of Effective Date</w:t>
      </w:r>
      <w:r w:rsidR="00B02673" w:rsidRPr="00447D27">
        <w:t xml:space="preserve"> with the intention to defer the application by one year to periods beginning on or after 1 January 2023.  </w:t>
      </w:r>
    </w:p>
    <w:p w14:paraId="206419B5" w14:textId="77777777" w:rsidR="00C44063" w:rsidRPr="00447D27" w:rsidRDefault="00B02673" w:rsidP="003A2205">
      <w:pPr>
        <w:keepNext/>
        <w:rPr>
          <w:rFonts w:cs="Calibri"/>
          <w:b/>
        </w:rPr>
      </w:pPr>
      <w:r w:rsidRPr="00447D27">
        <w:rPr>
          <w:rFonts w:cs="Calibri"/>
          <w:b/>
        </w:rPr>
        <w:t xml:space="preserve"> </w:t>
      </w:r>
    </w:p>
    <w:p w14:paraId="3B3B04DA" w14:textId="77777777" w:rsidR="00C44063" w:rsidRPr="00447D27" w:rsidRDefault="00C44063" w:rsidP="00C44063">
      <w:pPr>
        <w:keepNext/>
        <w:rPr>
          <w:rFonts w:cs="Calibri"/>
          <w:b/>
        </w:rPr>
      </w:pPr>
      <w:r w:rsidRPr="00447D27">
        <w:rPr>
          <w:rFonts w:cs="Calibri"/>
          <w:b/>
        </w:rPr>
        <w:t>Impact</w:t>
      </w:r>
    </w:p>
    <w:p w14:paraId="6235FFB4" w14:textId="77777777" w:rsidR="00E963C4" w:rsidRDefault="00D050D4" w:rsidP="00C44063">
      <w:pPr>
        <w:keepNext/>
      </w:pPr>
      <w:r w:rsidRPr="00447D27">
        <w:t xml:space="preserve">This standard is not expected to have a material financial impact on directorates and territory </w:t>
      </w:r>
      <w:r w:rsidR="008121F4" w:rsidRPr="00447D27">
        <w:t>authorities</w:t>
      </w:r>
      <w:r w:rsidRPr="00447D27">
        <w:t>.</w:t>
      </w:r>
    </w:p>
    <w:p w14:paraId="4C9F746E" w14:textId="77777777" w:rsidR="00B335C5" w:rsidRPr="00447D27" w:rsidRDefault="00E963C4" w:rsidP="00E963C4">
      <w:pPr>
        <w:pStyle w:val="Heading2"/>
      </w:pPr>
      <w:r>
        <w:br w:type="page"/>
      </w:r>
      <w:bookmarkStart w:id="39" w:name="_Toc45264685"/>
      <w:r w:rsidR="00B335C5" w:rsidRPr="00447D27">
        <w:lastRenderedPageBreak/>
        <w:t xml:space="preserve">AASB </w:t>
      </w:r>
      <w:r w:rsidR="00B34947" w:rsidRPr="00447D27">
        <w:t>2020-2</w:t>
      </w:r>
      <w:r w:rsidR="00B335C5" w:rsidRPr="00447D27">
        <w:t xml:space="preserve"> Amendments to Australian Accounting Standards – </w:t>
      </w:r>
      <w:r w:rsidR="00B34947" w:rsidRPr="00447D27">
        <w:t>R</w:t>
      </w:r>
      <w:r>
        <w:t xml:space="preserve">emoval of Special Purpose Financial Statmeents for Certain For-Profit Private Sector Entities </w:t>
      </w:r>
      <w:r w:rsidR="00B335C5" w:rsidRPr="00447D27">
        <w:t>(appl. 1 J</w:t>
      </w:r>
      <w:r>
        <w:t>uly</w:t>
      </w:r>
      <w:r w:rsidR="00B335C5" w:rsidRPr="00447D27">
        <w:t xml:space="preserve"> 202</w:t>
      </w:r>
      <w:r w:rsidR="00B34947" w:rsidRPr="00447D27">
        <w:t>1</w:t>
      </w:r>
      <w:r w:rsidR="00B335C5" w:rsidRPr="00447D27">
        <w:t>)</w:t>
      </w:r>
      <w:bookmarkEnd w:id="39"/>
    </w:p>
    <w:p w14:paraId="1C428A36" w14:textId="77777777" w:rsidR="00B335C5" w:rsidRPr="00447D27" w:rsidRDefault="00B335C5" w:rsidP="00B335C5"/>
    <w:p w14:paraId="3FBD02D3" w14:textId="77777777" w:rsidR="00C44063" w:rsidRPr="00447D27" w:rsidRDefault="00C44063" w:rsidP="00C44063">
      <w:pPr>
        <w:keepNext/>
        <w:rPr>
          <w:rFonts w:cs="Calibri"/>
          <w:b/>
        </w:rPr>
      </w:pPr>
      <w:r w:rsidRPr="00447D27">
        <w:rPr>
          <w:rFonts w:cs="Calibri"/>
          <w:b/>
        </w:rPr>
        <w:t>Background</w:t>
      </w:r>
    </w:p>
    <w:p w14:paraId="51221DE3" w14:textId="77777777" w:rsidR="008F7ADE" w:rsidRPr="00447D27" w:rsidRDefault="008F7ADE" w:rsidP="00C44063">
      <w:pPr>
        <w:keepNext/>
        <w:rPr>
          <w:rFonts w:cs="Calibri"/>
          <w:bCs/>
        </w:rPr>
      </w:pPr>
      <w:r w:rsidRPr="00447D27">
        <w:rPr>
          <w:rFonts w:cs="Calibri"/>
          <w:bCs/>
        </w:rPr>
        <w:t xml:space="preserve">AASB 2020-2 </w:t>
      </w:r>
      <w:r w:rsidR="00612393" w:rsidRPr="00447D27">
        <w:rPr>
          <w:rFonts w:cs="Calibri"/>
          <w:bCs/>
        </w:rPr>
        <w:t xml:space="preserve">makes consequential amendments to several Australian Accounting Standards to update the set of for-profit entities for which the reporting entity concept in SAC 1 </w:t>
      </w:r>
      <w:r w:rsidR="00612393" w:rsidRPr="00447D27">
        <w:rPr>
          <w:rFonts w:cs="Calibri"/>
          <w:bCs/>
          <w:i/>
          <w:iCs/>
        </w:rPr>
        <w:t>Definition of the Reporting Entity</w:t>
      </w:r>
      <w:r w:rsidR="00612393" w:rsidRPr="00447D27">
        <w:rPr>
          <w:rFonts w:cs="Calibri"/>
          <w:bCs/>
        </w:rPr>
        <w:t xml:space="preserve"> is no longer relevan</w:t>
      </w:r>
      <w:r w:rsidR="00890EF8" w:rsidRPr="00447D27">
        <w:rPr>
          <w:rFonts w:cs="Calibri"/>
          <w:bCs/>
        </w:rPr>
        <w:t>t. These entities are therefore not able to prepare special purpose financial statements when financial statements are to comply with Australian Accounting Standards or when legislation requires financial statements to comply with accounting standards.</w:t>
      </w:r>
    </w:p>
    <w:p w14:paraId="24E16103" w14:textId="77777777" w:rsidR="00C44063" w:rsidRPr="00447D27" w:rsidRDefault="00C44063" w:rsidP="00C44063">
      <w:pPr>
        <w:rPr>
          <w:bCs/>
        </w:rPr>
      </w:pPr>
    </w:p>
    <w:p w14:paraId="755377DE" w14:textId="77777777" w:rsidR="00C44063" w:rsidRPr="00447D27" w:rsidRDefault="00C44063" w:rsidP="00C44063">
      <w:pPr>
        <w:rPr>
          <w:rFonts w:cs="Calibri"/>
          <w:b/>
        </w:rPr>
      </w:pPr>
      <w:r w:rsidRPr="00447D27">
        <w:rPr>
          <w:rFonts w:cs="Calibri"/>
          <w:b/>
        </w:rPr>
        <w:t>Impact</w:t>
      </w:r>
    </w:p>
    <w:p w14:paraId="1E2A804D" w14:textId="77777777" w:rsidR="00890EF8" w:rsidRPr="00447D27" w:rsidRDefault="00890EF8" w:rsidP="00C44063">
      <w:pPr>
        <w:rPr>
          <w:rFonts w:cs="Calibri"/>
          <w:bCs/>
        </w:rPr>
      </w:pPr>
      <w:r w:rsidRPr="00447D27">
        <w:rPr>
          <w:rFonts w:cs="Calibri"/>
          <w:bCs/>
        </w:rPr>
        <w:t>There is no impact as this standard does not apply to</w:t>
      </w:r>
      <w:r w:rsidRPr="00447D27">
        <w:rPr>
          <w:rFonts w:ascii="Arial Bold" w:hAnsi="Arial Bold" w:cs="Arial"/>
          <w:b/>
          <w:bCs/>
          <w:iCs/>
          <w:caps/>
          <w:szCs w:val="28"/>
        </w:rPr>
        <w:t xml:space="preserve"> </w:t>
      </w:r>
      <w:r w:rsidR="008121F4" w:rsidRPr="00447D27">
        <w:rPr>
          <w:rFonts w:cs="Calibri"/>
          <w:bCs/>
        </w:rPr>
        <w:t>directorates and</w:t>
      </w:r>
      <w:r w:rsidRPr="00447D27">
        <w:rPr>
          <w:rFonts w:cs="Calibri"/>
          <w:bCs/>
        </w:rPr>
        <w:t xml:space="preserve"> territory authorities.</w:t>
      </w:r>
    </w:p>
    <w:p w14:paraId="5F88DF2A" w14:textId="77777777" w:rsidR="00B335C5" w:rsidRPr="00447D27" w:rsidRDefault="00B335C5" w:rsidP="00143742"/>
    <w:p w14:paraId="20E63C41" w14:textId="77777777" w:rsidR="0036347A" w:rsidRPr="00447D27" w:rsidRDefault="0036347A" w:rsidP="00B115AE">
      <w:pPr>
        <w:pStyle w:val="Heading2"/>
        <w:keepNext/>
        <w:ind w:left="578" w:hanging="578"/>
      </w:pPr>
      <w:bookmarkStart w:id="40" w:name="_Toc45264686"/>
      <w:r w:rsidRPr="00447D27">
        <w:t>AASB 2020-3 Amendments to Australian Accounting Standards – A</w:t>
      </w:r>
      <w:r w:rsidR="00E963C4">
        <w:t xml:space="preserve">nnual Improvements </w:t>
      </w:r>
      <w:r w:rsidRPr="00447D27">
        <w:t xml:space="preserve">2018-2020 </w:t>
      </w:r>
      <w:r w:rsidR="00E963C4">
        <w:t>and Other Amendments</w:t>
      </w:r>
      <w:r w:rsidR="008121F4" w:rsidRPr="00447D27">
        <w:t xml:space="preserve"> (</w:t>
      </w:r>
      <w:r w:rsidRPr="00447D27">
        <w:t>appl. 1 J</w:t>
      </w:r>
      <w:r w:rsidR="00E963C4">
        <w:t>uly</w:t>
      </w:r>
      <w:r w:rsidRPr="00447D27">
        <w:t xml:space="preserve"> 2022)</w:t>
      </w:r>
      <w:bookmarkEnd w:id="40"/>
    </w:p>
    <w:p w14:paraId="3BA255F7" w14:textId="77777777" w:rsidR="00B335C5" w:rsidRPr="00447D27" w:rsidRDefault="00B335C5" w:rsidP="00C77F21">
      <w:pPr>
        <w:rPr>
          <w:rFonts w:cs="Calibri"/>
        </w:rPr>
      </w:pPr>
    </w:p>
    <w:p w14:paraId="5DC8C217" w14:textId="77777777" w:rsidR="00CE5E6D" w:rsidRPr="00447D27" w:rsidRDefault="00CE5E6D" w:rsidP="00CE5E6D">
      <w:pPr>
        <w:keepNext/>
        <w:rPr>
          <w:rFonts w:cs="Calibri"/>
          <w:b/>
        </w:rPr>
      </w:pPr>
      <w:r w:rsidRPr="00447D27">
        <w:rPr>
          <w:rFonts w:cs="Calibri"/>
          <w:b/>
        </w:rPr>
        <w:t>Background</w:t>
      </w:r>
    </w:p>
    <w:p w14:paraId="79CAD2A1" w14:textId="77777777" w:rsidR="00CE5E6D" w:rsidRPr="00447D27" w:rsidRDefault="00CE5E6D" w:rsidP="00CE5E6D">
      <w:pPr>
        <w:keepNext/>
        <w:rPr>
          <w:rFonts w:cs="Calibri"/>
          <w:bCs/>
        </w:rPr>
      </w:pPr>
      <w:r w:rsidRPr="00447D27">
        <w:rPr>
          <w:rFonts w:cs="Calibri"/>
          <w:bCs/>
        </w:rPr>
        <w:t>AASB 2020-3 amends:</w:t>
      </w:r>
    </w:p>
    <w:p w14:paraId="74FF685D" w14:textId="77777777" w:rsidR="00CE5E6D" w:rsidRPr="00447D27" w:rsidRDefault="00CE5E6D" w:rsidP="00CE5E6D">
      <w:pPr>
        <w:keepNext/>
        <w:numPr>
          <w:ilvl w:val="0"/>
          <w:numId w:val="20"/>
        </w:numPr>
        <w:rPr>
          <w:rFonts w:cs="Calibri"/>
          <w:bCs/>
        </w:rPr>
      </w:pPr>
      <w:r w:rsidRPr="00447D27">
        <w:rPr>
          <w:rFonts w:cs="Calibri"/>
          <w:bCs/>
        </w:rPr>
        <w:t xml:space="preserve">AASB 1 </w:t>
      </w:r>
      <w:r w:rsidRPr="00447D27">
        <w:rPr>
          <w:rFonts w:cs="Calibri"/>
          <w:bCs/>
          <w:i/>
          <w:iCs/>
        </w:rPr>
        <w:t>First-time adoption of Australian Accounting Standards</w:t>
      </w:r>
      <w:r w:rsidRPr="00447D27">
        <w:rPr>
          <w:rFonts w:cs="Calibri"/>
          <w:bCs/>
        </w:rPr>
        <w:t xml:space="preserve"> to simplify the application of AASB 1 by a subsidiary that becomes a first-time adopter after its parent in relation to the measurement of cumulative translation differences;  </w:t>
      </w:r>
    </w:p>
    <w:p w14:paraId="0553BDFC" w14:textId="77777777" w:rsidR="00CE5E6D" w:rsidRPr="00447D27" w:rsidRDefault="00CE5E6D" w:rsidP="00CE5E6D">
      <w:pPr>
        <w:keepNext/>
        <w:numPr>
          <w:ilvl w:val="0"/>
          <w:numId w:val="20"/>
        </w:numPr>
        <w:rPr>
          <w:rFonts w:cs="Calibri"/>
          <w:bCs/>
        </w:rPr>
      </w:pPr>
      <w:r w:rsidRPr="00447D27">
        <w:rPr>
          <w:rFonts w:cs="Calibri"/>
          <w:bCs/>
        </w:rPr>
        <w:t xml:space="preserve">AASB 3 </w:t>
      </w:r>
      <w:r w:rsidRPr="00447D27">
        <w:rPr>
          <w:rFonts w:cs="Calibri"/>
          <w:bCs/>
          <w:i/>
          <w:iCs/>
        </w:rPr>
        <w:t>Business Combinations</w:t>
      </w:r>
      <w:r w:rsidRPr="00447D27">
        <w:rPr>
          <w:rFonts w:cs="Calibri"/>
          <w:bCs/>
        </w:rPr>
        <w:t xml:space="preserve"> to update a reference to the </w:t>
      </w:r>
      <w:r w:rsidRPr="00447D27">
        <w:rPr>
          <w:rFonts w:cs="Calibri"/>
          <w:bCs/>
          <w:i/>
          <w:iCs/>
        </w:rPr>
        <w:t>Conceptual Framework for Financial Reporting</w:t>
      </w:r>
      <w:r w:rsidRPr="00447D27">
        <w:rPr>
          <w:rFonts w:cs="Calibri"/>
          <w:bCs/>
        </w:rPr>
        <w:t xml:space="preserve"> without changing the accounting requirements for business combinations; </w:t>
      </w:r>
    </w:p>
    <w:p w14:paraId="78AC2C4F" w14:textId="77777777" w:rsidR="00CE5E6D" w:rsidRPr="00447D27" w:rsidRDefault="00CE5E6D" w:rsidP="00CE5E6D">
      <w:pPr>
        <w:keepNext/>
        <w:numPr>
          <w:ilvl w:val="0"/>
          <w:numId w:val="20"/>
        </w:numPr>
        <w:rPr>
          <w:rFonts w:cs="Calibri"/>
          <w:bCs/>
        </w:rPr>
      </w:pPr>
      <w:r w:rsidRPr="00447D27">
        <w:rPr>
          <w:rFonts w:cs="Calibri"/>
          <w:bCs/>
        </w:rPr>
        <w:t xml:space="preserve"> AASB 9 </w:t>
      </w:r>
      <w:r w:rsidRPr="00447D27">
        <w:rPr>
          <w:rFonts w:cs="Calibri"/>
          <w:bCs/>
          <w:i/>
          <w:iCs/>
        </w:rPr>
        <w:t>Financial Instruments</w:t>
      </w:r>
      <w:r w:rsidRPr="00447D27">
        <w:rPr>
          <w:rFonts w:cs="Calibri"/>
          <w:bCs/>
        </w:rPr>
        <w:t xml:space="preserve"> to clarify the fees an agency includes when assessing whether the terms of a new or modified financial liability are substantially different from the terms of the original financial liability; </w:t>
      </w:r>
    </w:p>
    <w:p w14:paraId="002CC2A5" w14:textId="77777777" w:rsidR="00CE5E6D" w:rsidRPr="00447D27" w:rsidRDefault="00CE5E6D" w:rsidP="00CE5E6D">
      <w:pPr>
        <w:keepNext/>
        <w:numPr>
          <w:ilvl w:val="0"/>
          <w:numId w:val="20"/>
        </w:numPr>
        <w:rPr>
          <w:rFonts w:cs="Calibri"/>
          <w:bCs/>
        </w:rPr>
      </w:pPr>
      <w:r w:rsidRPr="00447D27">
        <w:rPr>
          <w:rFonts w:cs="Calibri"/>
          <w:bCs/>
        </w:rPr>
        <w:t xml:space="preserve">AASB 116 </w:t>
      </w:r>
      <w:r w:rsidRPr="00447D27">
        <w:rPr>
          <w:rFonts w:cs="Calibri"/>
          <w:bCs/>
          <w:i/>
          <w:iCs/>
        </w:rPr>
        <w:t>Property, Plant and Equipment</w:t>
      </w:r>
      <w:r w:rsidRPr="00447D27">
        <w:rPr>
          <w:rFonts w:cs="Calibri"/>
          <w:bCs/>
        </w:rPr>
        <w:t xml:space="preserve"> to require an entity to recognise the sales proceeds from selling items produced while preparing property, plant and equipment for its intended use and the related cost in profit or loss, instead of deducting the amounts received from the cost of the asset; </w:t>
      </w:r>
    </w:p>
    <w:p w14:paraId="5033F5CD" w14:textId="77777777" w:rsidR="00CE5E6D" w:rsidRPr="00447D27" w:rsidRDefault="00CE5E6D" w:rsidP="00CE5E6D">
      <w:pPr>
        <w:keepNext/>
        <w:numPr>
          <w:ilvl w:val="0"/>
          <w:numId w:val="20"/>
        </w:numPr>
        <w:rPr>
          <w:rFonts w:cs="Calibri"/>
          <w:bCs/>
        </w:rPr>
      </w:pPr>
      <w:r w:rsidRPr="00447D27">
        <w:rPr>
          <w:rFonts w:cs="Calibri"/>
          <w:bCs/>
        </w:rPr>
        <w:t xml:space="preserve">AASB 137 </w:t>
      </w:r>
      <w:r w:rsidRPr="00447D27">
        <w:rPr>
          <w:rFonts w:cs="Calibri"/>
          <w:bCs/>
          <w:i/>
          <w:iCs/>
        </w:rPr>
        <w:t>Provisions, Contingent Liabilities and Contingent Assets</w:t>
      </w:r>
      <w:r w:rsidRPr="00447D27">
        <w:rPr>
          <w:rFonts w:cs="Calibri"/>
          <w:bCs/>
        </w:rPr>
        <w:t xml:space="preserve"> to specify the costs that an agency includes when assessing whether a contract will be loss-making; and  </w:t>
      </w:r>
    </w:p>
    <w:p w14:paraId="7469ACB6" w14:textId="77777777" w:rsidR="00CE5E6D" w:rsidRPr="00447D27" w:rsidRDefault="00CE5E6D" w:rsidP="00CE5E6D">
      <w:pPr>
        <w:keepNext/>
        <w:numPr>
          <w:ilvl w:val="0"/>
          <w:numId w:val="20"/>
        </w:numPr>
        <w:rPr>
          <w:rFonts w:cs="Calibri"/>
          <w:bCs/>
        </w:rPr>
      </w:pPr>
      <w:r w:rsidRPr="00447D27">
        <w:rPr>
          <w:rFonts w:cs="Calibri"/>
          <w:bCs/>
        </w:rPr>
        <w:t xml:space="preserve">AASB 141 </w:t>
      </w:r>
      <w:r w:rsidRPr="00447D27">
        <w:rPr>
          <w:rFonts w:cs="Calibri"/>
          <w:bCs/>
          <w:i/>
          <w:iCs/>
        </w:rPr>
        <w:t>Agriculture</w:t>
      </w:r>
      <w:r w:rsidRPr="00447D27">
        <w:rPr>
          <w:rFonts w:cs="Calibri"/>
          <w:bCs/>
        </w:rPr>
        <w:t xml:space="preserve"> to remove the requirement to exclude cash flows from taxation when measuring fair value, thereby aligning the fair value measurement requirements in AASB 141 with those in other Australian Accounting Standards.</w:t>
      </w:r>
    </w:p>
    <w:p w14:paraId="1513B848" w14:textId="77777777" w:rsidR="00CE5E6D" w:rsidRPr="00447D27" w:rsidRDefault="00CE5E6D" w:rsidP="00CE5E6D">
      <w:pPr>
        <w:rPr>
          <w:rFonts w:cs="Calibri"/>
          <w:b/>
        </w:rPr>
      </w:pPr>
    </w:p>
    <w:p w14:paraId="309166DE" w14:textId="77777777" w:rsidR="00CE5E6D" w:rsidRPr="00447D27" w:rsidRDefault="00CE5E6D" w:rsidP="00CE5E6D">
      <w:r w:rsidRPr="00447D27">
        <w:rPr>
          <w:rFonts w:cs="Calibri"/>
          <w:b/>
        </w:rPr>
        <w:t>Impact</w:t>
      </w:r>
    </w:p>
    <w:p w14:paraId="55241BC7" w14:textId="77777777" w:rsidR="00E963C4" w:rsidRDefault="00CE5E6D" w:rsidP="00CE5E6D">
      <w:pPr>
        <w:rPr>
          <w:rFonts w:cs="Calibri"/>
        </w:rPr>
      </w:pPr>
      <w:r w:rsidRPr="00447D27">
        <w:rPr>
          <w:rFonts w:cs="Calibri"/>
        </w:rPr>
        <w:t xml:space="preserve">This standard is not expected to have a material impact on directorates and territory authorities. </w:t>
      </w:r>
    </w:p>
    <w:p w14:paraId="654A85EB" w14:textId="77777777" w:rsidR="0036347A" w:rsidRPr="00447D27" w:rsidRDefault="00E963C4" w:rsidP="00E963C4">
      <w:pPr>
        <w:pStyle w:val="Heading2"/>
      </w:pPr>
      <w:r>
        <w:rPr>
          <w:rFonts w:cs="Calibri"/>
        </w:rPr>
        <w:br w:type="page"/>
      </w:r>
      <w:bookmarkStart w:id="41" w:name="_Toc45264687"/>
      <w:r w:rsidR="0036347A" w:rsidRPr="00447D27">
        <w:lastRenderedPageBreak/>
        <w:t>AASB 2020-</w:t>
      </w:r>
      <w:r w:rsidR="00C44063" w:rsidRPr="00447D27">
        <w:t>4</w:t>
      </w:r>
      <w:r w:rsidR="0036347A" w:rsidRPr="00447D27">
        <w:t xml:space="preserve"> Amendments to Australian Accounting Standards – </w:t>
      </w:r>
      <w:r w:rsidR="000B388F" w:rsidRPr="00447D27">
        <w:t>COVID -19 R</w:t>
      </w:r>
      <w:r>
        <w:t>elated Rent Concessions</w:t>
      </w:r>
      <w:r w:rsidR="0036347A" w:rsidRPr="00447D27">
        <w:t xml:space="preserve"> (appl. 1 </w:t>
      </w:r>
      <w:r w:rsidR="000B388F" w:rsidRPr="00447D27">
        <w:t>J</w:t>
      </w:r>
      <w:r>
        <w:t>une</w:t>
      </w:r>
      <w:r w:rsidR="0036347A" w:rsidRPr="00447D27">
        <w:t xml:space="preserve"> 202</w:t>
      </w:r>
      <w:r w:rsidR="000B388F" w:rsidRPr="00447D27">
        <w:t>0</w:t>
      </w:r>
      <w:r w:rsidR="0036347A" w:rsidRPr="00447D27">
        <w:t>)</w:t>
      </w:r>
      <w:bookmarkEnd w:id="41"/>
    </w:p>
    <w:p w14:paraId="77008666" w14:textId="77777777" w:rsidR="0036347A" w:rsidRPr="00447D27" w:rsidRDefault="0036347A" w:rsidP="0036347A"/>
    <w:p w14:paraId="6A30E4D3" w14:textId="77777777" w:rsidR="00C44063" w:rsidRPr="00447D27" w:rsidRDefault="00C44063" w:rsidP="00C44063">
      <w:pPr>
        <w:keepNext/>
        <w:rPr>
          <w:rFonts w:cs="Calibri"/>
          <w:b/>
        </w:rPr>
      </w:pPr>
      <w:r w:rsidRPr="00447D27">
        <w:rPr>
          <w:rFonts w:cs="Calibri"/>
          <w:b/>
        </w:rPr>
        <w:t>Background</w:t>
      </w:r>
    </w:p>
    <w:p w14:paraId="70C75089" w14:textId="77777777" w:rsidR="00592F44" w:rsidRPr="00447D27" w:rsidRDefault="00320698" w:rsidP="00C44063">
      <w:pPr>
        <w:keepNext/>
        <w:rPr>
          <w:rFonts w:cs="Calibri"/>
        </w:rPr>
      </w:pPr>
      <w:r w:rsidRPr="00447D27">
        <w:rPr>
          <w:rFonts w:cs="Calibri"/>
        </w:rPr>
        <w:t xml:space="preserve">AASB 2020-4 amends AASB 16 </w:t>
      </w:r>
      <w:r w:rsidRPr="00447D27">
        <w:rPr>
          <w:rFonts w:cs="Calibri"/>
          <w:i/>
          <w:iCs/>
        </w:rPr>
        <w:t>Leases</w:t>
      </w:r>
      <w:r w:rsidRPr="00447D27">
        <w:rPr>
          <w:rFonts w:cs="Calibri"/>
        </w:rPr>
        <w:t xml:space="preserve"> to provide a practical expedient that permits lessors not to assess whether rent concessions that occur as a direct consequence as a consequence of the COVID-19 pandemic and meet specified conditions are lease modifications.  Instead a lessee would account for those rent concessions as if they were not lease modifications.</w:t>
      </w:r>
    </w:p>
    <w:p w14:paraId="29698877" w14:textId="77777777" w:rsidR="00592F44" w:rsidRPr="00447D27" w:rsidRDefault="00592F44" w:rsidP="00C44063">
      <w:pPr>
        <w:keepNext/>
        <w:rPr>
          <w:rFonts w:cs="Calibri"/>
        </w:rPr>
      </w:pPr>
    </w:p>
    <w:p w14:paraId="50A4F7E6" w14:textId="77777777" w:rsidR="00592F44" w:rsidRPr="00447D27" w:rsidRDefault="00592F44" w:rsidP="00592F44">
      <w:pPr>
        <w:keepNext/>
        <w:rPr>
          <w:rFonts w:cs="Calibri"/>
        </w:rPr>
      </w:pPr>
      <w:r w:rsidRPr="00447D27">
        <w:rPr>
          <w:rFonts w:cs="Calibri"/>
        </w:rPr>
        <w:t xml:space="preserve">In particular, </w:t>
      </w:r>
      <w:r w:rsidR="00924555">
        <w:rPr>
          <w:rFonts w:cs="Calibri"/>
        </w:rPr>
        <w:t>t</w:t>
      </w:r>
      <w:r w:rsidRPr="00447D27">
        <w:rPr>
          <w:rFonts w:cs="Calibri"/>
        </w:rPr>
        <w:t>he Standard amends AASB 16 to:</w:t>
      </w:r>
    </w:p>
    <w:p w14:paraId="63C71502" w14:textId="77777777" w:rsidR="00592F44" w:rsidRPr="00447D27" w:rsidRDefault="00592F44" w:rsidP="00CD6C75">
      <w:pPr>
        <w:keepNext/>
        <w:numPr>
          <w:ilvl w:val="0"/>
          <w:numId w:val="23"/>
        </w:numPr>
        <w:rPr>
          <w:rFonts w:cs="Calibri"/>
        </w:rPr>
      </w:pPr>
      <w:r w:rsidRPr="00447D27">
        <w:rPr>
          <w:rFonts w:cs="Calibri"/>
        </w:rPr>
        <w:t>provide lessees with an optional practical expedient regarding assessing whether a Covid-19-related rent concession is a lease modification;</w:t>
      </w:r>
    </w:p>
    <w:p w14:paraId="677DE17D" w14:textId="77777777" w:rsidR="00592F44" w:rsidRPr="00447D27" w:rsidRDefault="00592F44" w:rsidP="00CD6C75">
      <w:pPr>
        <w:keepNext/>
        <w:numPr>
          <w:ilvl w:val="0"/>
          <w:numId w:val="23"/>
        </w:numPr>
        <w:rPr>
          <w:rFonts w:cs="Calibri"/>
        </w:rPr>
      </w:pPr>
      <w:r w:rsidRPr="00447D27">
        <w:rPr>
          <w:rFonts w:cs="Calibri"/>
        </w:rPr>
        <w:t>require lessees that apply the practical expedient to account for Covid-19-related rent concessions as if they were not lease modifications;</w:t>
      </w:r>
    </w:p>
    <w:p w14:paraId="63406A99" w14:textId="77777777" w:rsidR="00592F44" w:rsidRPr="00447D27" w:rsidRDefault="00592F44" w:rsidP="00CD6C75">
      <w:pPr>
        <w:keepNext/>
        <w:numPr>
          <w:ilvl w:val="0"/>
          <w:numId w:val="23"/>
        </w:numPr>
        <w:rPr>
          <w:rFonts w:cs="Calibri"/>
        </w:rPr>
      </w:pPr>
      <w:r w:rsidRPr="00447D27">
        <w:rPr>
          <w:rFonts w:cs="Calibri"/>
        </w:rPr>
        <w:t>require a lessee that applies the practical expedient to disclose that it has applied the practical expedient to all rent concessions that meet the conditions, or if not applied to all such rent concessions, information about the nature of the contracts to which it has applied the practical expedient;</w:t>
      </w:r>
    </w:p>
    <w:p w14:paraId="394668E4" w14:textId="77777777" w:rsidR="00592F44" w:rsidRPr="00447D27" w:rsidRDefault="00592F44" w:rsidP="00CD6C75">
      <w:pPr>
        <w:keepNext/>
        <w:numPr>
          <w:ilvl w:val="0"/>
          <w:numId w:val="23"/>
        </w:numPr>
        <w:rPr>
          <w:rFonts w:cs="Calibri"/>
        </w:rPr>
      </w:pPr>
      <w:r w:rsidRPr="00447D27">
        <w:rPr>
          <w:rFonts w:cs="Calibri"/>
        </w:rPr>
        <w:t xml:space="preserve"> require lessees applying the practical expedient to disclose the amount recognised in profit or loss to reflect changes in lease payments that arise from Covid-19-related rent concessions;</w:t>
      </w:r>
    </w:p>
    <w:p w14:paraId="5D32CF97" w14:textId="77777777" w:rsidR="00592F44" w:rsidRPr="00447D27" w:rsidRDefault="00592F44" w:rsidP="00CD6C75">
      <w:pPr>
        <w:keepNext/>
        <w:numPr>
          <w:ilvl w:val="0"/>
          <w:numId w:val="23"/>
        </w:numPr>
        <w:rPr>
          <w:rFonts w:cs="Calibri"/>
        </w:rPr>
      </w:pPr>
      <w:r w:rsidRPr="00447D27">
        <w:rPr>
          <w:rFonts w:cs="Calibri"/>
        </w:rPr>
        <w:t>require lessees to apply the practical expedient retrospectively at the start of the reporting period in which the expedient is first applied; and</w:t>
      </w:r>
    </w:p>
    <w:p w14:paraId="0152A8C1" w14:textId="77777777" w:rsidR="00592F44" w:rsidRPr="00447D27" w:rsidRDefault="00592F44" w:rsidP="00CD6C75">
      <w:pPr>
        <w:keepNext/>
        <w:numPr>
          <w:ilvl w:val="0"/>
          <w:numId w:val="23"/>
        </w:numPr>
        <w:rPr>
          <w:rFonts w:cs="Calibri"/>
        </w:rPr>
      </w:pPr>
      <w:r w:rsidRPr="00447D27">
        <w:rPr>
          <w:rFonts w:cs="Calibri"/>
        </w:rPr>
        <w:t xml:space="preserve">not require lessees to disclose the information required by paragraph 28(f) of AASB 108 </w:t>
      </w:r>
      <w:r w:rsidRPr="00447D27">
        <w:rPr>
          <w:rFonts w:cs="Calibri"/>
          <w:i/>
          <w:iCs/>
        </w:rPr>
        <w:t>Accounting Policies, Changes in Accounting Estimates and Errors</w:t>
      </w:r>
      <w:r w:rsidRPr="00447D27">
        <w:rPr>
          <w:rFonts w:cs="Calibri"/>
        </w:rPr>
        <w:t xml:space="preserve"> in the reporting period in which the practical expedient is first applied </w:t>
      </w:r>
      <w:r w:rsidR="009D0C72" w:rsidRPr="00447D27">
        <w:rPr>
          <w:rFonts w:cs="Calibri"/>
        </w:rPr>
        <w:t>(t</w:t>
      </w:r>
      <w:r w:rsidRPr="00447D27">
        <w:rPr>
          <w:rFonts w:cs="Calibri"/>
        </w:rPr>
        <w:t>his relates to dis</w:t>
      </w:r>
      <w:r w:rsidR="009D0C72" w:rsidRPr="00447D27">
        <w:rPr>
          <w:rFonts w:cs="Calibri"/>
        </w:rPr>
        <w:t>closing adjustments for each financial line item affected).</w:t>
      </w:r>
    </w:p>
    <w:p w14:paraId="5B209FDF" w14:textId="77777777" w:rsidR="00C44063" w:rsidRPr="00CE5E6D" w:rsidRDefault="00320698" w:rsidP="00CE5E6D">
      <w:pPr>
        <w:keepNext/>
        <w:rPr>
          <w:rFonts w:cs="Calibri"/>
        </w:rPr>
      </w:pPr>
      <w:r w:rsidRPr="00447D27">
        <w:rPr>
          <w:rFonts w:cs="Calibri"/>
        </w:rPr>
        <w:t xml:space="preserve"> </w:t>
      </w:r>
    </w:p>
    <w:p w14:paraId="0DA20ADA" w14:textId="77777777" w:rsidR="00C44063" w:rsidRPr="00447D27" w:rsidRDefault="00C44063" w:rsidP="00C44063">
      <w:r w:rsidRPr="00447D27">
        <w:rPr>
          <w:rFonts w:cs="Calibri"/>
          <w:b/>
        </w:rPr>
        <w:t>Impact</w:t>
      </w:r>
    </w:p>
    <w:p w14:paraId="1C870E29" w14:textId="77777777" w:rsidR="00B115AE" w:rsidRDefault="00FE38D6" w:rsidP="00C77F21">
      <w:pPr>
        <w:rPr>
          <w:rFonts w:cs="Calibri"/>
        </w:rPr>
      </w:pPr>
      <w:r w:rsidRPr="00447D27">
        <w:rPr>
          <w:rFonts w:cs="Calibri"/>
        </w:rPr>
        <w:t>Directorates and territory authorities will need to make an assessment of the financial impact of this standard.</w:t>
      </w:r>
      <w:r w:rsidR="00782D2E" w:rsidRPr="00447D27">
        <w:rPr>
          <w:rFonts w:cs="Calibri"/>
        </w:rPr>
        <w:t xml:space="preserve"> </w:t>
      </w:r>
    </w:p>
    <w:p w14:paraId="043700E2" w14:textId="77777777" w:rsidR="00F16B6E" w:rsidRPr="00B64DB8" w:rsidRDefault="00B115AE" w:rsidP="00E963C4">
      <w:pPr>
        <w:pStyle w:val="Heading1"/>
        <w:numPr>
          <w:ilvl w:val="0"/>
          <w:numId w:val="0"/>
        </w:numPr>
        <w:ind w:left="431" w:hanging="431"/>
      </w:pPr>
      <w:r>
        <w:rPr>
          <w:rFonts w:cs="Calibri"/>
        </w:rPr>
        <w:br w:type="page"/>
      </w:r>
      <w:bookmarkStart w:id="42" w:name="_Toc45264688"/>
      <w:r w:rsidR="00F16B6E" w:rsidRPr="00B64DB8">
        <w:lastRenderedPageBreak/>
        <w:t>ATTACHMENT A</w:t>
      </w:r>
      <w:bookmarkEnd w:id="42"/>
      <w:r w:rsidR="00F16B6E" w:rsidRPr="00B64DB8">
        <w:t xml:space="preserve"> </w:t>
      </w:r>
    </w:p>
    <w:p w14:paraId="4D29843D" w14:textId="77777777" w:rsidR="00F16B6E" w:rsidRPr="00E056F8" w:rsidRDefault="00F16B6E" w:rsidP="00F16B6E">
      <w:pPr>
        <w:rPr>
          <w:rFonts w:cs="Calibri"/>
          <w:b/>
        </w:rPr>
      </w:pPr>
      <w:r w:rsidRPr="00E056F8">
        <w:rPr>
          <w:rFonts w:cs="Calibri"/>
          <w:b/>
        </w:rPr>
        <w:t>Background</w:t>
      </w:r>
    </w:p>
    <w:p w14:paraId="4CC30375" w14:textId="77777777" w:rsidR="00F16B6E" w:rsidRDefault="00F16B6E" w:rsidP="00503233">
      <w:pPr>
        <w:ind w:right="-1"/>
        <w:rPr>
          <w:rFonts w:cs="Calibri"/>
        </w:rPr>
      </w:pPr>
    </w:p>
    <w:p w14:paraId="70687D89" w14:textId="77777777" w:rsidR="00C95DE6" w:rsidRPr="00E056F8" w:rsidRDefault="001D74A4" w:rsidP="00503233">
      <w:pPr>
        <w:ind w:right="-1"/>
        <w:rPr>
          <w:rFonts w:cs="Calibri"/>
        </w:rPr>
      </w:pPr>
      <w:r w:rsidRPr="00E83F9A">
        <w:rPr>
          <w:rFonts w:cs="Calibri"/>
        </w:rPr>
        <w:t>Below</w:t>
      </w:r>
      <w:r>
        <w:rPr>
          <w:rFonts w:cs="Calibri"/>
        </w:rPr>
        <w:t xml:space="preserve"> </w:t>
      </w:r>
      <w:r w:rsidR="009C0917" w:rsidRPr="00E056F8">
        <w:rPr>
          <w:rFonts w:cs="Calibri"/>
        </w:rPr>
        <w:t xml:space="preserve">is a copy of the </w:t>
      </w:r>
      <w:r w:rsidR="00C95DE6" w:rsidRPr="00E056F8">
        <w:rPr>
          <w:rFonts w:cs="Calibri"/>
        </w:rPr>
        <w:t xml:space="preserve">‘Impact of Accounting Standards Issued but yet to be Applied’ disclosure as required by </w:t>
      </w:r>
      <w:r w:rsidR="00E04873" w:rsidRPr="00E056F8">
        <w:rPr>
          <w:rFonts w:cs="Calibri"/>
        </w:rPr>
        <w:t>directorate</w:t>
      </w:r>
      <w:r w:rsidR="00C95DE6" w:rsidRPr="00E056F8">
        <w:rPr>
          <w:rFonts w:cs="Calibri"/>
        </w:rPr>
        <w:t xml:space="preserve">s and </w:t>
      </w:r>
      <w:r w:rsidR="00A81DCB">
        <w:rPr>
          <w:rFonts w:cs="Calibri"/>
        </w:rPr>
        <w:t>t</w:t>
      </w:r>
      <w:r w:rsidR="00C95DE6" w:rsidRPr="00E056F8">
        <w:rPr>
          <w:rFonts w:cs="Calibri"/>
        </w:rPr>
        <w:t xml:space="preserve">erritory authorities for inclusion in their </w:t>
      </w:r>
      <w:r w:rsidR="00D3420E">
        <w:rPr>
          <w:rFonts w:cs="Calibri"/>
        </w:rPr>
        <w:t>2019-20</w:t>
      </w:r>
      <w:r w:rsidR="00C95DE6" w:rsidRPr="00E056F8">
        <w:rPr>
          <w:rFonts w:cs="Calibri"/>
        </w:rPr>
        <w:t xml:space="preserve"> </w:t>
      </w:r>
      <w:r w:rsidR="00A22FEA">
        <w:rPr>
          <w:rFonts w:cs="Calibri"/>
        </w:rPr>
        <w:t>f</w:t>
      </w:r>
      <w:r w:rsidR="00C95DE6" w:rsidRPr="00E056F8">
        <w:rPr>
          <w:rFonts w:cs="Calibri"/>
        </w:rPr>
        <w:t xml:space="preserve">inancial </w:t>
      </w:r>
      <w:r w:rsidR="00A22FEA">
        <w:rPr>
          <w:rFonts w:cs="Calibri"/>
        </w:rPr>
        <w:t>s</w:t>
      </w:r>
      <w:r w:rsidR="00C95DE6" w:rsidRPr="00E056F8">
        <w:rPr>
          <w:rFonts w:cs="Calibri"/>
        </w:rPr>
        <w:t xml:space="preserve">tatements.  </w:t>
      </w:r>
      <w:r w:rsidR="00C95DE6" w:rsidRPr="00E056F8">
        <w:rPr>
          <w:rFonts w:cs="Calibri"/>
          <w:b/>
        </w:rPr>
        <w:t xml:space="preserve">However, the list of standards needs to be tailored by including only those standards </w:t>
      </w:r>
      <w:r w:rsidR="00007382">
        <w:rPr>
          <w:rFonts w:cs="Calibri"/>
          <w:b/>
        </w:rPr>
        <w:t xml:space="preserve">that are </w:t>
      </w:r>
      <w:r w:rsidR="00C95DE6" w:rsidRPr="00E056F8">
        <w:rPr>
          <w:rFonts w:cs="Calibri"/>
          <w:b/>
        </w:rPr>
        <w:t>applicable to the agency</w:t>
      </w:r>
      <w:r w:rsidR="00007382">
        <w:rPr>
          <w:rFonts w:cs="Calibri"/>
          <w:b/>
        </w:rPr>
        <w:t xml:space="preserve"> </w:t>
      </w:r>
      <w:r w:rsidR="00007382" w:rsidRPr="002849F7">
        <w:rPr>
          <w:rFonts w:cs="Calibri"/>
          <w:b/>
        </w:rPr>
        <w:t>and are assessed to have a material financial impact on the agency or where the impact on the agency has not yet been assessed.</w:t>
      </w:r>
      <w:r w:rsidR="00E84AE0" w:rsidRPr="004B502F">
        <w:rPr>
          <w:rFonts w:cs="Calibri"/>
          <w:color w:val="FF0000"/>
        </w:rPr>
        <w:t xml:space="preserve"> </w:t>
      </w:r>
    </w:p>
    <w:p w14:paraId="73A4EF65" w14:textId="77777777" w:rsidR="00B64DB8" w:rsidRDefault="00B64DB8" w:rsidP="00AE0D5E">
      <w:pPr>
        <w:ind w:right="-1"/>
        <w:rPr>
          <w:rFonts w:cs="Calibri"/>
        </w:rPr>
      </w:pPr>
    </w:p>
    <w:p w14:paraId="1980F4FF" w14:textId="77777777" w:rsidR="0058190D" w:rsidRDefault="00C95DE6" w:rsidP="00AE0D5E">
      <w:pPr>
        <w:ind w:right="-1"/>
        <w:rPr>
          <w:rFonts w:cs="Calibri"/>
        </w:rPr>
      </w:pPr>
      <w:r w:rsidRPr="00E056F8">
        <w:rPr>
          <w:rFonts w:cs="Calibri"/>
        </w:rPr>
        <w:t>Please n</w:t>
      </w:r>
      <w:r w:rsidR="00DF3FE8" w:rsidRPr="00E056F8">
        <w:rPr>
          <w:rFonts w:cs="Calibri"/>
        </w:rPr>
        <w:t>ote that the standards and interpretations below</w:t>
      </w:r>
      <w:r w:rsidRPr="00E056F8">
        <w:rPr>
          <w:rFonts w:cs="Calibri"/>
        </w:rPr>
        <w:t xml:space="preserve"> are applicable to ‘Example Agency’</w:t>
      </w:r>
      <w:r w:rsidR="00E83F9A">
        <w:rPr>
          <w:rFonts w:cs="Calibri"/>
        </w:rPr>
        <w:t xml:space="preserve">. </w:t>
      </w:r>
      <w:r w:rsidR="00DF3FE8" w:rsidRPr="00E056F8">
        <w:rPr>
          <w:rFonts w:cs="Calibri"/>
        </w:rPr>
        <w:t xml:space="preserve"> </w:t>
      </w:r>
      <w:r w:rsidR="003C2DD6">
        <w:rPr>
          <w:rFonts w:cs="Calibri"/>
        </w:rPr>
        <w:t xml:space="preserve">Standards appearing in </w:t>
      </w:r>
      <w:r w:rsidR="003C2DD6" w:rsidRPr="003C2DD6">
        <w:rPr>
          <w:rFonts w:cs="Calibri"/>
          <w:color w:val="FF0000"/>
        </w:rPr>
        <w:t>red</w:t>
      </w:r>
      <w:r w:rsidR="003C2DD6">
        <w:rPr>
          <w:rFonts w:cs="Calibri"/>
        </w:rPr>
        <w:t xml:space="preserve"> were not included in the </w:t>
      </w:r>
      <w:r w:rsidR="0085505F">
        <w:rPr>
          <w:rFonts w:cs="Calibri"/>
        </w:rPr>
        <w:t>2019-20</w:t>
      </w:r>
      <w:r w:rsidR="003C2DD6">
        <w:rPr>
          <w:rFonts w:cs="Calibri"/>
        </w:rPr>
        <w:t xml:space="preserve"> Model Financial Statements, as they were issued subsequent to the issue of the Model</w:t>
      </w:r>
      <w:r w:rsidR="00777D4F">
        <w:rPr>
          <w:rFonts w:cs="Calibri"/>
        </w:rPr>
        <w:t xml:space="preserve"> or</w:t>
      </w:r>
      <w:r w:rsidR="00D9680A">
        <w:rPr>
          <w:rFonts w:cs="Calibri"/>
        </w:rPr>
        <w:t xml:space="preserve"> upon further review their inclusion is </w:t>
      </w:r>
      <w:r w:rsidR="00AE5E9F">
        <w:rPr>
          <w:rFonts w:cs="Calibri"/>
        </w:rPr>
        <w:t>appropriate.</w:t>
      </w:r>
      <w:r w:rsidR="00123CFC">
        <w:rPr>
          <w:rFonts w:cs="Calibri"/>
        </w:rPr>
        <w:t xml:space="preserve"> </w:t>
      </w:r>
      <w:r w:rsidR="00D9680A">
        <w:rPr>
          <w:rFonts w:cs="Calibri"/>
        </w:rPr>
        <w:t xml:space="preserve">Other standards have been deleted as their application date meant they should be removed from the list. </w:t>
      </w:r>
      <w:r w:rsidRPr="00E056F8">
        <w:rPr>
          <w:rFonts w:cs="Calibri"/>
        </w:rPr>
        <w:t xml:space="preserve">A complete list of standards for the consideration of each agency can be found by combining the list below and the list located within the </w:t>
      </w:r>
      <w:r w:rsidR="003B3174">
        <w:rPr>
          <w:rFonts w:cs="Calibri"/>
        </w:rPr>
        <w:t>grey</w:t>
      </w:r>
      <w:r w:rsidR="00A6203F" w:rsidRPr="00E056F8">
        <w:rPr>
          <w:rFonts w:cs="Calibri"/>
        </w:rPr>
        <w:t xml:space="preserve"> </w:t>
      </w:r>
      <w:r w:rsidRPr="00E056F8">
        <w:rPr>
          <w:rFonts w:cs="Calibri"/>
        </w:rPr>
        <w:t>commentary section.  Each standard and interpretation mentioned below</w:t>
      </w:r>
      <w:r w:rsidR="00A6203F" w:rsidRPr="00E056F8">
        <w:rPr>
          <w:rFonts w:cs="Calibri"/>
        </w:rPr>
        <w:t xml:space="preserve"> and appearing in the </w:t>
      </w:r>
      <w:r w:rsidR="003B3174">
        <w:rPr>
          <w:rFonts w:cs="Calibri"/>
        </w:rPr>
        <w:t>grey</w:t>
      </w:r>
      <w:r w:rsidR="00A6203F" w:rsidRPr="00E056F8">
        <w:rPr>
          <w:rFonts w:cs="Calibri"/>
        </w:rPr>
        <w:t xml:space="preserve"> commentary section,</w:t>
      </w:r>
      <w:r w:rsidRPr="00E056F8">
        <w:rPr>
          <w:rFonts w:cs="Calibri"/>
        </w:rPr>
        <w:t xml:space="preserve"> </w:t>
      </w:r>
      <w:r w:rsidR="004F4A0C" w:rsidRPr="00E056F8">
        <w:rPr>
          <w:rFonts w:cs="Calibri"/>
        </w:rPr>
        <w:t>is</w:t>
      </w:r>
      <w:r w:rsidRPr="00E056F8">
        <w:rPr>
          <w:rFonts w:cs="Calibri"/>
        </w:rPr>
        <w:t xml:space="preserve"> discussed in this </w:t>
      </w:r>
      <w:r w:rsidR="000574FA">
        <w:rPr>
          <w:rFonts w:cs="Calibri"/>
        </w:rPr>
        <w:t>paper</w:t>
      </w:r>
      <w:r w:rsidRPr="00E056F8">
        <w:rPr>
          <w:rFonts w:cs="Calibri"/>
        </w:rPr>
        <w:t>.</w:t>
      </w:r>
      <w:r w:rsidR="009B5B06" w:rsidRPr="00E056F8">
        <w:rPr>
          <w:rFonts w:cs="Calibri"/>
        </w:rPr>
        <w:t xml:space="preserve"> </w:t>
      </w:r>
      <w:r w:rsidR="004A52A0">
        <w:rPr>
          <w:rFonts w:cs="Calibri"/>
        </w:rPr>
        <w:t xml:space="preserve"> </w:t>
      </w:r>
      <w:r w:rsidR="00192961">
        <w:rPr>
          <w:rFonts w:cs="Calibri"/>
        </w:rPr>
        <w:t xml:space="preserve"> </w:t>
      </w:r>
    </w:p>
    <w:p w14:paraId="0343A57E" w14:textId="77777777" w:rsidR="00B64DB8" w:rsidRDefault="00B64DB8" w:rsidP="00AE0D5E">
      <w:pPr>
        <w:ind w:right="-1"/>
        <w:rPr>
          <w:rFonts w:cs="Calibri"/>
          <w:b/>
        </w:rPr>
      </w:pPr>
    </w:p>
    <w:p w14:paraId="553097DB" w14:textId="77777777" w:rsidR="001A3F92" w:rsidRDefault="001A3F92" w:rsidP="00AE0D5E">
      <w:pPr>
        <w:ind w:right="-1"/>
        <w:rPr>
          <w:rFonts w:cs="Calibri"/>
          <w:b/>
        </w:rPr>
      </w:pPr>
      <w:bookmarkStart w:id="43" w:name="_Hlk45264482"/>
      <w:r w:rsidRPr="001A3F92">
        <w:rPr>
          <w:rFonts w:cs="Calibri"/>
          <w:b/>
        </w:rPr>
        <w:t>APPENDIX C – IMPACT OF ACCOUNTING STANDARDS ISSUED BUT YET TO BE APPLIED</w:t>
      </w:r>
    </w:p>
    <w:bookmarkEnd w:id="43"/>
    <w:p w14:paraId="443E9888" w14:textId="77777777" w:rsidR="00B12CCF" w:rsidRDefault="00B12CCF" w:rsidP="00AE0D5E">
      <w:pPr>
        <w:ind w:right="-1"/>
        <w:rPr>
          <w:rFonts w:cs="Calibri"/>
          <w:b/>
        </w:rPr>
      </w:pPr>
    </w:p>
    <w:p w14:paraId="306E806F" w14:textId="77777777" w:rsidR="00B12CCF" w:rsidRPr="00AD7BB1" w:rsidRDefault="00B12CCF" w:rsidP="00B12CCF">
      <w:pPr>
        <w:pStyle w:val="bullet"/>
        <w:spacing w:after="120"/>
        <w:jc w:val="both"/>
      </w:pPr>
      <w:r w:rsidRPr="00AD7BB1">
        <w:t xml:space="preserve">AASB 2014-10 </w:t>
      </w:r>
      <w:r w:rsidRPr="00AD7BB1">
        <w:rPr>
          <w:i/>
          <w:iCs/>
        </w:rPr>
        <w:t>Amendments to Australian Accounting Standards – Sale or Contribution of Assets between an Investor and its Associate or Joint Venture</w:t>
      </w:r>
      <w:r w:rsidRPr="00AD7BB1">
        <w:t xml:space="preserve"> [AASB 10 &amp;128] (application date 1 Jan 2022)</w:t>
      </w:r>
    </w:p>
    <w:p w14:paraId="1A41F2CD" w14:textId="77777777" w:rsidR="00B12CCF" w:rsidRPr="00AD7BB1" w:rsidRDefault="00B12CCF" w:rsidP="00B12CCF">
      <w:pPr>
        <w:rPr>
          <w:lang w:bidi="en-US"/>
        </w:rPr>
      </w:pPr>
      <w:r w:rsidRPr="00AD7BB1">
        <w:rPr>
          <w:lang w:eastAsia="en-AU"/>
        </w:rPr>
        <w:t xml:space="preserve">This standard makes amendments to address an inconsistency between the requirements in AASB 10 and those in AASB 128 (August 2011), in dealing with the sale or contribution of assets between an investor and its associate or joint venture.  The mandatory effective date of AASB 2014-10 has been deferred to 1 January 2022 by AASB 2017-5 </w:t>
      </w:r>
      <w:r w:rsidRPr="00AD7BB1">
        <w:rPr>
          <w:i/>
          <w:iCs/>
          <w:lang w:eastAsia="en-AU"/>
        </w:rPr>
        <w:t>Amendments to Australian Accounting Standards -Effective Date of Amendments to AASB 10 and AASB 128 and Editorial Corrections</w:t>
      </w:r>
      <w:r w:rsidRPr="00AD7BB1">
        <w:rPr>
          <w:lang w:eastAsia="en-AU"/>
        </w:rPr>
        <w:t>. There is no material financial impact on ‘Example Agency’.</w:t>
      </w:r>
    </w:p>
    <w:p w14:paraId="6F0C5918" w14:textId="77777777" w:rsidR="00B12CCF" w:rsidRPr="00AD7BB1" w:rsidRDefault="00B12CCF" w:rsidP="00B12CCF">
      <w:pPr>
        <w:rPr>
          <w:lang w:eastAsia="en-AU"/>
        </w:rPr>
      </w:pPr>
    </w:p>
    <w:p w14:paraId="47C2D784" w14:textId="77777777" w:rsidR="00B12CCF" w:rsidRPr="00574FD9" w:rsidRDefault="00B12CCF" w:rsidP="00BA7C84">
      <w:pPr>
        <w:pStyle w:val="ListParagraph"/>
        <w:numPr>
          <w:ilvl w:val="0"/>
          <w:numId w:val="26"/>
        </w:numPr>
        <w:jc w:val="both"/>
        <w:rPr>
          <w:sz w:val="24"/>
          <w:szCs w:val="24"/>
        </w:rPr>
      </w:pPr>
      <w:r w:rsidRPr="00574FD9">
        <w:rPr>
          <w:sz w:val="24"/>
          <w:szCs w:val="24"/>
        </w:rPr>
        <w:t xml:space="preserve">AASB 2018-6 </w:t>
      </w:r>
      <w:r w:rsidRPr="00574FD9">
        <w:rPr>
          <w:i/>
          <w:iCs/>
          <w:sz w:val="24"/>
          <w:szCs w:val="24"/>
        </w:rPr>
        <w:t>Amendments to Australian Accounting Standards – Definition of a Business</w:t>
      </w:r>
      <w:r w:rsidRPr="00574FD9">
        <w:rPr>
          <w:sz w:val="24"/>
          <w:szCs w:val="24"/>
        </w:rPr>
        <w:t xml:space="preserve"> [AASB 3] (application date 1 January 2020)</w:t>
      </w:r>
    </w:p>
    <w:p w14:paraId="18D2CF14" w14:textId="77777777" w:rsidR="00B12CCF" w:rsidRPr="00AD7BB1" w:rsidRDefault="00B12CCF" w:rsidP="00BA7C84">
      <w:pPr>
        <w:pStyle w:val="ListParagraph"/>
        <w:ind w:left="360"/>
        <w:jc w:val="both"/>
      </w:pPr>
    </w:p>
    <w:p w14:paraId="6A5EE9DC" w14:textId="77777777" w:rsidR="00B12CCF" w:rsidRPr="00AD7BB1" w:rsidRDefault="00B12CCF" w:rsidP="00B12CCF">
      <w:r w:rsidRPr="00AD7BB1">
        <w:t xml:space="preserve">This standard amends AASB </w:t>
      </w:r>
      <w:r w:rsidRPr="00AD7BB1">
        <w:rPr>
          <w:i/>
        </w:rPr>
        <w:t xml:space="preserve">Business Combinations </w:t>
      </w:r>
      <w:r w:rsidRPr="00AD7BB1">
        <w:t>to clarify the definition of a business, assisting agencies to determine whether a transaction should be accounted for as a business combination or as an asset recognition.</w:t>
      </w:r>
    </w:p>
    <w:p w14:paraId="563E9495" w14:textId="77777777" w:rsidR="00B12CCF" w:rsidRPr="00AD7BB1" w:rsidRDefault="00B12CCF" w:rsidP="00B12CCF"/>
    <w:p w14:paraId="39D6F50A" w14:textId="77777777" w:rsidR="00B12CCF" w:rsidRPr="00AD7BB1" w:rsidRDefault="00B12CCF" w:rsidP="00B12CCF">
      <w:r w:rsidRPr="00AD7BB1">
        <w:t>There is no financial impact on ‘Example Agency.’</w:t>
      </w:r>
    </w:p>
    <w:p w14:paraId="06836378" w14:textId="77777777" w:rsidR="00B12CCF" w:rsidRDefault="00E963C4" w:rsidP="00B12CCF">
      <w:pPr>
        <w:rPr>
          <w:b/>
          <w:bCs/>
        </w:rPr>
      </w:pPr>
      <w:r>
        <w:br w:type="page"/>
      </w:r>
      <w:r w:rsidRPr="00E963C4">
        <w:rPr>
          <w:b/>
          <w:bCs/>
        </w:rPr>
        <w:lastRenderedPageBreak/>
        <w:t xml:space="preserve">APPENDIX C – IMPACT OF ACCOUNTING STANDARDS ISSUED BUT YET TO BE APPLIED </w:t>
      </w:r>
      <w:r>
        <w:rPr>
          <w:b/>
          <w:bCs/>
        </w:rPr>
        <w:t>–</w:t>
      </w:r>
      <w:r w:rsidRPr="00E963C4">
        <w:rPr>
          <w:b/>
          <w:bCs/>
        </w:rPr>
        <w:t xml:space="preserve"> continued</w:t>
      </w:r>
    </w:p>
    <w:p w14:paraId="798B961B" w14:textId="77777777" w:rsidR="00E963C4" w:rsidRPr="00E963C4" w:rsidRDefault="00E963C4" w:rsidP="00E963C4"/>
    <w:p w14:paraId="7B0A8DC1" w14:textId="77777777" w:rsidR="00B12CCF" w:rsidRPr="00574FD9" w:rsidRDefault="00B12CCF" w:rsidP="00B12CCF">
      <w:pPr>
        <w:pStyle w:val="ListParagraph"/>
        <w:numPr>
          <w:ilvl w:val="0"/>
          <w:numId w:val="26"/>
        </w:numPr>
        <w:jc w:val="both"/>
        <w:rPr>
          <w:sz w:val="24"/>
          <w:szCs w:val="24"/>
        </w:rPr>
      </w:pPr>
      <w:r w:rsidRPr="00574FD9">
        <w:rPr>
          <w:sz w:val="24"/>
          <w:szCs w:val="24"/>
        </w:rPr>
        <w:t xml:space="preserve">AASB 2018-7 Amendments to Australian Accounting Standards – Definition of Material [AASB 2, 101, 108, 110, 134, 137, the </w:t>
      </w:r>
      <w:r w:rsidRPr="00574FD9">
        <w:rPr>
          <w:i/>
          <w:sz w:val="24"/>
          <w:szCs w:val="24"/>
        </w:rPr>
        <w:t xml:space="preserve">Framework, </w:t>
      </w:r>
      <w:r w:rsidRPr="00574FD9">
        <w:rPr>
          <w:sz w:val="24"/>
          <w:szCs w:val="24"/>
        </w:rPr>
        <w:t>and AASB Practice Statement 2] (application date 1 January 2020)</w:t>
      </w:r>
    </w:p>
    <w:p w14:paraId="5EED205E" w14:textId="77777777" w:rsidR="00B12CCF" w:rsidRPr="00AD7BB1" w:rsidRDefault="00B12CCF" w:rsidP="00B12CCF"/>
    <w:p w14:paraId="49FFAEB5" w14:textId="77777777" w:rsidR="00B12CCF" w:rsidRPr="00AD7BB1" w:rsidRDefault="00B12CCF" w:rsidP="00B12CCF">
      <w:r w:rsidRPr="00AD7BB1">
        <w:t>This standard principally amends AASB 101 Presentation of Financial Statements and AASB 108 Accounting Policies Changes in Accounting Estimates and Errors.  The amendments refine the definition of material in AASB 101 and clarify the definition of material and its application across AASB Standards and other publications.</w:t>
      </w:r>
    </w:p>
    <w:p w14:paraId="70DE398E" w14:textId="77777777" w:rsidR="00B12CCF" w:rsidRPr="00AD7BB1" w:rsidRDefault="00B12CCF" w:rsidP="00B12CCF"/>
    <w:p w14:paraId="1852FAB1" w14:textId="77777777" w:rsidR="00B12CCF" w:rsidRPr="00AD7BB1" w:rsidRDefault="00B12CCF" w:rsidP="00B12CCF">
      <w:r w:rsidRPr="00AD7BB1">
        <w:t xml:space="preserve">There is no financial impact on ‘Example Agency’ </w:t>
      </w:r>
    </w:p>
    <w:p w14:paraId="426826C0" w14:textId="77777777" w:rsidR="00B12CCF" w:rsidRPr="00AD7BB1" w:rsidRDefault="00B12CCF" w:rsidP="00B12CCF"/>
    <w:p w14:paraId="30A37469" w14:textId="77777777" w:rsidR="00B12CCF" w:rsidRPr="00574FD9" w:rsidRDefault="00B12CCF" w:rsidP="00BA7C84">
      <w:pPr>
        <w:pStyle w:val="ListParagraph"/>
        <w:numPr>
          <w:ilvl w:val="0"/>
          <w:numId w:val="26"/>
        </w:numPr>
        <w:jc w:val="both"/>
        <w:rPr>
          <w:sz w:val="24"/>
          <w:szCs w:val="24"/>
        </w:rPr>
      </w:pPr>
      <w:r w:rsidRPr="00574FD9">
        <w:rPr>
          <w:sz w:val="24"/>
          <w:szCs w:val="24"/>
        </w:rPr>
        <w:t>AASB 2020-1 Amendments to Australian Accounting Standards – Classification of Liabilities as Current or Non- current [AASB 101] (application date 1 January 2022)</w:t>
      </w:r>
    </w:p>
    <w:p w14:paraId="09B59FC3" w14:textId="77777777" w:rsidR="00B12CCF" w:rsidRPr="00AD7BB1" w:rsidRDefault="00B12CCF" w:rsidP="00B12CCF"/>
    <w:p w14:paraId="17BEB77C" w14:textId="77777777" w:rsidR="00B12CCF" w:rsidRDefault="00B12CCF" w:rsidP="00B12CCF">
      <w:r w:rsidRPr="00AD7BB1">
        <w:t xml:space="preserve">There is no financial impact on ‘Example Agency’ </w:t>
      </w:r>
    </w:p>
    <w:p w14:paraId="0A91DA01" w14:textId="77777777" w:rsidR="00574FD9" w:rsidRDefault="00574FD9" w:rsidP="00B12CCF"/>
    <w:p w14:paraId="1865168E" w14:textId="77777777" w:rsidR="00574FD9" w:rsidRDefault="00574FD9" w:rsidP="00574FD9">
      <w:pPr>
        <w:pStyle w:val="ListParagraph"/>
        <w:numPr>
          <w:ilvl w:val="0"/>
          <w:numId w:val="26"/>
        </w:numPr>
        <w:jc w:val="both"/>
        <w:rPr>
          <w:color w:val="FF0000"/>
          <w:sz w:val="24"/>
          <w:szCs w:val="24"/>
        </w:rPr>
      </w:pPr>
      <w:r w:rsidRPr="00887CB6">
        <w:rPr>
          <w:color w:val="FF0000"/>
          <w:sz w:val="24"/>
          <w:szCs w:val="24"/>
        </w:rPr>
        <w:t xml:space="preserve">AASB 2020-3 </w:t>
      </w:r>
      <w:r w:rsidRPr="000A240F">
        <w:rPr>
          <w:i/>
          <w:iCs/>
          <w:color w:val="FF0000"/>
          <w:sz w:val="24"/>
          <w:szCs w:val="24"/>
        </w:rPr>
        <w:t xml:space="preserve">Amendments to Australian Accounting Standards – Annual Improvements to </w:t>
      </w:r>
      <w:r w:rsidR="00887CB6" w:rsidRPr="000A240F">
        <w:rPr>
          <w:i/>
          <w:iCs/>
          <w:color w:val="FF0000"/>
          <w:sz w:val="24"/>
          <w:szCs w:val="24"/>
        </w:rPr>
        <w:t>2018-2020 and Other Amendments</w:t>
      </w:r>
      <w:r w:rsidR="00887CB6">
        <w:rPr>
          <w:color w:val="FF0000"/>
          <w:sz w:val="24"/>
          <w:szCs w:val="24"/>
        </w:rPr>
        <w:t xml:space="preserve"> [AASB 1, 3, 9,116,137 &amp; 141</w:t>
      </w:r>
      <w:r w:rsidR="00F363FF">
        <w:rPr>
          <w:color w:val="FF0000"/>
          <w:sz w:val="24"/>
          <w:szCs w:val="24"/>
        </w:rPr>
        <w:t>]</w:t>
      </w:r>
      <w:r w:rsidR="00782D2E">
        <w:rPr>
          <w:color w:val="FF0000"/>
          <w:sz w:val="24"/>
          <w:szCs w:val="24"/>
        </w:rPr>
        <w:t xml:space="preserve"> (application date 1 January 2022)</w:t>
      </w:r>
    </w:p>
    <w:p w14:paraId="791F1648" w14:textId="77777777" w:rsidR="00F363FF" w:rsidRDefault="00F363FF" w:rsidP="00F363FF">
      <w:pPr>
        <w:pStyle w:val="ListParagraph"/>
        <w:ind w:left="0"/>
        <w:jc w:val="both"/>
        <w:rPr>
          <w:color w:val="FF0000"/>
          <w:sz w:val="24"/>
          <w:szCs w:val="24"/>
        </w:rPr>
      </w:pPr>
    </w:p>
    <w:p w14:paraId="38A6BA0C" w14:textId="77777777" w:rsidR="00F363FF" w:rsidRPr="00887CB6" w:rsidRDefault="00F363FF" w:rsidP="00F363FF">
      <w:pPr>
        <w:pStyle w:val="ListParagraph"/>
        <w:ind w:left="0"/>
        <w:jc w:val="both"/>
        <w:rPr>
          <w:color w:val="FF0000"/>
          <w:sz w:val="24"/>
          <w:szCs w:val="24"/>
        </w:rPr>
      </w:pPr>
      <w:r>
        <w:rPr>
          <w:color w:val="FF0000"/>
          <w:sz w:val="24"/>
          <w:szCs w:val="24"/>
        </w:rPr>
        <w:t>There is no financial impact on ‘Example Agency’</w:t>
      </w:r>
    </w:p>
    <w:p w14:paraId="6F3C3BCB" w14:textId="77777777" w:rsidR="00B12CCF" w:rsidRPr="00EB34C6" w:rsidRDefault="00B12CCF" w:rsidP="00B12CCF"/>
    <w:p w14:paraId="74CEC7FD" w14:textId="77777777" w:rsidR="00574FD9" w:rsidRPr="000A240F" w:rsidRDefault="00574FD9" w:rsidP="000A240F">
      <w:pPr>
        <w:pStyle w:val="ListParagraph"/>
        <w:numPr>
          <w:ilvl w:val="0"/>
          <w:numId w:val="30"/>
        </w:numPr>
        <w:ind w:left="426"/>
        <w:jc w:val="both"/>
        <w:rPr>
          <w:color w:val="FF0000"/>
          <w:sz w:val="24"/>
          <w:szCs w:val="24"/>
        </w:rPr>
      </w:pPr>
      <w:r w:rsidRPr="000A240F">
        <w:rPr>
          <w:color w:val="FF0000"/>
          <w:sz w:val="24"/>
          <w:szCs w:val="24"/>
        </w:rPr>
        <w:t xml:space="preserve">AASB 2020-4 </w:t>
      </w:r>
      <w:r w:rsidRPr="000A240F">
        <w:rPr>
          <w:i/>
          <w:iCs/>
          <w:color w:val="FF0000"/>
          <w:sz w:val="24"/>
          <w:szCs w:val="24"/>
        </w:rPr>
        <w:t xml:space="preserve">Amendments to Australian Accounting Standards – </w:t>
      </w:r>
      <w:r w:rsidR="000A240F">
        <w:rPr>
          <w:i/>
          <w:iCs/>
          <w:color w:val="FF0000"/>
          <w:sz w:val="24"/>
          <w:szCs w:val="24"/>
        </w:rPr>
        <w:t>C</w:t>
      </w:r>
      <w:r w:rsidR="00782D2E">
        <w:rPr>
          <w:i/>
          <w:iCs/>
          <w:color w:val="FF0000"/>
          <w:sz w:val="24"/>
          <w:szCs w:val="24"/>
        </w:rPr>
        <w:t>ovid-19 Related Rent Concessions</w:t>
      </w:r>
      <w:r w:rsidRPr="000A240F">
        <w:rPr>
          <w:i/>
          <w:iCs/>
          <w:color w:val="FF0000"/>
          <w:sz w:val="24"/>
          <w:szCs w:val="24"/>
        </w:rPr>
        <w:t xml:space="preserve"> </w:t>
      </w:r>
      <w:r w:rsidRPr="000A240F">
        <w:rPr>
          <w:color w:val="FF0000"/>
          <w:sz w:val="24"/>
          <w:szCs w:val="24"/>
        </w:rPr>
        <w:t xml:space="preserve">[AASB </w:t>
      </w:r>
      <w:r w:rsidR="00782D2E">
        <w:rPr>
          <w:color w:val="FF0000"/>
          <w:sz w:val="24"/>
          <w:szCs w:val="24"/>
        </w:rPr>
        <w:t>16</w:t>
      </w:r>
      <w:r w:rsidRPr="000A240F">
        <w:rPr>
          <w:color w:val="FF0000"/>
          <w:sz w:val="24"/>
          <w:szCs w:val="24"/>
        </w:rPr>
        <w:t xml:space="preserve">] (application date 1 </w:t>
      </w:r>
      <w:r w:rsidR="00782D2E">
        <w:rPr>
          <w:color w:val="FF0000"/>
          <w:sz w:val="24"/>
          <w:szCs w:val="24"/>
        </w:rPr>
        <w:t>June 2020</w:t>
      </w:r>
      <w:r w:rsidRPr="000A240F">
        <w:rPr>
          <w:color w:val="FF0000"/>
          <w:sz w:val="24"/>
          <w:szCs w:val="24"/>
        </w:rPr>
        <w:t>)</w:t>
      </w:r>
    </w:p>
    <w:p w14:paraId="3BDB2ED2" w14:textId="77777777" w:rsidR="00F363FF" w:rsidRDefault="00F363FF" w:rsidP="00F363FF">
      <w:pPr>
        <w:pStyle w:val="ListParagraph"/>
        <w:ind w:left="0"/>
        <w:jc w:val="both"/>
        <w:rPr>
          <w:color w:val="FF0000"/>
        </w:rPr>
      </w:pPr>
    </w:p>
    <w:p w14:paraId="629FF625" w14:textId="77777777" w:rsidR="00F363FF" w:rsidRDefault="00F363FF" w:rsidP="00F363FF">
      <w:pPr>
        <w:keepNext/>
        <w:rPr>
          <w:rFonts w:cs="Calibri"/>
          <w:color w:val="FF0000"/>
        </w:rPr>
      </w:pPr>
      <w:r>
        <w:rPr>
          <w:rFonts w:cs="Calibri"/>
          <w:color w:val="FF0000"/>
        </w:rPr>
        <w:t>This standard</w:t>
      </w:r>
      <w:r w:rsidRPr="00320698">
        <w:rPr>
          <w:rFonts w:cs="Calibri"/>
          <w:color w:val="FF0000"/>
        </w:rPr>
        <w:t xml:space="preserve"> </w:t>
      </w:r>
      <w:r>
        <w:rPr>
          <w:rFonts w:cs="Calibri"/>
          <w:color w:val="FF0000"/>
        </w:rPr>
        <w:t xml:space="preserve">amends AASB 16 </w:t>
      </w:r>
      <w:r w:rsidRPr="000A240F">
        <w:rPr>
          <w:rFonts w:cs="Calibri"/>
          <w:i/>
          <w:iCs/>
          <w:color w:val="FF0000"/>
        </w:rPr>
        <w:t>Leases</w:t>
      </w:r>
      <w:r w:rsidRPr="00F363FF">
        <w:rPr>
          <w:rFonts w:cs="Calibri"/>
          <w:i/>
          <w:iCs/>
          <w:color w:val="FF0000"/>
        </w:rPr>
        <w:t xml:space="preserve"> </w:t>
      </w:r>
      <w:r>
        <w:rPr>
          <w:rFonts w:cs="Calibri"/>
          <w:color w:val="FF0000"/>
        </w:rPr>
        <w:t>to provide a practical expedient that permits lessors not to assess whether rent concessions that occur as a direct consequence as a consequence of the COVID-19 pandemic and meet specified conditions are lease modifications.  Instead a lessee would account for those rent concessions as if they were not lease modifications.</w:t>
      </w:r>
    </w:p>
    <w:p w14:paraId="2DB2CAB3" w14:textId="77777777" w:rsidR="000A240F" w:rsidRDefault="000A240F" w:rsidP="00F363FF">
      <w:pPr>
        <w:keepNext/>
        <w:rPr>
          <w:rFonts w:cs="Calibri"/>
          <w:color w:val="FF0000"/>
        </w:rPr>
      </w:pPr>
    </w:p>
    <w:p w14:paraId="3F170606" w14:textId="77777777" w:rsidR="000A240F" w:rsidRDefault="000A240F" w:rsidP="00F363FF">
      <w:pPr>
        <w:keepNext/>
        <w:rPr>
          <w:rFonts w:cs="Calibri"/>
          <w:color w:val="FF0000"/>
        </w:rPr>
      </w:pPr>
      <w:r>
        <w:rPr>
          <w:rFonts w:cs="Calibri"/>
          <w:color w:val="FF0000"/>
        </w:rPr>
        <w:t>‘Example Agency’ is assessing the impact of this standard.</w:t>
      </w:r>
    </w:p>
    <w:p w14:paraId="714EFB94" w14:textId="77777777" w:rsidR="00F363FF" w:rsidRPr="00574FD9" w:rsidRDefault="00F363FF" w:rsidP="00F363FF">
      <w:pPr>
        <w:pStyle w:val="ListParagraph"/>
        <w:ind w:left="0"/>
        <w:jc w:val="both"/>
        <w:rPr>
          <w:color w:val="FF0000"/>
        </w:rPr>
      </w:pPr>
    </w:p>
    <w:p w14:paraId="7E165014" w14:textId="77777777" w:rsidR="00B12CCF" w:rsidRPr="00E4034E" w:rsidRDefault="00B12CCF" w:rsidP="00B12CCF">
      <w:pPr>
        <w:pStyle w:val="Appxhead2"/>
        <w:shd w:val="clear" w:color="auto" w:fill="F2F2F2"/>
        <w:jc w:val="center"/>
      </w:pPr>
      <w:r>
        <w:t xml:space="preserve">Appendix C – </w:t>
      </w:r>
      <w:r w:rsidRPr="000D0F25">
        <w:t>Commentary</w:t>
      </w:r>
    </w:p>
    <w:p w14:paraId="390AFE16" w14:textId="77777777" w:rsidR="00B12CCF" w:rsidRPr="00AD7BB1" w:rsidRDefault="00B12CCF" w:rsidP="00B12CCF">
      <w:pPr>
        <w:pStyle w:val="CommentaryHeading"/>
        <w:shd w:val="clear" w:color="auto" w:fill="F2F2F2"/>
        <w:ind w:right="74"/>
        <w:jc w:val="both"/>
        <w:rPr>
          <w:b w:val="0"/>
          <w:bCs w:val="0"/>
          <w:sz w:val="22"/>
          <w:szCs w:val="22"/>
        </w:rPr>
      </w:pPr>
      <w:r w:rsidRPr="00AD7BB1">
        <w:rPr>
          <w:b w:val="0"/>
          <w:bCs w:val="0"/>
          <w:sz w:val="22"/>
          <w:szCs w:val="22"/>
        </w:rPr>
        <w:t xml:space="preserve">The listing of standards and the associated commentary is to assist agencies to make the necessary disclosures. Agencies should make their own assessment on the impact and relevance of the standards listed to their financial statements, bearing in mind that they should only disclose those standards and amending standards that are expected to have a material impact on them or where they have not yet assessed their impact.  </w:t>
      </w:r>
    </w:p>
    <w:p w14:paraId="75C25E57" w14:textId="77777777" w:rsidR="00B12CCF" w:rsidRDefault="00B12CCF" w:rsidP="00B12CCF">
      <w:pPr>
        <w:pStyle w:val="CommentaryHeading"/>
        <w:shd w:val="clear" w:color="auto" w:fill="F2F2F2"/>
        <w:spacing w:after="0"/>
        <w:ind w:right="74"/>
        <w:jc w:val="both"/>
      </w:pPr>
    </w:p>
    <w:p w14:paraId="3CAA3354" w14:textId="77777777" w:rsidR="00B12CCF" w:rsidRDefault="00B12CCF" w:rsidP="00B12CCF">
      <w:pPr>
        <w:shd w:val="clear" w:color="auto" w:fill="F2F2F2"/>
      </w:pPr>
      <w:r w:rsidRPr="00F60D50">
        <w:rPr>
          <w:shd w:val="clear" w:color="auto" w:fill="F2F2F2"/>
        </w:rPr>
        <w:t>The Model does not contain a complete</w:t>
      </w:r>
      <w:r w:rsidRPr="00E4034E">
        <w:t xml:space="preserve"> list of standards issued but not yet applicable. Instead it contains those standards not yet applicable which will most likely apply to most agencies (as at March 20</w:t>
      </w:r>
      <w:r>
        <w:t>20</w:t>
      </w:r>
      <w:r w:rsidRPr="00E4034E">
        <w:t xml:space="preserve">).  This is because agencies do not have to include standards that would never apply to them (e.g. AASB 129 </w:t>
      </w:r>
      <w:r w:rsidRPr="00E4034E">
        <w:rPr>
          <w:i/>
        </w:rPr>
        <w:t>Financial Reporting in Hyperinflationary Economies</w:t>
      </w:r>
      <w:r w:rsidRPr="00E4034E">
        <w:t xml:space="preserve">). As such, most agencies will be able to simply use the list contained in the model note, disclosing only the standards </w:t>
      </w:r>
      <w:r w:rsidRPr="00E4034E">
        <w:rPr>
          <w:lang w:eastAsia="en-AU"/>
        </w:rPr>
        <w:t>that are expected to have a material impact on them</w:t>
      </w:r>
      <w:r w:rsidRPr="00E4034E">
        <w:rPr>
          <w:color w:val="FF0000"/>
          <w:lang w:eastAsia="en-AU"/>
        </w:rPr>
        <w:t xml:space="preserve"> </w:t>
      </w:r>
      <w:r w:rsidRPr="00E4034E">
        <w:rPr>
          <w:lang w:eastAsia="en-AU"/>
        </w:rPr>
        <w:t>or where they have not yet assessed the impact of a standard</w:t>
      </w:r>
      <w:r w:rsidRPr="00E4034E">
        <w:rPr>
          <w:color w:val="000000"/>
          <w:lang w:eastAsia="en-AU"/>
        </w:rPr>
        <w:t>.</w:t>
      </w:r>
    </w:p>
    <w:p w14:paraId="688003F1" w14:textId="77777777" w:rsidR="00B12CCF" w:rsidRPr="00AD7BB1" w:rsidRDefault="00B12CCF" w:rsidP="00B12CCF">
      <w:pPr>
        <w:shd w:val="clear" w:color="auto" w:fill="F2F2F2"/>
      </w:pPr>
      <w:r w:rsidRPr="00AD7BB1">
        <w:lastRenderedPageBreak/>
        <w:t xml:space="preserve">However, additional standards may be issued (which are applicable) between April and the date of signing of the financial statements and therefore further standards may need to be included in the Notes. The Financial Reporting and Framework Branch will issue an updated Note disclosure in July to assist agencies in picking up additional standards issued in their Note disclosures. Agencies should monitor any further standards issued after that July update. Agencies need to assess each new and amended standard issued but not yet applicable and disclose if their adoption is likely to have a significant impact. The ‘Example Agency’ impacts are indicative and agencies need to make their own assessment. Further guidance on this will be included in the Accounting Policy on </w:t>
      </w:r>
      <w:r w:rsidRPr="00AD7BB1">
        <w:rPr>
          <w:i/>
        </w:rPr>
        <w:t xml:space="preserve">Treatment of AASB Standards issued which are not yet effective as at 30 June 2019 </w:t>
      </w:r>
      <w:r w:rsidRPr="00AD7BB1">
        <w:t>to be issued in July 2020. Agencies should review this policy in assessing the impact of standards that released but are not yet effective as at 30 June 2020 for disclosure in their 2019-20 financial statements.</w:t>
      </w:r>
    </w:p>
    <w:p w14:paraId="12241A02" w14:textId="77777777" w:rsidR="00B12CCF" w:rsidRPr="00AD7BB1" w:rsidRDefault="00B12CCF" w:rsidP="00B12CCF">
      <w:pPr>
        <w:shd w:val="clear" w:color="auto" w:fill="F2F2F2"/>
        <w:rPr>
          <w:rFonts w:cs="Calibri"/>
        </w:rPr>
      </w:pPr>
      <w:r w:rsidRPr="00AD7BB1">
        <w:rPr>
          <w:rFonts w:cs="Calibri"/>
        </w:rPr>
        <w:t>For the information of agencies, the additional standards issued but not yet applicable (as at March 2020 which are not disclosed in the Model are:</w:t>
      </w:r>
    </w:p>
    <w:p w14:paraId="0E066FF5" w14:textId="77777777" w:rsidR="00B12CCF" w:rsidRPr="00AD7BB1" w:rsidRDefault="00B12CCF" w:rsidP="00B12CCF">
      <w:pPr>
        <w:numPr>
          <w:ilvl w:val="0"/>
          <w:numId w:val="9"/>
        </w:numPr>
        <w:shd w:val="clear" w:color="auto" w:fill="F2F2F2"/>
        <w:rPr>
          <w:rFonts w:cs="Calibri"/>
        </w:rPr>
      </w:pPr>
      <w:r w:rsidRPr="00AD7BB1">
        <w:rPr>
          <w:rFonts w:cs="Calibri"/>
        </w:rPr>
        <w:t xml:space="preserve">AASB 17 </w:t>
      </w:r>
      <w:r w:rsidRPr="00AD7BB1">
        <w:rPr>
          <w:rFonts w:cs="Calibri"/>
          <w:i/>
        </w:rPr>
        <w:t>Insurance Contracts</w:t>
      </w:r>
      <w:r w:rsidRPr="00AD7BB1">
        <w:rPr>
          <w:rFonts w:cs="Calibri"/>
        </w:rPr>
        <w:t xml:space="preserve"> (application date 1 January 2021);</w:t>
      </w:r>
    </w:p>
    <w:p w14:paraId="2801CA72" w14:textId="77777777" w:rsidR="00B12CCF" w:rsidRPr="00AD7BB1" w:rsidRDefault="00B12CCF" w:rsidP="00B12CCF">
      <w:pPr>
        <w:numPr>
          <w:ilvl w:val="0"/>
          <w:numId w:val="9"/>
        </w:numPr>
        <w:shd w:val="clear" w:color="auto" w:fill="F2F2F2"/>
        <w:rPr>
          <w:rFonts w:cs="Calibri"/>
        </w:rPr>
      </w:pPr>
      <w:r w:rsidRPr="00AD7BB1">
        <w:rPr>
          <w:rFonts w:cs="Calibri"/>
        </w:rPr>
        <w:t xml:space="preserve">AASB 1059 </w:t>
      </w:r>
      <w:r w:rsidRPr="00AD7BB1">
        <w:rPr>
          <w:rFonts w:cs="Calibri"/>
          <w:i/>
        </w:rPr>
        <w:t xml:space="preserve">Service Concession Arrangements: Grantors* </w:t>
      </w:r>
      <w:r w:rsidRPr="00AD7BB1">
        <w:rPr>
          <w:rFonts w:cs="Calibri"/>
        </w:rPr>
        <w:t>(application date 1 January 2020);</w:t>
      </w:r>
    </w:p>
    <w:p w14:paraId="67C032FB" w14:textId="77777777" w:rsidR="00B12CCF" w:rsidRPr="00AD7BB1" w:rsidRDefault="00B12CCF" w:rsidP="00B12CCF">
      <w:pPr>
        <w:shd w:val="clear" w:color="auto" w:fill="F2F2F2"/>
        <w:ind w:left="360"/>
        <w:rPr>
          <w:rFonts w:cs="Calibri"/>
        </w:rPr>
      </w:pPr>
      <w:r w:rsidRPr="00AD7BB1">
        <w:rPr>
          <w:rFonts w:cs="Calibri"/>
        </w:rPr>
        <w:t>*This standard will impact a small number of ACT Government agencies.</w:t>
      </w:r>
    </w:p>
    <w:p w14:paraId="5370B088" w14:textId="77777777" w:rsidR="00B12CCF" w:rsidRPr="00AD7BB1" w:rsidRDefault="00B12CCF" w:rsidP="00B12CCF">
      <w:pPr>
        <w:numPr>
          <w:ilvl w:val="0"/>
          <w:numId w:val="9"/>
        </w:numPr>
        <w:shd w:val="clear" w:color="auto" w:fill="F2F2F2"/>
        <w:rPr>
          <w:rFonts w:cs="Calibri"/>
        </w:rPr>
      </w:pPr>
      <w:r w:rsidRPr="00AD7BB1">
        <w:rPr>
          <w:rFonts w:cs="Calibri"/>
        </w:rPr>
        <w:t xml:space="preserve">AASB 1060 </w:t>
      </w:r>
      <w:r w:rsidRPr="00AD7BB1">
        <w:rPr>
          <w:rFonts w:cs="Calibri"/>
          <w:i/>
          <w:iCs/>
        </w:rPr>
        <w:t xml:space="preserve">General Purpose Financial Statements – Simplified Disclosures </w:t>
      </w:r>
      <w:r w:rsidR="00837D7A" w:rsidRPr="00AD7BB1">
        <w:rPr>
          <w:rFonts w:cs="Calibri"/>
          <w:i/>
          <w:iCs/>
        </w:rPr>
        <w:t>for</w:t>
      </w:r>
      <w:r w:rsidRPr="00AD7BB1">
        <w:rPr>
          <w:rFonts w:cs="Calibri"/>
          <w:i/>
          <w:iCs/>
        </w:rPr>
        <w:t xml:space="preserve"> For-Profit and Not-for-profit Tier 2 Entities</w:t>
      </w:r>
      <w:r w:rsidRPr="00AD7BB1">
        <w:rPr>
          <w:rFonts w:cs="Calibri"/>
        </w:rPr>
        <w:t xml:space="preserve"> (application date 1 July 2021);</w:t>
      </w:r>
    </w:p>
    <w:p w14:paraId="25313A15" w14:textId="77777777" w:rsidR="00B12CCF" w:rsidRPr="00AD7BB1" w:rsidRDefault="00B12CCF" w:rsidP="00B12CCF">
      <w:pPr>
        <w:numPr>
          <w:ilvl w:val="0"/>
          <w:numId w:val="10"/>
        </w:numPr>
        <w:shd w:val="clear" w:color="auto" w:fill="F2F2F2"/>
        <w:ind w:left="360"/>
        <w:rPr>
          <w:lang w:eastAsia="en-AU"/>
        </w:rPr>
      </w:pPr>
      <w:r w:rsidRPr="00AD7BB1">
        <w:rPr>
          <w:lang w:eastAsia="en-AU"/>
        </w:rPr>
        <w:t xml:space="preserve">AASB 2018-7 </w:t>
      </w:r>
      <w:r w:rsidRPr="00AD7BB1">
        <w:rPr>
          <w:i/>
          <w:lang w:eastAsia="en-AU"/>
        </w:rPr>
        <w:t>Definition of Material</w:t>
      </w:r>
      <w:r w:rsidRPr="00AD7BB1">
        <w:rPr>
          <w:lang w:eastAsia="en-AU"/>
        </w:rPr>
        <w:t xml:space="preserve"> (application date 1 January 2020);</w:t>
      </w:r>
    </w:p>
    <w:p w14:paraId="6C8E07F3" w14:textId="77777777" w:rsidR="00B12CCF" w:rsidRPr="00AD7BB1" w:rsidRDefault="00B12CCF" w:rsidP="00B12CCF">
      <w:pPr>
        <w:numPr>
          <w:ilvl w:val="0"/>
          <w:numId w:val="10"/>
        </w:numPr>
        <w:shd w:val="clear" w:color="auto" w:fill="F2F2F2"/>
        <w:ind w:left="360"/>
        <w:rPr>
          <w:lang w:eastAsia="en-AU"/>
        </w:rPr>
      </w:pPr>
      <w:r w:rsidRPr="00AD7BB1">
        <w:rPr>
          <w:lang w:eastAsia="en-AU"/>
        </w:rPr>
        <w:t xml:space="preserve">AASB 2019-1 </w:t>
      </w:r>
      <w:r w:rsidRPr="00AD7BB1">
        <w:rPr>
          <w:i/>
          <w:iCs/>
          <w:lang w:eastAsia="en-AU"/>
        </w:rPr>
        <w:t>Amendments to Australian Accounting Standards – Refences to the Conceptual Framework</w:t>
      </w:r>
      <w:r w:rsidRPr="00AD7BB1">
        <w:rPr>
          <w:lang w:eastAsia="en-AU"/>
        </w:rPr>
        <w:t xml:space="preserve"> [covers numerous Accounting standards, Interpretations and Pronouncements] (application date 1 January 2020);</w:t>
      </w:r>
    </w:p>
    <w:p w14:paraId="1FD3EAB1" w14:textId="77777777" w:rsidR="00B12CCF" w:rsidRPr="00AD7BB1" w:rsidRDefault="00B12CCF" w:rsidP="00B12CCF">
      <w:pPr>
        <w:numPr>
          <w:ilvl w:val="0"/>
          <w:numId w:val="10"/>
        </w:numPr>
        <w:shd w:val="clear" w:color="auto" w:fill="F2F2F2"/>
        <w:ind w:left="360"/>
        <w:rPr>
          <w:lang w:eastAsia="en-AU"/>
        </w:rPr>
      </w:pPr>
      <w:r w:rsidRPr="00AD7BB1">
        <w:rPr>
          <w:lang w:eastAsia="en-AU"/>
        </w:rPr>
        <w:t xml:space="preserve">AASB 2019-2 </w:t>
      </w:r>
      <w:r w:rsidRPr="00AD7BB1">
        <w:rPr>
          <w:i/>
          <w:iCs/>
          <w:lang w:eastAsia="en-AU"/>
        </w:rPr>
        <w:t>Amendments to Australian Accounting Standards – Implementation of AASB 1059</w:t>
      </w:r>
    </w:p>
    <w:p w14:paraId="1FDF540E" w14:textId="77777777" w:rsidR="00B12CCF" w:rsidRPr="00AD7BB1" w:rsidRDefault="00B12CCF" w:rsidP="00B12CCF">
      <w:pPr>
        <w:shd w:val="clear" w:color="auto" w:fill="F2F2F2"/>
        <w:ind w:left="360"/>
        <w:rPr>
          <w:lang w:eastAsia="en-AU"/>
        </w:rPr>
      </w:pPr>
      <w:r w:rsidRPr="00AD7BB1">
        <w:rPr>
          <w:lang w:eastAsia="en-AU"/>
        </w:rPr>
        <w:t>[AASB 16 and AASB 1059] (application date 1 January 2020);</w:t>
      </w:r>
    </w:p>
    <w:p w14:paraId="55A86910" w14:textId="77777777" w:rsidR="00B12CCF" w:rsidRPr="00AD7BB1" w:rsidRDefault="00B12CCF" w:rsidP="00B12CCF">
      <w:pPr>
        <w:numPr>
          <w:ilvl w:val="0"/>
          <w:numId w:val="10"/>
        </w:numPr>
        <w:shd w:val="clear" w:color="auto" w:fill="F2F2F2"/>
        <w:ind w:left="360"/>
        <w:rPr>
          <w:lang w:eastAsia="en-AU"/>
        </w:rPr>
      </w:pPr>
      <w:r w:rsidRPr="00AD7BB1">
        <w:rPr>
          <w:lang w:eastAsia="en-AU"/>
        </w:rPr>
        <w:t xml:space="preserve">AASB 2019-3 </w:t>
      </w:r>
      <w:r w:rsidRPr="00AD7BB1">
        <w:rPr>
          <w:i/>
          <w:iCs/>
          <w:lang w:eastAsia="en-AU"/>
        </w:rPr>
        <w:t>Amendments to Australian Accounting Standards – Interest Rate Benchmark Reform</w:t>
      </w:r>
      <w:r w:rsidRPr="00AD7BB1">
        <w:rPr>
          <w:lang w:eastAsia="en-AU"/>
        </w:rPr>
        <w:t xml:space="preserve"> [AASB 7, AASB 9 and AASB 1039] (application date 1 January 2020);</w:t>
      </w:r>
    </w:p>
    <w:p w14:paraId="38D36BB2" w14:textId="77777777" w:rsidR="00B12CCF" w:rsidRPr="00DE79B4" w:rsidRDefault="00B12CCF" w:rsidP="00B12CCF">
      <w:pPr>
        <w:pStyle w:val="ListParagraph"/>
        <w:numPr>
          <w:ilvl w:val="0"/>
          <w:numId w:val="10"/>
        </w:numPr>
        <w:shd w:val="clear" w:color="auto" w:fill="F2F2F2"/>
        <w:ind w:left="360"/>
        <w:jc w:val="both"/>
        <w:rPr>
          <w:sz w:val="24"/>
          <w:szCs w:val="24"/>
          <w:lang w:eastAsia="en-AU"/>
        </w:rPr>
      </w:pPr>
      <w:r w:rsidRPr="00DE79B4">
        <w:rPr>
          <w:sz w:val="24"/>
          <w:szCs w:val="24"/>
          <w:lang w:eastAsia="en-AU"/>
        </w:rPr>
        <w:t xml:space="preserve">AASB 2019-5 </w:t>
      </w:r>
      <w:r w:rsidRPr="00DE79B4">
        <w:rPr>
          <w:i/>
          <w:iCs/>
          <w:sz w:val="24"/>
          <w:szCs w:val="24"/>
          <w:lang w:eastAsia="en-AU"/>
        </w:rPr>
        <w:t>Amendments to Australian Accounting Standards – Disclosure of the Effect of New IFRS Standards Not Yet Issued in Australia</w:t>
      </w:r>
      <w:r w:rsidRPr="00DE79B4">
        <w:rPr>
          <w:sz w:val="24"/>
          <w:szCs w:val="24"/>
          <w:lang w:eastAsia="en-AU"/>
        </w:rPr>
        <w:t xml:space="preserve"> [AASB 1054] (application date 1 January 2020); and</w:t>
      </w:r>
    </w:p>
    <w:p w14:paraId="21D7602F" w14:textId="77777777" w:rsidR="00B12CCF" w:rsidRPr="00DE79B4" w:rsidRDefault="00B12CCF" w:rsidP="00B12CCF">
      <w:pPr>
        <w:pStyle w:val="ListParagraph"/>
        <w:numPr>
          <w:ilvl w:val="0"/>
          <w:numId w:val="10"/>
        </w:numPr>
        <w:shd w:val="clear" w:color="auto" w:fill="F2F2F2"/>
        <w:ind w:left="360"/>
        <w:jc w:val="both"/>
        <w:rPr>
          <w:sz w:val="24"/>
          <w:szCs w:val="24"/>
          <w:lang w:eastAsia="en-AU"/>
        </w:rPr>
      </w:pPr>
      <w:r w:rsidRPr="00DE79B4">
        <w:rPr>
          <w:sz w:val="24"/>
          <w:szCs w:val="24"/>
          <w:lang w:eastAsia="en-AU"/>
        </w:rPr>
        <w:t xml:space="preserve">AASB 2019-7 </w:t>
      </w:r>
      <w:r w:rsidRPr="00DE79B4">
        <w:rPr>
          <w:i/>
          <w:iCs/>
          <w:sz w:val="24"/>
          <w:szCs w:val="24"/>
          <w:lang w:eastAsia="en-AU"/>
        </w:rPr>
        <w:t>Amendments to Australian Accounting Standards – Disclosure of GFS Measures of Key Fiscal Aggregates and GAAP/GFS Reconciliations</w:t>
      </w:r>
      <w:r w:rsidRPr="00DE79B4">
        <w:rPr>
          <w:sz w:val="24"/>
          <w:szCs w:val="24"/>
          <w:lang w:eastAsia="en-AU"/>
        </w:rPr>
        <w:t xml:space="preserve"> [AASB 1049]  (application date 1 January 2020); </w:t>
      </w:r>
    </w:p>
    <w:p w14:paraId="5E91C0B7" w14:textId="77777777" w:rsidR="00B12CCF" w:rsidRPr="00DE79B4" w:rsidRDefault="00B12CCF" w:rsidP="00B12CCF">
      <w:pPr>
        <w:pStyle w:val="ListParagraph"/>
        <w:numPr>
          <w:ilvl w:val="0"/>
          <w:numId w:val="10"/>
        </w:numPr>
        <w:shd w:val="clear" w:color="auto" w:fill="F2F2F2"/>
        <w:ind w:left="360"/>
        <w:jc w:val="both"/>
        <w:rPr>
          <w:sz w:val="24"/>
          <w:szCs w:val="24"/>
        </w:rPr>
      </w:pPr>
      <w:r w:rsidRPr="00DE79B4">
        <w:rPr>
          <w:sz w:val="24"/>
          <w:szCs w:val="24"/>
        </w:rPr>
        <w:t xml:space="preserve">AASB 2020-1 </w:t>
      </w:r>
      <w:r w:rsidRPr="00DE79B4">
        <w:rPr>
          <w:i/>
          <w:sz w:val="24"/>
          <w:szCs w:val="24"/>
        </w:rPr>
        <w:t>Classification of Liabilities as Current or Non-current</w:t>
      </w:r>
      <w:r w:rsidRPr="00DE79B4">
        <w:rPr>
          <w:sz w:val="24"/>
          <w:szCs w:val="24"/>
        </w:rPr>
        <w:t xml:space="preserve"> (application date 1 January 2022); and</w:t>
      </w:r>
    </w:p>
    <w:p w14:paraId="189B1DED" w14:textId="77777777" w:rsidR="00B12CCF" w:rsidRPr="00DE79B4" w:rsidRDefault="00B12CCF" w:rsidP="00B12CCF">
      <w:pPr>
        <w:pStyle w:val="ListParagraph"/>
        <w:numPr>
          <w:ilvl w:val="0"/>
          <w:numId w:val="10"/>
        </w:numPr>
        <w:shd w:val="clear" w:color="auto" w:fill="F2F2F2"/>
        <w:ind w:left="360"/>
        <w:jc w:val="both"/>
        <w:rPr>
          <w:sz w:val="24"/>
          <w:szCs w:val="24"/>
          <w:lang w:eastAsia="en-AU"/>
        </w:rPr>
      </w:pPr>
      <w:r w:rsidRPr="00DE79B4">
        <w:rPr>
          <w:sz w:val="24"/>
          <w:szCs w:val="24"/>
          <w:lang w:eastAsia="en-AU"/>
        </w:rPr>
        <w:t xml:space="preserve">AASB 2020-2 </w:t>
      </w:r>
      <w:r w:rsidRPr="00DE79B4">
        <w:rPr>
          <w:i/>
          <w:iCs/>
          <w:sz w:val="24"/>
          <w:szCs w:val="24"/>
          <w:lang w:eastAsia="en-AU"/>
        </w:rPr>
        <w:t>Amendments to Australian Accounting Standards – Removal of Special Purpose Financial Statements for Certain For-Profit Public Sector Entities</w:t>
      </w:r>
      <w:r w:rsidRPr="00DE79B4">
        <w:rPr>
          <w:sz w:val="24"/>
          <w:szCs w:val="24"/>
          <w:lang w:eastAsia="en-AU"/>
        </w:rPr>
        <w:t xml:space="preserve"> (application date 1 July 2021); </w:t>
      </w:r>
    </w:p>
    <w:p w14:paraId="11D7C0BA" w14:textId="77777777" w:rsidR="00C820DE" w:rsidRDefault="00B12CCF" w:rsidP="00BA7C84">
      <w:pPr>
        <w:shd w:val="clear" w:color="auto" w:fill="F2F2F2"/>
      </w:pPr>
      <w:r w:rsidRPr="00AD7BB1">
        <w:t xml:space="preserve">Note, it is recommended that agencies review the above standards to ensure they do not apply to </w:t>
      </w:r>
    </w:p>
    <w:p w14:paraId="1D0958D1" w14:textId="77777777" w:rsidR="00BA1138" w:rsidRPr="007D5D67" w:rsidRDefault="00BA1138" w:rsidP="00E5257B"/>
    <w:sectPr w:rsidR="00BA1138" w:rsidRPr="007D5D67" w:rsidSect="00676544">
      <w:headerReference w:type="default" r:id="rId18"/>
      <w:footerReference w:type="first" r:id="rId19"/>
      <w:pgSz w:w="11906" w:h="16838"/>
      <w:pgMar w:top="1135" w:right="1440" w:bottom="709" w:left="1440"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1F3A" w14:textId="77777777" w:rsidR="00FE1FD2" w:rsidRDefault="00FE1FD2">
      <w:r>
        <w:separator/>
      </w:r>
    </w:p>
  </w:endnote>
  <w:endnote w:type="continuationSeparator" w:id="0">
    <w:p w14:paraId="20C822E7" w14:textId="77777777" w:rsidR="00FE1FD2" w:rsidRDefault="00FE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AD84" w14:textId="77777777" w:rsidR="00F87325" w:rsidRDefault="00F87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1271E0" w14:textId="77777777" w:rsidR="00F87325" w:rsidRDefault="00F87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9C46" w14:textId="77777777" w:rsidR="00F87325" w:rsidRPr="00504E82" w:rsidRDefault="00F87325" w:rsidP="00C00F85">
    <w:pPr>
      <w:pStyle w:val="Footer"/>
      <w:jc w:val="center"/>
      <w:rPr>
        <w:sz w:val="18"/>
        <w:szCs w:val="18"/>
      </w:rPr>
    </w:pPr>
    <w:r w:rsidRPr="00504E82">
      <w:rPr>
        <w:sz w:val="18"/>
        <w:szCs w:val="18"/>
      </w:rPr>
      <w:fldChar w:fldCharType="begin"/>
    </w:r>
    <w:r w:rsidRPr="00504E82">
      <w:rPr>
        <w:sz w:val="18"/>
        <w:szCs w:val="18"/>
      </w:rPr>
      <w:instrText xml:space="preserve"> PAGE   \* MERGEFORMAT </w:instrText>
    </w:r>
    <w:r w:rsidRPr="00504E82">
      <w:rPr>
        <w:sz w:val="18"/>
        <w:szCs w:val="18"/>
      </w:rPr>
      <w:fldChar w:fldCharType="separate"/>
    </w:r>
    <w:r w:rsidR="004A52A0">
      <w:rPr>
        <w:noProof/>
        <w:sz w:val="18"/>
        <w:szCs w:val="18"/>
      </w:rPr>
      <w:t>13</w:t>
    </w:r>
    <w:r w:rsidRPr="00504E82">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1E84" w14:textId="77777777" w:rsidR="00676544" w:rsidRDefault="00676544" w:rsidP="00676544">
    <w:pPr>
      <w:pStyle w:val="Footer"/>
      <w:jc w:val="center"/>
    </w:pPr>
    <w:r w:rsidRPr="00676544">
      <w:t>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0209" w14:textId="77777777" w:rsidR="00676544" w:rsidRDefault="00676544" w:rsidP="0067654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1A68" w14:textId="77777777" w:rsidR="00FE1FD2" w:rsidRDefault="00FE1FD2">
      <w:r>
        <w:separator/>
      </w:r>
    </w:p>
  </w:footnote>
  <w:footnote w:type="continuationSeparator" w:id="0">
    <w:p w14:paraId="7070F8D8" w14:textId="77777777" w:rsidR="00FE1FD2" w:rsidRDefault="00FE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A3C4" w14:textId="77777777" w:rsidR="00F87325" w:rsidRDefault="00F87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DE0A" w14:textId="244EB5FF" w:rsidR="00F87325" w:rsidRPr="00676544" w:rsidRDefault="009C4957" w:rsidP="00676544">
    <w:pPr>
      <w:pStyle w:val="Header"/>
      <w:spacing w:after="0"/>
      <w:jc w:val="left"/>
      <w:rPr>
        <w:sz w:val="22"/>
        <w:szCs w:val="22"/>
      </w:rPr>
    </w:pPr>
    <w:bookmarkStart w:id="5" w:name="_Hlk45262709"/>
    <w:bookmarkStart w:id="6" w:name="_Hlk45262710"/>
    <w:r>
      <w:rPr>
        <w:rFonts w:ascii="Calibri" w:hAnsi="Calibri" w:cs="Calibri"/>
        <w:sz w:val="22"/>
        <w:szCs w:val="22"/>
      </w:rPr>
      <w:t>AADP 304</w:t>
    </w:r>
    <w:r w:rsidR="00F87325" w:rsidRPr="00676544">
      <w:rPr>
        <w:rFonts w:ascii="Calibri" w:hAnsi="Calibri" w:cs="Calibri"/>
        <w:sz w:val="22"/>
        <w:szCs w:val="22"/>
      </w:rPr>
      <w:t xml:space="preserve"> —</w:t>
    </w:r>
    <w:r>
      <w:rPr>
        <w:rFonts w:ascii="Calibri" w:hAnsi="Calibri" w:cs="Calibri"/>
        <w:sz w:val="22"/>
        <w:szCs w:val="22"/>
      </w:rPr>
      <w:t xml:space="preserve"> </w:t>
    </w:r>
    <w:r w:rsidR="00F87325" w:rsidRPr="00676544">
      <w:rPr>
        <w:rFonts w:ascii="Calibri" w:hAnsi="Calibri" w:cs="Calibri"/>
        <w:sz w:val="22"/>
        <w:szCs w:val="22"/>
      </w:rPr>
      <w:t xml:space="preserve">AASB Standards issued which are not yet effective as at 30 June </w:t>
    </w:r>
    <w:r w:rsidR="00B06821" w:rsidRPr="00676544">
      <w:rPr>
        <w:rFonts w:ascii="Calibri" w:hAnsi="Calibri" w:cs="Calibri"/>
        <w:sz w:val="22"/>
        <w:szCs w:val="22"/>
      </w:rPr>
      <w:t>2020</w:t>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B0AF" w14:textId="69D60754" w:rsidR="00F87325" w:rsidRPr="008743F1" w:rsidRDefault="009C4957" w:rsidP="009C4957">
    <w:pPr>
      <w:pStyle w:val="Header"/>
      <w:tabs>
        <w:tab w:val="left" w:pos="3720"/>
      </w:tabs>
      <w:jc w:val="left"/>
      <w:rPr>
        <w:rFonts w:ascii="Calibri" w:hAnsi="Calibri" w:cs="Calibri"/>
        <w:sz w:val="22"/>
        <w:szCs w:val="22"/>
      </w:rPr>
    </w:pPr>
    <w:r>
      <w:rPr>
        <w:rFonts w:ascii="Calibri" w:hAnsi="Calibri" w:cs="Calibri"/>
        <w:sz w:val="22"/>
        <w:szCs w:val="22"/>
      </w:rPr>
      <w:t>AADP 304</w:t>
    </w:r>
    <w:r w:rsidR="00676544" w:rsidRPr="008743F1">
      <w:rPr>
        <w:rFonts w:ascii="Calibri" w:hAnsi="Calibri" w:cs="Calibri"/>
        <w:sz w:val="22"/>
        <w:szCs w:val="22"/>
      </w:rPr>
      <w:t xml:space="preserve"> —AASB Standards issued which are not yet effective as at 30 June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4677" w14:textId="0D680038" w:rsidR="00F87325" w:rsidRPr="00B115AE" w:rsidRDefault="009C4957" w:rsidP="00B115AE">
    <w:pPr>
      <w:pStyle w:val="Header"/>
      <w:spacing w:after="0"/>
      <w:jc w:val="left"/>
      <w:rPr>
        <w:sz w:val="22"/>
        <w:szCs w:val="22"/>
      </w:rPr>
    </w:pPr>
    <w:r>
      <w:rPr>
        <w:rFonts w:ascii="Calibri" w:hAnsi="Calibri" w:cs="Calibri"/>
        <w:sz w:val="22"/>
        <w:szCs w:val="22"/>
      </w:rPr>
      <w:t>AADP 304</w:t>
    </w:r>
    <w:r w:rsidR="00F87325" w:rsidRPr="00B115AE">
      <w:rPr>
        <w:rFonts w:ascii="Calibri" w:hAnsi="Calibri" w:cs="Calibri"/>
        <w:sz w:val="22"/>
        <w:szCs w:val="22"/>
      </w:rPr>
      <w:t xml:space="preserve"> </w:t>
    </w:r>
    <w:r w:rsidR="00B115AE" w:rsidRPr="00B115AE">
      <w:rPr>
        <w:rFonts w:ascii="Calibri" w:hAnsi="Calibri" w:cs="Calibri"/>
        <w:sz w:val="22"/>
        <w:szCs w:val="22"/>
      </w:rPr>
      <w:t>-</w:t>
    </w:r>
    <w:r>
      <w:rPr>
        <w:rFonts w:ascii="Calibri" w:hAnsi="Calibri" w:cs="Calibri"/>
        <w:sz w:val="22"/>
        <w:szCs w:val="22"/>
      </w:rPr>
      <w:t xml:space="preserve"> </w:t>
    </w:r>
    <w:r w:rsidR="00F87325" w:rsidRPr="00B115AE">
      <w:rPr>
        <w:rFonts w:ascii="Calibri" w:hAnsi="Calibri" w:cs="Calibri"/>
        <w:sz w:val="22"/>
        <w:szCs w:val="22"/>
      </w:rPr>
      <w:t>AASB Standards issued which are not yet effective as at 30 June 20</w:t>
    </w:r>
    <w:r w:rsidR="001C5C5F" w:rsidRPr="00B115AE">
      <w:rPr>
        <w:rFonts w:ascii="Calibri" w:hAnsi="Calibri" w:cs="Calibri"/>
        <w:sz w:val="22"/>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A90"/>
    <w:multiLevelType w:val="hybridMultilevel"/>
    <w:tmpl w:val="CEF2B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CB4C45"/>
    <w:multiLevelType w:val="hybridMultilevel"/>
    <w:tmpl w:val="72B0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12005"/>
    <w:multiLevelType w:val="hybridMultilevel"/>
    <w:tmpl w:val="4788C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E74707"/>
    <w:multiLevelType w:val="hybridMultilevel"/>
    <w:tmpl w:val="3710CB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07B3BB5"/>
    <w:multiLevelType w:val="hybridMultilevel"/>
    <w:tmpl w:val="A9EAF832"/>
    <w:lvl w:ilvl="0" w:tplc="0C090001">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07F7E"/>
    <w:multiLevelType w:val="hybridMultilevel"/>
    <w:tmpl w:val="1C14894E"/>
    <w:lvl w:ilvl="0" w:tplc="BBCCFC3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E6A566F"/>
    <w:multiLevelType w:val="hybridMultilevel"/>
    <w:tmpl w:val="3102936A"/>
    <w:lvl w:ilvl="0" w:tplc="276E00C8">
      <w:start w:val="3"/>
      <w:numFmt w:val="decimal"/>
      <w:pStyle w:val="NoteTitle"/>
      <w:lvlText w:val="Note %1."/>
      <w:lvlJc w:val="left"/>
      <w:pPr>
        <w:tabs>
          <w:tab w:val="num" w:pos="1134"/>
        </w:tabs>
        <w:ind w:left="1134" w:hanging="1134"/>
      </w:pPr>
      <w:rPr>
        <w:rFonts w:hint="default"/>
      </w:rPr>
    </w:lvl>
    <w:lvl w:ilvl="1" w:tplc="04090001">
      <w:start w:val="1"/>
      <w:numFmt w:val="bullet"/>
      <w:lvlText w:val=""/>
      <w:lvlJc w:val="left"/>
      <w:pPr>
        <w:tabs>
          <w:tab w:val="num" w:pos="1041"/>
        </w:tabs>
        <w:ind w:left="1041" w:hanging="360"/>
      </w:pPr>
      <w:rPr>
        <w:rFonts w:ascii="Symbol" w:hAnsi="Symbol" w:hint="default"/>
      </w:rPr>
    </w:lvl>
    <w:lvl w:ilvl="2" w:tplc="363E5A42">
      <w:start w:val="1"/>
      <w:numFmt w:val="lowerLetter"/>
      <w:lvlText w:val="%3)"/>
      <w:lvlJc w:val="left"/>
      <w:pPr>
        <w:tabs>
          <w:tab w:val="num" w:pos="1941"/>
        </w:tabs>
        <w:ind w:left="1941" w:hanging="360"/>
      </w:pPr>
      <w:rPr>
        <w:rFonts w:hint="default"/>
      </w:rPr>
    </w:lvl>
    <w:lvl w:ilvl="3" w:tplc="0409000F" w:tentative="1">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7" w15:restartNumberingAfterBreak="0">
    <w:nsid w:val="2ED30A38"/>
    <w:multiLevelType w:val="hybridMultilevel"/>
    <w:tmpl w:val="556A1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F75B5"/>
    <w:multiLevelType w:val="hybridMultilevel"/>
    <w:tmpl w:val="E3444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2E78F3"/>
    <w:multiLevelType w:val="hybridMultilevel"/>
    <w:tmpl w:val="61E052BC"/>
    <w:lvl w:ilvl="0" w:tplc="5F6AD89A">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914D6"/>
    <w:multiLevelType w:val="hybridMultilevel"/>
    <w:tmpl w:val="F2C03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CE07E6"/>
    <w:multiLevelType w:val="hybridMultilevel"/>
    <w:tmpl w:val="9D86BB90"/>
    <w:lvl w:ilvl="0" w:tplc="53DEEE5A">
      <w:start w:val="30"/>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12" w15:restartNumberingAfterBreak="0">
    <w:nsid w:val="3C972CB3"/>
    <w:multiLevelType w:val="hybridMultilevel"/>
    <w:tmpl w:val="281C15B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3D5F36D6"/>
    <w:multiLevelType w:val="hybridMultilevel"/>
    <w:tmpl w:val="B270E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0D06C5"/>
    <w:multiLevelType w:val="hybridMultilevel"/>
    <w:tmpl w:val="D5688F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2B6E9A"/>
    <w:multiLevelType w:val="hybridMultilevel"/>
    <w:tmpl w:val="5964CD12"/>
    <w:lvl w:ilvl="0" w:tplc="FEA6C046">
      <w:start w:val="1"/>
      <w:numFmt w:val="bullet"/>
      <w:pStyle w:val="Commentary-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E1297"/>
    <w:multiLevelType w:val="hybridMultilevel"/>
    <w:tmpl w:val="2458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A4D2B"/>
    <w:multiLevelType w:val="hybridMultilevel"/>
    <w:tmpl w:val="77EE4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B7515"/>
    <w:multiLevelType w:val="hybridMultilevel"/>
    <w:tmpl w:val="1386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96413"/>
    <w:multiLevelType w:val="hybridMultilevel"/>
    <w:tmpl w:val="07024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5A3C68"/>
    <w:multiLevelType w:val="hybridMultilevel"/>
    <w:tmpl w:val="49FEF26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567D3FC1"/>
    <w:multiLevelType w:val="hybridMultilevel"/>
    <w:tmpl w:val="6C7893FA"/>
    <w:lvl w:ilvl="0" w:tplc="8C284F4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98638F"/>
    <w:multiLevelType w:val="hybridMultilevel"/>
    <w:tmpl w:val="4ECE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5A0C4C"/>
    <w:multiLevelType w:val="multilevel"/>
    <w:tmpl w:val="2A6027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649328B7"/>
    <w:multiLevelType w:val="hybridMultilevel"/>
    <w:tmpl w:val="729AF1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EA7AD7"/>
    <w:multiLevelType w:val="hybridMultilevel"/>
    <w:tmpl w:val="2ADA3F2C"/>
    <w:lvl w:ilvl="0" w:tplc="D12E745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340FE0"/>
    <w:multiLevelType w:val="hybridMultilevel"/>
    <w:tmpl w:val="8B88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230CC3"/>
    <w:multiLevelType w:val="hybridMultilevel"/>
    <w:tmpl w:val="7BAE6932"/>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8" w15:restartNumberingAfterBreak="0">
    <w:nsid w:val="7D59049C"/>
    <w:multiLevelType w:val="hybridMultilevel"/>
    <w:tmpl w:val="59DC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90543B"/>
    <w:multiLevelType w:val="hybridMultilevel"/>
    <w:tmpl w:val="5014A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6"/>
  </w:num>
  <w:num w:numId="4">
    <w:abstractNumId w:val="15"/>
  </w:num>
  <w:num w:numId="5">
    <w:abstractNumId w:val="20"/>
  </w:num>
  <w:num w:numId="6">
    <w:abstractNumId w:val="14"/>
  </w:num>
  <w:num w:numId="7">
    <w:abstractNumId w:val="8"/>
  </w:num>
  <w:num w:numId="8">
    <w:abstractNumId w:val="25"/>
  </w:num>
  <w:num w:numId="9">
    <w:abstractNumId w:val="0"/>
  </w:num>
  <w:num w:numId="10">
    <w:abstractNumId w:val="12"/>
  </w:num>
  <w:num w:numId="11">
    <w:abstractNumId w:val="10"/>
  </w:num>
  <w:num w:numId="12">
    <w:abstractNumId w:val="13"/>
  </w:num>
  <w:num w:numId="13">
    <w:abstractNumId w:val="22"/>
  </w:num>
  <w:num w:numId="14">
    <w:abstractNumId w:val="19"/>
  </w:num>
  <w:num w:numId="15">
    <w:abstractNumId w:val="29"/>
  </w:num>
  <w:num w:numId="16">
    <w:abstractNumId w:val="27"/>
  </w:num>
  <w:num w:numId="17">
    <w:abstractNumId w:val="24"/>
  </w:num>
  <w:num w:numId="18">
    <w:abstractNumId w:val="11"/>
  </w:num>
  <w:num w:numId="19">
    <w:abstractNumId w:val="2"/>
  </w:num>
  <w:num w:numId="20">
    <w:abstractNumId w:val="28"/>
  </w:num>
  <w:num w:numId="21">
    <w:abstractNumId w:val="17"/>
  </w:num>
  <w:num w:numId="22">
    <w:abstractNumId w:val="3"/>
  </w:num>
  <w:num w:numId="23">
    <w:abstractNumId w:val="16"/>
  </w:num>
  <w:num w:numId="24">
    <w:abstractNumId w:val="26"/>
  </w:num>
  <w:num w:numId="25">
    <w:abstractNumId w:val="5"/>
  </w:num>
  <w:num w:numId="26">
    <w:abstractNumId w:val="9"/>
  </w:num>
  <w:num w:numId="27">
    <w:abstractNumId w:val="7"/>
  </w:num>
  <w:num w:numId="28">
    <w:abstractNumId w:val="18"/>
  </w:num>
  <w:num w:numId="29">
    <w:abstractNumId w:val="4"/>
  </w:num>
  <w:num w:numId="3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20"/>
    <w:rsid w:val="0000175B"/>
    <w:rsid w:val="00002E66"/>
    <w:rsid w:val="000036E6"/>
    <w:rsid w:val="000037DC"/>
    <w:rsid w:val="00003969"/>
    <w:rsid w:val="00004C72"/>
    <w:rsid w:val="00005B4D"/>
    <w:rsid w:val="000066A4"/>
    <w:rsid w:val="00006C4F"/>
    <w:rsid w:val="00007382"/>
    <w:rsid w:val="000104A3"/>
    <w:rsid w:val="00011528"/>
    <w:rsid w:val="00013D4A"/>
    <w:rsid w:val="00015B9A"/>
    <w:rsid w:val="000167D7"/>
    <w:rsid w:val="00016839"/>
    <w:rsid w:val="00017D24"/>
    <w:rsid w:val="000207B3"/>
    <w:rsid w:val="00021B8D"/>
    <w:rsid w:val="0002237D"/>
    <w:rsid w:val="00022E5D"/>
    <w:rsid w:val="000233AB"/>
    <w:rsid w:val="0002375A"/>
    <w:rsid w:val="00023FC0"/>
    <w:rsid w:val="00024122"/>
    <w:rsid w:val="000244E1"/>
    <w:rsid w:val="00024925"/>
    <w:rsid w:val="00024CC0"/>
    <w:rsid w:val="0002501B"/>
    <w:rsid w:val="00025573"/>
    <w:rsid w:val="00026448"/>
    <w:rsid w:val="0002740B"/>
    <w:rsid w:val="000279BA"/>
    <w:rsid w:val="00027D38"/>
    <w:rsid w:val="00030342"/>
    <w:rsid w:val="00030C84"/>
    <w:rsid w:val="00030D9A"/>
    <w:rsid w:val="0003205A"/>
    <w:rsid w:val="000327A2"/>
    <w:rsid w:val="00033966"/>
    <w:rsid w:val="00034AE0"/>
    <w:rsid w:val="00035577"/>
    <w:rsid w:val="000356B6"/>
    <w:rsid w:val="0003613A"/>
    <w:rsid w:val="00036DDF"/>
    <w:rsid w:val="00036E5A"/>
    <w:rsid w:val="00037830"/>
    <w:rsid w:val="00037AB5"/>
    <w:rsid w:val="00037BE0"/>
    <w:rsid w:val="00037E7C"/>
    <w:rsid w:val="00040055"/>
    <w:rsid w:val="0004046D"/>
    <w:rsid w:val="000407CF"/>
    <w:rsid w:val="00041D87"/>
    <w:rsid w:val="00041DC9"/>
    <w:rsid w:val="000425FA"/>
    <w:rsid w:val="000430BE"/>
    <w:rsid w:val="00043319"/>
    <w:rsid w:val="0004393B"/>
    <w:rsid w:val="00043CCE"/>
    <w:rsid w:val="00043E19"/>
    <w:rsid w:val="00044124"/>
    <w:rsid w:val="00044524"/>
    <w:rsid w:val="00044D11"/>
    <w:rsid w:val="0004506C"/>
    <w:rsid w:val="00046379"/>
    <w:rsid w:val="0004662B"/>
    <w:rsid w:val="00046DB2"/>
    <w:rsid w:val="00047536"/>
    <w:rsid w:val="00047F8E"/>
    <w:rsid w:val="000508C9"/>
    <w:rsid w:val="00052BC7"/>
    <w:rsid w:val="00052F95"/>
    <w:rsid w:val="00053B4F"/>
    <w:rsid w:val="000541E0"/>
    <w:rsid w:val="000544BA"/>
    <w:rsid w:val="00054ED9"/>
    <w:rsid w:val="00055704"/>
    <w:rsid w:val="0005633D"/>
    <w:rsid w:val="0005715C"/>
    <w:rsid w:val="000574FA"/>
    <w:rsid w:val="0006065A"/>
    <w:rsid w:val="00060737"/>
    <w:rsid w:val="00061771"/>
    <w:rsid w:val="000619D5"/>
    <w:rsid w:val="000620FA"/>
    <w:rsid w:val="00062663"/>
    <w:rsid w:val="0006285C"/>
    <w:rsid w:val="000629E1"/>
    <w:rsid w:val="00063DF8"/>
    <w:rsid w:val="0006548D"/>
    <w:rsid w:val="00065B1F"/>
    <w:rsid w:val="0006631C"/>
    <w:rsid w:val="00067844"/>
    <w:rsid w:val="00070F0A"/>
    <w:rsid w:val="000713C9"/>
    <w:rsid w:val="0007218E"/>
    <w:rsid w:val="00072675"/>
    <w:rsid w:val="000736F0"/>
    <w:rsid w:val="00074233"/>
    <w:rsid w:val="00076810"/>
    <w:rsid w:val="00076C40"/>
    <w:rsid w:val="00077F83"/>
    <w:rsid w:val="00080875"/>
    <w:rsid w:val="00080CE1"/>
    <w:rsid w:val="00080FDD"/>
    <w:rsid w:val="00081A1E"/>
    <w:rsid w:val="000838C5"/>
    <w:rsid w:val="00083C68"/>
    <w:rsid w:val="000842F2"/>
    <w:rsid w:val="00084A23"/>
    <w:rsid w:val="00084CFB"/>
    <w:rsid w:val="0008536C"/>
    <w:rsid w:val="00085EBA"/>
    <w:rsid w:val="00086F5A"/>
    <w:rsid w:val="00087138"/>
    <w:rsid w:val="000875A1"/>
    <w:rsid w:val="000877D8"/>
    <w:rsid w:val="00087BEC"/>
    <w:rsid w:val="00090462"/>
    <w:rsid w:val="00091EC1"/>
    <w:rsid w:val="0009203E"/>
    <w:rsid w:val="00092B8F"/>
    <w:rsid w:val="00093F7C"/>
    <w:rsid w:val="00094B3F"/>
    <w:rsid w:val="00094B62"/>
    <w:rsid w:val="00094D17"/>
    <w:rsid w:val="00095364"/>
    <w:rsid w:val="00095516"/>
    <w:rsid w:val="0009572B"/>
    <w:rsid w:val="00096093"/>
    <w:rsid w:val="00096CAD"/>
    <w:rsid w:val="00096DF9"/>
    <w:rsid w:val="00097657"/>
    <w:rsid w:val="000A06EA"/>
    <w:rsid w:val="000A153B"/>
    <w:rsid w:val="000A1761"/>
    <w:rsid w:val="000A19C8"/>
    <w:rsid w:val="000A240F"/>
    <w:rsid w:val="000A272E"/>
    <w:rsid w:val="000A3083"/>
    <w:rsid w:val="000A31EB"/>
    <w:rsid w:val="000A4505"/>
    <w:rsid w:val="000A6350"/>
    <w:rsid w:val="000A6FD6"/>
    <w:rsid w:val="000A75F4"/>
    <w:rsid w:val="000B0099"/>
    <w:rsid w:val="000B01D7"/>
    <w:rsid w:val="000B1D17"/>
    <w:rsid w:val="000B388F"/>
    <w:rsid w:val="000B4068"/>
    <w:rsid w:val="000B42EB"/>
    <w:rsid w:val="000B5C6E"/>
    <w:rsid w:val="000B5D97"/>
    <w:rsid w:val="000B60D5"/>
    <w:rsid w:val="000B72BB"/>
    <w:rsid w:val="000B753E"/>
    <w:rsid w:val="000C017F"/>
    <w:rsid w:val="000C2896"/>
    <w:rsid w:val="000C3609"/>
    <w:rsid w:val="000C366B"/>
    <w:rsid w:val="000C3E30"/>
    <w:rsid w:val="000C3F1B"/>
    <w:rsid w:val="000D01F6"/>
    <w:rsid w:val="000D03BB"/>
    <w:rsid w:val="000D09F3"/>
    <w:rsid w:val="000D19E2"/>
    <w:rsid w:val="000D2B21"/>
    <w:rsid w:val="000D4D9F"/>
    <w:rsid w:val="000D53E1"/>
    <w:rsid w:val="000D5605"/>
    <w:rsid w:val="000D5667"/>
    <w:rsid w:val="000D5D67"/>
    <w:rsid w:val="000D65C2"/>
    <w:rsid w:val="000D7B6D"/>
    <w:rsid w:val="000D7E70"/>
    <w:rsid w:val="000D7F72"/>
    <w:rsid w:val="000E1961"/>
    <w:rsid w:val="000E203F"/>
    <w:rsid w:val="000E25EA"/>
    <w:rsid w:val="000E2AA3"/>
    <w:rsid w:val="000E3C7C"/>
    <w:rsid w:val="000E3E67"/>
    <w:rsid w:val="000E460E"/>
    <w:rsid w:val="000E48BA"/>
    <w:rsid w:val="000E4E39"/>
    <w:rsid w:val="000E58DE"/>
    <w:rsid w:val="000E704F"/>
    <w:rsid w:val="000E74C0"/>
    <w:rsid w:val="000E7D30"/>
    <w:rsid w:val="000F10A4"/>
    <w:rsid w:val="000F10C3"/>
    <w:rsid w:val="000F16CD"/>
    <w:rsid w:val="000F170F"/>
    <w:rsid w:val="000F1E4B"/>
    <w:rsid w:val="000F23D8"/>
    <w:rsid w:val="000F2AED"/>
    <w:rsid w:val="000F3212"/>
    <w:rsid w:val="000F3BAF"/>
    <w:rsid w:val="000F4C5B"/>
    <w:rsid w:val="000F5DEA"/>
    <w:rsid w:val="000F652D"/>
    <w:rsid w:val="000F6C42"/>
    <w:rsid w:val="000F74B1"/>
    <w:rsid w:val="000F74DE"/>
    <w:rsid w:val="000F761E"/>
    <w:rsid w:val="000F76DD"/>
    <w:rsid w:val="0010005D"/>
    <w:rsid w:val="0010046C"/>
    <w:rsid w:val="00100892"/>
    <w:rsid w:val="00101180"/>
    <w:rsid w:val="001017D6"/>
    <w:rsid w:val="00102379"/>
    <w:rsid w:val="00102E53"/>
    <w:rsid w:val="0010419D"/>
    <w:rsid w:val="001043A5"/>
    <w:rsid w:val="00104653"/>
    <w:rsid w:val="00104C03"/>
    <w:rsid w:val="00105787"/>
    <w:rsid w:val="00105B43"/>
    <w:rsid w:val="001067C9"/>
    <w:rsid w:val="00106ADF"/>
    <w:rsid w:val="00106B5D"/>
    <w:rsid w:val="00106D81"/>
    <w:rsid w:val="00106EB4"/>
    <w:rsid w:val="0011078E"/>
    <w:rsid w:val="0011080D"/>
    <w:rsid w:val="00110B5D"/>
    <w:rsid w:val="0011121D"/>
    <w:rsid w:val="00112A85"/>
    <w:rsid w:val="00112E1C"/>
    <w:rsid w:val="0011317A"/>
    <w:rsid w:val="00113945"/>
    <w:rsid w:val="00113E77"/>
    <w:rsid w:val="0011469F"/>
    <w:rsid w:val="00114BC3"/>
    <w:rsid w:val="00114E12"/>
    <w:rsid w:val="00115708"/>
    <w:rsid w:val="00117178"/>
    <w:rsid w:val="0011788F"/>
    <w:rsid w:val="00117DFF"/>
    <w:rsid w:val="00120883"/>
    <w:rsid w:val="0012092D"/>
    <w:rsid w:val="00122500"/>
    <w:rsid w:val="00122A09"/>
    <w:rsid w:val="00123CFC"/>
    <w:rsid w:val="00124258"/>
    <w:rsid w:val="0012434C"/>
    <w:rsid w:val="001249C2"/>
    <w:rsid w:val="00124A39"/>
    <w:rsid w:val="0012501B"/>
    <w:rsid w:val="00125961"/>
    <w:rsid w:val="001264FE"/>
    <w:rsid w:val="0012701A"/>
    <w:rsid w:val="0013007B"/>
    <w:rsid w:val="0013142A"/>
    <w:rsid w:val="00132AD2"/>
    <w:rsid w:val="001331B0"/>
    <w:rsid w:val="00133459"/>
    <w:rsid w:val="00134729"/>
    <w:rsid w:val="00135ADB"/>
    <w:rsid w:val="001361DC"/>
    <w:rsid w:val="00136F2D"/>
    <w:rsid w:val="00137096"/>
    <w:rsid w:val="0013777B"/>
    <w:rsid w:val="00137B30"/>
    <w:rsid w:val="001404C2"/>
    <w:rsid w:val="00140855"/>
    <w:rsid w:val="00140D01"/>
    <w:rsid w:val="00140FA5"/>
    <w:rsid w:val="00141381"/>
    <w:rsid w:val="00142D3C"/>
    <w:rsid w:val="00142EB7"/>
    <w:rsid w:val="00143742"/>
    <w:rsid w:val="001443F4"/>
    <w:rsid w:val="001447FE"/>
    <w:rsid w:val="00144BB8"/>
    <w:rsid w:val="00146955"/>
    <w:rsid w:val="00146B5B"/>
    <w:rsid w:val="00147EEE"/>
    <w:rsid w:val="00147FF4"/>
    <w:rsid w:val="0015079D"/>
    <w:rsid w:val="00150CCA"/>
    <w:rsid w:val="00150EDD"/>
    <w:rsid w:val="00151907"/>
    <w:rsid w:val="00152027"/>
    <w:rsid w:val="00152312"/>
    <w:rsid w:val="00152848"/>
    <w:rsid w:val="001528BF"/>
    <w:rsid w:val="0015353D"/>
    <w:rsid w:val="00153EB5"/>
    <w:rsid w:val="0015466A"/>
    <w:rsid w:val="00154759"/>
    <w:rsid w:val="00154841"/>
    <w:rsid w:val="00154DA8"/>
    <w:rsid w:val="00155CB9"/>
    <w:rsid w:val="00156488"/>
    <w:rsid w:val="00157D57"/>
    <w:rsid w:val="001622CA"/>
    <w:rsid w:val="00162724"/>
    <w:rsid w:val="0016288C"/>
    <w:rsid w:val="00162F5C"/>
    <w:rsid w:val="001633B2"/>
    <w:rsid w:val="00163A89"/>
    <w:rsid w:val="00163ABD"/>
    <w:rsid w:val="00165691"/>
    <w:rsid w:val="001676A7"/>
    <w:rsid w:val="001707B5"/>
    <w:rsid w:val="001709F5"/>
    <w:rsid w:val="00170A9F"/>
    <w:rsid w:val="00170BCB"/>
    <w:rsid w:val="00171133"/>
    <w:rsid w:val="0017215A"/>
    <w:rsid w:val="001738B0"/>
    <w:rsid w:val="00174205"/>
    <w:rsid w:val="00174E97"/>
    <w:rsid w:val="001752DB"/>
    <w:rsid w:val="001766D7"/>
    <w:rsid w:val="00176EE5"/>
    <w:rsid w:val="001770FF"/>
    <w:rsid w:val="00177616"/>
    <w:rsid w:val="001776CB"/>
    <w:rsid w:val="00177EB9"/>
    <w:rsid w:val="001807E3"/>
    <w:rsid w:val="00180E2B"/>
    <w:rsid w:val="00181138"/>
    <w:rsid w:val="001817E2"/>
    <w:rsid w:val="0018184C"/>
    <w:rsid w:val="00181C9A"/>
    <w:rsid w:val="001821F2"/>
    <w:rsid w:val="00182539"/>
    <w:rsid w:val="001829D5"/>
    <w:rsid w:val="00182A0B"/>
    <w:rsid w:val="001856CA"/>
    <w:rsid w:val="001872AE"/>
    <w:rsid w:val="0018789A"/>
    <w:rsid w:val="0019143E"/>
    <w:rsid w:val="00192188"/>
    <w:rsid w:val="001925ED"/>
    <w:rsid w:val="00192961"/>
    <w:rsid w:val="001938FB"/>
    <w:rsid w:val="00193BB5"/>
    <w:rsid w:val="001944E4"/>
    <w:rsid w:val="00195F0F"/>
    <w:rsid w:val="00195FD8"/>
    <w:rsid w:val="00196091"/>
    <w:rsid w:val="001971CB"/>
    <w:rsid w:val="00197346"/>
    <w:rsid w:val="001974A1"/>
    <w:rsid w:val="0019778E"/>
    <w:rsid w:val="001A1F96"/>
    <w:rsid w:val="001A2444"/>
    <w:rsid w:val="001A2E5C"/>
    <w:rsid w:val="001A3278"/>
    <w:rsid w:val="001A349D"/>
    <w:rsid w:val="001A3F92"/>
    <w:rsid w:val="001A40C4"/>
    <w:rsid w:val="001A4EE8"/>
    <w:rsid w:val="001A61A8"/>
    <w:rsid w:val="001A646C"/>
    <w:rsid w:val="001A6C9E"/>
    <w:rsid w:val="001A7609"/>
    <w:rsid w:val="001B156E"/>
    <w:rsid w:val="001B25E5"/>
    <w:rsid w:val="001B2904"/>
    <w:rsid w:val="001B2F14"/>
    <w:rsid w:val="001B414E"/>
    <w:rsid w:val="001B63B8"/>
    <w:rsid w:val="001B730F"/>
    <w:rsid w:val="001B785C"/>
    <w:rsid w:val="001B7BA1"/>
    <w:rsid w:val="001C00F6"/>
    <w:rsid w:val="001C07F4"/>
    <w:rsid w:val="001C1075"/>
    <w:rsid w:val="001C195A"/>
    <w:rsid w:val="001C1C3D"/>
    <w:rsid w:val="001C2E7B"/>
    <w:rsid w:val="001C355F"/>
    <w:rsid w:val="001C385D"/>
    <w:rsid w:val="001C3E39"/>
    <w:rsid w:val="001C3FF6"/>
    <w:rsid w:val="001C545B"/>
    <w:rsid w:val="001C5635"/>
    <w:rsid w:val="001C5C5F"/>
    <w:rsid w:val="001C5EFF"/>
    <w:rsid w:val="001C68B8"/>
    <w:rsid w:val="001D0A14"/>
    <w:rsid w:val="001D0BC9"/>
    <w:rsid w:val="001D1C6A"/>
    <w:rsid w:val="001D1E81"/>
    <w:rsid w:val="001D2A79"/>
    <w:rsid w:val="001D3B9A"/>
    <w:rsid w:val="001D3C22"/>
    <w:rsid w:val="001D3E0D"/>
    <w:rsid w:val="001D5189"/>
    <w:rsid w:val="001D58C6"/>
    <w:rsid w:val="001D5CC4"/>
    <w:rsid w:val="001D6482"/>
    <w:rsid w:val="001D674E"/>
    <w:rsid w:val="001D74A4"/>
    <w:rsid w:val="001D7A47"/>
    <w:rsid w:val="001E07B1"/>
    <w:rsid w:val="001E0B57"/>
    <w:rsid w:val="001E0CE6"/>
    <w:rsid w:val="001E1821"/>
    <w:rsid w:val="001E1D9B"/>
    <w:rsid w:val="001E3CDC"/>
    <w:rsid w:val="001E4FCA"/>
    <w:rsid w:val="001E5A3F"/>
    <w:rsid w:val="001F079D"/>
    <w:rsid w:val="001F09C4"/>
    <w:rsid w:val="001F16B3"/>
    <w:rsid w:val="001F21CE"/>
    <w:rsid w:val="001F2CBB"/>
    <w:rsid w:val="001F31C0"/>
    <w:rsid w:val="001F321D"/>
    <w:rsid w:val="001F33DA"/>
    <w:rsid w:val="001F36C6"/>
    <w:rsid w:val="001F3905"/>
    <w:rsid w:val="001F424E"/>
    <w:rsid w:val="001F4D89"/>
    <w:rsid w:val="001F510B"/>
    <w:rsid w:val="001F5B2C"/>
    <w:rsid w:val="001F674A"/>
    <w:rsid w:val="001F77DC"/>
    <w:rsid w:val="001F7F79"/>
    <w:rsid w:val="002000A4"/>
    <w:rsid w:val="002009E7"/>
    <w:rsid w:val="00201239"/>
    <w:rsid w:val="002038D1"/>
    <w:rsid w:val="00203DAE"/>
    <w:rsid w:val="00203F8F"/>
    <w:rsid w:val="002046D8"/>
    <w:rsid w:val="00204974"/>
    <w:rsid w:val="00204DF8"/>
    <w:rsid w:val="002052EB"/>
    <w:rsid w:val="00205362"/>
    <w:rsid w:val="00205AF2"/>
    <w:rsid w:val="00205F90"/>
    <w:rsid w:val="0020749B"/>
    <w:rsid w:val="00207EF3"/>
    <w:rsid w:val="00207F73"/>
    <w:rsid w:val="002103E2"/>
    <w:rsid w:val="002106D8"/>
    <w:rsid w:val="00211DF2"/>
    <w:rsid w:val="002126A9"/>
    <w:rsid w:val="00212AB2"/>
    <w:rsid w:val="0021329D"/>
    <w:rsid w:val="002132AF"/>
    <w:rsid w:val="0021365B"/>
    <w:rsid w:val="00213F25"/>
    <w:rsid w:val="00214151"/>
    <w:rsid w:val="002145FE"/>
    <w:rsid w:val="00214A8B"/>
    <w:rsid w:val="002150C2"/>
    <w:rsid w:val="00215D5C"/>
    <w:rsid w:val="00217129"/>
    <w:rsid w:val="0021722E"/>
    <w:rsid w:val="00217A10"/>
    <w:rsid w:val="002202B5"/>
    <w:rsid w:val="00220B49"/>
    <w:rsid w:val="002215B1"/>
    <w:rsid w:val="00222190"/>
    <w:rsid w:val="00222415"/>
    <w:rsid w:val="0022365C"/>
    <w:rsid w:val="002259CC"/>
    <w:rsid w:val="00225AE9"/>
    <w:rsid w:val="0022637A"/>
    <w:rsid w:val="002264AB"/>
    <w:rsid w:val="002265BD"/>
    <w:rsid w:val="00226A6B"/>
    <w:rsid w:val="00226B0D"/>
    <w:rsid w:val="00226BA1"/>
    <w:rsid w:val="002270E3"/>
    <w:rsid w:val="00227739"/>
    <w:rsid w:val="00230D83"/>
    <w:rsid w:val="0023179D"/>
    <w:rsid w:val="00232489"/>
    <w:rsid w:val="00233038"/>
    <w:rsid w:val="00233535"/>
    <w:rsid w:val="00233AF0"/>
    <w:rsid w:val="002346A3"/>
    <w:rsid w:val="002346D7"/>
    <w:rsid w:val="002348EF"/>
    <w:rsid w:val="00234DC6"/>
    <w:rsid w:val="0023579F"/>
    <w:rsid w:val="00235AF0"/>
    <w:rsid w:val="0023618C"/>
    <w:rsid w:val="00236788"/>
    <w:rsid w:val="0023690F"/>
    <w:rsid w:val="00236C3B"/>
    <w:rsid w:val="00236DDA"/>
    <w:rsid w:val="00237629"/>
    <w:rsid w:val="002402F4"/>
    <w:rsid w:val="00240365"/>
    <w:rsid w:val="00240930"/>
    <w:rsid w:val="00240EF8"/>
    <w:rsid w:val="00241259"/>
    <w:rsid w:val="002417F4"/>
    <w:rsid w:val="002421AF"/>
    <w:rsid w:val="002422DF"/>
    <w:rsid w:val="002422E6"/>
    <w:rsid w:val="0024237F"/>
    <w:rsid w:val="00242494"/>
    <w:rsid w:val="00243D75"/>
    <w:rsid w:val="00243F99"/>
    <w:rsid w:val="0024639B"/>
    <w:rsid w:val="00246CFA"/>
    <w:rsid w:val="002472A5"/>
    <w:rsid w:val="00247A18"/>
    <w:rsid w:val="00247BF2"/>
    <w:rsid w:val="00251C6C"/>
    <w:rsid w:val="00251F9F"/>
    <w:rsid w:val="00252019"/>
    <w:rsid w:val="0025353F"/>
    <w:rsid w:val="00253DD0"/>
    <w:rsid w:val="00254416"/>
    <w:rsid w:val="00254D0F"/>
    <w:rsid w:val="002550F9"/>
    <w:rsid w:val="00255914"/>
    <w:rsid w:val="00256173"/>
    <w:rsid w:val="00256237"/>
    <w:rsid w:val="00256340"/>
    <w:rsid w:val="002574CB"/>
    <w:rsid w:val="00257E2D"/>
    <w:rsid w:val="00260A6B"/>
    <w:rsid w:val="00260B77"/>
    <w:rsid w:val="002616E0"/>
    <w:rsid w:val="00261841"/>
    <w:rsid w:val="00261893"/>
    <w:rsid w:val="0026294D"/>
    <w:rsid w:val="00264F83"/>
    <w:rsid w:val="00265600"/>
    <w:rsid w:val="002656C5"/>
    <w:rsid w:val="00265AE9"/>
    <w:rsid w:val="00265BC1"/>
    <w:rsid w:val="00266643"/>
    <w:rsid w:val="0026670F"/>
    <w:rsid w:val="00266F58"/>
    <w:rsid w:val="00267605"/>
    <w:rsid w:val="00270044"/>
    <w:rsid w:val="00271468"/>
    <w:rsid w:val="00271528"/>
    <w:rsid w:val="00271611"/>
    <w:rsid w:val="00272054"/>
    <w:rsid w:val="0027393D"/>
    <w:rsid w:val="00274362"/>
    <w:rsid w:val="00274BED"/>
    <w:rsid w:val="00274EDF"/>
    <w:rsid w:val="002750C6"/>
    <w:rsid w:val="00276639"/>
    <w:rsid w:val="00277BB5"/>
    <w:rsid w:val="00280D2E"/>
    <w:rsid w:val="00280D60"/>
    <w:rsid w:val="00281DBF"/>
    <w:rsid w:val="0028226B"/>
    <w:rsid w:val="0028343E"/>
    <w:rsid w:val="00283A5F"/>
    <w:rsid w:val="00283D68"/>
    <w:rsid w:val="002842E8"/>
    <w:rsid w:val="002849F7"/>
    <w:rsid w:val="00284BD1"/>
    <w:rsid w:val="0028552B"/>
    <w:rsid w:val="002862F6"/>
    <w:rsid w:val="00287A1E"/>
    <w:rsid w:val="0029009C"/>
    <w:rsid w:val="00290621"/>
    <w:rsid w:val="00291430"/>
    <w:rsid w:val="00292307"/>
    <w:rsid w:val="0029247F"/>
    <w:rsid w:val="00292542"/>
    <w:rsid w:val="002934FD"/>
    <w:rsid w:val="002935BE"/>
    <w:rsid w:val="002937AE"/>
    <w:rsid w:val="00294C67"/>
    <w:rsid w:val="00294F19"/>
    <w:rsid w:val="002963D1"/>
    <w:rsid w:val="0029672B"/>
    <w:rsid w:val="00296E6F"/>
    <w:rsid w:val="0029725B"/>
    <w:rsid w:val="00297496"/>
    <w:rsid w:val="00297540"/>
    <w:rsid w:val="002A0B9B"/>
    <w:rsid w:val="002A0C7C"/>
    <w:rsid w:val="002A0D66"/>
    <w:rsid w:val="002A0D91"/>
    <w:rsid w:val="002A36BB"/>
    <w:rsid w:val="002A3DB1"/>
    <w:rsid w:val="002A5171"/>
    <w:rsid w:val="002A5EEE"/>
    <w:rsid w:val="002A6DE1"/>
    <w:rsid w:val="002B15B1"/>
    <w:rsid w:val="002B1D2E"/>
    <w:rsid w:val="002B2590"/>
    <w:rsid w:val="002B3552"/>
    <w:rsid w:val="002B429F"/>
    <w:rsid w:val="002B4727"/>
    <w:rsid w:val="002B4B5D"/>
    <w:rsid w:val="002B55CF"/>
    <w:rsid w:val="002B60B9"/>
    <w:rsid w:val="002B67F4"/>
    <w:rsid w:val="002B713F"/>
    <w:rsid w:val="002B7F1A"/>
    <w:rsid w:val="002B7FCD"/>
    <w:rsid w:val="002C1BC0"/>
    <w:rsid w:val="002C1D78"/>
    <w:rsid w:val="002C1F30"/>
    <w:rsid w:val="002C24CF"/>
    <w:rsid w:val="002C300E"/>
    <w:rsid w:val="002C3D56"/>
    <w:rsid w:val="002C405A"/>
    <w:rsid w:val="002C4DA3"/>
    <w:rsid w:val="002C6586"/>
    <w:rsid w:val="002C692F"/>
    <w:rsid w:val="002C75AD"/>
    <w:rsid w:val="002C7EB4"/>
    <w:rsid w:val="002D0EB4"/>
    <w:rsid w:val="002D1931"/>
    <w:rsid w:val="002D1A36"/>
    <w:rsid w:val="002D245B"/>
    <w:rsid w:val="002D2B46"/>
    <w:rsid w:val="002D2F12"/>
    <w:rsid w:val="002D2FC3"/>
    <w:rsid w:val="002D38ED"/>
    <w:rsid w:val="002D40E9"/>
    <w:rsid w:val="002D4100"/>
    <w:rsid w:val="002D4172"/>
    <w:rsid w:val="002D5571"/>
    <w:rsid w:val="002D578D"/>
    <w:rsid w:val="002D57E0"/>
    <w:rsid w:val="002D65C2"/>
    <w:rsid w:val="002D70BD"/>
    <w:rsid w:val="002D733D"/>
    <w:rsid w:val="002D77DD"/>
    <w:rsid w:val="002D7B19"/>
    <w:rsid w:val="002D7B6F"/>
    <w:rsid w:val="002D7C45"/>
    <w:rsid w:val="002E0095"/>
    <w:rsid w:val="002E07CE"/>
    <w:rsid w:val="002E14AE"/>
    <w:rsid w:val="002E2F1A"/>
    <w:rsid w:val="002E43B1"/>
    <w:rsid w:val="002E4657"/>
    <w:rsid w:val="002E470E"/>
    <w:rsid w:val="002E4FAB"/>
    <w:rsid w:val="002E5448"/>
    <w:rsid w:val="002E578E"/>
    <w:rsid w:val="002E6F78"/>
    <w:rsid w:val="002E77E8"/>
    <w:rsid w:val="002E7F0D"/>
    <w:rsid w:val="002F1001"/>
    <w:rsid w:val="002F2611"/>
    <w:rsid w:val="002F31FB"/>
    <w:rsid w:val="002F327F"/>
    <w:rsid w:val="002F3F83"/>
    <w:rsid w:val="002F5483"/>
    <w:rsid w:val="002F6EB0"/>
    <w:rsid w:val="002F77EF"/>
    <w:rsid w:val="003015EB"/>
    <w:rsid w:val="00301924"/>
    <w:rsid w:val="0030483F"/>
    <w:rsid w:val="00305E09"/>
    <w:rsid w:val="00306AE7"/>
    <w:rsid w:val="00306F76"/>
    <w:rsid w:val="00307B51"/>
    <w:rsid w:val="00310CF3"/>
    <w:rsid w:val="00310D92"/>
    <w:rsid w:val="00310DC0"/>
    <w:rsid w:val="0031102A"/>
    <w:rsid w:val="00311053"/>
    <w:rsid w:val="0031139B"/>
    <w:rsid w:val="00311AC7"/>
    <w:rsid w:val="00311F3E"/>
    <w:rsid w:val="00313FBF"/>
    <w:rsid w:val="00314223"/>
    <w:rsid w:val="0031426D"/>
    <w:rsid w:val="0031562D"/>
    <w:rsid w:val="003163AF"/>
    <w:rsid w:val="0031641F"/>
    <w:rsid w:val="00316B44"/>
    <w:rsid w:val="00316F79"/>
    <w:rsid w:val="00317C85"/>
    <w:rsid w:val="0032056F"/>
    <w:rsid w:val="00320698"/>
    <w:rsid w:val="0032084E"/>
    <w:rsid w:val="00321C48"/>
    <w:rsid w:val="003222E3"/>
    <w:rsid w:val="00323D30"/>
    <w:rsid w:val="00323F87"/>
    <w:rsid w:val="00324080"/>
    <w:rsid w:val="0032462D"/>
    <w:rsid w:val="00324894"/>
    <w:rsid w:val="00324C3A"/>
    <w:rsid w:val="003273FF"/>
    <w:rsid w:val="0032786B"/>
    <w:rsid w:val="003303BC"/>
    <w:rsid w:val="00330741"/>
    <w:rsid w:val="00330C45"/>
    <w:rsid w:val="00331ABF"/>
    <w:rsid w:val="00332133"/>
    <w:rsid w:val="003326B0"/>
    <w:rsid w:val="003331FB"/>
    <w:rsid w:val="00333475"/>
    <w:rsid w:val="00333A22"/>
    <w:rsid w:val="00334F58"/>
    <w:rsid w:val="0033615E"/>
    <w:rsid w:val="003363D4"/>
    <w:rsid w:val="00336CAD"/>
    <w:rsid w:val="00336FA6"/>
    <w:rsid w:val="003370D7"/>
    <w:rsid w:val="003373D8"/>
    <w:rsid w:val="0033796A"/>
    <w:rsid w:val="00337C13"/>
    <w:rsid w:val="003400E3"/>
    <w:rsid w:val="003407D8"/>
    <w:rsid w:val="0034108F"/>
    <w:rsid w:val="00341E6C"/>
    <w:rsid w:val="00342980"/>
    <w:rsid w:val="00343452"/>
    <w:rsid w:val="00343EB3"/>
    <w:rsid w:val="003441FE"/>
    <w:rsid w:val="0034472A"/>
    <w:rsid w:val="0034473D"/>
    <w:rsid w:val="00344996"/>
    <w:rsid w:val="0034531B"/>
    <w:rsid w:val="003464C2"/>
    <w:rsid w:val="00346A0B"/>
    <w:rsid w:val="00347E17"/>
    <w:rsid w:val="00351A09"/>
    <w:rsid w:val="00352419"/>
    <w:rsid w:val="00353DEB"/>
    <w:rsid w:val="00354614"/>
    <w:rsid w:val="00354A24"/>
    <w:rsid w:val="00355228"/>
    <w:rsid w:val="003552D4"/>
    <w:rsid w:val="0035557F"/>
    <w:rsid w:val="00355889"/>
    <w:rsid w:val="00355921"/>
    <w:rsid w:val="00355B1C"/>
    <w:rsid w:val="00356150"/>
    <w:rsid w:val="00356965"/>
    <w:rsid w:val="003578F5"/>
    <w:rsid w:val="00357AB8"/>
    <w:rsid w:val="003603A0"/>
    <w:rsid w:val="0036125A"/>
    <w:rsid w:val="00361339"/>
    <w:rsid w:val="00361BE2"/>
    <w:rsid w:val="0036202F"/>
    <w:rsid w:val="00362481"/>
    <w:rsid w:val="00362738"/>
    <w:rsid w:val="0036347A"/>
    <w:rsid w:val="00363489"/>
    <w:rsid w:val="00364C69"/>
    <w:rsid w:val="0036604D"/>
    <w:rsid w:val="00367D55"/>
    <w:rsid w:val="003700C1"/>
    <w:rsid w:val="0037123E"/>
    <w:rsid w:val="00371572"/>
    <w:rsid w:val="003723DF"/>
    <w:rsid w:val="00372477"/>
    <w:rsid w:val="0037288C"/>
    <w:rsid w:val="00372FD2"/>
    <w:rsid w:val="00373DD9"/>
    <w:rsid w:val="00374C20"/>
    <w:rsid w:val="00375364"/>
    <w:rsid w:val="003761ED"/>
    <w:rsid w:val="00377308"/>
    <w:rsid w:val="003775E5"/>
    <w:rsid w:val="00380772"/>
    <w:rsid w:val="0038121B"/>
    <w:rsid w:val="00381D55"/>
    <w:rsid w:val="00382373"/>
    <w:rsid w:val="003833E2"/>
    <w:rsid w:val="00383C47"/>
    <w:rsid w:val="00383E86"/>
    <w:rsid w:val="00383FC2"/>
    <w:rsid w:val="003843BC"/>
    <w:rsid w:val="003845C5"/>
    <w:rsid w:val="00384D49"/>
    <w:rsid w:val="00384F08"/>
    <w:rsid w:val="00385137"/>
    <w:rsid w:val="00385B77"/>
    <w:rsid w:val="00385EF0"/>
    <w:rsid w:val="003863D7"/>
    <w:rsid w:val="00386BEF"/>
    <w:rsid w:val="00387137"/>
    <w:rsid w:val="0038784B"/>
    <w:rsid w:val="00387EE6"/>
    <w:rsid w:val="0039024A"/>
    <w:rsid w:val="003903D9"/>
    <w:rsid w:val="00391212"/>
    <w:rsid w:val="00391429"/>
    <w:rsid w:val="003923B6"/>
    <w:rsid w:val="00392A0B"/>
    <w:rsid w:val="00393C84"/>
    <w:rsid w:val="003940C7"/>
    <w:rsid w:val="0039539C"/>
    <w:rsid w:val="00395C1D"/>
    <w:rsid w:val="00396E35"/>
    <w:rsid w:val="00397E83"/>
    <w:rsid w:val="003A1BC4"/>
    <w:rsid w:val="003A2205"/>
    <w:rsid w:val="003A2335"/>
    <w:rsid w:val="003A26F9"/>
    <w:rsid w:val="003A2E27"/>
    <w:rsid w:val="003A3192"/>
    <w:rsid w:val="003A3723"/>
    <w:rsid w:val="003A4040"/>
    <w:rsid w:val="003A4527"/>
    <w:rsid w:val="003A4904"/>
    <w:rsid w:val="003A4AFA"/>
    <w:rsid w:val="003A54A2"/>
    <w:rsid w:val="003A59B1"/>
    <w:rsid w:val="003A6851"/>
    <w:rsid w:val="003A6B35"/>
    <w:rsid w:val="003A6B9B"/>
    <w:rsid w:val="003A7001"/>
    <w:rsid w:val="003A7356"/>
    <w:rsid w:val="003A7F86"/>
    <w:rsid w:val="003B0582"/>
    <w:rsid w:val="003B2BB0"/>
    <w:rsid w:val="003B3174"/>
    <w:rsid w:val="003B4BC8"/>
    <w:rsid w:val="003B50A3"/>
    <w:rsid w:val="003B624A"/>
    <w:rsid w:val="003B6799"/>
    <w:rsid w:val="003B7AEF"/>
    <w:rsid w:val="003B7AFC"/>
    <w:rsid w:val="003C00B8"/>
    <w:rsid w:val="003C1B03"/>
    <w:rsid w:val="003C1EDE"/>
    <w:rsid w:val="003C20C2"/>
    <w:rsid w:val="003C2DD6"/>
    <w:rsid w:val="003C36C3"/>
    <w:rsid w:val="003C506A"/>
    <w:rsid w:val="003C6038"/>
    <w:rsid w:val="003C6434"/>
    <w:rsid w:val="003C7498"/>
    <w:rsid w:val="003D008C"/>
    <w:rsid w:val="003D0761"/>
    <w:rsid w:val="003D0F4C"/>
    <w:rsid w:val="003D300E"/>
    <w:rsid w:val="003D5224"/>
    <w:rsid w:val="003D5A6D"/>
    <w:rsid w:val="003D6561"/>
    <w:rsid w:val="003D6C72"/>
    <w:rsid w:val="003E1B83"/>
    <w:rsid w:val="003E202D"/>
    <w:rsid w:val="003E2123"/>
    <w:rsid w:val="003E2EDF"/>
    <w:rsid w:val="003E3526"/>
    <w:rsid w:val="003E4F74"/>
    <w:rsid w:val="003E542C"/>
    <w:rsid w:val="003E5E9B"/>
    <w:rsid w:val="003E5F4B"/>
    <w:rsid w:val="003E6447"/>
    <w:rsid w:val="003E69E4"/>
    <w:rsid w:val="003E71A3"/>
    <w:rsid w:val="003E7DF9"/>
    <w:rsid w:val="003F03DF"/>
    <w:rsid w:val="003F04C6"/>
    <w:rsid w:val="003F0B11"/>
    <w:rsid w:val="003F0C8F"/>
    <w:rsid w:val="003F15C6"/>
    <w:rsid w:val="003F2937"/>
    <w:rsid w:val="003F314F"/>
    <w:rsid w:val="003F3851"/>
    <w:rsid w:val="003F468F"/>
    <w:rsid w:val="003F5070"/>
    <w:rsid w:val="003F6620"/>
    <w:rsid w:val="003F6FF9"/>
    <w:rsid w:val="003F7733"/>
    <w:rsid w:val="003F783C"/>
    <w:rsid w:val="004001F6"/>
    <w:rsid w:val="00400677"/>
    <w:rsid w:val="00400A45"/>
    <w:rsid w:val="00400BC2"/>
    <w:rsid w:val="0040164B"/>
    <w:rsid w:val="00401D99"/>
    <w:rsid w:val="00402103"/>
    <w:rsid w:val="004025CA"/>
    <w:rsid w:val="00402AB6"/>
    <w:rsid w:val="004041E0"/>
    <w:rsid w:val="004046C8"/>
    <w:rsid w:val="00404C98"/>
    <w:rsid w:val="004057D7"/>
    <w:rsid w:val="00405FBA"/>
    <w:rsid w:val="00406561"/>
    <w:rsid w:val="0040786C"/>
    <w:rsid w:val="00407D2B"/>
    <w:rsid w:val="004104CE"/>
    <w:rsid w:val="004110AD"/>
    <w:rsid w:val="00411F4F"/>
    <w:rsid w:val="00412283"/>
    <w:rsid w:val="0041239E"/>
    <w:rsid w:val="00412AD7"/>
    <w:rsid w:val="00413C80"/>
    <w:rsid w:val="00413F41"/>
    <w:rsid w:val="00413F82"/>
    <w:rsid w:val="004140D9"/>
    <w:rsid w:val="00414770"/>
    <w:rsid w:val="00414986"/>
    <w:rsid w:val="00416047"/>
    <w:rsid w:val="00417FEE"/>
    <w:rsid w:val="00421689"/>
    <w:rsid w:val="00421819"/>
    <w:rsid w:val="00421F2A"/>
    <w:rsid w:val="004220AD"/>
    <w:rsid w:val="00422561"/>
    <w:rsid w:val="00422F9D"/>
    <w:rsid w:val="00424887"/>
    <w:rsid w:val="00424BBB"/>
    <w:rsid w:val="0042585C"/>
    <w:rsid w:val="00427574"/>
    <w:rsid w:val="0042792D"/>
    <w:rsid w:val="00427BD2"/>
    <w:rsid w:val="004305A8"/>
    <w:rsid w:val="004311CC"/>
    <w:rsid w:val="0043123C"/>
    <w:rsid w:val="00432028"/>
    <w:rsid w:val="0043348B"/>
    <w:rsid w:val="00433B5E"/>
    <w:rsid w:val="00436238"/>
    <w:rsid w:val="004367CA"/>
    <w:rsid w:val="004368A3"/>
    <w:rsid w:val="00436EF8"/>
    <w:rsid w:val="0043711D"/>
    <w:rsid w:val="00437FDB"/>
    <w:rsid w:val="0044288B"/>
    <w:rsid w:val="00442B56"/>
    <w:rsid w:val="0044334C"/>
    <w:rsid w:val="004439DA"/>
    <w:rsid w:val="004446BA"/>
    <w:rsid w:val="00445926"/>
    <w:rsid w:val="004462CF"/>
    <w:rsid w:val="00447BDA"/>
    <w:rsid w:val="00447D27"/>
    <w:rsid w:val="0045297E"/>
    <w:rsid w:val="00453157"/>
    <w:rsid w:val="00453794"/>
    <w:rsid w:val="00455502"/>
    <w:rsid w:val="00455ED2"/>
    <w:rsid w:val="004564F6"/>
    <w:rsid w:val="004566F6"/>
    <w:rsid w:val="0045751C"/>
    <w:rsid w:val="00457A47"/>
    <w:rsid w:val="004604AE"/>
    <w:rsid w:val="00460810"/>
    <w:rsid w:val="00460FD1"/>
    <w:rsid w:val="00461401"/>
    <w:rsid w:val="00462EB6"/>
    <w:rsid w:val="00462FF3"/>
    <w:rsid w:val="00463CD7"/>
    <w:rsid w:val="00463D08"/>
    <w:rsid w:val="00464771"/>
    <w:rsid w:val="00464800"/>
    <w:rsid w:val="00464814"/>
    <w:rsid w:val="00467661"/>
    <w:rsid w:val="00473289"/>
    <w:rsid w:val="00473917"/>
    <w:rsid w:val="00474A04"/>
    <w:rsid w:val="00475A9E"/>
    <w:rsid w:val="00476756"/>
    <w:rsid w:val="00476801"/>
    <w:rsid w:val="004770E8"/>
    <w:rsid w:val="004773CA"/>
    <w:rsid w:val="0048008B"/>
    <w:rsid w:val="00481AA2"/>
    <w:rsid w:val="0048236D"/>
    <w:rsid w:val="00483583"/>
    <w:rsid w:val="004835C2"/>
    <w:rsid w:val="00483CC1"/>
    <w:rsid w:val="00485304"/>
    <w:rsid w:val="00485957"/>
    <w:rsid w:val="00485F00"/>
    <w:rsid w:val="004873BA"/>
    <w:rsid w:val="0048779F"/>
    <w:rsid w:val="00487954"/>
    <w:rsid w:val="00487C5A"/>
    <w:rsid w:val="004916F9"/>
    <w:rsid w:val="00491707"/>
    <w:rsid w:val="00492E50"/>
    <w:rsid w:val="004934E9"/>
    <w:rsid w:val="00494BC8"/>
    <w:rsid w:val="00496358"/>
    <w:rsid w:val="00496610"/>
    <w:rsid w:val="00496AEC"/>
    <w:rsid w:val="00497EC9"/>
    <w:rsid w:val="004A2045"/>
    <w:rsid w:val="004A20A6"/>
    <w:rsid w:val="004A22C4"/>
    <w:rsid w:val="004A2F83"/>
    <w:rsid w:val="004A52A0"/>
    <w:rsid w:val="004A6027"/>
    <w:rsid w:val="004A6509"/>
    <w:rsid w:val="004A68C8"/>
    <w:rsid w:val="004A77A7"/>
    <w:rsid w:val="004A7CEA"/>
    <w:rsid w:val="004B079F"/>
    <w:rsid w:val="004B18E3"/>
    <w:rsid w:val="004B1FC8"/>
    <w:rsid w:val="004B2380"/>
    <w:rsid w:val="004B41D0"/>
    <w:rsid w:val="004B502F"/>
    <w:rsid w:val="004B56AA"/>
    <w:rsid w:val="004B704D"/>
    <w:rsid w:val="004B7B79"/>
    <w:rsid w:val="004C043F"/>
    <w:rsid w:val="004C114D"/>
    <w:rsid w:val="004C1C17"/>
    <w:rsid w:val="004C209D"/>
    <w:rsid w:val="004C23FB"/>
    <w:rsid w:val="004C2D9E"/>
    <w:rsid w:val="004C2DF6"/>
    <w:rsid w:val="004C3683"/>
    <w:rsid w:val="004C4B86"/>
    <w:rsid w:val="004C53E9"/>
    <w:rsid w:val="004C5801"/>
    <w:rsid w:val="004C6B08"/>
    <w:rsid w:val="004C742E"/>
    <w:rsid w:val="004C74C4"/>
    <w:rsid w:val="004C7964"/>
    <w:rsid w:val="004D1078"/>
    <w:rsid w:val="004D12D4"/>
    <w:rsid w:val="004D1571"/>
    <w:rsid w:val="004D16EE"/>
    <w:rsid w:val="004D176F"/>
    <w:rsid w:val="004D24F7"/>
    <w:rsid w:val="004D34B4"/>
    <w:rsid w:val="004D4236"/>
    <w:rsid w:val="004D4448"/>
    <w:rsid w:val="004D4C25"/>
    <w:rsid w:val="004D66E4"/>
    <w:rsid w:val="004D6B12"/>
    <w:rsid w:val="004D7116"/>
    <w:rsid w:val="004D7D03"/>
    <w:rsid w:val="004E2131"/>
    <w:rsid w:val="004E2B1D"/>
    <w:rsid w:val="004E2ED1"/>
    <w:rsid w:val="004E33C9"/>
    <w:rsid w:val="004E33CB"/>
    <w:rsid w:val="004E33CC"/>
    <w:rsid w:val="004E3A38"/>
    <w:rsid w:val="004E43B1"/>
    <w:rsid w:val="004E46DA"/>
    <w:rsid w:val="004E4908"/>
    <w:rsid w:val="004E4E76"/>
    <w:rsid w:val="004E54FD"/>
    <w:rsid w:val="004E592D"/>
    <w:rsid w:val="004E5ADB"/>
    <w:rsid w:val="004E6A02"/>
    <w:rsid w:val="004E6A94"/>
    <w:rsid w:val="004E7273"/>
    <w:rsid w:val="004E78AE"/>
    <w:rsid w:val="004E7A00"/>
    <w:rsid w:val="004F0BEB"/>
    <w:rsid w:val="004F0FD7"/>
    <w:rsid w:val="004F1B78"/>
    <w:rsid w:val="004F1EE0"/>
    <w:rsid w:val="004F25CB"/>
    <w:rsid w:val="004F34D0"/>
    <w:rsid w:val="004F35EA"/>
    <w:rsid w:val="004F47FD"/>
    <w:rsid w:val="004F4A0C"/>
    <w:rsid w:val="004F5532"/>
    <w:rsid w:val="004F75D5"/>
    <w:rsid w:val="004F7C9A"/>
    <w:rsid w:val="004F7E25"/>
    <w:rsid w:val="00500375"/>
    <w:rsid w:val="00500AF7"/>
    <w:rsid w:val="00500F2A"/>
    <w:rsid w:val="005012DF"/>
    <w:rsid w:val="005013B6"/>
    <w:rsid w:val="00501643"/>
    <w:rsid w:val="00501856"/>
    <w:rsid w:val="00501B92"/>
    <w:rsid w:val="00501D39"/>
    <w:rsid w:val="005026E3"/>
    <w:rsid w:val="00503233"/>
    <w:rsid w:val="00503F72"/>
    <w:rsid w:val="00504031"/>
    <w:rsid w:val="00504E82"/>
    <w:rsid w:val="00504E9F"/>
    <w:rsid w:val="005056CE"/>
    <w:rsid w:val="0050591C"/>
    <w:rsid w:val="00506C6D"/>
    <w:rsid w:val="00507899"/>
    <w:rsid w:val="005102B6"/>
    <w:rsid w:val="005102C5"/>
    <w:rsid w:val="00510BB4"/>
    <w:rsid w:val="00511615"/>
    <w:rsid w:val="00511DA4"/>
    <w:rsid w:val="00513609"/>
    <w:rsid w:val="005142AB"/>
    <w:rsid w:val="00514581"/>
    <w:rsid w:val="00514946"/>
    <w:rsid w:val="00515533"/>
    <w:rsid w:val="00515683"/>
    <w:rsid w:val="00516177"/>
    <w:rsid w:val="005163E6"/>
    <w:rsid w:val="00517547"/>
    <w:rsid w:val="00517D81"/>
    <w:rsid w:val="00520331"/>
    <w:rsid w:val="00520765"/>
    <w:rsid w:val="00520B2C"/>
    <w:rsid w:val="0052217A"/>
    <w:rsid w:val="00522293"/>
    <w:rsid w:val="00523A38"/>
    <w:rsid w:val="00523AA2"/>
    <w:rsid w:val="00523AE6"/>
    <w:rsid w:val="0052444F"/>
    <w:rsid w:val="005247FA"/>
    <w:rsid w:val="00524AA7"/>
    <w:rsid w:val="00524DC1"/>
    <w:rsid w:val="005255C1"/>
    <w:rsid w:val="005259F9"/>
    <w:rsid w:val="00526164"/>
    <w:rsid w:val="00526493"/>
    <w:rsid w:val="00526ADE"/>
    <w:rsid w:val="005273E5"/>
    <w:rsid w:val="00527C42"/>
    <w:rsid w:val="005309D0"/>
    <w:rsid w:val="00530CCE"/>
    <w:rsid w:val="00532D1F"/>
    <w:rsid w:val="0053372D"/>
    <w:rsid w:val="005338A3"/>
    <w:rsid w:val="0053484B"/>
    <w:rsid w:val="005351F1"/>
    <w:rsid w:val="00535AB3"/>
    <w:rsid w:val="00535F83"/>
    <w:rsid w:val="00535FD7"/>
    <w:rsid w:val="00536718"/>
    <w:rsid w:val="00536E83"/>
    <w:rsid w:val="005373AF"/>
    <w:rsid w:val="005378CB"/>
    <w:rsid w:val="00537A0F"/>
    <w:rsid w:val="00540399"/>
    <w:rsid w:val="0054091D"/>
    <w:rsid w:val="005413AA"/>
    <w:rsid w:val="00541EB7"/>
    <w:rsid w:val="00542365"/>
    <w:rsid w:val="005427E5"/>
    <w:rsid w:val="00542B1E"/>
    <w:rsid w:val="00542F38"/>
    <w:rsid w:val="00543348"/>
    <w:rsid w:val="0054361F"/>
    <w:rsid w:val="00543BC7"/>
    <w:rsid w:val="0054435E"/>
    <w:rsid w:val="005445E7"/>
    <w:rsid w:val="005447F9"/>
    <w:rsid w:val="00544B83"/>
    <w:rsid w:val="00545370"/>
    <w:rsid w:val="00545C1B"/>
    <w:rsid w:val="00546699"/>
    <w:rsid w:val="0054760B"/>
    <w:rsid w:val="00550CBF"/>
    <w:rsid w:val="00551516"/>
    <w:rsid w:val="00551CD2"/>
    <w:rsid w:val="00551F46"/>
    <w:rsid w:val="00552736"/>
    <w:rsid w:val="00553134"/>
    <w:rsid w:val="005532CD"/>
    <w:rsid w:val="00554047"/>
    <w:rsid w:val="005549B5"/>
    <w:rsid w:val="00554DF1"/>
    <w:rsid w:val="00554FFE"/>
    <w:rsid w:val="005557EA"/>
    <w:rsid w:val="005559F1"/>
    <w:rsid w:val="00555B04"/>
    <w:rsid w:val="00555C74"/>
    <w:rsid w:val="00555E93"/>
    <w:rsid w:val="00556F36"/>
    <w:rsid w:val="00556FB1"/>
    <w:rsid w:val="0055741A"/>
    <w:rsid w:val="005614A8"/>
    <w:rsid w:val="005621E7"/>
    <w:rsid w:val="005630F6"/>
    <w:rsid w:val="00563188"/>
    <w:rsid w:val="00566462"/>
    <w:rsid w:val="00566482"/>
    <w:rsid w:val="00566CE8"/>
    <w:rsid w:val="00567429"/>
    <w:rsid w:val="00567A8B"/>
    <w:rsid w:val="00567CA8"/>
    <w:rsid w:val="00567FB9"/>
    <w:rsid w:val="00570C1C"/>
    <w:rsid w:val="005712A9"/>
    <w:rsid w:val="00572894"/>
    <w:rsid w:val="00572909"/>
    <w:rsid w:val="00573ABB"/>
    <w:rsid w:val="00574FD9"/>
    <w:rsid w:val="00576C02"/>
    <w:rsid w:val="00577221"/>
    <w:rsid w:val="00580802"/>
    <w:rsid w:val="0058190D"/>
    <w:rsid w:val="00581FB0"/>
    <w:rsid w:val="005820AC"/>
    <w:rsid w:val="00582CF7"/>
    <w:rsid w:val="0058462F"/>
    <w:rsid w:val="00585136"/>
    <w:rsid w:val="0058538A"/>
    <w:rsid w:val="005857EE"/>
    <w:rsid w:val="00585BB2"/>
    <w:rsid w:val="00585D8D"/>
    <w:rsid w:val="00586F57"/>
    <w:rsid w:val="0058756C"/>
    <w:rsid w:val="005876E0"/>
    <w:rsid w:val="00587F4F"/>
    <w:rsid w:val="00587FDF"/>
    <w:rsid w:val="00590036"/>
    <w:rsid w:val="00590B03"/>
    <w:rsid w:val="00592F44"/>
    <w:rsid w:val="00594824"/>
    <w:rsid w:val="0059549C"/>
    <w:rsid w:val="005954CA"/>
    <w:rsid w:val="0059569E"/>
    <w:rsid w:val="00595CDD"/>
    <w:rsid w:val="005978E8"/>
    <w:rsid w:val="00597AAA"/>
    <w:rsid w:val="005A0657"/>
    <w:rsid w:val="005A0A31"/>
    <w:rsid w:val="005A0A78"/>
    <w:rsid w:val="005A125D"/>
    <w:rsid w:val="005A28C6"/>
    <w:rsid w:val="005A39CB"/>
    <w:rsid w:val="005A4506"/>
    <w:rsid w:val="005A6E13"/>
    <w:rsid w:val="005A6F03"/>
    <w:rsid w:val="005B0633"/>
    <w:rsid w:val="005B09F1"/>
    <w:rsid w:val="005B0ACF"/>
    <w:rsid w:val="005B0E95"/>
    <w:rsid w:val="005B10D5"/>
    <w:rsid w:val="005B2544"/>
    <w:rsid w:val="005B2F62"/>
    <w:rsid w:val="005B3480"/>
    <w:rsid w:val="005B3BED"/>
    <w:rsid w:val="005B426A"/>
    <w:rsid w:val="005B5EF4"/>
    <w:rsid w:val="005B64D9"/>
    <w:rsid w:val="005B6829"/>
    <w:rsid w:val="005B69A0"/>
    <w:rsid w:val="005B71CB"/>
    <w:rsid w:val="005B7DE8"/>
    <w:rsid w:val="005B7EB1"/>
    <w:rsid w:val="005C0893"/>
    <w:rsid w:val="005C1805"/>
    <w:rsid w:val="005C1AE8"/>
    <w:rsid w:val="005C20CC"/>
    <w:rsid w:val="005C3B1D"/>
    <w:rsid w:val="005C5820"/>
    <w:rsid w:val="005C5956"/>
    <w:rsid w:val="005C6679"/>
    <w:rsid w:val="005C798A"/>
    <w:rsid w:val="005C7DF8"/>
    <w:rsid w:val="005C7ED4"/>
    <w:rsid w:val="005D045B"/>
    <w:rsid w:val="005D0A65"/>
    <w:rsid w:val="005D0CB4"/>
    <w:rsid w:val="005D16CB"/>
    <w:rsid w:val="005D2634"/>
    <w:rsid w:val="005D2983"/>
    <w:rsid w:val="005D3A9B"/>
    <w:rsid w:val="005D4581"/>
    <w:rsid w:val="005D462F"/>
    <w:rsid w:val="005D5763"/>
    <w:rsid w:val="005D6210"/>
    <w:rsid w:val="005D7392"/>
    <w:rsid w:val="005D7685"/>
    <w:rsid w:val="005D7B91"/>
    <w:rsid w:val="005D7D3A"/>
    <w:rsid w:val="005E1C3C"/>
    <w:rsid w:val="005E243F"/>
    <w:rsid w:val="005E2DEE"/>
    <w:rsid w:val="005E401B"/>
    <w:rsid w:val="005E467F"/>
    <w:rsid w:val="005E4925"/>
    <w:rsid w:val="005E4FAA"/>
    <w:rsid w:val="005E5535"/>
    <w:rsid w:val="005E747B"/>
    <w:rsid w:val="005F14A8"/>
    <w:rsid w:val="005F158B"/>
    <w:rsid w:val="005F1ADA"/>
    <w:rsid w:val="005F2264"/>
    <w:rsid w:val="005F2452"/>
    <w:rsid w:val="005F327A"/>
    <w:rsid w:val="005F402D"/>
    <w:rsid w:val="005F4121"/>
    <w:rsid w:val="005F42CC"/>
    <w:rsid w:val="005F4F20"/>
    <w:rsid w:val="005F5946"/>
    <w:rsid w:val="005F6DAE"/>
    <w:rsid w:val="005F7809"/>
    <w:rsid w:val="005F7C37"/>
    <w:rsid w:val="00600544"/>
    <w:rsid w:val="00600CD8"/>
    <w:rsid w:val="00603C5A"/>
    <w:rsid w:val="00604405"/>
    <w:rsid w:val="006052F1"/>
    <w:rsid w:val="00606093"/>
    <w:rsid w:val="006065B9"/>
    <w:rsid w:val="006066D7"/>
    <w:rsid w:val="00610F31"/>
    <w:rsid w:val="00611BAF"/>
    <w:rsid w:val="00612164"/>
    <w:rsid w:val="00612393"/>
    <w:rsid w:val="0061265B"/>
    <w:rsid w:val="00613324"/>
    <w:rsid w:val="0061440A"/>
    <w:rsid w:val="00614F70"/>
    <w:rsid w:val="00615970"/>
    <w:rsid w:val="00615DA0"/>
    <w:rsid w:val="00615DFD"/>
    <w:rsid w:val="0061660B"/>
    <w:rsid w:val="0061677D"/>
    <w:rsid w:val="0061679C"/>
    <w:rsid w:val="006174E3"/>
    <w:rsid w:val="00617B89"/>
    <w:rsid w:val="00620289"/>
    <w:rsid w:val="00620E4F"/>
    <w:rsid w:val="00621CB7"/>
    <w:rsid w:val="00622262"/>
    <w:rsid w:val="006224A1"/>
    <w:rsid w:val="00624019"/>
    <w:rsid w:val="00624469"/>
    <w:rsid w:val="006245C8"/>
    <w:rsid w:val="00625A5A"/>
    <w:rsid w:val="00626335"/>
    <w:rsid w:val="006266D2"/>
    <w:rsid w:val="006305F3"/>
    <w:rsid w:val="00630F52"/>
    <w:rsid w:val="00632D52"/>
    <w:rsid w:val="006330BF"/>
    <w:rsid w:val="0063343C"/>
    <w:rsid w:val="00633C75"/>
    <w:rsid w:val="00634D16"/>
    <w:rsid w:val="00634D43"/>
    <w:rsid w:val="00635CF5"/>
    <w:rsid w:val="00635D0B"/>
    <w:rsid w:val="0063634E"/>
    <w:rsid w:val="006367DC"/>
    <w:rsid w:val="00636F6C"/>
    <w:rsid w:val="00640A5D"/>
    <w:rsid w:val="00640FBB"/>
    <w:rsid w:val="00642868"/>
    <w:rsid w:val="00642C9B"/>
    <w:rsid w:val="0064383D"/>
    <w:rsid w:val="00644063"/>
    <w:rsid w:val="006448CD"/>
    <w:rsid w:val="00645479"/>
    <w:rsid w:val="00646B1C"/>
    <w:rsid w:val="00650815"/>
    <w:rsid w:val="0065291A"/>
    <w:rsid w:val="00654707"/>
    <w:rsid w:val="00654810"/>
    <w:rsid w:val="00654816"/>
    <w:rsid w:val="006553FB"/>
    <w:rsid w:val="0065541D"/>
    <w:rsid w:val="0065549F"/>
    <w:rsid w:val="006557A9"/>
    <w:rsid w:val="00655F8E"/>
    <w:rsid w:val="0065626B"/>
    <w:rsid w:val="006565C1"/>
    <w:rsid w:val="00660AE9"/>
    <w:rsid w:val="006624E9"/>
    <w:rsid w:val="0066270F"/>
    <w:rsid w:val="006643A0"/>
    <w:rsid w:val="0066571E"/>
    <w:rsid w:val="006659AA"/>
    <w:rsid w:val="00667247"/>
    <w:rsid w:val="006710EA"/>
    <w:rsid w:val="0067197F"/>
    <w:rsid w:val="00671D93"/>
    <w:rsid w:val="00672DB7"/>
    <w:rsid w:val="00673A65"/>
    <w:rsid w:val="00673C1E"/>
    <w:rsid w:val="006742A4"/>
    <w:rsid w:val="0067528D"/>
    <w:rsid w:val="00675992"/>
    <w:rsid w:val="00675B6B"/>
    <w:rsid w:val="00675F06"/>
    <w:rsid w:val="00676544"/>
    <w:rsid w:val="006767D7"/>
    <w:rsid w:val="00676C59"/>
    <w:rsid w:val="00676E81"/>
    <w:rsid w:val="006800CC"/>
    <w:rsid w:val="00680193"/>
    <w:rsid w:val="006802CB"/>
    <w:rsid w:val="00680309"/>
    <w:rsid w:val="006819F6"/>
    <w:rsid w:val="00681A45"/>
    <w:rsid w:val="00682156"/>
    <w:rsid w:val="0068334A"/>
    <w:rsid w:val="006842C1"/>
    <w:rsid w:val="00685283"/>
    <w:rsid w:val="00685E70"/>
    <w:rsid w:val="006863DD"/>
    <w:rsid w:val="006864DD"/>
    <w:rsid w:val="00687F47"/>
    <w:rsid w:val="00690145"/>
    <w:rsid w:val="00690547"/>
    <w:rsid w:val="00691B1F"/>
    <w:rsid w:val="00691E57"/>
    <w:rsid w:val="00692B22"/>
    <w:rsid w:val="00692FD1"/>
    <w:rsid w:val="00693720"/>
    <w:rsid w:val="00694A6E"/>
    <w:rsid w:val="006952D7"/>
    <w:rsid w:val="00695B0E"/>
    <w:rsid w:val="00695BD1"/>
    <w:rsid w:val="006966FE"/>
    <w:rsid w:val="00696A4B"/>
    <w:rsid w:val="0069737C"/>
    <w:rsid w:val="006A05F8"/>
    <w:rsid w:val="006A0FF8"/>
    <w:rsid w:val="006A1036"/>
    <w:rsid w:val="006A3AEB"/>
    <w:rsid w:val="006A3F29"/>
    <w:rsid w:val="006A41C1"/>
    <w:rsid w:val="006A4573"/>
    <w:rsid w:val="006A4774"/>
    <w:rsid w:val="006A4C81"/>
    <w:rsid w:val="006A59D2"/>
    <w:rsid w:val="006A67AE"/>
    <w:rsid w:val="006A6AF7"/>
    <w:rsid w:val="006A7142"/>
    <w:rsid w:val="006B2887"/>
    <w:rsid w:val="006B29F0"/>
    <w:rsid w:val="006B2DF7"/>
    <w:rsid w:val="006B30F7"/>
    <w:rsid w:val="006B3D86"/>
    <w:rsid w:val="006B3DFC"/>
    <w:rsid w:val="006B3EFA"/>
    <w:rsid w:val="006B4D67"/>
    <w:rsid w:val="006B5307"/>
    <w:rsid w:val="006B6FB9"/>
    <w:rsid w:val="006B76C3"/>
    <w:rsid w:val="006B79D0"/>
    <w:rsid w:val="006B7FDA"/>
    <w:rsid w:val="006C0450"/>
    <w:rsid w:val="006C07F3"/>
    <w:rsid w:val="006C0F08"/>
    <w:rsid w:val="006C0F46"/>
    <w:rsid w:val="006C33E0"/>
    <w:rsid w:val="006C37FB"/>
    <w:rsid w:val="006C4527"/>
    <w:rsid w:val="006C51BB"/>
    <w:rsid w:val="006C6413"/>
    <w:rsid w:val="006C6D20"/>
    <w:rsid w:val="006C7485"/>
    <w:rsid w:val="006D086B"/>
    <w:rsid w:val="006D0994"/>
    <w:rsid w:val="006D11A9"/>
    <w:rsid w:val="006D246E"/>
    <w:rsid w:val="006D2AF6"/>
    <w:rsid w:val="006D2C8D"/>
    <w:rsid w:val="006D3C68"/>
    <w:rsid w:val="006D4E03"/>
    <w:rsid w:val="006D517E"/>
    <w:rsid w:val="006D5D27"/>
    <w:rsid w:val="006D6A4D"/>
    <w:rsid w:val="006D6EC8"/>
    <w:rsid w:val="006D70AB"/>
    <w:rsid w:val="006D7613"/>
    <w:rsid w:val="006D7CCD"/>
    <w:rsid w:val="006E01BE"/>
    <w:rsid w:val="006E0391"/>
    <w:rsid w:val="006E0401"/>
    <w:rsid w:val="006E10F5"/>
    <w:rsid w:val="006E14C0"/>
    <w:rsid w:val="006E2FF0"/>
    <w:rsid w:val="006E38FF"/>
    <w:rsid w:val="006E40DA"/>
    <w:rsid w:val="006E58AF"/>
    <w:rsid w:val="006E5D38"/>
    <w:rsid w:val="006E7744"/>
    <w:rsid w:val="006E7920"/>
    <w:rsid w:val="006E7B62"/>
    <w:rsid w:val="006F09F2"/>
    <w:rsid w:val="006F0C1D"/>
    <w:rsid w:val="006F22D7"/>
    <w:rsid w:val="006F2383"/>
    <w:rsid w:val="006F3011"/>
    <w:rsid w:val="006F347F"/>
    <w:rsid w:val="006F4157"/>
    <w:rsid w:val="006F51BA"/>
    <w:rsid w:val="006F61C5"/>
    <w:rsid w:val="006F6232"/>
    <w:rsid w:val="006F74A7"/>
    <w:rsid w:val="007021B2"/>
    <w:rsid w:val="00702820"/>
    <w:rsid w:val="007029FE"/>
    <w:rsid w:val="00703292"/>
    <w:rsid w:val="00703B0F"/>
    <w:rsid w:val="00703BD8"/>
    <w:rsid w:val="00703E8C"/>
    <w:rsid w:val="00704253"/>
    <w:rsid w:val="00704492"/>
    <w:rsid w:val="0070475F"/>
    <w:rsid w:val="00704A25"/>
    <w:rsid w:val="00704A36"/>
    <w:rsid w:val="0070567B"/>
    <w:rsid w:val="00705D88"/>
    <w:rsid w:val="00705FAA"/>
    <w:rsid w:val="00706116"/>
    <w:rsid w:val="007066FB"/>
    <w:rsid w:val="00706F5D"/>
    <w:rsid w:val="0071010C"/>
    <w:rsid w:val="0071014E"/>
    <w:rsid w:val="007119F3"/>
    <w:rsid w:val="00711B75"/>
    <w:rsid w:val="00711DBB"/>
    <w:rsid w:val="00711EB9"/>
    <w:rsid w:val="0071230D"/>
    <w:rsid w:val="00712853"/>
    <w:rsid w:val="0071377B"/>
    <w:rsid w:val="007142D0"/>
    <w:rsid w:val="0071437B"/>
    <w:rsid w:val="0071439F"/>
    <w:rsid w:val="00715469"/>
    <w:rsid w:val="00715A63"/>
    <w:rsid w:val="007162D3"/>
    <w:rsid w:val="00716654"/>
    <w:rsid w:val="00716A9D"/>
    <w:rsid w:val="00717F1C"/>
    <w:rsid w:val="0072117C"/>
    <w:rsid w:val="00722513"/>
    <w:rsid w:val="00722736"/>
    <w:rsid w:val="00723750"/>
    <w:rsid w:val="00723D07"/>
    <w:rsid w:val="007249A6"/>
    <w:rsid w:val="00726894"/>
    <w:rsid w:val="007272B9"/>
    <w:rsid w:val="00727A26"/>
    <w:rsid w:val="0073047E"/>
    <w:rsid w:val="00731CEF"/>
    <w:rsid w:val="007331EE"/>
    <w:rsid w:val="007331F1"/>
    <w:rsid w:val="00733538"/>
    <w:rsid w:val="00735547"/>
    <w:rsid w:val="0073627F"/>
    <w:rsid w:val="00736F8E"/>
    <w:rsid w:val="00736FC8"/>
    <w:rsid w:val="00737020"/>
    <w:rsid w:val="00737F01"/>
    <w:rsid w:val="0074121F"/>
    <w:rsid w:val="00741262"/>
    <w:rsid w:val="00742846"/>
    <w:rsid w:val="00743178"/>
    <w:rsid w:val="007436CB"/>
    <w:rsid w:val="00743DED"/>
    <w:rsid w:val="00744C87"/>
    <w:rsid w:val="00744ECD"/>
    <w:rsid w:val="00744F4E"/>
    <w:rsid w:val="007450ED"/>
    <w:rsid w:val="00745F59"/>
    <w:rsid w:val="0074636A"/>
    <w:rsid w:val="00746FE3"/>
    <w:rsid w:val="0074711E"/>
    <w:rsid w:val="007475C2"/>
    <w:rsid w:val="00750022"/>
    <w:rsid w:val="00750108"/>
    <w:rsid w:val="007504A3"/>
    <w:rsid w:val="00750621"/>
    <w:rsid w:val="00750BC3"/>
    <w:rsid w:val="007514EF"/>
    <w:rsid w:val="00751615"/>
    <w:rsid w:val="007518F8"/>
    <w:rsid w:val="00752350"/>
    <w:rsid w:val="00752386"/>
    <w:rsid w:val="0075335D"/>
    <w:rsid w:val="00753B5E"/>
    <w:rsid w:val="00754B7C"/>
    <w:rsid w:val="00754D2B"/>
    <w:rsid w:val="007554A9"/>
    <w:rsid w:val="0075589B"/>
    <w:rsid w:val="0075598B"/>
    <w:rsid w:val="00755B6F"/>
    <w:rsid w:val="007561E8"/>
    <w:rsid w:val="007568B0"/>
    <w:rsid w:val="00757468"/>
    <w:rsid w:val="0075764F"/>
    <w:rsid w:val="007576DE"/>
    <w:rsid w:val="00757F2D"/>
    <w:rsid w:val="00761AC4"/>
    <w:rsid w:val="007625DB"/>
    <w:rsid w:val="007639D0"/>
    <w:rsid w:val="007639EA"/>
    <w:rsid w:val="007641CB"/>
    <w:rsid w:val="00764594"/>
    <w:rsid w:val="007645EA"/>
    <w:rsid w:val="0076474E"/>
    <w:rsid w:val="00766817"/>
    <w:rsid w:val="0076681D"/>
    <w:rsid w:val="00767F8D"/>
    <w:rsid w:val="00767FAA"/>
    <w:rsid w:val="0077078F"/>
    <w:rsid w:val="007711E3"/>
    <w:rsid w:val="00771662"/>
    <w:rsid w:val="007717A6"/>
    <w:rsid w:val="0077337B"/>
    <w:rsid w:val="00773442"/>
    <w:rsid w:val="0077369E"/>
    <w:rsid w:val="00773FED"/>
    <w:rsid w:val="00774230"/>
    <w:rsid w:val="00774923"/>
    <w:rsid w:val="00774963"/>
    <w:rsid w:val="00774A69"/>
    <w:rsid w:val="00775A0B"/>
    <w:rsid w:val="00777D1E"/>
    <w:rsid w:val="00777D4F"/>
    <w:rsid w:val="00780005"/>
    <w:rsid w:val="00780106"/>
    <w:rsid w:val="00781EB6"/>
    <w:rsid w:val="00782677"/>
    <w:rsid w:val="00782D2E"/>
    <w:rsid w:val="00783939"/>
    <w:rsid w:val="00787E08"/>
    <w:rsid w:val="00791D45"/>
    <w:rsid w:val="0079325E"/>
    <w:rsid w:val="00793CA3"/>
    <w:rsid w:val="00794063"/>
    <w:rsid w:val="007941C8"/>
    <w:rsid w:val="007949CE"/>
    <w:rsid w:val="00795188"/>
    <w:rsid w:val="00795389"/>
    <w:rsid w:val="0079558B"/>
    <w:rsid w:val="007957A8"/>
    <w:rsid w:val="00795DB6"/>
    <w:rsid w:val="00796062"/>
    <w:rsid w:val="007961F2"/>
    <w:rsid w:val="00796515"/>
    <w:rsid w:val="00796729"/>
    <w:rsid w:val="00796B4D"/>
    <w:rsid w:val="00797432"/>
    <w:rsid w:val="0079776F"/>
    <w:rsid w:val="00797884"/>
    <w:rsid w:val="00797D72"/>
    <w:rsid w:val="00797E45"/>
    <w:rsid w:val="007A2155"/>
    <w:rsid w:val="007A25B0"/>
    <w:rsid w:val="007A2A9B"/>
    <w:rsid w:val="007A3892"/>
    <w:rsid w:val="007A3F6A"/>
    <w:rsid w:val="007A4075"/>
    <w:rsid w:val="007A41BB"/>
    <w:rsid w:val="007A48EF"/>
    <w:rsid w:val="007A6688"/>
    <w:rsid w:val="007B0D54"/>
    <w:rsid w:val="007B1399"/>
    <w:rsid w:val="007B1707"/>
    <w:rsid w:val="007B2147"/>
    <w:rsid w:val="007B353A"/>
    <w:rsid w:val="007B49C2"/>
    <w:rsid w:val="007B4D8A"/>
    <w:rsid w:val="007B50FB"/>
    <w:rsid w:val="007B56F1"/>
    <w:rsid w:val="007B5FBD"/>
    <w:rsid w:val="007B6697"/>
    <w:rsid w:val="007B6D11"/>
    <w:rsid w:val="007B731C"/>
    <w:rsid w:val="007C1E2B"/>
    <w:rsid w:val="007C24F8"/>
    <w:rsid w:val="007C2C31"/>
    <w:rsid w:val="007C3285"/>
    <w:rsid w:val="007C35B1"/>
    <w:rsid w:val="007C35EA"/>
    <w:rsid w:val="007C382C"/>
    <w:rsid w:val="007C42BC"/>
    <w:rsid w:val="007C4467"/>
    <w:rsid w:val="007C4AD1"/>
    <w:rsid w:val="007C4CD8"/>
    <w:rsid w:val="007C4E3D"/>
    <w:rsid w:val="007C6D55"/>
    <w:rsid w:val="007C6E20"/>
    <w:rsid w:val="007C72FD"/>
    <w:rsid w:val="007C74C6"/>
    <w:rsid w:val="007C79E6"/>
    <w:rsid w:val="007D075C"/>
    <w:rsid w:val="007D07BB"/>
    <w:rsid w:val="007D07FD"/>
    <w:rsid w:val="007D0BBF"/>
    <w:rsid w:val="007D1476"/>
    <w:rsid w:val="007D2035"/>
    <w:rsid w:val="007D2429"/>
    <w:rsid w:val="007D321B"/>
    <w:rsid w:val="007D35DC"/>
    <w:rsid w:val="007D47CA"/>
    <w:rsid w:val="007D582A"/>
    <w:rsid w:val="007D58A8"/>
    <w:rsid w:val="007D58B6"/>
    <w:rsid w:val="007D5D67"/>
    <w:rsid w:val="007D5ED7"/>
    <w:rsid w:val="007D68F4"/>
    <w:rsid w:val="007D7141"/>
    <w:rsid w:val="007D785F"/>
    <w:rsid w:val="007E07A1"/>
    <w:rsid w:val="007E0FFD"/>
    <w:rsid w:val="007E291E"/>
    <w:rsid w:val="007E31D6"/>
    <w:rsid w:val="007E35E8"/>
    <w:rsid w:val="007E37F2"/>
    <w:rsid w:val="007E400B"/>
    <w:rsid w:val="007E41D7"/>
    <w:rsid w:val="007E4222"/>
    <w:rsid w:val="007E5A58"/>
    <w:rsid w:val="007E69F9"/>
    <w:rsid w:val="007E7CE8"/>
    <w:rsid w:val="007E7E1F"/>
    <w:rsid w:val="007F00F9"/>
    <w:rsid w:val="007F0346"/>
    <w:rsid w:val="007F196B"/>
    <w:rsid w:val="007F40E4"/>
    <w:rsid w:val="007F56C8"/>
    <w:rsid w:val="007F674E"/>
    <w:rsid w:val="007F6826"/>
    <w:rsid w:val="007F6B01"/>
    <w:rsid w:val="007F74EB"/>
    <w:rsid w:val="007F79A9"/>
    <w:rsid w:val="007F7E3C"/>
    <w:rsid w:val="008005DF"/>
    <w:rsid w:val="00800E4C"/>
    <w:rsid w:val="008016C2"/>
    <w:rsid w:val="00801DC0"/>
    <w:rsid w:val="00801E6C"/>
    <w:rsid w:val="0080258A"/>
    <w:rsid w:val="008027AE"/>
    <w:rsid w:val="008028A9"/>
    <w:rsid w:val="00804140"/>
    <w:rsid w:val="00805136"/>
    <w:rsid w:val="00805C41"/>
    <w:rsid w:val="008064C7"/>
    <w:rsid w:val="00806729"/>
    <w:rsid w:val="00806CD3"/>
    <w:rsid w:val="00810F1C"/>
    <w:rsid w:val="008121F4"/>
    <w:rsid w:val="00813E20"/>
    <w:rsid w:val="0081416C"/>
    <w:rsid w:val="00816677"/>
    <w:rsid w:val="00817C43"/>
    <w:rsid w:val="00820253"/>
    <w:rsid w:val="00820AD4"/>
    <w:rsid w:val="008211FE"/>
    <w:rsid w:val="008212C0"/>
    <w:rsid w:val="00822B0A"/>
    <w:rsid w:val="008238B3"/>
    <w:rsid w:val="008239EC"/>
    <w:rsid w:val="00823A70"/>
    <w:rsid w:val="00824407"/>
    <w:rsid w:val="00825805"/>
    <w:rsid w:val="00826118"/>
    <w:rsid w:val="00827E4D"/>
    <w:rsid w:val="00831138"/>
    <w:rsid w:val="00832909"/>
    <w:rsid w:val="008334A3"/>
    <w:rsid w:val="008338CF"/>
    <w:rsid w:val="0083472A"/>
    <w:rsid w:val="00834D6B"/>
    <w:rsid w:val="00834FC5"/>
    <w:rsid w:val="00836A0D"/>
    <w:rsid w:val="00836EF7"/>
    <w:rsid w:val="00837355"/>
    <w:rsid w:val="00837D7A"/>
    <w:rsid w:val="00840ACD"/>
    <w:rsid w:val="00842826"/>
    <w:rsid w:val="008434B6"/>
    <w:rsid w:val="00843A82"/>
    <w:rsid w:val="00844055"/>
    <w:rsid w:val="00844494"/>
    <w:rsid w:val="00844BA6"/>
    <w:rsid w:val="00844D5F"/>
    <w:rsid w:val="00844D67"/>
    <w:rsid w:val="008450B8"/>
    <w:rsid w:val="0084604B"/>
    <w:rsid w:val="008462BC"/>
    <w:rsid w:val="00846998"/>
    <w:rsid w:val="00846A22"/>
    <w:rsid w:val="008503A2"/>
    <w:rsid w:val="008504D3"/>
    <w:rsid w:val="0085137F"/>
    <w:rsid w:val="00852202"/>
    <w:rsid w:val="00852937"/>
    <w:rsid w:val="00852BE8"/>
    <w:rsid w:val="00853DCA"/>
    <w:rsid w:val="008541F6"/>
    <w:rsid w:val="00854A03"/>
    <w:rsid w:val="00854E19"/>
    <w:rsid w:val="0085505F"/>
    <w:rsid w:val="0085587D"/>
    <w:rsid w:val="00856657"/>
    <w:rsid w:val="00856C87"/>
    <w:rsid w:val="008571BC"/>
    <w:rsid w:val="008573F1"/>
    <w:rsid w:val="008575D5"/>
    <w:rsid w:val="0086147B"/>
    <w:rsid w:val="00864CAB"/>
    <w:rsid w:val="00864FF2"/>
    <w:rsid w:val="00865571"/>
    <w:rsid w:val="00865F32"/>
    <w:rsid w:val="0086693F"/>
    <w:rsid w:val="00866CDA"/>
    <w:rsid w:val="008671EF"/>
    <w:rsid w:val="008703DD"/>
    <w:rsid w:val="00870C38"/>
    <w:rsid w:val="00870E1C"/>
    <w:rsid w:val="00870E9C"/>
    <w:rsid w:val="008712C3"/>
    <w:rsid w:val="00871D79"/>
    <w:rsid w:val="00872D41"/>
    <w:rsid w:val="0087414E"/>
    <w:rsid w:val="008743F1"/>
    <w:rsid w:val="00874DCA"/>
    <w:rsid w:val="00875740"/>
    <w:rsid w:val="00875762"/>
    <w:rsid w:val="00876310"/>
    <w:rsid w:val="008767DB"/>
    <w:rsid w:val="00876924"/>
    <w:rsid w:val="00877972"/>
    <w:rsid w:val="00877A90"/>
    <w:rsid w:val="0088111B"/>
    <w:rsid w:val="00881E93"/>
    <w:rsid w:val="0088228C"/>
    <w:rsid w:val="008829BC"/>
    <w:rsid w:val="0088309C"/>
    <w:rsid w:val="008842C4"/>
    <w:rsid w:val="00884686"/>
    <w:rsid w:val="00884AF9"/>
    <w:rsid w:val="00884B12"/>
    <w:rsid w:val="00884C5C"/>
    <w:rsid w:val="00884E0C"/>
    <w:rsid w:val="00885514"/>
    <w:rsid w:val="0088604E"/>
    <w:rsid w:val="00886D79"/>
    <w:rsid w:val="0088720A"/>
    <w:rsid w:val="008873DA"/>
    <w:rsid w:val="00887A96"/>
    <w:rsid w:val="00887CB6"/>
    <w:rsid w:val="00887FB7"/>
    <w:rsid w:val="00890BCB"/>
    <w:rsid w:val="00890EF8"/>
    <w:rsid w:val="008921D8"/>
    <w:rsid w:val="008954B7"/>
    <w:rsid w:val="00896AF6"/>
    <w:rsid w:val="008973CD"/>
    <w:rsid w:val="00897F23"/>
    <w:rsid w:val="008A1530"/>
    <w:rsid w:val="008A2D92"/>
    <w:rsid w:val="008A2EF4"/>
    <w:rsid w:val="008A316D"/>
    <w:rsid w:val="008A3A66"/>
    <w:rsid w:val="008A60AB"/>
    <w:rsid w:val="008A7A5A"/>
    <w:rsid w:val="008B0141"/>
    <w:rsid w:val="008B0214"/>
    <w:rsid w:val="008B08D4"/>
    <w:rsid w:val="008B0AB7"/>
    <w:rsid w:val="008B0B03"/>
    <w:rsid w:val="008B1AA8"/>
    <w:rsid w:val="008B2368"/>
    <w:rsid w:val="008B433E"/>
    <w:rsid w:val="008B4498"/>
    <w:rsid w:val="008B4F73"/>
    <w:rsid w:val="008B5C0D"/>
    <w:rsid w:val="008B62B0"/>
    <w:rsid w:val="008B672A"/>
    <w:rsid w:val="008B7687"/>
    <w:rsid w:val="008B7B3C"/>
    <w:rsid w:val="008B7B96"/>
    <w:rsid w:val="008C07BB"/>
    <w:rsid w:val="008C0E39"/>
    <w:rsid w:val="008C323D"/>
    <w:rsid w:val="008C46DF"/>
    <w:rsid w:val="008C4F10"/>
    <w:rsid w:val="008C6434"/>
    <w:rsid w:val="008C6544"/>
    <w:rsid w:val="008C685E"/>
    <w:rsid w:val="008C7BE6"/>
    <w:rsid w:val="008C7CAA"/>
    <w:rsid w:val="008C7DF4"/>
    <w:rsid w:val="008D1728"/>
    <w:rsid w:val="008D23C7"/>
    <w:rsid w:val="008D2BB7"/>
    <w:rsid w:val="008D2BEE"/>
    <w:rsid w:val="008D41BC"/>
    <w:rsid w:val="008D4997"/>
    <w:rsid w:val="008D4EBB"/>
    <w:rsid w:val="008D555E"/>
    <w:rsid w:val="008D5BD0"/>
    <w:rsid w:val="008D5F82"/>
    <w:rsid w:val="008D76D6"/>
    <w:rsid w:val="008D7C3C"/>
    <w:rsid w:val="008D7C5A"/>
    <w:rsid w:val="008E0CC0"/>
    <w:rsid w:val="008E2995"/>
    <w:rsid w:val="008E405D"/>
    <w:rsid w:val="008E57FA"/>
    <w:rsid w:val="008E58E5"/>
    <w:rsid w:val="008E7604"/>
    <w:rsid w:val="008E781C"/>
    <w:rsid w:val="008F097F"/>
    <w:rsid w:val="008F16E6"/>
    <w:rsid w:val="008F356C"/>
    <w:rsid w:val="008F451B"/>
    <w:rsid w:val="008F460C"/>
    <w:rsid w:val="008F483B"/>
    <w:rsid w:val="008F49AE"/>
    <w:rsid w:val="008F5E25"/>
    <w:rsid w:val="008F6274"/>
    <w:rsid w:val="008F62AF"/>
    <w:rsid w:val="008F7779"/>
    <w:rsid w:val="008F7ADE"/>
    <w:rsid w:val="00900C81"/>
    <w:rsid w:val="00900EA7"/>
    <w:rsid w:val="009014FA"/>
    <w:rsid w:val="009017FD"/>
    <w:rsid w:val="00902007"/>
    <w:rsid w:val="00902896"/>
    <w:rsid w:val="00902D6C"/>
    <w:rsid w:val="009046CB"/>
    <w:rsid w:val="00904DF0"/>
    <w:rsid w:val="00904F80"/>
    <w:rsid w:val="0090593D"/>
    <w:rsid w:val="0090657A"/>
    <w:rsid w:val="00906D1C"/>
    <w:rsid w:val="0091208C"/>
    <w:rsid w:val="009129A9"/>
    <w:rsid w:val="00914EF7"/>
    <w:rsid w:val="00914FAD"/>
    <w:rsid w:val="00915F5F"/>
    <w:rsid w:val="0091628B"/>
    <w:rsid w:val="009169E0"/>
    <w:rsid w:val="00916CB1"/>
    <w:rsid w:val="00920AE1"/>
    <w:rsid w:val="00921EC6"/>
    <w:rsid w:val="009227E4"/>
    <w:rsid w:val="009231BB"/>
    <w:rsid w:val="00923B29"/>
    <w:rsid w:val="0092434C"/>
    <w:rsid w:val="00924521"/>
    <w:rsid w:val="00924555"/>
    <w:rsid w:val="00924AB1"/>
    <w:rsid w:val="00925D50"/>
    <w:rsid w:val="0092638F"/>
    <w:rsid w:val="00926917"/>
    <w:rsid w:val="00927D03"/>
    <w:rsid w:val="00930732"/>
    <w:rsid w:val="00930C36"/>
    <w:rsid w:val="00930C5B"/>
    <w:rsid w:val="00931842"/>
    <w:rsid w:val="00931E97"/>
    <w:rsid w:val="0093211D"/>
    <w:rsid w:val="00932626"/>
    <w:rsid w:val="00933516"/>
    <w:rsid w:val="00933921"/>
    <w:rsid w:val="00933B2D"/>
    <w:rsid w:val="00933BDE"/>
    <w:rsid w:val="00934BE6"/>
    <w:rsid w:val="00934C0D"/>
    <w:rsid w:val="00935EAC"/>
    <w:rsid w:val="009368EB"/>
    <w:rsid w:val="00936BEF"/>
    <w:rsid w:val="0094005D"/>
    <w:rsid w:val="0094050A"/>
    <w:rsid w:val="009405F1"/>
    <w:rsid w:val="00940FA2"/>
    <w:rsid w:val="00941DFF"/>
    <w:rsid w:val="00942A0D"/>
    <w:rsid w:val="00942CFC"/>
    <w:rsid w:val="00943457"/>
    <w:rsid w:val="00944985"/>
    <w:rsid w:val="0094548C"/>
    <w:rsid w:val="00945A6B"/>
    <w:rsid w:val="00946628"/>
    <w:rsid w:val="0094754F"/>
    <w:rsid w:val="00947CB7"/>
    <w:rsid w:val="009503E6"/>
    <w:rsid w:val="0095052A"/>
    <w:rsid w:val="00950739"/>
    <w:rsid w:val="00951348"/>
    <w:rsid w:val="00951809"/>
    <w:rsid w:val="009519C9"/>
    <w:rsid w:val="00953C71"/>
    <w:rsid w:val="00954831"/>
    <w:rsid w:val="00954980"/>
    <w:rsid w:val="00954B5B"/>
    <w:rsid w:val="009552CF"/>
    <w:rsid w:val="009562D6"/>
    <w:rsid w:val="00956462"/>
    <w:rsid w:val="009568F5"/>
    <w:rsid w:val="00956A68"/>
    <w:rsid w:val="0095737C"/>
    <w:rsid w:val="00957395"/>
    <w:rsid w:val="00957573"/>
    <w:rsid w:val="00957F3A"/>
    <w:rsid w:val="00960329"/>
    <w:rsid w:val="009604E4"/>
    <w:rsid w:val="00961E02"/>
    <w:rsid w:val="0096465D"/>
    <w:rsid w:val="0096489C"/>
    <w:rsid w:val="00964CEE"/>
    <w:rsid w:val="0096549C"/>
    <w:rsid w:val="00965532"/>
    <w:rsid w:val="00965645"/>
    <w:rsid w:val="0096585C"/>
    <w:rsid w:val="009659DF"/>
    <w:rsid w:val="009659E1"/>
    <w:rsid w:val="00966F01"/>
    <w:rsid w:val="00967F09"/>
    <w:rsid w:val="009700F6"/>
    <w:rsid w:val="00971251"/>
    <w:rsid w:val="009714FA"/>
    <w:rsid w:val="0097177D"/>
    <w:rsid w:val="009724FD"/>
    <w:rsid w:val="00972BD9"/>
    <w:rsid w:val="009738CE"/>
    <w:rsid w:val="00974312"/>
    <w:rsid w:val="0097593E"/>
    <w:rsid w:val="0097597B"/>
    <w:rsid w:val="009779A9"/>
    <w:rsid w:val="00977AAB"/>
    <w:rsid w:val="00977FCF"/>
    <w:rsid w:val="0098051C"/>
    <w:rsid w:val="009830B2"/>
    <w:rsid w:val="00983951"/>
    <w:rsid w:val="00983A1B"/>
    <w:rsid w:val="00983D8A"/>
    <w:rsid w:val="00984BF0"/>
    <w:rsid w:val="00984FAD"/>
    <w:rsid w:val="00985088"/>
    <w:rsid w:val="009850A8"/>
    <w:rsid w:val="009867D7"/>
    <w:rsid w:val="00987B2E"/>
    <w:rsid w:val="00991120"/>
    <w:rsid w:val="00991345"/>
    <w:rsid w:val="00991429"/>
    <w:rsid w:val="00992900"/>
    <w:rsid w:val="009935C6"/>
    <w:rsid w:val="0099466F"/>
    <w:rsid w:val="0099498C"/>
    <w:rsid w:val="0099522F"/>
    <w:rsid w:val="00995E23"/>
    <w:rsid w:val="009969AC"/>
    <w:rsid w:val="00997C25"/>
    <w:rsid w:val="00997D2E"/>
    <w:rsid w:val="00997E3A"/>
    <w:rsid w:val="009A0076"/>
    <w:rsid w:val="009A1027"/>
    <w:rsid w:val="009A13FF"/>
    <w:rsid w:val="009A25EE"/>
    <w:rsid w:val="009A2CA6"/>
    <w:rsid w:val="009A3151"/>
    <w:rsid w:val="009A318B"/>
    <w:rsid w:val="009A3EE7"/>
    <w:rsid w:val="009A3F32"/>
    <w:rsid w:val="009A42B3"/>
    <w:rsid w:val="009A4A52"/>
    <w:rsid w:val="009A5076"/>
    <w:rsid w:val="009A6E25"/>
    <w:rsid w:val="009A7635"/>
    <w:rsid w:val="009A7C83"/>
    <w:rsid w:val="009B0CDF"/>
    <w:rsid w:val="009B0F1B"/>
    <w:rsid w:val="009B209A"/>
    <w:rsid w:val="009B2A4A"/>
    <w:rsid w:val="009B2F7C"/>
    <w:rsid w:val="009B383A"/>
    <w:rsid w:val="009B44CA"/>
    <w:rsid w:val="009B48A1"/>
    <w:rsid w:val="009B5452"/>
    <w:rsid w:val="009B5B06"/>
    <w:rsid w:val="009B5F5C"/>
    <w:rsid w:val="009B622A"/>
    <w:rsid w:val="009B64B9"/>
    <w:rsid w:val="009B7D95"/>
    <w:rsid w:val="009B7FDB"/>
    <w:rsid w:val="009C0917"/>
    <w:rsid w:val="009C1182"/>
    <w:rsid w:val="009C1A37"/>
    <w:rsid w:val="009C1B3F"/>
    <w:rsid w:val="009C1FF0"/>
    <w:rsid w:val="009C21B5"/>
    <w:rsid w:val="009C28B0"/>
    <w:rsid w:val="009C3BC7"/>
    <w:rsid w:val="009C4569"/>
    <w:rsid w:val="009C4957"/>
    <w:rsid w:val="009C4B35"/>
    <w:rsid w:val="009C63C6"/>
    <w:rsid w:val="009C733B"/>
    <w:rsid w:val="009C73EA"/>
    <w:rsid w:val="009C7F2B"/>
    <w:rsid w:val="009D03CA"/>
    <w:rsid w:val="009D0C72"/>
    <w:rsid w:val="009D1505"/>
    <w:rsid w:val="009D3905"/>
    <w:rsid w:val="009D5988"/>
    <w:rsid w:val="009D66F6"/>
    <w:rsid w:val="009D6AF3"/>
    <w:rsid w:val="009D7871"/>
    <w:rsid w:val="009D7FDC"/>
    <w:rsid w:val="009E09BC"/>
    <w:rsid w:val="009E0F6F"/>
    <w:rsid w:val="009E1D2F"/>
    <w:rsid w:val="009E1DE3"/>
    <w:rsid w:val="009E37F9"/>
    <w:rsid w:val="009E3F37"/>
    <w:rsid w:val="009E437B"/>
    <w:rsid w:val="009E4442"/>
    <w:rsid w:val="009E47A2"/>
    <w:rsid w:val="009E4E42"/>
    <w:rsid w:val="009E5749"/>
    <w:rsid w:val="009E5D33"/>
    <w:rsid w:val="009E685E"/>
    <w:rsid w:val="009E68C6"/>
    <w:rsid w:val="009E7A2F"/>
    <w:rsid w:val="009E7E08"/>
    <w:rsid w:val="009F151E"/>
    <w:rsid w:val="009F2881"/>
    <w:rsid w:val="009F2974"/>
    <w:rsid w:val="009F370E"/>
    <w:rsid w:val="009F3CEC"/>
    <w:rsid w:val="009F3E20"/>
    <w:rsid w:val="009F4FD2"/>
    <w:rsid w:val="009F6AC9"/>
    <w:rsid w:val="009F7508"/>
    <w:rsid w:val="00A00BAA"/>
    <w:rsid w:val="00A0144D"/>
    <w:rsid w:val="00A03A9F"/>
    <w:rsid w:val="00A03F49"/>
    <w:rsid w:val="00A0547A"/>
    <w:rsid w:val="00A0552A"/>
    <w:rsid w:val="00A06A15"/>
    <w:rsid w:val="00A06BCF"/>
    <w:rsid w:val="00A070CE"/>
    <w:rsid w:val="00A072CD"/>
    <w:rsid w:val="00A102BD"/>
    <w:rsid w:val="00A10D88"/>
    <w:rsid w:val="00A119D8"/>
    <w:rsid w:val="00A1233C"/>
    <w:rsid w:val="00A12420"/>
    <w:rsid w:val="00A12C51"/>
    <w:rsid w:val="00A1314E"/>
    <w:rsid w:val="00A13A3F"/>
    <w:rsid w:val="00A13D8B"/>
    <w:rsid w:val="00A14833"/>
    <w:rsid w:val="00A14871"/>
    <w:rsid w:val="00A14E51"/>
    <w:rsid w:val="00A16888"/>
    <w:rsid w:val="00A1692E"/>
    <w:rsid w:val="00A206F0"/>
    <w:rsid w:val="00A20A7A"/>
    <w:rsid w:val="00A214C2"/>
    <w:rsid w:val="00A21641"/>
    <w:rsid w:val="00A22B65"/>
    <w:rsid w:val="00A22FEA"/>
    <w:rsid w:val="00A23A5C"/>
    <w:rsid w:val="00A23E8C"/>
    <w:rsid w:val="00A2417B"/>
    <w:rsid w:val="00A24967"/>
    <w:rsid w:val="00A257AA"/>
    <w:rsid w:val="00A26C14"/>
    <w:rsid w:val="00A27821"/>
    <w:rsid w:val="00A301CB"/>
    <w:rsid w:val="00A31316"/>
    <w:rsid w:val="00A32036"/>
    <w:rsid w:val="00A320F3"/>
    <w:rsid w:val="00A323C6"/>
    <w:rsid w:val="00A34056"/>
    <w:rsid w:val="00A35DBC"/>
    <w:rsid w:val="00A35EB2"/>
    <w:rsid w:val="00A364CF"/>
    <w:rsid w:val="00A37407"/>
    <w:rsid w:val="00A4015B"/>
    <w:rsid w:val="00A409F7"/>
    <w:rsid w:val="00A41ACD"/>
    <w:rsid w:val="00A4244D"/>
    <w:rsid w:val="00A42640"/>
    <w:rsid w:val="00A42AC2"/>
    <w:rsid w:val="00A42D07"/>
    <w:rsid w:val="00A42EEE"/>
    <w:rsid w:val="00A4327D"/>
    <w:rsid w:val="00A43962"/>
    <w:rsid w:val="00A447F7"/>
    <w:rsid w:val="00A44891"/>
    <w:rsid w:val="00A45169"/>
    <w:rsid w:val="00A45DD6"/>
    <w:rsid w:val="00A464C7"/>
    <w:rsid w:val="00A4654C"/>
    <w:rsid w:val="00A46DE7"/>
    <w:rsid w:val="00A46E78"/>
    <w:rsid w:val="00A47EA8"/>
    <w:rsid w:val="00A50E8D"/>
    <w:rsid w:val="00A5149B"/>
    <w:rsid w:val="00A51883"/>
    <w:rsid w:val="00A51ADF"/>
    <w:rsid w:val="00A51E02"/>
    <w:rsid w:val="00A51F4A"/>
    <w:rsid w:val="00A525D8"/>
    <w:rsid w:val="00A5413A"/>
    <w:rsid w:val="00A54171"/>
    <w:rsid w:val="00A543B3"/>
    <w:rsid w:val="00A54815"/>
    <w:rsid w:val="00A54AE9"/>
    <w:rsid w:val="00A557E2"/>
    <w:rsid w:val="00A5652F"/>
    <w:rsid w:val="00A57276"/>
    <w:rsid w:val="00A572B5"/>
    <w:rsid w:val="00A57484"/>
    <w:rsid w:val="00A57D91"/>
    <w:rsid w:val="00A60F00"/>
    <w:rsid w:val="00A610A3"/>
    <w:rsid w:val="00A616B0"/>
    <w:rsid w:val="00A61DBD"/>
    <w:rsid w:val="00A6203F"/>
    <w:rsid w:val="00A63194"/>
    <w:rsid w:val="00A633D5"/>
    <w:rsid w:val="00A636A7"/>
    <w:rsid w:val="00A6413C"/>
    <w:rsid w:val="00A64C95"/>
    <w:rsid w:val="00A652CD"/>
    <w:rsid w:val="00A652FF"/>
    <w:rsid w:val="00A66136"/>
    <w:rsid w:val="00A6716D"/>
    <w:rsid w:val="00A67A95"/>
    <w:rsid w:val="00A67DEA"/>
    <w:rsid w:val="00A70827"/>
    <w:rsid w:val="00A7085C"/>
    <w:rsid w:val="00A712CF"/>
    <w:rsid w:val="00A715E2"/>
    <w:rsid w:val="00A718CE"/>
    <w:rsid w:val="00A71AC4"/>
    <w:rsid w:val="00A72309"/>
    <w:rsid w:val="00A72724"/>
    <w:rsid w:val="00A73FB0"/>
    <w:rsid w:val="00A74CBA"/>
    <w:rsid w:val="00A756A9"/>
    <w:rsid w:val="00A757E7"/>
    <w:rsid w:val="00A767CE"/>
    <w:rsid w:val="00A77332"/>
    <w:rsid w:val="00A773FF"/>
    <w:rsid w:val="00A77518"/>
    <w:rsid w:val="00A77E01"/>
    <w:rsid w:val="00A802B5"/>
    <w:rsid w:val="00A810A2"/>
    <w:rsid w:val="00A810EB"/>
    <w:rsid w:val="00A815FE"/>
    <w:rsid w:val="00A81DCB"/>
    <w:rsid w:val="00A83148"/>
    <w:rsid w:val="00A8340E"/>
    <w:rsid w:val="00A83CFA"/>
    <w:rsid w:val="00A849F9"/>
    <w:rsid w:val="00A85889"/>
    <w:rsid w:val="00A85B1A"/>
    <w:rsid w:val="00A86CDF"/>
    <w:rsid w:val="00A86E5D"/>
    <w:rsid w:val="00A87D00"/>
    <w:rsid w:val="00A87ECF"/>
    <w:rsid w:val="00A90D40"/>
    <w:rsid w:val="00A91428"/>
    <w:rsid w:val="00A916B6"/>
    <w:rsid w:val="00A91FE3"/>
    <w:rsid w:val="00A930F8"/>
    <w:rsid w:val="00A935C7"/>
    <w:rsid w:val="00A93D7D"/>
    <w:rsid w:val="00A95542"/>
    <w:rsid w:val="00A963F9"/>
    <w:rsid w:val="00A96C2D"/>
    <w:rsid w:val="00A9729D"/>
    <w:rsid w:val="00A97481"/>
    <w:rsid w:val="00A97A11"/>
    <w:rsid w:val="00AA0F09"/>
    <w:rsid w:val="00AA11A7"/>
    <w:rsid w:val="00AA1708"/>
    <w:rsid w:val="00AA6274"/>
    <w:rsid w:val="00AA7E52"/>
    <w:rsid w:val="00AB065A"/>
    <w:rsid w:val="00AB0854"/>
    <w:rsid w:val="00AB3645"/>
    <w:rsid w:val="00AB38B4"/>
    <w:rsid w:val="00AB4AE7"/>
    <w:rsid w:val="00AB4FEC"/>
    <w:rsid w:val="00AB5048"/>
    <w:rsid w:val="00AB5083"/>
    <w:rsid w:val="00AB5307"/>
    <w:rsid w:val="00AB692C"/>
    <w:rsid w:val="00AB6988"/>
    <w:rsid w:val="00AB74A7"/>
    <w:rsid w:val="00AC060B"/>
    <w:rsid w:val="00AC0DF9"/>
    <w:rsid w:val="00AC1850"/>
    <w:rsid w:val="00AC254E"/>
    <w:rsid w:val="00AC2DB3"/>
    <w:rsid w:val="00AC2F0B"/>
    <w:rsid w:val="00AC388B"/>
    <w:rsid w:val="00AC3D2D"/>
    <w:rsid w:val="00AC3F2D"/>
    <w:rsid w:val="00AC5C78"/>
    <w:rsid w:val="00AC641D"/>
    <w:rsid w:val="00AC7927"/>
    <w:rsid w:val="00AC7E8C"/>
    <w:rsid w:val="00AD02E8"/>
    <w:rsid w:val="00AD043D"/>
    <w:rsid w:val="00AD0CEE"/>
    <w:rsid w:val="00AD1097"/>
    <w:rsid w:val="00AD37CA"/>
    <w:rsid w:val="00AD3867"/>
    <w:rsid w:val="00AD587E"/>
    <w:rsid w:val="00AD58F3"/>
    <w:rsid w:val="00AD5D38"/>
    <w:rsid w:val="00AD6034"/>
    <w:rsid w:val="00AD6975"/>
    <w:rsid w:val="00AD6B9A"/>
    <w:rsid w:val="00AD7C94"/>
    <w:rsid w:val="00AE0D5E"/>
    <w:rsid w:val="00AE0E1F"/>
    <w:rsid w:val="00AE123D"/>
    <w:rsid w:val="00AE17DA"/>
    <w:rsid w:val="00AE2400"/>
    <w:rsid w:val="00AE35C9"/>
    <w:rsid w:val="00AE5716"/>
    <w:rsid w:val="00AE5AF3"/>
    <w:rsid w:val="00AE5E9F"/>
    <w:rsid w:val="00AE6663"/>
    <w:rsid w:val="00AE6F8A"/>
    <w:rsid w:val="00AF15B0"/>
    <w:rsid w:val="00AF1C66"/>
    <w:rsid w:val="00AF233E"/>
    <w:rsid w:val="00AF285C"/>
    <w:rsid w:val="00AF29DB"/>
    <w:rsid w:val="00AF32A2"/>
    <w:rsid w:val="00AF3F50"/>
    <w:rsid w:val="00AF40CA"/>
    <w:rsid w:val="00AF4669"/>
    <w:rsid w:val="00AF4721"/>
    <w:rsid w:val="00AF4C02"/>
    <w:rsid w:val="00AF4E24"/>
    <w:rsid w:val="00AF4E69"/>
    <w:rsid w:val="00AF4F86"/>
    <w:rsid w:val="00AF53FB"/>
    <w:rsid w:val="00AF5CCA"/>
    <w:rsid w:val="00AF73A2"/>
    <w:rsid w:val="00AF7A64"/>
    <w:rsid w:val="00AF7F87"/>
    <w:rsid w:val="00B0023D"/>
    <w:rsid w:val="00B00393"/>
    <w:rsid w:val="00B01D7C"/>
    <w:rsid w:val="00B02673"/>
    <w:rsid w:val="00B026F2"/>
    <w:rsid w:val="00B03132"/>
    <w:rsid w:val="00B03D4D"/>
    <w:rsid w:val="00B04E93"/>
    <w:rsid w:val="00B05A14"/>
    <w:rsid w:val="00B06821"/>
    <w:rsid w:val="00B06F4B"/>
    <w:rsid w:val="00B10965"/>
    <w:rsid w:val="00B115AE"/>
    <w:rsid w:val="00B121AE"/>
    <w:rsid w:val="00B126DD"/>
    <w:rsid w:val="00B1277B"/>
    <w:rsid w:val="00B12CCF"/>
    <w:rsid w:val="00B1427C"/>
    <w:rsid w:val="00B14E15"/>
    <w:rsid w:val="00B14E71"/>
    <w:rsid w:val="00B16957"/>
    <w:rsid w:val="00B20363"/>
    <w:rsid w:val="00B20BF2"/>
    <w:rsid w:val="00B20EA5"/>
    <w:rsid w:val="00B20EDE"/>
    <w:rsid w:val="00B21134"/>
    <w:rsid w:val="00B2140B"/>
    <w:rsid w:val="00B21483"/>
    <w:rsid w:val="00B216FD"/>
    <w:rsid w:val="00B229E9"/>
    <w:rsid w:val="00B22E2B"/>
    <w:rsid w:val="00B23F8E"/>
    <w:rsid w:val="00B24102"/>
    <w:rsid w:val="00B2472E"/>
    <w:rsid w:val="00B25487"/>
    <w:rsid w:val="00B254E0"/>
    <w:rsid w:val="00B25657"/>
    <w:rsid w:val="00B2608C"/>
    <w:rsid w:val="00B26495"/>
    <w:rsid w:val="00B303A4"/>
    <w:rsid w:val="00B30A09"/>
    <w:rsid w:val="00B31290"/>
    <w:rsid w:val="00B32ED5"/>
    <w:rsid w:val="00B335C5"/>
    <w:rsid w:val="00B3365A"/>
    <w:rsid w:val="00B33E7D"/>
    <w:rsid w:val="00B34947"/>
    <w:rsid w:val="00B34D77"/>
    <w:rsid w:val="00B34E21"/>
    <w:rsid w:val="00B35671"/>
    <w:rsid w:val="00B357DA"/>
    <w:rsid w:val="00B35BC7"/>
    <w:rsid w:val="00B3611C"/>
    <w:rsid w:val="00B3706C"/>
    <w:rsid w:val="00B37835"/>
    <w:rsid w:val="00B37DAD"/>
    <w:rsid w:val="00B407F6"/>
    <w:rsid w:val="00B40891"/>
    <w:rsid w:val="00B421FF"/>
    <w:rsid w:val="00B42D9E"/>
    <w:rsid w:val="00B4385C"/>
    <w:rsid w:val="00B43BFD"/>
    <w:rsid w:val="00B43FE2"/>
    <w:rsid w:val="00B44542"/>
    <w:rsid w:val="00B448E0"/>
    <w:rsid w:val="00B45A82"/>
    <w:rsid w:val="00B4620F"/>
    <w:rsid w:val="00B46784"/>
    <w:rsid w:val="00B468B4"/>
    <w:rsid w:val="00B46BEA"/>
    <w:rsid w:val="00B5063C"/>
    <w:rsid w:val="00B5085E"/>
    <w:rsid w:val="00B51055"/>
    <w:rsid w:val="00B51187"/>
    <w:rsid w:val="00B51A45"/>
    <w:rsid w:val="00B51ACE"/>
    <w:rsid w:val="00B520CF"/>
    <w:rsid w:val="00B525BB"/>
    <w:rsid w:val="00B52D78"/>
    <w:rsid w:val="00B558A4"/>
    <w:rsid w:val="00B55E7C"/>
    <w:rsid w:val="00B569A5"/>
    <w:rsid w:val="00B56E57"/>
    <w:rsid w:val="00B570EA"/>
    <w:rsid w:val="00B5738D"/>
    <w:rsid w:val="00B5748C"/>
    <w:rsid w:val="00B579A3"/>
    <w:rsid w:val="00B609C0"/>
    <w:rsid w:val="00B60ACA"/>
    <w:rsid w:val="00B61667"/>
    <w:rsid w:val="00B64098"/>
    <w:rsid w:val="00B64D17"/>
    <w:rsid w:val="00B64DB8"/>
    <w:rsid w:val="00B65921"/>
    <w:rsid w:val="00B66AF3"/>
    <w:rsid w:val="00B66C37"/>
    <w:rsid w:val="00B67F17"/>
    <w:rsid w:val="00B70254"/>
    <w:rsid w:val="00B71104"/>
    <w:rsid w:val="00B712A9"/>
    <w:rsid w:val="00B726E9"/>
    <w:rsid w:val="00B727B0"/>
    <w:rsid w:val="00B72967"/>
    <w:rsid w:val="00B72A19"/>
    <w:rsid w:val="00B733DF"/>
    <w:rsid w:val="00B737A7"/>
    <w:rsid w:val="00B73A23"/>
    <w:rsid w:val="00B73BBF"/>
    <w:rsid w:val="00B74B09"/>
    <w:rsid w:val="00B7530F"/>
    <w:rsid w:val="00B7617C"/>
    <w:rsid w:val="00B7670C"/>
    <w:rsid w:val="00B77F86"/>
    <w:rsid w:val="00B8249C"/>
    <w:rsid w:val="00B824FF"/>
    <w:rsid w:val="00B82FBD"/>
    <w:rsid w:val="00B83774"/>
    <w:rsid w:val="00B83CA6"/>
    <w:rsid w:val="00B85330"/>
    <w:rsid w:val="00B854E3"/>
    <w:rsid w:val="00B85768"/>
    <w:rsid w:val="00B85A24"/>
    <w:rsid w:val="00B85C1D"/>
    <w:rsid w:val="00B86773"/>
    <w:rsid w:val="00B86F63"/>
    <w:rsid w:val="00B87958"/>
    <w:rsid w:val="00B87EDD"/>
    <w:rsid w:val="00B905E0"/>
    <w:rsid w:val="00B9117C"/>
    <w:rsid w:val="00B91AA7"/>
    <w:rsid w:val="00B91E45"/>
    <w:rsid w:val="00B921F5"/>
    <w:rsid w:val="00B92AA6"/>
    <w:rsid w:val="00B94109"/>
    <w:rsid w:val="00B941C1"/>
    <w:rsid w:val="00B945B1"/>
    <w:rsid w:val="00B950E5"/>
    <w:rsid w:val="00B95295"/>
    <w:rsid w:val="00B9561F"/>
    <w:rsid w:val="00B95BFE"/>
    <w:rsid w:val="00B95D67"/>
    <w:rsid w:val="00B96BEA"/>
    <w:rsid w:val="00B97045"/>
    <w:rsid w:val="00B973A0"/>
    <w:rsid w:val="00B977E9"/>
    <w:rsid w:val="00BA00AD"/>
    <w:rsid w:val="00BA02F2"/>
    <w:rsid w:val="00BA0565"/>
    <w:rsid w:val="00BA0ABA"/>
    <w:rsid w:val="00BA1138"/>
    <w:rsid w:val="00BA35FA"/>
    <w:rsid w:val="00BA36DE"/>
    <w:rsid w:val="00BA44E1"/>
    <w:rsid w:val="00BA535F"/>
    <w:rsid w:val="00BA5B0A"/>
    <w:rsid w:val="00BA61E0"/>
    <w:rsid w:val="00BA675F"/>
    <w:rsid w:val="00BA6D60"/>
    <w:rsid w:val="00BA7289"/>
    <w:rsid w:val="00BA74F5"/>
    <w:rsid w:val="00BA7B05"/>
    <w:rsid w:val="00BA7C84"/>
    <w:rsid w:val="00BB0BBA"/>
    <w:rsid w:val="00BB28AD"/>
    <w:rsid w:val="00BB3F98"/>
    <w:rsid w:val="00BB421E"/>
    <w:rsid w:val="00BB45F6"/>
    <w:rsid w:val="00BB6415"/>
    <w:rsid w:val="00BB7107"/>
    <w:rsid w:val="00BB737A"/>
    <w:rsid w:val="00BB7E84"/>
    <w:rsid w:val="00BC023E"/>
    <w:rsid w:val="00BC0B11"/>
    <w:rsid w:val="00BC12B4"/>
    <w:rsid w:val="00BC180F"/>
    <w:rsid w:val="00BC210F"/>
    <w:rsid w:val="00BC50B0"/>
    <w:rsid w:val="00BC6700"/>
    <w:rsid w:val="00BC6D9B"/>
    <w:rsid w:val="00BC71AF"/>
    <w:rsid w:val="00BC71B0"/>
    <w:rsid w:val="00BC726A"/>
    <w:rsid w:val="00BC7397"/>
    <w:rsid w:val="00BC7A69"/>
    <w:rsid w:val="00BC7D39"/>
    <w:rsid w:val="00BD023D"/>
    <w:rsid w:val="00BD0FC3"/>
    <w:rsid w:val="00BD12DA"/>
    <w:rsid w:val="00BD1A1E"/>
    <w:rsid w:val="00BD1BB9"/>
    <w:rsid w:val="00BD1E7E"/>
    <w:rsid w:val="00BD1EC9"/>
    <w:rsid w:val="00BD1F4C"/>
    <w:rsid w:val="00BD20A5"/>
    <w:rsid w:val="00BD2A93"/>
    <w:rsid w:val="00BD31A6"/>
    <w:rsid w:val="00BD5105"/>
    <w:rsid w:val="00BD520F"/>
    <w:rsid w:val="00BD639E"/>
    <w:rsid w:val="00BE01E7"/>
    <w:rsid w:val="00BE3409"/>
    <w:rsid w:val="00BE4740"/>
    <w:rsid w:val="00BE64DA"/>
    <w:rsid w:val="00BE74BC"/>
    <w:rsid w:val="00BE7E58"/>
    <w:rsid w:val="00BF02EE"/>
    <w:rsid w:val="00BF04E7"/>
    <w:rsid w:val="00BF105E"/>
    <w:rsid w:val="00BF24A6"/>
    <w:rsid w:val="00BF39EF"/>
    <w:rsid w:val="00BF3EA8"/>
    <w:rsid w:val="00BF45BB"/>
    <w:rsid w:val="00BF4C3F"/>
    <w:rsid w:val="00BF734C"/>
    <w:rsid w:val="00C00564"/>
    <w:rsid w:val="00C0057E"/>
    <w:rsid w:val="00C00922"/>
    <w:rsid w:val="00C00F85"/>
    <w:rsid w:val="00C01086"/>
    <w:rsid w:val="00C01D37"/>
    <w:rsid w:val="00C03124"/>
    <w:rsid w:val="00C03269"/>
    <w:rsid w:val="00C0483F"/>
    <w:rsid w:val="00C04D40"/>
    <w:rsid w:val="00C065CF"/>
    <w:rsid w:val="00C10847"/>
    <w:rsid w:val="00C1113C"/>
    <w:rsid w:val="00C11928"/>
    <w:rsid w:val="00C11C8A"/>
    <w:rsid w:val="00C11CD7"/>
    <w:rsid w:val="00C11CFD"/>
    <w:rsid w:val="00C1202E"/>
    <w:rsid w:val="00C12662"/>
    <w:rsid w:val="00C1408D"/>
    <w:rsid w:val="00C147CC"/>
    <w:rsid w:val="00C14AC8"/>
    <w:rsid w:val="00C14D1D"/>
    <w:rsid w:val="00C1500E"/>
    <w:rsid w:val="00C15A94"/>
    <w:rsid w:val="00C15C76"/>
    <w:rsid w:val="00C15FA0"/>
    <w:rsid w:val="00C16ECA"/>
    <w:rsid w:val="00C17827"/>
    <w:rsid w:val="00C20884"/>
    <w:rsid w:val="00C20A6D"/>
    <w:rsid w:val="00C21A68"/>
    <w:rsid w:val="00C23121"/>
    <w:rsid w:val="00C234B4"/>
    <w:rsid w:val="00C238F7"/>
    <w:rsid w:val="00C241F6"/>
    <w:rsid w:val="00C26DB6"/>
    <w:rsid w:val="00C27562"/>
    <w:rsid w:val="00C300B8"/>
    <w:rsid w:val="00C30B49"/>
    <w:rsid w:val="00C31374"/>
    <w:rsid w:val="00C314CF"/>
    <w:rsid w:val="00C31DBE"/>
    <w:rsid w:val="00C33A4E"/>
    <w:rsid w:val="00C33D50"/>
    <w:rsid w:val="00C34434"/>
    <w:rsid w:val="00C34BCB"/>
    <w:rsid w:val="00C34F5B"/>
    <w:rsid w:val="00C35381"/>
    <w:rsid w:val="00C37962"/>
    <w:rsid w:val="00C402C9"/>
    <w:rsid w:val="00C414F7"/>
    <w:rsid w:val="00C416A6"/>
    <w:rsid w:val="00C420AE"/>
    <w:rsid w:val="00C4330C"/>
    <w:rsid w:val="00C435D6"/>
    <w:rsid w:val="00C43AB3"/>
    <w:rsid w:val="00C44063"/>
    <w:rsid w:val="00C4578C"/>
    <w:rsid w:val="00C45955"/>
    <w:rsid w:val="00C45D5B"/>
    <w:rsid w:val="00C46415"/>
    <w:rsid w:val="00C4660D"/>
    <w:rsid w:val="00C466F1"/>
    <w:rsid w:val="00C507BB"/>
    <w:rsid w:val="00C517A3"/>
    <w:rsid w:val="00C518E4"/>
    <w:rsid w:val="00C546B7"/>
    <w:rsid w:val="00C5514E"/>
    <w:rsid w:val="00C55BD0"/>
    <w:rsid w:val="00C55DEE"/>
    <w:rsid w:val="00C55F08"/>
    <w:rsid w:val="00C57050"/>
    <w:rsid w:val="00C57135"/>
    <w:rsid w:val="00C57FF7"/>
    <w:rsid w:val="00C60779"/>
    <w:rsid w:val="00C60856"/>
    <w:rsid w:val="00C60964"/>
    <w:rsid w:val="00C61CBA"/>
    <w:rsid w:val="00C627AE"/>
    <w:rsid w:val="00C63E36"/>
    <w:rsid w:val="00C63FB8"/>
    <w:rsid w:val="00C6447F"/>
    <w:rsid w:val="00C64822"/>
    <w:rsid w:val="00C66143"/>
    <w:rsid w:val="00C66B69"/>
    <w:rsid w:val="00C676D6"/>
    <w:rsid w:val="00C679DE"/>
    <w:rsid w:val="00C67EA2"/>
    <w:rsid w:val="00C70013"/>
    <w:rsid w:val="00C70AE5"/>
    <w:rsid w:val="00C7102C"/>
    <w:rsid w:val="00C7179B"/>
    <w:rsid w:val="00C71AFF"/>
    <w:rsid w:val="00C723C0"/>
    <w:rsid w:val="00C7326E"/>
    <w:rsid w:val="00C73EA3"/>
    <w:rsid w:val="00C7401A"/>
    <w:rsid w:val="00C744D2"/>
    <w:rsid w:val="00C759E1"/>
    <w:rsid w:val="00C75B66"/>
    <w:rsid w:val="00C75BD4"/>
    <w:rsid w:val="00C76258"/>
    <w:rsid w:val="00C766D9"/>
    <w:rsid w:val="00C77F21"/>
    <w:rsid w:val="00C81635"/>
    <w:rsid w:val="00C820DE"/>
    <w:rsid w:val="00C824C6"/>
    <w:rsid w:val="00C83C40"/>
    <w:rsid w:val="00C866DE"/>
    <w:rsid w:val="00C86FF6"/>
    <w:rsid w:val="00C871CA"/>
    <w:rsid w:val="00C900C4"/>
    <w:rsid w:val="00C90573"/>
    <w:rsid w:val="00C90DE0"/>
    <w:rsid w:val="00C917DA"/>
    <w:rsid w:val="00C91ED4"/>
    <w:rsid w:val="00C92A6E"/>
    <w:rsid w:val="00C93292"/>
    <w:rsid w:val="00C93504"/>
    <w:rsid w:val="00C93644"/>
    <w:rsid w:val="00C94189"/>
    <w:rsid w:val="00C94930"/>
    <w:rsid w:val="00C94FA8"/>
    <w:rsid w:val="00C95B2F"/>
    <w:rsid w:val="00C95DE6"/>
    <w:rsid w:val="00C96080"/>
    <w:rsid w:val="00C9623B"/>
    <w:rsid w:val="00C96497"/>
    <w:rsid w:val="00C96587"/>
    <w:rsid w:val="00C96B80"/>
    <w:rsid w:val="00C96FA8"/>
    <w:rsid w:val="00C97AF6"/>
    <w:rsid w:val="00CA1399"/>
    <w:rsid w:val="00CA13DD"/>
    <w:rsid w:val="00CA4005"/>
    <w:rsid w:val="00CA6B62"/>
    <w:rsid w:val="00CA794C"/>
    <w:rsid w:val="00CA7F04"/>
    <w:rsid w:val="00CB1305"/>
    <w:rsid w:val="00CB13D9"/>
    <w:rsid w:val="00CB1B8B"/>
    <w:rsid w:val="00CB1E9C"/>
    <w:rsid w:val="00CB4CD8"/>
    <w:rsid w:val="00CB5A82"/>
    <w:rsid w:val="00CB5C77"/>
    <w:rsid w:val="00CB5FEB"/>
    <w:rsid w:val="00CB6ED2"/>
    <w:rsid w:val="00CB7974"/>
    <w:rsid w:val="00CB7A57"/>
    <w:rsid w:val="00CC00E8"/>
    <w:rsid w:val="00CC0367"/>
    <w:rsid w:val="00CC1C4A"/>
    <w:rsid w:val="00CC1D47"/>
    <w:rsid w:val="00CC33CA"/>
    <w:rsid w:val="00CC346E"/>
    <w:rsid w:val="00CC3818"/>
    <w:rsid w:val="00CC3836"/>
    <w:rsid w:val="00CC39F0"/>
    <w:rsid w:val="00CC3BC2"/>
    <w:rsid w:val="00CC3CB5"/>
    <w:rsid w:val="00CC450D"/>
    <w:rsid w:val="00CC4AAB"/>
    <w:rsid w:val="00CC4DBA"/>
    <w:rsid w:val="00CC6412"/>
    <w:rsid w:val="00CC7280"/>
    <w:rsid w:val="00CD0822"/>
    <w:rsid w:val="00CD08A7"/>
    <w:rsid w:val="00CD1521"/>
    <w:rsid w:val="00CD17E8"/>
    <w:rsid w:val="00CD187A"/>
    <w:rsid w:val="00CD2A24"/>
    <w:rsid w:val="00CD31FB"/>
    <w:rsid w:val="00CD39F0"/>
    <w:rsid w:val="00CD3F90"/>
    <w:rsid w:val="00CD4FEF"/>
    <w:rsid w:val="00CD56B9"/>
    <w:rsid w:val="00CD58F0"/>
    <w:rsid w:val="00CD5BB7"/>
    <w:rsid w:val="00CD6389"/>
    <w:rsid w:val="00CD69CA"/>
    <w:rsid w:val="00CD6B6B"/>
    <w:rsid w:val="00CD6C75"/>
    <w:rsid w:val="00CD6CB4"/>
    <w:rsid w:val="00CD7910"/>
    <w:rsid w:val="00CE01A2"/>
    <w:rsid w:val="00CE0A60"/>
    <w:rsid w:val="00CE0FFD"/>
    <w:rsid w:val="00CE1222"/>
    <w:rsid w:val="00CE1816"/>
    <w:rsid w:val="00CE1B00"/>
    <w:rsid w:val="00CE2580"/>
    <w:rsid w:val="00CE2E43"/>
    <w:rsid w:val="00CE37DD"/>
    <w:rsid w:val="00CE3A4B"/>
    <w:rsid w:val="00CE3DFA"/>
    <w:rsid w:val="00CE4A58"/>
    <w:rsid w:val="00CE4C03"/>
    <w:rsid w:val="00CE4CC1"/>
    <w:rsid w:val="00CE5337"/>
    <w:rsid w:val="00CE5E6D"/>
    <w:rsid w:val="00CE6E40"/>
    <w:rsid w:val="00CE6FB9"/>
    <w:rsid w:val="00CE742F"/>
    <w:rsid w:val="00CE7A84"/>
    <w:rsid w:val="00CE7D4C"/>
    <w:rsid w:val="00CF03B3"/>
    <w:rsid w:val="00CF1295"/>
    <w:rsid w:val="00CF16A4"/>
    <w:rsid w:val="00CF1BE4"/>
    <w:rsid w:val="00CF2499"/>
    <w:rsid w:val="00CF524C"/>
    <w:rsid w:val="00CF586B"/>
    <w:rsid w:val="00CF5C85"/>
    <w:rsid w:val="00CF5F6A"/>
    <w:rsid w:val="00D004C7"/>
    <w:rsid w:val="00D0063E"/>
    <w:rsid w:val="00D006C4"/>
    <w:rsid w:val="00D00889"/>
    <w:rsid w:val="00D01EFC"/>
    <w:rsid w:val="00D02DEB"/>
    <w:rsid w:val="00D03116"/>
    <w:rsid w:val="00D04A3B"/>
    <w:rsid w:val="00D050D4"/>
    <w:rsid w:val="00D05299"/>
    <w:rsid w:val="00D05348"/>
    <w:rsid w:val="00D05441"/>
    <w:rsid w:val="00D06683"/>
    <w:rsid w:val="00D06CE7"/>
    <w:rsid w:val="00D07632"/>
    <w:rsid w:val="00D0789D"/>
    <w:rsid w:val="00D101D8"/>
    <w:rsid w:val="00D10F5F"/>
    <w:rsid w:val="00D12207"/>
    <w:rsid w:val="00D14351"/>
    <w:rsid w:val="00D143BE"/>
    <w:rsid w:val="00D1583B"/>
    <w:rsid w:val="00D15BEF"/>
    <w:rsid w:val="00D17245"/>
    <w:rsid w:val="00D17746"/>
    <w:rsid w:val="00D17A2D"/>
    <w:rsid w:val="00D17DA5"/>
    <w:rsid w:val="00D17FEB"/>
    <w:rsid w:val="00D21EF9"/>
    <w:rsid w:val="00D2248C"/>
    <w:rsid w:val="00D23785"/>
    <w:rsid w:val="00D2503C"/>
    <w:rsid w:val="00D25C58"/>
    <w:rsid w:val="00D25E52"/>
    <w:rsid w:val="00D26522"/>
    <w:rsid w:val="00D30312"/>
    <w:rsid w:val="00D30592"/>
    <w:rsid w:val="00D3062B"/>
    <w:rsid w:val="00D30B17"/>
    <w:rsid w:val="00D31114"/>
    <w:rsid w:val="00D31A0E"/>
    <w:rsid w:val="00D31EA5"/>
    <w:rsid w:val="00D32786"/>
    <w:rsid w:val="00D3320D"/>
    <w:rsid w:val="00D34061"/>
    <w:rsid w:val="00D3420E"/>
    <w:rsid w:val="00D348EC"/>
    <w:rsid w:val="00D3545C"/>
    <w:rsid w:val="00D35FEF"/>
    <w:rsid w:val="00D36117"/>
    <w:rsid w:val="00D366F2"/>
    <w:rsid w:val="00D36846"/>
    <w:rsid w:val="00D41C6B"/>
    <w:rsid w:val="00D421C2"/>
    <w:rsid w:val="00D42E48"/>
    <w:rsid w:val="00D43978"/>
    <w:rsid w:val="00D44261"/>
    <w:rsid w:val="00D44294"/>
    <w:rsid w:val="00D448D2"/>
    <w:rsid w:val="00D46319"/>
    <w:rsid w:val="00D463D7"/>
    <w:rsid w:val="00D46B5A"/>
    <w:rsid w:val="00D46E9C"/>
    <w:rsid w:val="00D47363"/>
    <w:rsid w:val="00D47589"/>
    <w:rsid w:val="00D4788E"/>
    <w:rsid w:val="00D513DE"/>
    <w:rsid w:val="00D519A6"/>
    <w:rsid w:val="00D51DF2"/>
    <w:rsid w:val="00D51F71"/>
    <w:rsid w:val="00D53991"/>
    <w:rsid w:val="00D53B53"/>
    <w:rsid w:val="00D53D02"/>
    <w:rsid w:val="00D53E43"/>
    <w:rsid w:val="00D54A25"/>
    <w:rsid w:val="00D54AD2"/>
    <w:rsid w:val="00D54D85"/>
    <w:rsid w:val="00D55647"/>
    <w:rsid w:val="00D56571"/>
    <w:rsid w:val="00D5658A"/>
    <w:rsid w:val="00D56B11"/>
    <w:rsid w:val="00D576AB"/>
    <w:rsid w:val="00D57C9C"/>
    <w:rsid w:val="00D60561"/>
    <w:rsid w:val="00D617E1"/>
    <w:rsid w:val="00D61F1F"/>
    <w:rsid w:val="00D62105"/>
    <w:rsid w:val="00D6293A"/>
    <w:rsid w:val="00D62FDF"/>
    <w:rsid w:val="00D6444A"/>
    <w:rsid w:val="00D64D63"/>
    <w:rsid w:val="00D6602E"/>
    <w:rsid w:val="00D67426"/>
    <w:rsid w:val="00D67610"/>
    <w:rsid w:val="00D67BCF"/>
    <w:rsid w:val="00D67D1C"/>
    <w:rsid w:val="00D70A29"/>
    <w:rsid w:val="00D710C0"/>
    <w:rsid w:val="00D71406"/>
    <w:rsid w:val="00D7292F"/>
    <w:rsid w:val="00D73077"/>
    <w:rsid w:val="00D736F6"/>
    <w:rsid w:val="00D73CF9"/>
    <w:rsid w:val="00D73F41"/>
    <w:rsid w:val="00D74461"/>
    <w:rsid w:val="00D74A6E"/>
    <w:rsid w:val="00D754C6"/>
    <w:rsid w:val="00D76C6E"/>
    <w:rsid w:val="00D76D34"/>
    <w:rsid w:val="00D7727F"/>
    <w:rsid w:val="00D80FC7"/>
    <w:rsid w:val="00D81065"/>
    <w:rsid w:val="00D816C6"/>
    <w:rsid w:val="00D8174B"/>
    <w:rsid w:val="00D81811"/>
    <w:rsid w:val="00D81AC7"/>
    <w:rsid w:val="00D82AF2"/>
    <w:rsid w:val="00D835C8"/>
    <w:rsid w:val="00D837DE"/>
    <w:rsid w:val="00D84963"/>
    <w:rsid w:val="00D84EEF"/>
    <w:rsid w:val="00D85CF2"/>
    <w:rsid w:val="00D862FF"/>
    <w:rsid w:val="00D86D34"/>
    <w:rsid w:val="00D86F0B"/>
    <w:rsid w:val="00D901EC"/>
    <w:rsid w:val="00D90332"/>
    <w:rsid w:val="00D90398"/>
    <w:rsid w:val="00D90AAF"/>
    <w:rsid w:val="00D90C43"/>
    <w:rsid w:val="00D90E11"/>
    <w:rsid w:val="00D90F33"/>
    <w:rsid w:val="00D9191C"/>
    <w:rsid w:val="00D92211"/>
    <w:rsid w:val="00D92449"/>
    <w:rsid w:val="00D930E1"/>
    <w:rsid w:val="00D93DB1"/>
    <w:rsid w:val="00D9450D"/>
    <w:rsid w:val="00D94B48"/>
    <w:rsid w:val="00D94D1E"/>
    <w:rsid w:val="00D951F5"/>
    <w:rsid w:val="00D953FB"/>
    <w:rsid w:val="00D954E5"/>
    <w:rsid w:val="00D9680A"/>
    <w:rsid w:val="00D96B6E"/>
    <w:rsid w:val="00D97339"/>
    <w:rsid w:val="00D97FBA"/>
    <w:rsid w:val="00DA05F5"/>
    <w:rsid w:val="00DA0B74"/>
    <w:rsid w:val="00DA0D3A"/>
    <w:rsid w:val="00DA1C27"/>
    <w:rsid w:val="00DA221B"/>
    <w:rsid w:val="00DA2250"/>
    <w:rsid w:val="00DA3D95"/>
    <w:rsid w:val="00DA49AB"/>
    <w:rsid w:val="00DA62CB"/>
    <w:rsid w:val="00DA6588"/>
    <w:rsid w:val="00DA705E"/>
    <w:rsid w:val="00DB036B"/>
    <w:rsid w:val="00DB2592"/>
    <w:rsid w:val="00DB2636"/>
    <w:rsid w:val="00DB28B3"/>
    <w:rsid w:val="00DB3B66"/>
    <w:rsid w:val="00DB3BFD"/>
    <w:rsid w:val="00DB4A2B"/>
    <w:rsid w:val="00DB4C49"/>
    <w:rsid w:val="00DB7C44"/>
    <w:rsid w:val="00DB7D08"/>
    <w:rsid w:val="00DC0735"/>
    <w:rsid w:val="00DC3262"/>
    <w:rsid w:val="00DC5FA5"/>
    <w:rsid w:val="00DC605B"/>
    <w:rsid w:val="00DC63BB"/>
    <w:rsid w:val="00DC6B4F"/>
    <w:rsid w:val="00DC7F53"/>
    <w:rsid w:val="00DD001F"/>
    <w:rsid w:val="00DD014C"/>
    <w:rsid w:val="00DD02B1"/>
    <w:rsid w:val="00DD187B"/>
    <w:rsid w:val="00DD1BAA"/>
    <w:rsid w:val="00DD2720"/>
    <w:rsid w:val="00DD2BF0"/>
    <w:rsid w:val="00DD35C5"/>
    <w:rsid w:val="00DD4B42"/>
    <w:rsid w:val="00DD4B51"/>
    <w:rsid w:val="00DD544E"/>
    <w:rsid w:val="00DD54CE"/>
    <w:rsid w:val="00DD5F0D"/>
    <w:rsid w:val="00DD7FC5"/>
    <w:rsid w:val="00DD7FD9"/>
    <w:rsid w:val="00DE1130"/>
    <w:rsid w:val="00DE14D3"/>
    <w:rsid w:val="00DE17A5"/>
    <w:rsid w:val="00DE1824"/>
    <w:rsid w:val="00DE1E69"/>
    <w:rsid w:val="00DE24CC"/>
    <w:rsid w:val="00DE341B"/>
    <w:rsid w:val="00DE49C4"/>
    <w:rsid w:val="00DE4A0B"/>
    <w:rsid w:val="00DE4C13"/>
    <w:rsid w:val="00DE4DF9"/>
    <w:rsid w:val="00DE50DE"/>
    <w:rsid w:val="00DE53CA"/>
    <w:rsid w:val="00DE5733"/>
    <w:rsid w:val="00DE5FBA"/>
    <w:rsid w:val="00DE6340"/>
    <w:rsid w:val="00DE6976"/>
    <w:rsid w:val="00DE7231"/>
    <w:rsid w:val="00DE79B4"/>
    <w:rsid w:val="00DE7AAA"/>
    <w:rsid w:val="00DE7AC7"/>
    <w:rsid w:val="00DF00EB"/>
    <w:rsid w:val="00DF075C"/>
    <w:rsid w:val="00DF09EE"/>
    <w:rsid w:val="00DF12F6"/>
    <w:rsid w:val="00DF21E5"/>
    <w:rsid w:val="00DF2201"/>
    <w:rsid w:val="00DF223F"/>
    <w:rsid w:val="00DF31E5"/>
    <w:rsid w:val="00DF327C"/>
    <w:rsid w:val="00DF3E10"/>
    <w:rsid w:val="00DF3F52"/>
    <w:rsid w:val="00DF3FE8"/>
    <w:rsid w:val="00DF4234"/>
    <w:rsid w:val="00DF42AA"/>
    <w:rsid w:val="00DF4495"/>
    <w:rsid w:val="00DF4516"/>
    <w:rsid w:val="00DF482D"/>
    <w:rsid w:val="00DF79D1"/>
    <w:rsid w:val="00DF7F6E"/>
    <w:rsid w:val="00DF7F8F"/>
    <w:rsid w:val="00E000F2"/>
    <w:rsid w:val="00E001B5"/>
    <w:rsid w:val="00E010A6"/>
    <w:rsid w:val="00E023C1"/>
    <w:rsid w:val="00E0279D"/>
    <w:rsid w:val="00E04873"/>
    <w:rsid w:val="00E04A50"/>
    <w:rsid w:val="00E04E1B"/>
    <w:rsid w:val="00E056F8"/>
    <w:rsid w:val="00E05ECE"/>
    <w:rsid w:val="00E06085"/>
    <w:rsid w:val="00E06833"/>
    <w:rsid w:val="00E072CE"/>
    <w:rsid w:val="00E079E6"/>
    <w:rsid w:val="00E10AE4"/>
    <w:rsid w:val="00E1214C"/>
    <w:rsid w:val="00E12195"/>
    <w:rsid w:val="00E13201"/>
    <w:rsid w:val="00E1354A"/>
    <w:rsid w:val="00E15855"/>
    <w:rsid w:val="00E15CC3"/>
    <w:rsid w:val="00E175D9"/>
    <w:rsid w:val="00E20AA4"/>
    <w:rsid w:val="00E216AB"/>
    <w:rsid w:val="00E21B0E"/>
    <w:rsid w:val="00E22B00"/>
    <w:rsid w:val="00E24435"/>
    <w:rsid w:val="00E25D6C"/>
    <w:rsid w:val="00E27255"/>
    <w:rsid w:val="00E27BBB"/>
    <w:rsid w:val="00E304D7"/>
    <w:rsid w:val="00E30673"/>
    <w:rsid w:val="00E326B9"/>
    <w:rsid w:val="00E32B27"/>
    <w:rsid w:val="00E3371D"/>
    <w:rsid w:val="00E34249"/>
    <w:rsid w:val="00E349CA"/>
    <w:rsid w:val="00E3594D"/>
    <w:rsid w:val="00E35C20"/>
    <w:rsid w:val="00E37057"/>
    <w:rsid w:val="00E37BFB"/>
    <w:rsid w:val="00E37E29"/>
    <w:rsid w:val="00E4009D"/>
    <w:rsid w:val="00E4017A"/>
    <w:rsid w:val="00E409F8"/>
    <w:rsid w:val="00E40BE7"/>
    <w:rsid w:val="00E412DE"/>
    <w:rsid w:val="00E41579"/>
    <w:rsid w:val="00E416B7"/>
    <w:rsid w:val="00E41CFF"/>
    <w:rsid w:val="00E41F3A"/>
    <w:rsid w:val="00E42517"/>
    <w:rsid w:val="00E43903"/>
    <w:rsid w:val="00E44C1C"/>
    <w:rsid w:val="00E44D88"/>
    <w:rsid w:val="00E4516D"/>
    <w:rsid w:val="00E45187"/>
    <w:rsid w:val="00E451EC"/>
    <w:rsid w:val="00E454AA"/>
    <w:rsid w:val="00E45B4B"/>
    <w:rsid w:val="00E46719"/>
    <w:rsid w:val="00E46847"/>
    <w:rsid w:val="00E46BCF"/>
    <w:rsid w:val="00E46DCA"/>
    <w:rsid w:val="00E4724E"/>
    <w:rsid w:val="00E50763"/>
    <w:rsid w:val="00E52093"/>
    <w:rsid w:val="00E52400"/>
    <w:rsid w:val="00E5257B"/>
    <w:rsid w:val="00E539A2"/>
    <w:rsid w:val="00E54569"/>
    <w:rsid w:val="00E55812"/>
    <w:rsid w:val="00E5586E"/>
    <w:rsid w:val="00E55CCF"/>
    <w:rsid w:val="00E560A0"/>
    <w:rsid w:val="00E560B3"/>
    <w:rsid w:val="00E56DBC"/>
    <w:rsid w:val="00E57079"/>
    <w:rsid w:val="00E60954"/>
    <w:rsid w:val="00E62478"/>
    <w:rsid w:val="00E62E4E"/>
    <w:rsid w:val="00E6391E"/>
    <w:rsid w:val="00E64B54"/>
    <w:rsid w:val="00E64D9C"/>
    <w:rsid w:val="00E651DF"/>
    <w:rsid w:val="00E65FF5"/>
    <w:rsid w:val="00E663FD"/>
    <w:rsid w:val="00E669E8"/>
    <w:rsid w:val="00E6786C"/>
    <w:rsid w:val="00E67E32"/>
    <w:rsid w:val="00E67FF4"/>
    <w:rsid w:val="00E70507"/>
    <w:rsid w:val="00E7154F"/>
    <w:rsid w:val="00E71F44"/>
    <w:rsid w:val="00E72E12"/>
    <w:rsid w:val="00E731D7"/>
    <w:rsid w:val="00E75734"/>
    <w:rsid w:val="00E7626D"/>
    <w:rsid w:val="00E765BD"/>
    <w:rsid w:val="00E76F47"/>
    <w:rsid w:val="00E77B08"/>
    <w:rsid w:val="00E802D2"/>
    <w:rsid w:val="00E8181C"/>
    <w:rsid w:val="00E818A6"/>
    <w:rsid w:val="00E824DE"/>
    <w:rsid w:val="00E82536"/>
    <w:rsid w:val="00E829D5"/>
    <w:rsid w:val="00E83388"/>
    <w:rsid w:val="00E83E58"/>
    <w:rsid w:val="00E83F9A"/>
    <w:rsid w:val="00E84AE0"/>
    <w:rsid w:val="00E8501D"/>
    <w:rsid w:val="00E857D2"/>
    <w:rsid w:val="00E85B04"/>
    <w:rsid w:val="00E85BD9"/>
    <w:rsid w:val="00E85D5D"/>
    <w:rsid w:val="00E86932"/>
    <w:rsid w:val="00E87795"/>
    <w:rsid w:val="00E90072"/>
    <w:rsid w:val="00E90C17"/>
    <w:rsid w:val="00E90C5E"/>
    <w:rsid w:val="00E90E08"/>
    <w:rsid w:val="00E90E43"/>
    <w:rsid w:val="00E91BFF"/>
    <w:rsid w:val="00E92AF6"/>
    <w:rsid w:val="00E932D2"/>
    <w:rsid w:val="00E936F6"/>
    <w:rsid w:val="00E94291"/>
    <w:rsid w:val="00E94D90"/>
    <w:rsid w:val="00E95038"/>
    <w:rsid w:val="00E95A66"/>
    <w:rsid w:val="00E95C9A"/>
    <w:rsid w:val="00E95D7B"/>
    <w:rsid w:val="00E963C4"/>
    <w:rsid w:val="00E96E56"/>
    <w:rsid w:val="00E96F4D"/>
    <w:rsid w:val="00E97237"/>
    <w:rsid w:val="00E97C07"/>
    <w:rsid w:val="00EA0217"/>
    <w:rsid w:val="00EA2036"/>
    <w:rsid w:val="00EA2901"/>
    <w:rsid w:val="00EA2B34"/>
    <w:rsid w:val="00EA2CB0"/>
    <w:rsid w:val="00EA31BC"/>
    <w:rsid w:val="00EA3BC0"/>
    <w:rsid w:val="00EA4FB5"/>
    <w:rsid w:val="00EA512D"/>
    <w:rsid w:val="00EA67EF"/>
    <w:rsid w:val="00EA7310"/>
    <w:rsid w:val="00EA7B26"/>
    <w:rsid w:val="00EB1620"/>
    <w:rsid w:val="00EB1898"/>
    <w:rsid w:val="00EB2B29"/>
    <w:rsid w:val="00EB47C1"/>
    <w:rsid w:val="00EB4CDE"/>
    <w:rsid w:val="00EB5068"/>
    <w:rsid w:val="00EB78A3"/>
    <w:rsid w:val="00EC05AD"/>
    <w:rsid w:val="00EC142F"/>
    <w:rsid w:val="00EC1F17"/>
    <w:rsid w:val="00EC2435"/>
    <w:rsid w:val="00EC2C42"/>
    <w:rsid w:val="00EC34A7"/>
    <w:rsid w:val="00EC3D2B"/>
    <w:rsid w:val="00EC4471"/>
    <w:rsid w:val="00EC45E9"/>
    <w:rsid w:val="00EC4A3D"/>
    <w:rsid w:val="00EC5F92"/>
    <w:rsid w:val="00EC6444"/>
    <w:rsid w:val="00EC78CC"/>
    <w:rsid w:val="00ED0BFF"/>
    <w:rsid w:val="00ED164D"/>
    <w:rsid w:val="00ED172B"/>
    <w:rsid w:val="00ED20DF"/>
    <w:rsid w:val="00ED396D"/>
    <w:rsid w:val="00ED3A5C"/>
    <w:rsid w:val="00ED45E7"/>
    <w:rsid w:val="00ED46E3"/>
    <w:rsid w:val="00ED4E70"/>
    <w:rsid w:val="00ED58AD"/>
    <w:rsid w:val="00ED68F2"/>
    <w:rsid w:val="00ED6D3E"/>
    <w:rsid w:val="00ED7835"/>
    <w:rsid w:val="00ED7F08"/>
    <w:rsid w:val="00EE0DA0"/>
    <w:rsid w:val="00EE335C"/>
    <w:rsid w:val="00EE33B7"/>
    <w:rsid w:val="00EE4247"/>
    <w:rsid w:val="00EE550E"/>
    <w:rsid w:val="00EE5C11"/>
    <w:rsid w:val="00EE5E4F"/>
    <w:rsid w:val="00EE635E"/>
    <w:rsid w:val="00EE6785"/>
    <w:rsid w:val="00EE708B"/>
    <w:rsid w:val="00EE77BE"/>
    <w:rsid w:val="00EE7B0A"/>
    <w:rsid w:val="00EF26BD"/>
    <w:rsid w:val="00EF2F70"/>
    <w:rsid w:val="00EF2F7E"/>
    <w:rsid w:val="00EF3066"/>
    <w:rsid w:val="00EF339B"/>
    <w:rsid w:val="00EF46A7"/>
    <w:rsid w:val="00EF56D6"/>
    <w:rsid w:val="00EF56E9"/>
    <w:rsid w:val="00EF5F2F"/>
    <w:rsid w:val="00EF60A6"/>
    <w:rsid w:val="00EF691A"/>
    <w:rsid w:val="00EF6E61"/>
    <w:rsid w:val="00EF7419"/>
    <w:rsid w:val="00F0166F"/>
    <w:rsid w:val="00F018F7"/>
    <w:rsid w:val="00F0239D"/>
    <w:rsid w:val="00F02473"/>
    <w:rsid w:val="00F03D54"/>
    <w:rsid w:val="00F046C5"/>
    <w:rsid w:val="00F0500A"/>
    <w:rsid w:val="00F0618A"/>
    <w:rsid w:val="00F0618F"/>
    <w:rsid w:val="00F061E8"/>
    <w:rsid w:val="00F072EA"/>
    <w:rsid w:val="00F07B0C"/>
    <w:rsid w:val="00F101E1"/>
    <w:rsid w:val="00F10244"/>
    <w:rsid w:val="00F10681"/>
    <w:rsid w:val="00F10AB5"/>
    <w:rsid w:val="00F10E89"/>
    <w:rsid w:val="00F1165B"/>
    <w:rsid w:val="00F121AF"/>
    <w:rsid w:val="00F12353"/>
    <w:rsid w:val="00F1359D"/>
    <w:rsid w:val="00F13E58"/>
    <w:rsid w:val="00F14137"/>
    <w:rsid w:val="00F14141"/>
    <w:rsid w:val="00F14149"/>
    <w:rsid w:val="00F142CD"/>
    <w:rsid w:val="00F14733"/>
    <w:rsid w:val="00F1541C"/>
    <w:rsid w:val="00F1590D"/>
    <w:rsid w:val="00F15AC9"/>
    <w:rsid w:val="00F16B6E"/>
    <w:rsid w:val="00F20D2E"/>
    <w:rsid w:val="00F20ECE"/>
    <w:rsid w:val="00F229AB"/>
    <w:rsid w:val="00F22B7D"/>
    <w:rsid w:val="00F22D9C"/>
    <w:rsid w:val="00F235CC"/>
    <w:rsid w:val="00F26812"/>
    <w:rsid w:val="00F26F0E"/>
    <w:rsid w:val="00F2782E"/>
    <w:rsid w:val="00F30343"/>
    <w:rsid w:val="00F30E1D"/>
    <w:rsid w:val="00F31DB6"/>
    <w:rsid w:val="00F320B7"/>
    <w:rsid w:val="00F32588"/>
    <w:rsid w:val="00F3259F"/>
    <w:rsid w:val="00F32673"/>
    <w:rsid w:val="00F333B3"/>
    <w:rsid w:val="00F33454"/>
    <w:rsid w:val="00F33787"/>
    <w:rsid w:val="00F3497C"/>
    <w:rsid w:val="00F35A59"/>
    <w:rsid w:val="00F362B4"/>
    <w:rsid w:val="00F363FF"/>
    <w:rsid w:val="00F36C83"/>
    <w:rsid w:val="00F370CB"/>
    <w:rsid w:val="00F37503"/>
    <w:rsid w:val="00F37BF4"/>
    <w:rsid w:val="00F37F36"/>
    <w:rsid w:val="00F400B1"/>
    <w:rsid w:val="00F40FE4"/>
    <w:rsid w:val="00F412C9"/>
    <w:rsid w:val="00F418D9"/>
    <w:rsid w:val="00F42BD4"/>
    <w:rsid w:val="00F4418F"/>
    <w:rsid w:val="00F4482C"/>
    <w:rsid w:val="00F44DE2"/>
    <w:rsid w:val="00F45436"/>
    <w:rsid w:val="00F45DD5"/>
    <w:rsid w:val="00F45E17"/>
    <w:rsid w:val="00F4747D"/>
    <w:rsid w:val="00F47EE0"/>
    <w:rsid w:val="00F518DD"/>
    <w:rsid w:val="00F5229D"/>
    <w:rsid w:val="00F52BE3"/>
    <w:rsid w:val="00F52BFA"/>
    <w:rsid w:val="00F53884"/>
    <w:rsid w:val="00F53B84"/>
    <w:rsid w:val="00F5433C"/>
    <w:rsid w:val="00F54467"/>
    <w:rsid w:val="00F5457C"/>
    <w:rsid w:val="00F54F14"/>
    <w:rsid w:val="00F552AF"/>
    <w:rsid w:val="00F55DA2"/>
    <w:rsid w:val="00F565C0"/>
    <w:rsid w:val="00F56860"/>
    <w:rsid w:val="00F56878"/>
    <w:rsid w:val="00F56B7D"/>
    <w:rsid w:val="00F56E9A"/>
    <w:rsid w:val="00F57807"/>
    <w:rsid w:val="00F57D93"/>
    <w:rsid w:val="00F57F49"/>
    <w:rsid w:val="00F60918"/>
    <w:rsid w:val="00F61461"/>
    <w:rsid w:val="00F61919"/>
    <w:rsid w:val="00F61F4F"/>
    <w:rsid w:val="00F63E7D"/>
    <w:rsid w:val="00F64633"/>
    <w:rsid w:val="00F64E20"/>
    <w:rsid w:val="00F64E4E"/>
    <w:rsid w:val="00F659A7"/>
    <w:rsid w:val="00F65C06"/>
    <w:rsid w:val="00F65C90"/>
    <w:rsid w:val="00F66003"/>
    <w:rsid w:val="00F66587"/>
    <w:rsid w:val="00F66C62"/>
    <w:rsid w:val="00F701AF"/>
    <w:rsid w:val="00F703F2"/>
    <w:rsid w:val="00F704A5"/>
    <w:rsid w:val="00F70D59"/>
    <w:rsid w:val="00F71B41"/>
    <w:rsid w:val="00F727CA"/>
    <w:rsid w:val="00F73A21"/>
    <w:rsid w:val="00F73AC0"/>
    <w:rsid w:val="00F740F7"/>
    <w:rsid w:val="00F74AC1"/>
    <w:rsid w:val="00F74C8A"/>
    <w:rsid w:val="00F7572E"/>
    <w:rsid w:val="00F757C2"/>
    <w:rsid w:val="00F7682C"/>
    <w:rsid w:val="00F76D58"/>
    <w:rsid w:val="00F7792A"/>
    <w:rsid w:val="00F77CC8"/>
    <w:rsid w:val="00F77DF9"/>
    <w:rsid w:val="00F77F85"/>
    <w:rsid w:val="00F80544"/>
    <w:rsid w:val="00F81016"/>
    <w:rsid w:val="00F81A02"/>
    <w:rsid w:val="00F831EA"/>
    <w:rsid w:val="00F837A8"/>
    <w:rsid w:val="00F86700"/>
    <w:rsid w:val="00F86B0E"/>
    <w:rsid w:val="00F87325"/>
    <w:rsid w:val="00F87833"/>
    <w:rsid w:val="00F87CF4"/>
    <w:rsid w:val="00F87FCD"/>
    <w:rsid w:val="00F9105A"/>
    <w:rsid w:val="00F92BC8"/>
    <w:rsid w:val="00F932E5"/>
    <w:rsid w:val="00F9437E"/>
    <w:rsid w:val="00F947BE"/>
    <w:rsid w:val="00F949B0"/>
    <w:rsid w:val="00F95326"/>
    <w:rsid w:val="00F958BA"/>
    <w:rsid w:val="00FA155A"/>
    <w:rsid w:val="00FA164A"/>
    <w:rsid w:val="00FA1708"/>
    <w:rsid w:val="00FA1CD1"/>
    <w:rsid w:val="00FA360A"/>
    <w:rsid w:val="00FA5F4C"/>
    <w:rsid w:val="00FA611F"/>
    <w:rsid w:val="00FA714E"/>
    <w:rsid w:val="00FA77B1"/>
    <w:rsid w:val="00FB0842"/>
    <w:rsid w:val="00FB0A6F"/>
    <w:rsid w:val="00FB0B6A"/>
    <w:rsid w:val="00FB0DC9"/>
    <w:rsid w:val="00FB16D9"/>
    <w:rsid w:val="00FB19D3"/>
    <w:rsid w:val="00FB1B1B"/>
    <w:rsid w:val="00FB1EEE"/>
    <w:rsid w:val="00FB2015"/>
    <w:rsid w:val="00FB26E0"/>
    <w:rsid w:val="00FB2BDF"/>
    <w:rsid w:val="00FB37E5"/>
    <w:rsid w:val="00FB4122"/>
    <w:rsid w:val="00FB4B39"/>
    <w:rsid w:val="00FB5EEC"/>
    <w:rsid w:val="00FB71DB"/>
    <w:rsid w:val="00FB776C"/>
    <w:rsid w:val="00FC069E"/>
    <w:rsid w:val="00FC0731"/>
    <w:rsid w:val="00FC090D"/>
    <w:rsid w:val="00FC0CFA"/>
    <w:rsid w:val="00FC14AA"/>
    <w:rsid w:val="00FC1A7D"/>
    <w:rsid w:val="00FC1D14"/>
    <w:rsid w:val="00FC3166"/>
    <w:rsid w:val="00FC3243"/>
    <w:rsid w:val="00FC34D7"/>
    <w:rsid w:val="00FC3D79"/>
    <w:rsid w:val="00FC409C"/>
    <w:rsid w:val="00FC41AF"/>
    <w:rsid w:val="00FC5072"/>
    <w:rsid w:val="00FC5EF1"/>
    <w:rsid w:val="00FC740F"/>
    <w:rsid w:val="00FD1E5B"/>
    <w:rsid w:val="00FD1EB4"/>
    <w:rsid w:val="00FD2059"/>
    <w:rsid w:val="00FD207C"/>
    <w:rsid w:val="00FD24C6"/>
    <w:rsid w:val="00FD404A"/>
    <w:rsid w:val="00FD52B5"/>
    <w:rsid w:val="00FD58C9"/>
    <w:rsid w:val="00FD65D6"/>
    <w:rsid w:val="00FD6A9B"/>
    <w:rsid w:val="00FD6D60"/>
    <w:rsid w:val="00FD6EC9"/>
    <w:rsid w:val="00FD7574"/>
    <w:rsid w:val="00FD775F"/>
    <w:rsid w:val="00FE0EA7"/>
    <w:rsid w:val="00FE107F"/>
    <w:rsid w:val="00FE1FD2"/>
    <w:rsid w:val="00FE2171"/>
    <w:rsid w:val="00FE2612"/>
    <w:rsid w:val="00FE2935"/>
    <w:rsid w:val="00FE2C7C"/>
    <w:rsid w:val="00FE38D6"/>
    <w:rsid w:val="00FE5011"/>
    <w:rsid w:val="00FE5203"/>
    <w:rsid w:val="00FE5E35"/>
    <w:rsid w:val="00FE6FFC"/>
    <w:rsid w:val="00FE783C"/>
    <w:rsid w:val="00FF089F"/>
    <w:rsid w:val="00FF1185"/>
    <w:rsid w:val="00FF1690"/>
    <w:rsid w:val="00FF26D7"/>
    <w:rsid w:val="00FF2BF1"/>
    <w:rsid w:val="00FF2E4B"/>
    <w:rsid w:val="00FF318A"/>
    <w:rsid w:val="00FF32B6"/>
    <w:rsid w:val="00FF3BE9"/>
    <w:rsid w:val="00FF3C6D"/>
    <w:rsid w:val="00FF4118"/>
    <w:rsid w:val="00FF4497"/>
    <w:rsid w:val="00FF4F9A"/>
    <w:rsid w:val="00FF503A"/>
    <w:rsid w:val="00FF542E"/>
    <w:rsid w:val="00FF5709"/>
    <w:rsid w:val="00FF5A13"/>
    <w:rsid w:val="00FF7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5A5311"/>
  <w15:chartTrackingRefBased/>
  <w15:docId w15:val="{9731ED90-F719-49A5-9754-D1D87F88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uiPriority="99"/>
    <w:lsdException w:name="Title" w:qFormat="1"/>
    <w:lsdException w:name="Subtitle" w:qFormat="1"/>
    <w:lsdException w:name="Hyperlink" w:uiPriority="99"/>
    <w:lsdException w:name="Emphasis" w:uiPriority="20"/>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0E1"/>
    <w:pPr>
      <w:jc w:val="both"/>
    </w:pPr>
    <w:rPr>
      <w:rFonts w:ascii="Calibri" w:hAnsi="Calibri"/>
      <w:sz w:val="24"/>
      <w:lang w:eastAsia="en-US"/>
    </w:rPr>
  </w:style>
  <w:style w:type="paragraph" w:styleId="Heading1">
    <w:name w:val="heading 1"/>
    <w:basedOn w:val="Normal"/>
    <w:next w:val="Normal"/>
    <w:qFormat/>
    <w:rsid w:val="00B115AE"/>
    <w:pPr>
      <w:keepNext/>
      <w:numPr>
        <w:numId w:val="1"/>
      </w:numPr>
      <w:spacing w:before="240" w:after="240"/>
      <w:ind w:left="431" w:hanging="431"/>
      <w:jc w:val="left"/>
      <w:outlineLvl w:val="0"/>
    </w:pPr>
    <w:rPr>
      <w:rFonts w:ascii="Arial Bold" w:hAnsi="Arial Bold"/>
      <w:b/>
      <w:bCs/>
      <w:caps/>
      <w:sz w:val="28"/>
    </w:rPr>
  </w:style>
  <w:style w:type="paragraph" w:styleId="Heading2">
    <w:name w:val="heading 2"/>
    <w:basedOn w:val="Normal"/>
    <w:next w:val="Normal"/>
    <w:link w:val="Heading2Char"/>
    <w:qFormat/>
    <w:rsid w:val="00B115AE"/>
    <w:pPr>
      <w:numPr>
        <w:ilvl w:val="1"/>
        <w:numId w:val="1"/>
      </w:numPr>
      <w:spacing w:before="240"/>
      <w:jc w:val="left"/>
      <w:outlineLvl w:val="1"/>
    </w:pPr>
    <w:rPr>
      <w:rFonts w:ascii="Arial Bold" w:hAnsi="Arial Bold" w:cs="Arial"/>
      <w:b/>
      <w:bCs/>
      <w:iCs/>
      <w:caps/>
      <w:szCs w:val="28"/>
    </w:rPr>
  </w:style>
  <w:style w:type="paragraph" w:styleId="Heading3">
    <w:name w:val="heading 3"/>
    <w:basedOn w:val="Normal"/>
    <w:next w:val="Normal"/>
    <w:qFormat/>
    <w:pPr>
      <w:keepNext/>
      <w:numPr>
        <w:ilvl w:val="2"/>
        <w:numId w:val="1"/>
      </w:numPr>
      <w:outlineLvl w:val="2"/>
    </w:pPr>
    <w:rPr>
      <w:rFonts w:cs="Arial"/>
      <w:bCs/>
      <w:i/>
      <w:szCs w:val="26"/>
    </w:rPr>
  </w:style>
  <w:style w:type="paragraph" w:styleId="Heading4">
    <w:name w:val="heading 4"/>
    <w:basedOn w:val="Normal"/>
    <w:next w:val="Normal"/>
    <w:pPr>
      <w:keepNext/>
      <w:numPr>
        <w:ilvl w:val="3"/>
        <w:numId w:val="1"/>
      </w:numPr>
      <w:outlineLvl w:val="3"/>
    </w:pPr>
    <w:rPr>
      <w:bCs/>
      <w:i/>
      <w:szCs w:val="28"/>
    </w:rPr>
  </w:style>
  <w:style w:type="paragraph" w:styleId="Heading5">
    <w:name w:val="heading 5"/>
    <w:basedOn w:val="Normal"/>
    <w:next w:val="Normal"/>
    <w:pPr>
      <w:keepNext/>
      <w:numPr>
        <w:ilvl w:val="4"/>
        <w:numId w:val="1"/>
      </w:numPr>
      <w:outlineLvl w:val="4"/>
    </w:pPr>
    <w:rPr>
      <w:i/>
      <w:iCs/>
      <w:szCs w:val="24"/>
    </w:rPr>
  </w:style>
  <w:style w:type="paragraph" w:styleId="Heading6">
    <w:name w:val="heading 6"/>
    <w:basedOn w:val="Normal"/>
    <w:next w:val="Normal"/>
    <w:pPr>
      <w:keepNext/>
      <w:numPr>
        <w:ilvl w:val="5"/>
        <w:numId w:val="1"/>
      </w:numPr>
      <w:outlineLvl w:val="5"/>
    </w:pPr>
    <w:rPr>
      <w:b/>
      <w:bCs/>
      <w:i/>
      <w:iCs/>
      <w:szCs w:val="24"/>
    </w:rPr>
  </w:style>
  <w:style w:type="paragraph" w:styleId="Heading7">
    <w:name w:val="heading 7"/>
    <w:basedOn w:val="Normal"/>
    <w:next w:val="Normal"/>
    <w:pPr>
      <w:keepNext/>
      <w:numPr>
        <w:ilvl w:val="6"/>
        <w:numId w:val="1"/>
      </w:numPr>
      <w:outlineLvl w:val="6"/>
    </w:pPr>
    <w:rPr>
      <w:szCs w:val="24"/>
      <w:u w:val="single"/>
    </w:rPr>
  </w:style>
  <w:style w:type="paragraph" w:styleId="Heading8">
    <w:name w:val="heading 8"/>
    <w:basedOn w:val="Normal"/>
    <w:next w:val="Normal"/>
    <w:pPr>
      <w:numPr>
        <w:ilvl w:val="7"/>
        <w:numId w:val="1"/>
      </w:numPr>
      <w:spacing w:before="240" w:after="60"/>
      <w:outlineLvl w:val="7"/>
    </w:pPr>
    <w:rPr>
      <w:i/>
      <w:iCs/>
      <w:szCs w:val="24"/>
    </w:rPr>
  </w:style>
  <w:style w:type="paragraph" w:styleId="Heading9">
    <w:name w:val="heading 9"/>
    <w:basedOn w:val="Normal"/>
    <w:next w:val="Normal"/>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240"/>
      <w:jc w:val="right"/>
    </w:pPr>
    <w:rPr>
      <w:rFonts w:ascii="Times New Roman Bold" w:hAnsi="Times New Roman Bold"/>
      <w:b/>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jc w:val="right"/>
    </w:pPr>
    <w:rPr>
      <w:rFonts w:cs="Arial"/>
      <w:b/>
      <w:bCs/>
      <w:sz w:val="32"/>
    </w:rPr>
  </w:style>
  <w:style w:type="paragraph" w:styleId="FootnoteText">
    <w:name w:val="footnote text"/>
    <w:basedOn w:val="Normal"/>
    <w:semiHidden/>
    <w:rPr>
      <w:color w:val="008000"/>
      <w:sz w:val="16"/>
      <w:szCs w:val="16"/>
    </w:rPr>
  </w:style>
  <w:style w:type="character" w:styleId="FootnoteReference">
    <w:name w:val="footnote reference"/>
    <w:semiHidden/>
    <w:rPr>
      <w:vertAlign w:val="superscript"/>
    </w:rPr>
  </w:style>
  <w:style w:type="paragraph" w:customStyle="1" w:styleId="BoldNormal">
    <w:name w:val="Bold Normal"/>
    <w:basedOn w:val="Normal"/>
    <w:rPr>
      <w:b/>
      <w:bCs/>
    </w:rPr>
  </w:style>
  <w:style w:type="paragraph" w:customStyle="1" w:styleId="Title1">
    <w:name w:val="Title1"/>
    <w:basedOn w:val="Title"/>
    <w:pPr>
      <w:spacing w:before="120" w:after="120"/>
    </w:pPr>
    <w:rPr>
      <w:rFonts w:ascii="Times New Roman" w:hAnsi="Times New Roman"/>
      <w:sz w:val="48"/>
      <w:lang w:val="en-US"/>
    </w:rPr>
  </w:style>
  <w:style w:type="paragraph" w:styleId="Title">
    <w:name w:val="Title"/>
    <w:basedOn w:val="Normal"/>
    <w:qFormat/>
    <w:rsid w:val="000B5D97"/>
    <w:pPr>
      <w:spacing w:before="240" w:after="240"/>
      <w:jc w:val="center"/>
      <w:outlineLvl w:val="0"/>
    </w:pPr>
    <w:rPr>
      <w:rFonts w:ascii="Arial" w:hAnsi="Arial" w:cs="Arial"/>
      <w:b/>
      <w:bCs/>
      <w:caps/>
      <w:kern w:val="28"/>
      <w:sz w:val="44"/>
      <w:szCs w:val="32"/>
    </w:rPr>
  </w:style>
  <w:style w:type="paragraph" w:customStyle="1" w:styleId="TITLE10">
    <w:name w:val="TITLE 1"/>
    <w:basedOn w:val="Normal"/>
    <w:pPr>
      <w:spacing w:before="240" w:after="240"/>
      <w:jc w:val="center"/>
    </w:pPr>
    <w:rPr>
      <w:b/>
      <w:sz w:val="36"/>
      <w:lang w:val="en-US"/>
    </w:rPr>
  </w:style>
  <w:style w:type="paragraph" w:styleId="BodyTextIndent">
    <w:name w:val="Body Text Indent"/>
    <w:basedOn w:val="Normal"/>
    <w:pPr>
      <w:ind w:left="1069"/>
    </w:pPr>
    <w:rPr>
      <w:lang w:val="en-US"/>
    </w:rPr>
  </w:style>
  <w:style w:type="paragraph" w:styleId="BodyTextIndent2">
    <w:name w:val="Body Text Indent 2"/>
    <w:basedOn w:val="Normal"/>
    <w:pPr>
      <w:ind w:left="426"/>
    </w:pPr>
    <w:rPr>
      <w:szCs w:val="24"/>
    </w:rPr>
  </w:style>
  <w:style w:type="paragraph" w:styleId="TOC2">
    <w:name w:val="toc 2"/>
    <w:basedOn w:val="Normal"/>
    <w:next w:val="Normal"/>
    <w:autoRedefine/>
    <w:uiPriority w:val="39"/>
    <w:rsid w:val="00496610"/>
    <w:pPr>
      <w:tabs>
        <w:tab w:val="left" w:pos="960"/>
        <w:tab w:val="right" w:leader="dot" w:pos="10065"/>
      </w:tabs>
      <w:spacing w:before="60" w:after="60"/>
      <w:ind w:left="992" w:hanging="754"/>
      <w:jc w:val="left"/>
    </w:pPr>
    <w:rPr>
      <w:rFonts w:cs="Calibri"/>
      <w:noProof/>
      <w:sz w:val="22"/>
    </w:rPr>
  </w:style>
  <w:style w:type="paragraph" w:styleId="TOC1">
    <w:name w:val="toc 1"/>
    <w:basedOn w:val="Normal"/>
    <w:next w:val="Normal"/>
    <w:autoRedefine/>
    <w:uiPriority w:val="39"/>
    <w:rsid w:val="004F7C9A"/>
    <w:pPr>
      <w:tabs>
        <w:tab w:val="left" w:pos="284"/>
        <w:tab w:val="right" w:leader="dot" w:pos="10065"/>
      </w:tabs>
      <w:ind w:left="284" w:hanging="284"/>
      <w:jc w:val="left"/>
    </w:pPr>
    <w:rPr>
      <w:b/>
      <w:bCs/>
      <w:caps/>
      <w:sz w:val="20"/>
    </w:rPr>
  </w:style>
  <w:style w:type="paragraph" w:styleId="TOC3">
    <w:name w:val="toc 3"/>
    <w:basedOn w:val="Normal"/>
    <w:next w:val="Normal"/>
    <w:autoRedefine/>
    <w:uiPriority w:val="39"/>
    <w:rsid w:val="00D3062B"/>
    <w:pPr>
      <w:ind w:left="480"/>
      <w:jc w:val="left"/>
    </w:pPr>
    <w:rPr>
      <w:i/>
      <w:iCs/>
      <w:sz w:val="20"/>
    </w:rPr>
  </w:style>
  <w:style w:type="paragraph" w:styleId="TOC4">
    <w:name w:val="toc 4"/>
    <w:basedOn w:val="Normal"/>
    <w:next w:val="Normal"/>
    <w:autoRedefine/>
    <w:semiHidden/>
    <w:pPr>
      <w:ind w:left="720"/>
      <w:jc w:val="left"/>
    </w:pPr>
    <w:rPr>
      <w:sz w:val="18"/>
      <w:szCs w:val="18"/>
    </w:rPr>
  </w:style>
  <w:style w:type="paragraph" w:styleId="TOC5">
    <w:name w:val="toc 5"/>
    <w:basedOn w:val="Normal"/>
    <w:next w:val="Normal"/>
    <w:autoRedefine/>
    <w:semiHidden/>
    <w:pPr>
      <w:ind w:left="960"/>
      <w:jc w:val="left"/>
    </w:pPr>
    <w:rPr>
      <w:sz w:val="18"/>
      <w:szCs w:val="18"/>
    </w:rPr>
  </w:style>
  <w:style w:type="paragraph" w:styleId="TOC6">
    <w:name w:val="toc 6"/>
    <w:basedOn w:val="Normal"/>
    <w:next w:val="Normal"/>
    <w:autoRedefine/>
    <w:semiHidden/>
    <w:pPr>
      <w:ind w:left="1200"/>
      <w:jc w:val="left"/>
    </w:pPr>
    <w:rPr>
      <w:sz w:val="18"/>
      <w:szCs w:val="18"/>
    </w:rPr>
  </w:style>
  <w:style w:type="paragraph" w:styleId="TOC7">
    <w:name w:val="toc 7"/>
    <w:basedOn w:val="Normal"/>
    <w:next w:val="Normal"/>
    <w:autoRedefine/>
    <w:semiHidden/>
    <w:pPr>
      <w:ind w:left="1440"/>
      <w:jc w:val="left"/>
    </w:pPr>
    <w:rPr>
      <w:sz w:val="18"/>
      <w:szCs w:val="18"/>
    </w:rPr>
  </w:style>
  <w:style w:type="paragraph" w:styleId="TOC8">
    <w:name w:val="toc 8"/>
    <w:basedOn w:val="Normal"/>
    <w:next w:val="Normal"/>
    <w:autoRedefine/>
    <w:semiHidden/>
    <w:pPr>
      <w:ind w:left="1680"/>
      <w:jc w:val="left"/>
    </w:pPr>
    <w:rPr>
      <w:sz w:val="18"/>
      <w:szCs w:val="18"/>
    </w:rPr>
  </w:style>
  <w:style w:type="paragraph" w:styleId="TOC9">
    <w:name w:val="toc 9"/>
    <w:basedOn w:val="Normal"/>
    <w:next w:val="Normal"/>
    <w:autoRedefine/>
    <w:semiHidden/>
    <w:pPr>
      <w:ind w:left="1920"/>
      <w:jc w:val="left"/>
    </w:pPr>
    <w:rPr>
      <w:sz w:val="18"/>
      <w:szCs w:val="18"/>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before="120" w:after="120"/>
    </w:pPr>
    <w:rPr>
      <w:i/>
      <w:iCs/>
    </w:rPr>
  </w:style>
  <w:style w:type="paragraph" w:styleId="BodyTextIndent3">
    <w:name w:val="Body Text Indent 3"/>
    <w:basedOn w:val="Normal"/>
    <w:pPr>
      <w:autoSpaceDE w:val="0"/>
      <w:autoSpaceDN w:val="0"/>
      <w:adjustRightInd w:val="0"/>
      <w:ind w:left="576"/>
    </w:pPr>
    <w:rPr>
      <w:szCs w:val="24"/>
      <w:lang w:val="en-US"/>
    </w:rPr>
  </w:style>
  <w:style w:type="paragraph" w:styleId="BodyText2">
    <w:name w:val="Body Text 2"/>
    <w:basedOn w:val="Normal"/>
    <w:pPr>
      <w:spacing w:before="120" w:after="120"/>
    </w:pPr>
  </w:style>
  <w:style w:type="character" w:styleId="FollowedHyperlink">
    <w:name w:val="FollowedHyperlink"/>
    <w:rPr>
      <w:color w:val="800080"/>
      <w:u w:val="single"/>
    </w:rPr>
  </w:style>
  <w:style w:type="paragraph" w:customStyle="1" w:styleId="headinga">
    <w:name w:val="heading a"/>
    <w:basedOn w:val="TOC2"/>
    <w:pPr>
      <w:ind w:left="0"/>
    </w:pPr>
    <w:rPr>
      <w:rFonts w:ascii="Times New Roman Bold" w:hAnsi="Times New Roman Bold"/>
      <w:b/>
      <w:bCs/>
      <w:caps/>
      <w:smallCaps/>
    </w:rPr>
  </w:style>
  <w:style w:type="paragraph" w:customStyle="1" w:styleId="headingb">
    <w:name w:val="heading b"/>
    <w:basedOn w:val="headinga"/>
    <w:pPr>
      <w:spacing w:after="0"/>
    </w:pPr>
    <w:rPr>
      <w:rFonts w:ascii="Times New Roman" w:hAnsi="Times New Roman"/>
      <w:b w:val="0"/>
      <w:bCs w:val="0"/>
      <w:caps w:val="0"/>
      <w:smallCaps w:val="0"/>
    </w:rPr>
  </w:style>
  <w:style w:type="paragraph" w:styleId="BodyText3">
    <w:name w:val="Body Text 3"/>
    <w:basedOn w:val="Normal"/>
    <w:pPr>
      <w:autoSpaceDE w:val="0"/>
      <w:autoSpaceDN w:val="0"/>
      <w:adjustRightInd w:val="0"/>
    </w:pPr>
    <w:rPr>
      <w:b/>
      <w:bCs/>
      <w:i/>
      <w:iCs/>
    </w:rPr>
  </w:style>
  <w:style w:type="paragraph" w:styleId="NormalWeb">
    <w:name w:val="Normal (Web)"/>
    <w:basedOn w:val="Normal"/>
    <w:uiPriority w:val="99"/>
    <w:pPr>
      <w:spacing w:before="100" w:beforeAutospacing="1" w:after="100" w:afterAutospacing="1"/>
      <w:jc w:val="left"/>
    </w:pPr>
    <w:rPr>
      <w:rFonts w:ascii="Arial Unicode MS" w:hAnsi="Arial Unicode MS"/>
      <w:color w:val="000000"/>
      <w:sz w:val="18"/>
      <w:szCs w:val="18"/>
    </w:rPr>
  </w:style>
  <w:style w:type="paragraph" w:customStyle="1" w:styleId="BoldAttachment">
    <w:name w:val="Bold Attachment"/>
    <w:basedOn w:val="BoldNormal"/>
    <w:pPr>
      <w:jc w:val="right"/>
    </w:pPr>
    <w:rPr>
      <w:rFonts w:ascii="Times New Roman Bold" w:hAnsi="Times New Roman Bold"/>
      <w:sz w:val="2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spacing w:line="200" w:lineRule="exact"/>
      <w:jc w:val="left"/>
    </w:pPr>
    <w:rPr>
      <w:sz w:val="20"/>
    </w:rPr>
  </w:style>
  <w:style w:type="paragraph" w:customStyle="1" w:styleId="DefnPara">
    <w:name w:val="Defn Para"/>
    <w:basedOn w:val="Normal"/>
    <w:pPr>
      <w:spacing w:after="200" w:line="200" w:lineRule="exact"/>
      <w:ind w:left="1077" w:hanging="340"/>
      <w:jc w:val="left"/>
    </w:pPr>
    <w:rPr>
      <w:b/>
      <w:sz w:val="20"/>
    </w:rPr>
  </w:style>
  <w:style w:type="paragraph" w:customStyle="1" w:styleId="DefnSubpoint1">
    <w:name w:val="Defn Subpoint1"/>
    <w:basedOn w:val="DefnPara"/>
    <w:pPr>
      <w:ind w:left="1587" w:hanging="510"/>
    </w:pPr>
  </w:style>
  <w:style w:type="paragraph" w:customStyle="1" w:styleId="heading2Char0">
    <w:name w:val="heading 2 Char"/>
    <w:basedOn w:val="Normal"/>
    <w:pPr>
      <w:jc w:val="left"/>
    </w:pPr>
    <w:rPr>
      <w:b/>
      <w:szCs w:val="24"/>
      <w:lang w:eastAsia="en-AU"/>
    </w:rPr>
  </w:style>
  <w:style w:type="paragraph" w:customStyle="1" w:styleId="heading3Char">
    <w:name w:val="heading 3 Char"/>
    <w:basedOn w:val="Normal"/>
    <w:rPr>
      <w:b/>
      <w:i/>
      <w:szCs w:val="24"/>
      <w:lang w:eastAsia="en-AU"/>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ocumentMap">
    <w:name w:val="Document Map"/>
    <w:basedOn w:val="Normal"/>
    <w:semiHidden/>
    <w:rsid w:val="008B7687"/>
    <w:pPr>
      <w:shd w:val="clear" w:color="auto" w:fill="000080"/>
    </w:pPr>
    <w:rPr>
      <w:rFonts w:ascii="Tahoma" w:hAnsi="Tahoma" w:cs="Tahoma"/>
      <w:sz w:val="20"/>
    </w:rPr>
  </w:style>
  <w:style w:type="paragraph" w:styleId="CommentSubject">
    <w:name w:val="annotation subject"/>
    <w:basedOn w:val="CommentText"/>
    <w:next w:val="CommentText"/>
    <w:semiHidden/>
    <w:rsid w:val="007C35B1"/>
    <w:rPr>
      <w:b/>
      <w:bCs/>
    </w:rPr>
  </w:style>
  <w:style w:type="paragraph" w:styleId="BalloonText">
    <w:name w:val="Balloon Text"/>
    <w:basedOn w:val="Normal"/>
    <w:semiHidden/>
    <w:rsid w:val="007C35B1"/>
    <w:rPr>
      <w:rFonts w:ascii="Tahoma" w:hAnsi="Tahoma" w:cs="Tahoma"/>
      <w:sz w:val="16"/>
      <w:szCs w:val="16"/>
    </w:rPr>
  </w:style>
  <w:style w:type="paragraph" w:styleId="Caption">
    <w:name w:val="caption"/>
    <w:basedOn w:val="Normal"/>
    <w:next w:val="Normal"/>
    <w:rsid w:val="005D16CB"/>
    <w:rPr>
      <w:b/>
      <w:bCs/>
      <w:sz w:val="20"/>
    </w:rPr>
  </w:style>
  <w:style w:type="character" w:styleId="Emphasis">
    <w:name w:val="Emphasis"/>
    <w:uiPriority w:val="20"/>
    <w:rsid w:val="005D4581"/>
    <w:rPr>
      <w:i/>
      <w:iCs/>
    </w:rPr>
  </w:style>
  <w:style w:type="table" w:styleId="TableGrid">
    <w:name w:val="Table Grid"/>
    <w:basedOn w:val="TableNormal"/>
    <w:rsid w:val="00AC7E8C"/>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Hanging1">
    <w:name w:val="Plain Hanging1"/>
    <w:basedOn w:val="Default"/>
    <w:next w:val="Default"/>
    <w:rsid w:val="00AE5716"/>
    <w:rPr>
      <w:rFonts w:ascii="Times New Roman" w:hAnsi="Times New Roman" w:cs="Times New Roman"/>
      <w:color w:val="auto"/>
      <w:lang w:val="en-AU" w:eastAsia="en-AU"/>
    </w:rPr>
  </w:style>
  <w:style w:type="paragraph" w:customStyle="1" w:styleId="TableReference">
    <w:name w:val="Table Reference"/>
    <w:basedOn w:val="Normal"/>
    <w:rsid w:val="00FF542E"/>
    <w:pPr>
      <w:jc w:val="left"/>
    </w:pPr>
    <w:rPr>
      <w:color w:val="008000"/>
      <w:sz w:val="12"/>
      <w:szCs w:val="14"/>
    </w:rPr>
  </w:style>
  <w:style w:type="paragraph" w:customStyle="1" w:styleId="TableText">
    <w:name w:val="Table Text"/>
    <w:basedOn w:val="Normal"/>
    <w:next w:val="Normal"/>
    <w:rsid w:val="00FF542E"/>
    <w:pPr>
      <w:spacing w:before="40"/>
      <w:jc w:val="left"/>
    </w:pPr>
    <w:rPr>
      <w:color w:val="003366"/>
      <w:sz w:val="18"/>
      <w:szCs w:val="18"/>
    </w:rPr>
  </w:style>
  <w:style w:type="paragraph" w:customStyle="1" w:styleId="CommentaryText">
    <w:name w:val="Commentary Text"/>
    <w:basedOn w:val="Normal"/>
    <w:rsid w:val="00FF542E"/>
    <w:rPr>
      <w:color w:val="003366"/>
      <w:sz w:val="20"/>
      <w:szCs w:val="16"/>
    </w:rPr>
  </w:style>
  <w:style w:type="paragraph" w:customStyle="1" w:styleId="Reference">
    <w:name w:val="Reference"/>
    <w:basedOn w:val="Normal"/>
    <w:rsid w:val="00FF542E"/>
    <w:pPr>
      <w:jc w:val="left"/>
    </w:pPr>
    <w:rPr>
      <w:b/>
      <w:bCs/>
      <w:color w:val="003366"/>
      <w:sz w:val="20"/>
      <w:szCs w:val="18"/>
    </w:rPr>
  </w:style>
  <w:style w:type="paragraph" w:customStyle="1" w:styleId="NoteTitle">
    <w:name w:val="Note Title"/>
    <w:basedOn w:val="Normal"/>
    <w:link w:val="NoteTitleChar"/>
    <w:rsid w:val="00083C68"/>
    <w:pPr>
      <w:numPr>
        <w:numId w:val="3"/>
      </w:numPr>
      <w:spacing w:after="240"/>
      <w:jc w:val="left"/>
    </w:pPr>
    <w:rPr>
      <w:b/>
      <w:caps/>
      <w:color w:val="003366"/>
      <w:szCs w:val="16"/>
    </w:rPr>
  </w:style>
  <w:style w:type="character" w:customStyle="1" w:styleId="NoteTitleChar">
    <w:name w:val="Note Title Char"/>
    <w:link w:val="NoteTitle"/>
    <w:rsid w:val="00083C68"/>
    <w:rPr>
      <w:rFonts w:ascii="Calibri" w:hAnsi="Calibri"/>
      <w:b/>
      <w:caps/>
      <w:color w:val="003366"/>
      <w:sz w:val="24"/>
      <w:szCs w:val="16"/>
      <w:lang w:eastAsia="en-US"/>
    </w:rPr>
  </w:style>
  <w:style w:type="paragraph" w:customStyle="1" w:styleId="CommentaryTitle">
    <w:name w:val="Commentary Title"/>
    <w:basedOn w:val="Normal"/>
    <w:rsid w:val="00791D45"/>
    <w:pPr>
      <w:pageBreakBefore/>
      <w:spacing w:after="360"/>
      <w:jc w:val="left"/>
    </w:pPr>
    <w:rPr>
      <w:b/>
      <w:bCs/>
      <w:color w:val="003366"/>
      <w:szCs w:val="24"/>
    </w:rPr>
  </w:style>
  <w:style w:type="paragraph" w:customStyle="1" w:styleId="Commentary-Bullet">
    <w:name w:val="Commentary - Bullet"/>
    <w:basedOn w:val="CommentaryText"/>
    <w:rsid w:val="00791D45"/>
    <w:pPr>
      <w:numPr>
        <w:numId w:val="4"/>
      </w:numPr>
      <w:tabs>
        <w:tab w:val="left" w:pos="3306"/>
      </w:tabs>
      <w:spacing w:after="60"/>
    </w:pPr>
  </w:style>
  <w:style w:type="paragraph" w:customStyle="1" w:styleId="CommentaryHeading">
    <w:name w:val="Commentary Heading"/>
    <w:basedOn w:val="Normal"/>
    <w:rsid w:val="00791D45"/>
    <w:pPr>
      <w:keepNext/>
      <w:spacing w:after="60"/>
      <w:jc w:val="left"/>
    </w:pPr>
    <w:rPr>
      <w:b/>
      <w:bCs/>
      <w:color w:val="003366"/>
      <w:sz w:val="20"/>
      <w:szCs w:val="18"/>
    </w:rPr>
  </w:style>
  <w:style w:type="character" w:customStyle="1" w:styleId="apple-style-span">
    <w:name w:val="apple-style-span"/>
    <w:basedOn w:val="DefaultParagraphFont"/>
    <w:rsid w:val="002D2FC3"/>
  </w:style>
  <w:style w:type="paragraph" w:customStyle="1" w:styleId="nonumplain1">
    <w:name w:val="nonumplain1"/>
    <w:basedOn w:val="Normal"/>
    <w:rsid w:val="00151907"/>
    <w:pPr>
      <w:spacing w:before="100" w:beforeAutospacing="1" w:after="100" w:afterAutospacing="1"/>
      <w:jc w:val="left"/>
    </w:pPr>
    <w:rPr>
      <w:szCs w:val="24"/>
      <w:lang w:eastAsia="en-AU"/>
    </w:rPr>
  </w:style>
  <w:style w:type="paragraph" w:customStyle="1" w:styleId="PlainHanging0">
    <w:name w:val="Plain Hanging0"/>
    <w:basedOn w:val="Normal"/>
    <w:rsid w:val="00527C42"/>
    <w:pPr>
      <w:spacing w:after="200" w:line="200" w:lineRule="exact"/>
      <w:ind w:left="510" w:hanging="510"/>
      <w:jc w:val="left"/>
    </w:pPr>
    <w:rPr>
      <w:sz w:val="20"/>
    </w:rPr>
  </w:style>
  <w:style w:type="paragraph" w:customStyle="1" w:styleId="plainhanging00">
    <w:name w:val="plainhanging0"/>
    <w:basedOn w:val="Normal"/>
    <w:rsid w:val="00946628"/>
    <w:pPr>
      <w:spacing w:before="100" w:beforeAutospacing="1" w:after="100" w:afterAutospacing="1"/>
      <w:jc w:val="left"/>
    </w:pPr>
    <w:rPr>
      <w:szCs w:val="24"/>
      <w:lang w:eastAsia="en-AU"/>
    </w:rPr>
  </w:style>
  <w:style w:type="paragraph" w:styleId="Subtitle">
    <w:name w:val="Subtitle"/>
    <w:basedOn w:val="Normal"/>
    <w:next w:val="Normal"/>
    <w:link w:val="SubtitleChar"/>
    <w:qFormat/>
    <w:rsid w:val="000B5D97"/>
    <w:pPr>
      <w:spacing w:before="240" w:after="240"/>
      <w:jc w:val="center"/>
      <w:outlineLvl w:val="1"/>
    </w:pPr>
    <w:rPr>
      <w:rFonts w:ascii="Arial Bold" w:hAnsi="Arial Bold"/>
      <w:b/>
      <w:caps/>
      <w:sz w:val="36"/>
      <w:szCs w:val="24"/>
    </w:rPr>
  </w:style>
  <w:style w:type="character" w:customStyle="1" w:styleId="SubtitleChar">
    <w:name w:val="Subtitle Char"/>
    <w:link w:val="Subtitle"/>
    <w:rsid w:val="000B5D97"/>
    <w:rPr>
      <w:rFonts w:ascii="Arial Bold" w:eastAsia="Times New Roman" w:hAnsi="Arial Bold" w:cs="Times New Roman"/>
      <w:b/>
      <w:caps/>
      <w:sz w:val="36"/>
      <w:szCs w:val="24"/>
      <w:lang w:eastAsia="en-US"/>
    </w:rPr>
  </w:style>
  <w:style w:type="character" w:customStyle="1" w:styleId="FooterChar">
    <w:name w:val="Footer Char"/>
    <w:link w:val="Footer"/>
    <w:uiPriority w:val="99"/>
    <w:rsid w:val="00162F5C"/>
    <w:rPr>
      <w:rFonts w:ascii="Calibri" w:hAnsi="Calibri"/>
      <w:sz w:val="24"/>
      <w:lang w:eastAsia="en-US"/>
    </w:rPr>
  </w:style>
  <w:style w:type="paragraph" w:customStyle="1" w:styleId="bullet">
    <w:name w:val="bullet"/>
    <w:basedOn w:val="Normal"/>
    <w:link w:val="bulletChar"/>
    <w:qFormat/>
    <w:rsid w:val="00162F5C"/>
    <w:pPr>
      <w:numPr>
        <w:numId w:val="8"/>
      </w:numPr>
      <w:ind w:left="357" w:hanging="357"/>
      <w:jc w:val="left"/>
    </w:pPr>
    <w:rPr>
      <w:szCs w:val="16"/>
      <w:lang w:eastAsia="en-AU"/>
    </w:rPr>
  </w:style>
  <w:style w:type="character" w:customStyle="1" w:styleId="bulletChar">
    <w:name w:val="bullet Char"/>
    <w:link w:val="bullet"/>
    <w:rsid w:val="00162F5C"/>
    <w:rPr>
      <w:rFonts w:ascii="Calibri" w:hAnsi="Calibri"/>
      <w:sz w:val="24"/>
      <w:szCs w:val="16"/>
    </w:rPr>
  </w:style>
  <w:style w:type="paragraph" w:customStyle="1" w:styleId="Appxhead2">
    <w:name w:val="Appxhead2"/>
    <w:basedOn w:val="Normal"/>
    <w:link w:val="Appxhead2Char"/>
    <w:qFormat/>
    <w:rsid w:val="00162F5C"/>
    <w:pPr>
      <w:spacing w:before="240"/>
      <w:jc w:val="left"/>
    </w:pPr>
    <w:rPr>
      <w:rFonts w:ascii="Arial" w:hAnsi="Arial"/>
      <w:b/>
      <w:caps/>
      <w:sz w:val="28"/>
      <w:szCs w:val="28"/>
    </w:rPr>
  </w:style>
  <w:style w:type="character" w:customStyle="1" w:styleId="Appxhead2Char">
    <w:name w:val="Appxhead2 Char"/>
    <w:link w:val="Appxhead2"/>
    <w:rsid w:val="00162F5C"/>
    <w:rPr>
      <w:rFonts w:ascii="Arial" w:hAnsi="Arial"/>
      <w:b/>
      <w:caps/>
      <w:sz w:val="28"/>
      <w:szCs w:val="28"/>
      <w:lang w:eastAsia="en-US"/>
    </w:rPr>
  </w:style>
  <w:style w:type="paragraph" w:customStyle="1" w:styleId="headerhead">
    <w:name w:val="headerhead"/>
    <w:basedOn w:val="Normal"/>
    <w:link w:val="headerheadChar"/>
    <w:qFormat/>
    <w:rsid w:val="00162F5C"/>
    <w:pPr>
      <w:jc w:val="center"/>
    </w:pPr>
    <w:rPr>
      <w:rFonts w:cs="Arial"/>
      <w:b/>
      <w:caps/>
      <w:szCs w:val="16"/>
    </w:rPr>
  </w:style>
  <w:style w:type="character" w:customStyle="1" w:styleId="headerheadChar">
    <w:name w:val="headerhead Char"/>
    <w:link w:val="headerhead"/>
    <w:rsid w:val="00162F5C"/>
    <w:rPr>
      <w:rFonts w:ascii="Calibri" w:hAnsi="Calibri" w:cs="Arial"/>
      <w:b/>
      <w:caps/>
      <w:sz w:val="24"/>
      <w:szCs w:val="16"/>
      <w:lang w:eastAsia="en-US"/>
    </w:rPr>
  </w:style>
  <w:style w:type="character" w:customStyle="1" w:styleId="Heading2Char">
    <w:name w:val="Heading 2 Char"/>
    <w:link w:val="Heading2"/>
    <w:rsid w:val="00B115AE"/>
    <w:rPr>
      <w:rFonts w:ascii="Arial Bold" w:hAnsi="Arial Bold" w:cs="Arial"/>
      <w:b/>
      <w:bCs/>
      <w:iCs/>
      <w:caps/>
      <w:sz w:val="24"/>
      <w:szCs w:val="28"/>
      <w:lang w:eastAsia="en-US"/>
    </w:rPr>
  </w:style>
  <w:style w:type="paragraph" w:styleId="ListParagraph">
    <w:name w:val="List Paragraph"/>
    <w:aliases w:val="OLG List Paragraph Bullets"/>
    <w:basedOn w:val="Normal"/>
    <w:uiPriority w:val="34"/>
    <w:qFormat/>
    <w:rsid w:val="00704492"/>
    <w:pPr>
      <w:ind w:left="720"/>
      <w:contextualSpacing/>
      <w:jc w:val="left"/>
    </w:pPr>
    <w:rPr>
      <w:sz w:val="22"/>
      <w:szCs w:val="16"/>
    </w:rPr>
  </w:style>
  <w:style w:type="paragraph" w:customStyle="1" w:styleId="reference0">
    <w:name w:val="reference"/>
    <w:basedOn w:val="Normal"/>
    <w:link w:val="referenceChar"/>
    <w:qFormat/>
    <w:rsid w:val="00B12CCF"/>
    <w:pPr>
      <w:shd w:val="clear" w:color="auto" w:fill="F2F2F2"/>
      <w:ind w:left="567" w:right="567"/>
      <w:jc w:val="left"/>
    </w:pPr>
    <w:rPr>
      <w:sz w:val="20"/>
      <w:szCs w:val="16"/>
      <w:lang w:bidi="en-US"/>
    </w:rPr>
  </w:style>
  <w:style w:type="character" w:customStyle="1" w:styleId="referenceChar">
    <w:name w:val="reference Char"/>
    <w:link w:val="reference0"/>
    <w:rsid w:val="00B12CCF"/>
    <w:rPr>
      <w:rFonts w:ascii="Calibri" w:hAnsi="Calibri"/>
      <w:szCs w:val="16"/>
      <w:shd w:val="clear" w:color="auto" w:fill="F2F2F2"/>
      <w:lang w:eastAsia="en-US" w:bidi="en-US"/>
    </w:rPr>
  </w:style>
  <w:style w:type="paragraph" w:styleId="TOCHeading">
    <w:name w:val="TOC Heading"/>
    <w:basedOn w:val="Heading1"/>
    <w:next w:val="Normal"/>
    <w:uiPriority w:val="39"/>
    <w:unhideWhenUsed/>
    <w:qFormat/>
    <w:rsid w:val="0071010C"/>
    <w:pPr>
      <w:keepLines/>
      <w:numPr>
        <w:numId w:val="0"/>
      </w:numPr>
      <w:spacing w:after="0" w:line="259" w:lineRule="auto"/>
      <w:outlineLvl w:val="9"/>
    </w:pPr>
    <w:rPr>
      <w:rFonts w:ascii="Calibri Light" w:hAnsi="Calibri Light"/>
      <w:b w:val="0"/>
      <w:bCs w:val="0"/>
      <w:caps w:val="0"/>
      <w:color w:val="2F5496"/>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289">
      <w:bodyDiv w:val="1"/>
      <w:marLeft w:val="0"/>
      <w:marRight w:val="0"/>
      <w:marTop w:val="0"/>
      <w:marBottom w:val="0"/>
      <w:divBdr>
        <w:top w:val="none" w:sz="0" w:space="0" w:color="auto"/>
        <w:left w:val="none" w:sz="0" w:space="0" w:color="auto"/>
        <w:bottom w:val="none" w:sz="0" w:space="0" w:color="auto"/>
        <w:right w:val="none" w:sz="0" w:space="0" w:color="auto"/>
      </w:divBdr>
    </w:div>
    <w:div w:id="240918380">
      <w:bodyDiv w:val="1"/>
      <w:marLeft w:val="0"/>
      <w:marRight w:val="0"/>
      <w:marTop w:val="0"/>
      <w:marBottom w:val="0"/>
      <w:divBdr>
        <w:top w:val="none" w:sz="0" w:space="0" w:color="auto"/>
        <w:left w:val="none" w:sz="0" w:space="0" w:color="auto"/>
        <w:bottom w:val="none" w:sz="0" w:space="0" w:color="auto"/>
        <w:right w:val="none" w:sz="0" w:space="0" w:color="auto"/>
      </w:divBdr>
    </w:div>
    <w:div w:id="262303696">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381291777">
      <w:bodyDiv w:val="1"/>
      <w:marLeft w:val="0"/>
      <w:marRight w:val="0"/>
      <w:marTop w:val="0"/>
      <w:marBottom w:val="0"/>
      <w:divBdr>
        <w:top w:val="none" w:sz="0" w:space="0" w:color="auto"/>
        <w:left w:val="none" w:sz="0" w:space="0" w:color="auto"/>
        <w:bottom w:val="none" w:sz="0" w:space="0" w:color="auto"/>
        <w:right w:val="none" w:sz="0" w:space="0" w:color="auto"/>
      </w:divBdr>
    </w:div>
    <w:div w:id="570892991">
      <w:bodyDiv w:val="1"/>
      <w:marLeft w:val="0"/>
      <w:marRight w:val="0"/>
      <w:marTop w:val="0"/>
      <w:marBottom w:val="0"/>
      <w:divBdr>
        <w:top w:val="none" w:sz="0" w:space="0" w:color="auto"/>
        <w:left w:val="none" w:sz="0" w:space="0" w:color="auto"/>
        <w:bottom w:val="none" w:sz="0" w:space="0" w:color="auto"/>
        <w:right w:val="none" w:sz="0" w:space="0" w:color="auto"/>
      </w:divBdr>
    </w:div>
    <w:div w:id="571544705">
      <w:bodyDiv w:val="1"/>
      <w:marLeft w:val="0"/>
      <w:marRight w:val="0"/>
      <w:marTop w:val="0"/>
      <w:marBottom w:val="0"/>
      <w:divBdr>
        <w:top w:val="none" w:sz="0" w:space="0" w:color="auto"/>
        <w:left w:val="none" w:sz="0" w:space="0" w:color="auto"/>
        <w:bottom w:val="none" w:sz="0" w:space="0" w:color="auto"/>
        <w:right w:val="none" w:sz="0" w:space="0" w:color="auto"/>
      </w:divBdr>
    </w:div>
    <w:div w:id="627011114">
      <w:bodyDiv w:val="1"/>
      <w:marLeft w:val="0"/>
      <w:marRight w:val="0"/>
      <w:marTop w:val="0"/>
      <w:marBottom w:val="0"/>
      <w:divBdr>
        <w:top w:val="none" w:sz="0" w:space="0" w:color="auto"/>
        <w:left w:val="none" w:sz="0" w:space="0" w:color="auto"/>
        <w:bottom w:val="none" w:sz="0" w:space="0" w:color="auto"/>
        <w:right w:val="none" w:sz="0" w:space="0" w:color="auto"/>
      </w:divBdr>
    </w:div>
    <w:div w:id="706489768">
      <w:bodyDiv w:val="1"/>
      <w:marLeft w:val="0"/>
      <w:marRight w:val="0"/>
      <w:marTop w:val="0"/>
      <w:marBottom w:val="0"/>
      <w:divBdr>
        <w:top w:val="none" w:sz="0" w:space="0" w:color="auto"/>
        <w:left w:val="none" w:sz="0" w:space="0" w:color="auto"/>
        <w:bottom w:val="none" w:sz="0" w:space="0" w:color="auto"/>
        <w:right w:val="none" w:sz="0" w:space="0" w:color="auto"/>
      </w:divBdr>
    </w:div>
    <w:div w:id="789083778">
      <w:bodyDiv w:val="1"/>
      <w:marLeft w:val="0"/>
      <w:marRight w:val="0"/>
      <w:marTop w:val="0"/>
      <w:marBottom w:val="0"/>
      <w:divBdr>
        <w:top w:val="none" w:sz="0" w:space="0" w:color="auto"/>
        <w:left w:val="none" w:sz="0" w:space="0" w:color="auto"/>
        <w:bottom w:val="none" w:sz="0" w:space="0" w:color="auto"/>
        <w:right w:val="none" w:sz="0" w:space="0" w:color="auto"/>
      </w:divBdr>
    </w:div>
    <w:div w:id="794569473">
      <w:bodyDiv w:val="1"/>
      <w:marLeft w:val="0"/>
      <w:marRight w:val="0"/>
      <w:marTop w:val="0"/>
      <w:marBottom w:val="0"/>
      <w:divBdr>
        <w:top w:val="none" w:sz="0" w:space="0" w:color="auto"/>
        <w:left w:val="none" w:sz="0" w:space="0" w:color="auto"/>
        <w:bottom w:val="none" w:sz="0" w:space="0" w:color="auto"/>
        <w:right w:val="none" w:sz="0" w:space="0" w:color="auto"/>
      </w:divBdr>
    </w:div>
    <w:div w:id="812020797">
      <w:bodyDiv w:val="1"/>
      <w:marLeft w:val="0"/>
      <w:marRight w:val="0"/>
      <w:marTop w:val="0"/>
      <w:marBottom w:val="0"/>
      <w:divBdr>
        <w:top w:val="none" w:sz="0" w:space="0" w:color="auto"/>
        <w:left w:val="none" w:sz="0" w:space="0" w:color="auto"/>
        <w:bottom w:val="none" w:sz="0" w:space="0" w:color="auto"/>
        <w:right w:val="none" w:sz="0" w:space="0" w:color="auto"/>
      </w:divBdr>
    </w:div>
    <w:div w:id="839272845">
      <w:bodyDiv w:val="1"/>
      <w:marLeft w:val="0"/>
      <w:marRight w:val="0"/>
      <w:marTop w:val="0"/>
      <w:marBottom w:val="0"/>
      <w:divBdr>
        <w:top w:val="none" w:sz="0" w:space="0" w:color="auto"/>
        <w:left w:val="none" w:sz="0" w:space="0" w:color="auto"/>
        <w:bottom w:val="none" w:sz="0" w:space="0" w:color="auto"/>
        <w:right w:val="none" w:sz="0" w:space="0" w:color="auto"/>
      </w:divBdr>
    </w:div>
    <w:div w:id="884099761">
      <w:bodyDiv w:val="1"/>
      <w:marLeft w:val="0"/>
      <w:marRight w:val="0"/>
      <w:marTop w:val="0"/>
      <w:marBottom w:val="0"/>
      <w:divBdr>
        <w:top w:val="none" w:sz="0" w:space="0" w:color="auto"/>
        <w:left w:val="none" w:sz="0" w:space="0" w:color="auto"/>
        <w:bottom w:val="none" w:sz="0" w:space="0" w:color="auto"/>
        <w:right w:val="none" w:sz="0" w:space="0" w:color="auto"/>
      </w:divBdr>
    </w:div>
    <w:div w:id="945041245">
      <w:bodyDiv w:val="1"/>
      <w:marLeft w:val="0"/>
      <w:marRight w:val="0"/>
      <w:marTop w:val="0"/>
      <w:marBottom w:val="0"/>
      <w:divBdr>
        <w:top w:val="none" w:sz="0" w:space="0" w:color="auto"/>
        <w:left w:val="none" w:sz="0" w:space="0" w:color="auto"/>
        <w:bottom w:val="none" w:sz="0" w:space="0" w:color="auto"/>
        <w:right w:val="none" w:sz="0" w:space="0" w:color="auto"/>
      </w:divBdr>
      <w:divsChild>
        <w:div w:id="1067337231">
          <w:marLeft w:val="0"/>
          <w:marRight w:val="0"/>
          <w:marTop w:val="0"/>
          <w:marBottom w:val="0"/>
          <w:divBdr>
            <w:top w:val="none" w:sz="0" w:space="0" w:color="auto"/>
            <w:left w:val="none" w:sz="0" w:space="0" w:color="auto"/>
            <w:bottom w:val="none" w:sz="0" w:space="0" w:color="auto"/>
            <w:right w:val="none" w:sz="0" w:space="0" w:color="auto"/>
          </w:divBdr>
          <w:divsChild>
            <w:div w:id="99181543">
              <w:marLeft w:val="0"/>
              <w:marRight w:val="0"/>
              <w:marTop w:val="0"/>
              <w:marBottom w:val="0"/>
              <w:divBdr>
                <w:top w:val="none" w:sz="0" w:space="0" w:color="auto"/>
                <w:left w:val="none" w:sz="0" w:space="0" w:color="auto"/>
                <w:bottom w:val="none" w:sz="0" w:space="0" w:color="auto"/>
                <w:right w:val="none" w:sz="0" w:space="0" w:color="auto"/>
              </w:divBdr>
              <w:divsChild>
                <w:div w:id="594631393">
                  <w:marLeft w:val="0"/>
                  <w:marRight w:val="0"/>
                  <w:marTop w:val="0"/>
                  <w:marBottom w:val="0"/>
                  <w:divBdr>
                    <w:top w:val="none" w:sz="0" w:space="0" w:color="auto"/>
                    <w:left w:val="none" w:sz="0" w:space="0" w:color="auto"/>
                    <w:bottom w:val="none" w:sz="0" w:space="0" w:color="auto"/>
                    <w:right w:val="none" w:sz="0" w:space="0" w:color="auto"/>
                  </w:divBdr>
                  <w:divsChild>
                    <w:div w:id="931281218">
                      <w:marLeft w:val="0"/>
                      <w:marRight w:val="0"/>
                      <w:marTop w:val="0"/>
                      <w:marBottom w:val="0"/>
                      <w:divBdr>
                        <w:top w:val="none" w:sz="0" w:space="0" w:color="auto"/>
                        <w:left w:val="none" w:sz="0" w:space="0" w:color="auto"/>
                        <w:bottom w:val="none" w:sz="0" w:space="0" w:color="auto"/>
                        <w:right w:val="none" w:sz="0" w:space="0" w:color="auto"/>
                      </w:divBdr>
                      <w:divsChild>
                        <w:div w:id="454641437">
                          <w:marLeft w:val="0"/>
                          <w:marRight w:val="0"/>
                          <w:marTop w:val="0"/>
                          <w:marBottom w:val="0"/>
                          <w:divBdr>
                            <w:top w:val="single" w:sz="4" w:space="0" w:color="828282"/>
                            <w:left w:val="single" w:sz="4" w:space="0" w:color="828282"/>
                            <w:bottom w:val="single" w:sz="4" w:space="0" w:color="828282"/>
                            <w:right w:val="single" w:sz="4" w:space="0" w:color="828282"/>
                          </w:divBdr>
                          <w:divsChild>
                            <w:div w:id="416556292">
                              <w:marLeft w:val="0"/>
                              <w:marRight w:val="0"/>
                              <w:marTop w:val="0"/>
                              <w:marBottom w:val="0"/>
                              <w:divBdr>
                                <w:top w:val="none" w:sz="0" w:space="0" w:color="auto"/>
                                <w:left w:val="none" w:sz="0" w:space="0" w:color="auto"/>
                                <w:bottom w:val="none" w:sz="0" w:space="0" w:color="auto"/>
                                <w:right w:val="none" w:sz="0" w:space="0" w:color="auto"/>
                              </w:divBdr>
                              <w:divsChild>
                                <w:div w:id="1745637656">
                                  <w:marLeft w:val="0"/>
                                  <w:marRight w:val="0"/>
                                  <w:marTop w:val="0"/>
                                  <w:marBottom w:val="0"/>
                                  <w:divBdr>
                                    <w:top w:val="none" w:sz="0" w:space="0" w:color="auto"/>
                                    <w:left w:val="none" w:sz="0" w:space="0" w:color="auto"/>
                                    <w:bottom w:val="none" w:sz="0" w:space="0" w:color="auto"/>
                                    <w:right w:val="none" w:sz="0" w:space="0" w:color="auto"/>
                                  </w:divBdr>
                                  <w:divsChild>
                                    <w:div w:id="2006662001">
                                      <w:marLeft w:val="0"/>
                                      <w:marRight w:val="0"/>
                                      <w:marTop w:val="0"/>
                                      <w:marBottom w:val="0"/>
                                      <w:divBdr>
                                        <w:top w:val="none" w:sz="0" w:space="0" w:color="auto"/>
                                        <w:left w:val="none" w:sz="0" w:space="0" w:color="auto"/>
                                        <w:bottom w:val="none" w:sz="0" w:space="0" w:color="auto"/>
                                        <w:right w:val="none" w:sz="0" w:space="0" w:color="auto"/>
                                      </w:divBdr>
                                      <w:divsChild>
                                        <w:div w:id="92213282">
                                          <w:marLeft w:val="0"/>
                                          <w:marRight w:val="0"/>
                                          <w:marTop w:val="0"/>
                                          <w:marBottom w:val="0"/>
                                          <w:divBdr>
                                            <w:top w:val="none" w:sz="0" w:space="0" w:color="auto"/>
                                            <w:left w:val="none" w:sz="0" w:space="0" w:color="auto"/>
                                            <w:bottom w:val="none" w:sz="0" w:space="0" w:color="auto"/>
                                            <w:right w:val="none" w:sz="0" w:space="0" w:color="auto"/>
                                          </w:divBdr>
                                          <w:divsChild>
                                            <w:div w:id="984773016">
                                              <w:marLeft w:val="0"/>
                                              <w:marRight w:val="0"/>
                                              <w:marTop w:val="0"/>
                                              <w:marBottom w:val="0"/>
                                              <w:divBdr>
                                                <w:top w:val="none" w:sz="0" w:space="0" w:color="auto"/>
                                                <w:left w:val="none" w:sz="0" w:space="0" w:color="auto"/>
                                                <w:bottom w:val="none" w:sz="0" w:space="0" w:color="auto"/>
                                                <w:right w:val="none" w:sz="0" w:space="0" w:color="auto"/>
                                              </w:divBdr>
                                              <w:divsChild>
                                                <w:div w:id="10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938739">
      <w:bodyDiv w:val="1"/>
      <w:marLeft w:val="0"/>
      <w:marRight w:val="0"/>
      <w:marTop w:val="0"/>
      <w:marBottom w:val="0"/>
      <w:divBdr>
        <w:top w:val="none" w:sz="0" w:space="0" w:color="auto"/>
        <w:left w:val="none" w:sz="0" w:space="0" w:color="auto"/>
        <w:bottom w:val="none" w:sz="0" w:space="0" w:color="auto"/>
        <w:right w:val="none" w:sz="0" w:space="0" w:color="auto"/>
      </w:divBdr>
    </w:div>
    <w:div w:id="1047030957">
      <w:bodyDiv w:val="1"/>
      <w:marLeft w:val="0"/>
      <w:marRight w:val="0"/>
      <w:marTop w:val="0"/>
      <w:marBottom w:val="0"/>
      <w:divBdr>
        <w:top w:val="none" w:sz="0" w:space="0" w:color="auto"/>
        <w:left w:val="none" w:sz="0" w:space="0" w:color="auto"/>
        <w:bottom w:val="none" w:sz="0" w:space="0" w:color="auto"/>
        <w:right w:val="none" w:sz="0" w:space="0" w:color="auto"/>
      </w:divBdr>
    </w:div>
    <w:div w:id="1068990299">
      <w:bodyDiv w:val="1"/>
      <w:marLeft w:val="0"/>
      <w:marRight w:val="0"/>
      <w:marTop w:val="0"/>
      <w:marBottom w:val="0"/>
      <w:divBdr>
        <w:top w:val="none" w:sz="0" w:space="0" w:color="auto"/>
        <w:left w:val="none" w:sz="0" w:space="0" w:color="auto"/>
        <w:bottom w:val="none" w:sz="0" w:space="0" w:color="auto"/>
        <w:right w:val="none" w:sz="0" w:space="0" w:color="auto"/>
      </w:divBdr>
    </w:div>
    <w:div w:id="1083258063">
      <w:bodyDiv w:val="1"/>
      <w:marLeft w:val="0"/>
      <w:marRight w:val="0"/>
      <w:marTop w:val="0"/>
      <w:marBottom w:val="0"/>
      <w:divBdr>
        <w:top w:val="none" w:sz="0" w:space="0" w:color="auto"/>
        <w:left w:val="none" w:sz="0" w:space="0" w:color="auto"/>
        <w:bottom w:val="none" w:sz="0" w:space="0" w:color="auto"/>
        <w:right w:val="none" w:sz="0" w:space="0" w:color="auto"/>
      </w:divBdr>
    </w:div>
    <w:div w:id="1093627069">
      <w:bodyDiv w:val="1"/>
      <w:marLeft w:val="0"/>
      <w:marRight w:val="0"/>
      <w:marTop w:val="0"/>
      <w:marBottom w:val="0"/>
      <w:divBdr>
        <w:top w:val="none" w:sz="0" w:space="0" w:color="auto"/>
        <w:left w:val="none" w:sz="0" w:space="0" w:color="auto"/>
        <w:bottom w:val="none" w:sz="0" w:space="0" w:color="auto"/>
        <w:right w:val="none" w:sz="0" w:space="0" w:color="auto"/>
      </w:divBdr>
    </w:div>
    <w:div w:id="1118448419">
      <w:bodyDiv w:val="1"/>
      <w:marLeft w:val="0"/>
      <w:marRight w:val="0"/>
      <w:marTop w:val="0"/>
      <w:marBottom w:val="0"/>
      <w:divBdr>
        <w:top w:val="none" w:sz="0" w:space="0" w:color="auto"/>
        <w:left w:val="none" w:sz="0" w:space="0" w:color="auto"/>
        <w:bottom w:val="none" w:sz="0" w:space="0" w:color="auto"/>
        <w:right w:val="none" w:sz="0" w:space="0" w:color="auto"/>
      </w:divBdr>
    </w:div>
    <w:div w:id="1126045975">
      <w:bodyDiv w:val="1"/>
      <w:marLeft w:val="0"/>
      <w:marRight w:val="0"/>
      <w:marTop w:val="0"/>
      <w:marBottom w:val="0"/>
      <w:divBdr>
        <w:top w:val="none" w:sz="0" w:space="0" w:color="auto"/>
        <w:left w:val="none" w:sz="0" w:space="0" w:color="auto"/>
        <w:bottom w:val="none" w:sz="0" w:space="0" w:color="auto"/>
        <w:right w:val="none" w:sz="0" w:space="0" w:color="auto"/>
      </w:divBdr>
    </w:div>
    <w:div w:id="1154949376">
      <w:bodyDiv w:val="1"/>
      <w:marLeft w:val="0"/>
      <w:marRight w:val="0"/>
      <w:marTop w:val="0"/>
      <w:marBottom w:val="0"/>
      <w:divBdr>
        <w:top w:val="none" w:sz="0" w:space="0" w:color="auto"/>
        <w:left w:val="none" w:sz="0" w:space="0" w:color="auto"/>
        <w:bottom w:val="none" w:sz="0" w:space="0" w:color="auto"/>
        <w:right w:val="none" w:sz="0" w:space="0" w:color="auto"/>
      </w:divBdr>
    </w:div>
    <w:div w:id="1205485110">
      <w:bodyDiv w:val="1"/>
      <w:marLeft w:val="0"/>
      <w:marRight w:val="0"/>
      <w:marTop w:val="0"/>
      <w:marBottom w:val="0"/>
      <w:divBdr>
        <w:top w:val="none" w:sz="0" w:space="0" w:color="auto"/>
        <w:left w:val="none" w:sz="0" w:space="0" w:color="auto"/>
        <w:bottom w:val="none" w:sz="0" w:space="0" w:color="auto"/>
        <w:right w:val="none" w:sz="0" w:space="0" w:color="auto"/>
      </w:divBdr>
    </w:div>
    <w:div w:id="1224869982">
      <w:bodyDiv w:val="1"/>
      <w:marLeft w:val="0"/>
      <w:marRight w:val="0"/>
      <w:marTop w:val="0"/>
      <w:marBottom w:val="0"/>
      <w:divBdr>
        <w:top w:val="none" w:sz="0" w:space="0" w:color="auto"/>
        <w:left w:val="none" w:sz="0" w:space="0" w:color="auto"/>
        <w:bottom w:val="none" w:sz="0" w:space="0" w:color="auto"/>
        <w:right w:val="none" w:sz="0" w:space="0" w:color="auto"/>
      </w:divBdr>
    </w:div>
    <w:div w:id="1245725588">
      <w:bodyDiv w:val="1"/>
      <w:marLeft w:val="0"/>
      <w:marRight w:val="0"/>
      <w:marTop w:val="0"/>
      <w:marBottom w:val="0"/>
      <w:divBdr>
        <w:top w:val="none" w:sz="0" w:space="0" w:color="auto"/>
        <w:left w:val="none" w:sz="0" w:space="0" w:color="auto"/>
        <w:bottom w:val="none" w:sz="0" w:space="0" w:color="auto"/>
        <w:right w:val="none" w:sz="0" w:space="0" w:color="auto"/>
      </w:divBdr>
    </w:div>
    <w:div w:id="1300189576">
      <w:bodyDiv w:val="1"/>
      <w:marLeft w:val="0"/>
      <w:marRight w:val="0"/>
      <w:marTop w:val="0"/>
      <w:marBottom w:val="0"/>
      <w:divBdr>
        <w:top w:val="none" w:sz="0" w:space="0" w:color="auto"/>
        <w:left w:val="none" w:sz="0" w:space="0" w:color="auto"/>
        <w:bottom w:val="none" w:sz="0" w:space="0" w:color="auto"/>
        <w:right w:val="none" w:sz="0" w:space="0" w:color="auto"/>
      </w:divBdr>
    </w:div>
    <w:div w:id="1337922645">
      <w:bodyDiv w:val="1"/>
      <w:marLeft w:val="0"/>
      <w:marRight w:val="0"/>
      <w:marTop w:val="0"/>
      <w:marBottom w:val="0"/>
      <w:divBdr>
        <w:top w:val="none" w:sz="0" w:space="0" w:color="auto"/>
        <w:left w:val="none" w:sz="0" w:space="0" w:color="auto"/>
        <w:bottom w:val="none" w:sz="0" w:space="0" w:color="auto"/>
        <w:right w:val="none" w:sz="0" w:space="0" w:color="auto"/>
      </w:divBdr>
    </w:div>
    <w:div w:id="1410926738">
      <w:bodyDiv w:val="1"/>
      <w:marLeft w:val="0"/>
      <w:marRight w:val="0"/>
      <w:marTop w:val="0"/>
      <w:marBottom w:val="0"/>
      <w:divBdr>
        <w:top w:val="none" w:sz="0" w:space="0" w:color="auto"/>
        <w:left w:val="none" w:sz="0" w:space="0" w:color="auto"/>
        <w:bottom w:val="none" w:sz="0" w:space="0" w:color="auto"/>
        <w:right w:val="none" w:sz="0" w:space="0" w:color="auto"/>
      </w:divBdr>
    </w:div>
    <w:div w:id="1448548073">
      <w:bodyDiv w:val="1"/>
      <w:marLeft w:val="0"/>
      <w:marRight w:val="0"/>
      <w:marTop w:val="0"/>
      <w:marBottom w:val="0"/>
      <w:divBdr>
        <w:top w:val="none" w:sz="0" w:space="0" w:color="auto"/>
        <w:left w:val="none" w:sz="0" w:space="0" w:color="auto"/>
        <w:bottom w:val="none" w:sz="0" w:space="0" w:color="auto"/>
        <w:right w:val="none" w:sz="0" w:space="0" w:color="auto"/>
      </w:divBdr>
    </w:div>
    <w:div w:id="1492912080">
      <w:bodyDiv w:val="1"/>
      <w:marLeft w:val="0"/>
      <w:marRight w:val="0"/>
      <w:marTop w:val="0"/>
      <w:marBottom w:val="0"/>
      <w:divBdr>
        <w:top w:val="none" w:sz="0" w:space="0" w:color="auto"/>
        <w:left w:val="none" w:sz="0" w:space="0" w:color="auto"/>
        <w:bottom w:val="none" w:sz="0" w:space="0" w:color="auto"/>
        <w:right w:val="none" w:sz="0" w:space="0" w:color="auto"/>
      </w:divBdr>
    </w:div>
    <w:div w:id="1514608509">
      <w:bodyDiv w:val="1"/>
      <w:marLeft w:val="0"/>
      <w:marRight w:val="0"/>
      <w:marTop w:val="0"/>
      <w:marBottom w:val="0"/>
      <w:divBdr>
        <w:top w:val="none" w:sz="0" w:space="0" w:color="auto"/>
        <w:left w:val="none" w:sz="0" w:space="0" w:color="auto"/>
        <w:bottom w:val="none" w:sz="0" w:space="0" w:color="auto"/>
        <w:right w:val="none" w:sz="0" w:space="0" w:color="auto"/>
      </w:divBdr>
      <w:divsChild>
        <w:div w:id="989597302">
          <w:marLeft w:val="0"/>
          <w:marRight w:val="0"/>
          <w:marTop w:val="0"/>
          <w:marBottom w:val="0"/>
          <w:divBdr>
            <w:top w:val="none" w:sz="0" w:space="0" w:color="auto"/>
            <w:left w:val="none" w:sz="0" w:space="0" w:color="auto"/>
            <w:bottom w:val="none" w:sz="0" w:space="0" w:color="auto"/>
            <w:right w:val="none" w:sz="0" w:space="0" w:color="auto"/>
          </w:divBdr>
          <w:divsChild>
            <w:div w:id="1036007096">
              <w:marLeft w:val="0"/>
              <w:marRight w:val="0"/>
              <w:marTop w:val="0"/>
              <w:marBottom w:val="0"/>
              <w:divBdr>
                <w:top w:val="none" w:sz="0" w:space="0" w:color="auto"/>
                <w:left w:val="none" w:sz="0" w:space="0" w:color="auto"/>
                <w:bottom w:val="none" w:sz="0" w:space="0" w:color="auto"/>
                <w:right w:val="none" w:sz="0" w:space="0" w:color="auto"/>
              </w:divBdr>
              <w:divsChild>
                <w:div w:id="20742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6097">
      <w:bodyDiv w:val="1"/>
      <w:marLeft w:val="0"/>
      <w:marRight w:val="0"/>
      <w:marTop w:val="0"/>
      <w:marBottom w:val="0"/>
      <w:divBdr>
        <w:top w:val="none" w:sz="0" w:space="0" w:color="auto"/>
        <w:left w:val="none" w:sz="0" w:space="0" w:color="auto"/>
        <w:bottom w:val="none" w:sz="0" w:space="0" w:color="auto"/>
        <w:right w:val="none" w:sz="0" w:space="0" w:color="auto"/>
      </w:divBdr>
    </w:div>
    <w:div w:id="1685551639">
      <w:bodyDiv w:val="1"/>
      <w:marLeft w:val="0"/>
      <w:marRight w:val="0"/>
      <w:marTop w:val="0"/>
      <w:marBottom w:val="0"/>
      <w:divBdr>
        <w:top w:val="none" w:sz="0" w:space="0" w:color="auto"/>
        <w:left w:val="none" w:sz="0" w:space="0" w:color="auto"/>
        <w:bottom w:val="none" w:sz="0" w:space="0" w:color="auto"/>
        <w:right w:val="none" w:sz="0" w:space="0" w:color="auto"/>
      </w:divBdr>
    </w:div>
    <w:div w:id="1693148181">
      <w:bodyDiv w:val="1"/>
      <w:marLeft w:val="0"/>
      <w:marRight w:val="0"/>
      <w:marTop w:val="0"/>
      <w:marBottom w:val="0"/>
      <w:divBdr>
        <w:top w:val="none" w:sz="0" w:space="0" w:color="auto"/>
        <w:left w:val="none" w:sz="0" w:space="0" w:color="auto"/>
        <w:bottom w:val="none" w:sz="0" w:space="0" w:color="auto"/>
        <w:right w:val="none" w:sz="0" w:space="0" w:color="auto"/>
      </w:divBdr>
    </w:div>
    <w:div w:id="1723868930">
      <w:bodyDiv w:val="1"/>
      <w:marLeft w:val="0"/>
      <w:marRight w:val="0"/>
      <w:marTop w:val="0"/>
      <w:marBottom w:val="0"/>
      <w:divBdr>
        <w:top w:val="none" w:sz="0" w:space="0" w:color="auto"/>
        <w:left w:val="none" w:sz="0" w:space="0" w:color="auto"/>
        <w:bottom w:val="none" w:sz="0" w:space="0" w:color="auto"/>
        <w:right w:val="none" w:sz="0" w:space="0" w:color="auto"/>
      </w:divBdr>
    </w:div>
    <w:div w:id="1830094157">
      <w:bodyDiv w:val="1"/>
      <w:marLeft w:val="0"/>
      <w:marRight w:val="0"/>
      <w:marTop w:val="0"/>
      <w:marBottom w:val="0"/>
      <w:divBdr>
        <w:top w:val="none" w:sz="0" w:space="0" w:color="auto"/>
        <w:left w:val="none" w:sz="0" w:space="0" w:color="auto"/>
        <w:bottom w:val="none" w:sz="0" w:space="0" w:color="auto"/>
        <w:right w:val="none" w:sz="0" w:space="0" w:color="auto"/>
      </w:divBdr>
      <w:divsChild>
        <w:div w:id="2021003952">
          <w:marLeft w:val="0"/>
          <w:marRight w:val="0"/>
          <w:marTop w:val="0"/>
          <w:marBottom w:val="0"/>
          <w:divBdr>
            <w:top w:val="none" w:sz="0" w:space="0" w:color="auto"/>
            <w:left w:val="none" w:sz="0" w:space="0" w:color="auto"/>
            <w:bottom w:val="none" w:sz="0" w:space="0" w:color="auto"/>
            <w:right w:val="none" w:sz="0" w:space="0" w:color="auto"/>
          </w:divBdr>
          <w:divsChild>
            <w:div w:id="13463333">
              <w:marLeft w:val="0"/>
              <w:marRight w:val="0"/>
              <w:marTop w:val="0"/>
              <w:marBottom w:val="0"/>
              <w:divBdr>
                <w:top w:val="none" w:sz="0" w:space="0" w:color="auto"/>
                <w:left w:val="none" w:sz="0" w:space="0" w:color="auto"/>
                <w:bottom w:val="none" w:sz="0" w:space="0" w:color="auto"/>
                <w:right w:val="none" w:sz="0" w:space="0" w:color="auto"/>
              </w:divBdr>
              <w:divsChild>
                <w:div w:id="7187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6981">
      <w:bodyDiv w:val="1"/>
      <w:marLeft w:val="0"/>
      <w:marRight w:val="0"/>
      <w:marTop w:val="0"/>
      <w:marBottom w:val="0"/>
      <w:divBdr>
        <w:top w:val="none" w:sz="0" w:space="0" w:color="auto"/>
        <w:left w:val="none" w:sz="0" w:space="0" w:color="auto"/>
        <w:bottom w:val="none" w:sz="0" w:space="0" w:color="auto"/>
        <w:right w:val="none" w:sz="0" w:space="0" w:color="auto"/>
      </w:divBdr>
    </w:div>
    <w:div w:id="1879703760">
      <w:bodyDiv w:val="1"/>
      <w:marLeft w:val="0"/>
      <w:marRight w:val="0"/>
      <w:marTop w:val="0"/>
      <w:marBottom w:val="0"/>
      <w:divBdr>
        <w:top w:val="none" w:sz="0" w:space="0" w:color="auto"/>
        <w:left w:val="none" w:sz="0" w:space="0" w:color="auto"/>
        <w:bottom w:val="none" w:sz="0" w:space="0" w:color="auto"/>
        <w:right w:val="none" w:sz="0" w:space="0" w:color="auto"/>
      </w:divBdr>
    </w:div>
    <w:div w:id="1895771663">
      <w:bodyDiv w:val="1"/>
      <w:marLeft w:val="0"/>
      <w:marRight w:val="0"/>
      <w:marTop w:val="0"/>
      <w:marBottom w:val="0"/>
      <w:divBdr>
        <w:top w:val="none" w:sz="0" w:space="0" w:color="auto"/>
        <w:left w:val="none" w:sz="0" w:space="0" w:color="auto"/>
        <w:bottom w:val="none" w:sz="0" w:space="0" w:color="auto"/>
        <w:right w:val="none" w:sz="0" w:space="0" w:color="auto"/>
      </w:divBdr>
    </w:div>
    <w:div w:id="1947692363">
      <w:bodyDiv w:val="1"/>
      <w:marLeft w:val="0"/>
      <w:marRight w:val="0"/>
      <w:marTop w:val="0"/>
      <w:marBottom w:val="0"/>
      <w:divBdr>
        <w:top w:val="none" w:sz="0" w:space="0" w:color="auto"/>
        <w:left w:val="none" w:sz="0" w:space="0" w:color="auto"/>
        <w:bottom w:val="none" w:sz="0" w:space="0" w:color="auto"/>
        <w:right w:val="none" w:sz="0" w:space="0" w:color="auto"/>
      </w:divBdr>
    </w:div>
    <w:div w:id="1953125106">
      <w:bodyDiv w:val="1"/>
      <w:marLeft w:val="0"/>
      <w:marRight w:val="0"/>
      <w:marTop w:val="0"/>
      <w:marBottom w:val="0"/>
      <w:divBdr>
        <w:top w:val="none" w:sz="0" w:space="0" w:color="auto"/>
        <w:left w:val="none" w:sz="0" w:space="0" w:color="auto"/>
        <w:bottom w:val="none" w:sz="0" w:space="0" w:color="auto"/>
        <w:right w:val="none" w:sz="0" w:space="0" w:color="auto"/>
      </w:divBdr>
    </w:div>
    <w:div w:id="1958179379">
      <w:bodyDiv w:val="1"/>
      <w:marLeft w:val="0"/>
      <w:marRight w:val="0"/>
      <w:marTop w:val="0"/>
      <w:marBottom w:val="0"/>
      <w:divBdr>
        <w:top w:val="none" w:sz="0" w:space="0" w:color="auto"/>
        <w:left w:val="none" w:sz="0" w:space="0" w:color="auto"/>
        <w:bottom w:val="none" w:sz="0" w:space="0" w:color="auto"/>
        <w:right w:val="none" w:sz="0" w:space="0" w:color="auto"/>
      </w:divBdr>
    </w:div>
    <w:div w:id="1986085491">
      <w:bodyDiv w:val="1"/>
      <w:marLeft w:val="0"/>
      <w:marRight w:val="0"/>
      <w:marTop w:val="0"/>
      <w:marBottom w:val="0"/>
      <w:divBdr>
        <w:top w:val="none" w:sz="0" w:space="0" w:color="auto"/>
        <w:left w:val="none" w:sz="0" w:space="0" w:color="auto"/>
        <w:bottom w:val="none" w:sz="0" w:space="0" w:color="auto"/>
        <w:right w:val="none" w:sz="0" w:space="0" w:color="auto"/>
      </w:divBdr>
    </w:div>
    <w:div w:id="2022315881">
      <w:bodyDiv w:val="1"/>
      <w:marLeft w:val="0"/>
      <w:marRight w:val="0"/>
      <w:marTop w:val="0"/>
      <w:marBottom w:val="0"/>
      <w:divBdr>
        <w:top w:val="none" w:sz="0" w:space="0" w:color="auto"/>
        <w:left w:val="none" w:sz="0" w:space="0" w:color="auto"/>
        <w:bottom w:val="none" w:sz="0" w:space="0" w:color="auto"/>
        <w:right w:val="none" w:sz="0" w:space="0" w:color="auto"/>
      </w:divBdr>
    </w:div>
    <w:div w:id="2035765797">
      <w:bodyDiv w:val="1"/>
      <w:marLeft w:val="0"/>
      <w:marRight w:val="0"/>
      <w:marTop w:val="0"/>
      <w:marBottom w:val="0"/>
      <w:divBdr>
        <w:top w:val="none" w:sz="0" w:space="0" w:color="auto"/>
        <w:left w:val="none" w:sz="0" w:space="0" w:color="auto"/>
        <w:bottom w:val="none" w:sz="0" w:space="0" w:color="auto"/>
        <w:right w:val="none" w:sz="0" w:space="0" w:color="auto"/>
      </w:divBdr>
    </w:div>
    <w:div w:id="2083481937">
      <w:bodyDiv w:val="1"/>
      <w:marLeft w:val="0"/>
      <w:marRight w:val="0"/>
      <w:marTop w:val="0"/>
      <w:marBottom w:val="0"/>
      <w:divBdr>
        <w:top w:val="none" w:sz="0" w:space="0" w:color="auto"/>
        <w:left w:val="none" w:sz="0" w:space="0" w:color="auto"/>
        <w:bottom w:val="none" w:sz="0" w:space="0" w:color="auto"/>
        <w:right w:val="none" w:sz="0" w:space="0" w:color="auto"/>
      </w:divBdr>
    </w:div>
    <w:div w:id="2109111698">
      <w:bodyDiv w:val="1"/>
      <w:marLeft w:val="0"/>
      <w:marRight w:val="0"/>
      <w:marTop w:val="0"/>
      <w:marBottom w:val="0"/>
      <w:divBdr>
        <w:top w:val="none" w:sz="0" w:space="0" w:color="auto"/>
        <w:left w:val="none" w:sz="0" w:space="0" w:color="auto"/>
        <w:bottom w:val="none" w:sz="0" w:space="0" w:color="auto"/>
        <w:right w:val="none" w:sz="0" w:space="0" w:color="auto"/>
      </w:divBdr>
    </w:div>
    <w:div w:id="2109999734">
      <w:bodyDiv w:val="1"/>
      <w:marLeft w:val="0"/>
      <w:marRight w:val="0"/>
      <w:marTop w:val="0"/>
      <w:marBottom w:val="0"/>
      <w:divBdr>
        <w:top w:val="none" w:sz="0" w:space="0" w:color="auto"/>
        <w:left w:val="none" w:sz="0" w:space="0" w:color="auto"/>
        <w:bottom w:val="none" w:sz="0" w:space="0" w:color="auto"/>
        <w:right w:val="none" w:sz="0" w:space="0" w:color="auto"/>
      </w:divBdr>
    </w:div>
    <w:div w:id="2116945570">
      <w:bodyDiv w:val="1"/>
      <w:marLeft w:val="0"/>
      <w:marRight w:val="0"/>
      <w:marTop w:val="0"/>
      <w:marBottom w:val="0"/>
      <w:divBdr>
        <w:top w:val="none" w:sz="0" w:space="0" w:color="auto"/>
        <w:left w:val="none" w:sz="0" w:space="0" w:color="auto"/>
        <w:bottom w:val="none" w:sz="0" w:space="0" w:color="auto"/>
        <w:right w:val="none" w:sz="0" w:space="0" w:color="auto"/>
      </w:divBdr>
    </w:div>
    <w:div w:id="2132086700">
      <w:bodyDiv w:val="1"/>
      <w:marLeft w:val="0"/>
      <w:marRight w:val="0"/>
      <w:marTop w:val="0"/>
      <w:marBottom w:val="0"/>
      <w:divBdr>
        <w:top w:val="none" w:sz="0" w:space="0" w:color="auto"/>
        <w:left w:val="none" w:sz="0" w:space="0" w:color="auto"/>
        <w:bottom w:val="none" w:sz="0" w:space="0" w:color="auto"/>
        <w:right w:val="none" w:sz="0" w:space="0" w:color="auto"/>
      </w:divBdr>
    </w:div>
    <w:div w:id="21463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F2D6D-E167-4039-A575-2292E316AEB3}">
  <ds:schemaRefs>
    <ds:schemaRef ds:uri="http://schemas.microsoft.com/sharepoint/v3/contenttype/forms"/>
  </ds:schemaRefs>
</ds:datastoreItem>
</file>

<file path=customXml/itemProps2.xml><?xml version="1.0" encoding="utf-8"?>
<ds:datastoreItem xmlns:ds="http://schemas.openxmlformats.org/officeDocument/2006/customXml" ds:itemID="{3D566D81-917E-42E9-A36D-243509B76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A2058-2750-4A88-8762-DF4BD743058F}">
  <ds:schemaRefs>
    <ds:schemaRef ds:uri="http://schemas.openxmlformats.org/officeDocument/2006/bibliography"/>
  </ds:schemaRefs>
</ds:datastoreItem>
</file>

<file path=customXml/itemProps4.xml><?xml version="1.0" encoding="utf-8"?>
<ds:datastoreItem xmlns:ds="http://schemas.openxmlformats.org/officeDocument/2006/customXml" ds:itemID="{4076567C-51D6-4DF0-9DA2-67E3372F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4974</Words>
  <Characters>29885</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ACT Treatment of AASB Standards issued which are not yet effective as at 30 June 2017</vt:lpstr>
    </vt:vector>
  </TitlesOfParts>
  <Company>ACT Government</Company>
  <LinksUpToDate>false</LinksUpToDate>
  <CharactersWithSpaces>34790</CharactersWithSpaces>
  <SharedDoc>false</SharedDoc>
  <HLinks>
    <vt:vector size="150" baseType="variant">
      <vt:variant>
        <vt:i4>1703994</vt:i4>
      </vt:variant>
      <vt:variant>
        <vt:i4>146</vt:i4>
      </vt:variant>
      <vt:variant>
        <vt:i4>0</vt:i4>
      </vt:variant>
      <vt:variant>
        <vt:i4>5</vt:i4>
      </vt:variant>
      <vt:variant>
        <vt:lpwstr/>
      </vt:variant>
      <vt:variant>
        <vt:lpwstr>_Toc45264688</vt:lpwstr>
      </vt:variant>
      <vt:variant>
        <vt:i4>1376314</vt:i4>
      </vt:variant>
      <vt:variant>
        <vt:i4>140</vt:i4>
      </vt:variant>
      <vt:variant>
        <vt:i4>0</vt:i4>
      </vt:variant>
      <vt:variant>
        <vt:i4>5</vt:i4>
      </vt:variant>
      <vt:variant>
        <vt:lpwstr/>
      </vt:variant>
      <vt:variant>
        <vt:lpwstr>_Toc45264687</vt:lpwstr>
      </vt:variant>
      <vt:variant>
        <vt:i4>1310778</vt:i4>
      </vt:variant>
      <vt:variant>
        <vt:i4>134</vt:i4>
      </vt:variant>
      <vt:variant>
        <vt:i4>0</vt:i4>
      </vt:variant>
      <vt:variant>
        <vt:i4>5</vt:i4>
      </vt:variant>
      <vt:variant>
        <vt:lpwstr/>
      </vt:variant>
      <vt:variant>
        <vt:lpwstr>_Toc45264686</vt:lpwstr>
      </vt:variant>
      <vt:variant>
        <vt:i4>1507386</vt:i4>
      </vt:variant>
      <vt:variant>
        <vt:i4>128</vt:i4>
      </vt:variant>
      <vt:variant>
        <vt:i4>0</vt:i4>
      </vt:variant>
      <vt:variant>
        <vt:i4>5</vt:i4>
      </vt:variant>
      <vt:variant>
        <vt:lpwstr/>
      </vt:variant>
      <vt:variant>
        <vt:lpwstr>_Toc45264685</vt:lpwstr>
      </vt:variant>
      <vt:variant>
        <vt:i4>1441850</vt:i4>
      </vt:variant>
      <vt:variant>
        <vt:i4>122</vt:i4>
      </vt:variant>
      <vt:variant>
        <vt:i4>0</vt:i4>
      </vt:variant>
      <vt:variant>
        <vt:i4>5</vt:i4>
      </vt:variant>
      <vt:variant>
        <vt:lpwstr/>
      </vt:variant>
      <vt:variant>
        <vt:lpwstr>_Toc45264684</vt:lpwstr>
      </vt:variant>
      <vt:variant>
        <vt:i4>1114170</vt:i4>
      </vt:variant>
      <vt:variant>
        <vt:i4>116</vt:i4>
      </vt:variant>
      <vt:variant>
        <vt:i4>0</vt:i4>
      </vt:variant>
      <vt:variant>
        <vt:i4>5</vt:i4>
      </vt:variant>
      <vt:variant>
        <vt:lpwstr/>
      </vt:variant>
      <vt:variant>
        <vt:lpwstr>_Toc45264683</vt:lpwstr>
      </vt:variant>
      <vt:variant>
        <vt:i4>1048634</vt:i4>
      </vt:variant>
      <vt:variant>
        <vt:i4>110</vt:i4>
      </vt:variant>
      <vt:variant>
        <vt:i4>0</vt:i4>
      </vt:variant>
      <vt:variant>
        <vt:i4>5</vt:i4>
      </vt:variant>
      <vt:variant>
        <vt:lpwstr/>
      </vt:variant>
      <vt:variant>
        <vt:lpwstr>_Toc45264682</vt:lpwstr>
      </vt:variant>
      <vt:variant>
        <vt:i4>1245242</vt:i4>
      </vt:variant>
      <vt:variant>
        <vt:i4>104</vt:i4>
      </vt:variant>
      <vt:variant>
        <vt:i4>0</vt:i4>
      </vt:variant>
      <vt:variant>
        <vt:i4>5</vt:i4>
      </vt:variant>
      <vt:variant>
        <vt:lpwstr/>
      </vt:variant>
      <vt:variant>
        <vt:lpwstr>_Toc45264681</vt:lpwstr>
      </vt:variant>
      <vt:variant>
        <vt:i4>1179706</vt:i4>
      </vt:variant>
      <vt:variant>
        <vt:i4>98</vt:i4>
      </vt:variant>
      <vt:variant>
        <vt:i4>0</vt:i4>
      </vt:variant>
      <vt:variant>
        <vt:i4>5</vt:i4>
      </vt:variant>
      <vt:variant>
        <vt:lpwstr/>
      </vt:variant>
      <vt:variant>
        <vt:lpwstr>_Toc45264680</vt:lpwstr>
      </vt:variant>
      <vt:variant>
        <vt:i4>1769525</vt:i4>
      </vt:variant>
      <vt:variant>
        <vt:i4>92</vt:i4>
      </vt:variant>
      <vt:variant>
        <vt:i4>0</vt:i4>
      </vt:variant>
      <vt:variant>
        <vt:i4>5</vt:i4>
      </vt:variant>
      <vt:variant>
        <vt:lpwstr/>
      </vt:variant>
      <vt:variant>
        <vt:lpwstr>_Toc45264679</vt:lpwstr>
      </vt:variant>
      <vt:variant>
        <vt:i4>1703989</vt:i4>
      </vt:variant>
      <vt:variant>
        <vt:i4>86</vt:i4>
      </vt:variant>
      <vt:variant>
        <vt:i4>0</vt:i4>
      </vt:variant>
      <vt:variant>
        <vt:i4>5</vt:i4>
      </vt:variant>
      <vt:variant>
        <vt:lpwstr/>
      </vt:variant>
      <vt:variant>
        <vt:lpwstr>_Toc45264678</vt:lpwstr>
      </vt:variant>
      <vt:variant>
        <vt:i4>1376309</vt:i4>
      </vt:variant>
      <vt:variant>
        <vt:i4>80</vt:i4>
      </vt:variant>
      <vt:variant>
        <vt:i4>0</vt:i4>
      </vt:variant>
      <vt:variant>
        <vt:i4>5</vt:i4>
      </vt:variant>
      <vt:variant>
        <vt:lpwstr/>
      </vt:variant>
      <vt:variant>
        <vt:lpwstr>_Toc45264677</vt:lpwstr>
      </vt:variant>
      <vt:variant>
        <vt:i4>1310773</vt:i4>
      </vt:variant>
      <vt:variant>
        <vt:i4>74</vt:i4>
      </vt:variant>
      <vt:variant>
        <vt:i4>0</vt:i4>
      </vt:variant>
      <vt:variant>
        <vt:i4>5</vt:i4>
      </vt:variant>
      <vt:variant>
        <vt:lpwstr/>
      </vt:variant>
      <vt:variant>
        <vt:lpwstr>_Toc45264676</vt:lpwstr>
      </vt:variant>
      <vt:variant>
        <vt:i4>1507381</vt:i4>
      </vt:variant>
      <vt:variant>
        <vt:i4>68</vt:i4>
      </vt:variant>
      <vt:variant>
        <vt:i4>0</vt:i4>
      </vt:variant>
      <vt:variant>
        <vt:i4>5</vt:i4>
      </vt:variant>
      <vt:variant>
        <vt:lpwstr/>
      </vt:variant>
      <vt:variant>
        <vt:lpwstr>_Toc45264675</vt:lpwstr>
      </vt:variant>
      <vt:variant>
        <vt:i4>1441845</vt:i4>
      </vt:variant>
      <vt:variant>
        <vt:i4>62</vt:i4>
      </vt:variant>
      <vt:variant>
        <vt:i4>0</vt:i4>
      </vt:variant>
      <vt:variant>
        <vt:i4>5</vt:i4>
      </vt:variant>
      <vt:variant>
        <vt:lpwstr/>
      </vt:variant>
      <vt:variant>
        <vt:lpwstr>_Toc45264674</vt:lpwstr>
      </vt:variant>
      <vt:variant>
        <vt:i4>1114165</vt:i4>
      </vt:variant>
      <vt:variant>
        <vt:i4>56</vt:i4>
      </vt:variant>
      <vt:variant>
        <vt:i4>0</vt:i4>
      </vt:variant>
      <vt:variant>
        <vt:i4>5</vt:i4>
      </vt:variant>
      <vt:variant>
        <vt:lpwstr/>
      </vt:variant>
      <vt:variant>
        <vt:lpwstr>_Toc45264673</vt:lpwstr>
      </vt:variant>
      <vt:variant>
        <vt:i4>1048629</vt:i4>
      </vt:variant>
      <vt:variant>
        <vt:i4>50</vt:i4>
      </vt:variant>
      <vt:variant>
        <vt:i4>0</vt:i4>
      </vt:variant>
      <vt:variant>
        <vt:i4>5</vt:i4>
      </vt:variant>
      <vt:variant>
        <vt:lpwstr/>
      </vt:variant>
      <vt:variant>
        <vt:lpwstr>_Toc45264672</vt:lpwstr>
      </vt:variant>
      <vt:variant>
        <vt:i4>1245237</vt:i4>
      </vt:variant>
      <vt:variant>
        <vt:i4>44</vt:i4>
      </vt:variant>
      <vt:variant>
        <vt:i4>0</vt:i4>
      </vt:variant>
      <vt:variant>
        <vt:i4>5</vt:i4>
      </vt:variant>
      <vt:variant>
        <vt:lpwstr/>
      </vt:variant>
      <vt:variant>
        <vt:lpwstr>_Toc45264671</vt:lpwstr>
      </vt:variant>
      <vt:variant>
        <vt:i4>1179701</vt:i4>
      </vt:variant>
      <vt:variant>
        <vt:i4>38</vt:i4>
      </vt:variant>
      <vt:variant>
        <vt:i4>0</vt:i4>
      </vt:variant>
      <vt:variant>
        <vt:i4>5</vt:i4>
      </vt:variant>
      <vt:variant>
        <vt:lpwstr/>
      </vt:variant>
      <vt:variant>
        <vt:lpwstr>_Toc45264670</vt:lpwstr>
      </vt:variant>
      <vt:variant>
        <vt:i4>1769524</vt:i4>
      </vt:variant>
      <vt:variant>
        <vt:i4>32</vt:i4>
      </vt:variant>
      <vt:variant>
        <vt:i4>0</vt:i4>
      </vt:variant>
      <vt:variant>
        <vt:i4>5</vt:i4>
      </vt:variant>
      <vt:variant>
        <vt:lpwstr/>
      </vt:variant>
      <vt:variant>
        <vt:lpwstr>_Toc45264669</vt:lpwstr>
      </vt:variant>
      <vt:variant>
        <vt:i4>1703988</vt:i4>
      </vt:variant>
      <vt:variant>
        <vt:i4>26</vt:i4>
      </vt:variant>
      <vt:variant>
        <vt:i4>0</vt:i4>
      </vt:variant>
      <vt:variant>
        <vt:i4>5</vt:i4>
      </vt:variant>
      <vt:variant>
        <vt:lpwstr/>
      </vt:variant>
      <vt:variant>
        <vt:lpwstr>_Toc45264668</vt:lpwstr>
      </vt:variant>
      <vt:variant>
        <vt:i4>1376308</vt:i4>
      </vt:variant>
      <vt:variant>
        <vt:i4>20</vt:i4>
      </vt:variant>
      <vt:variant>
        <vt:i4>0</vt:i4>
      </vt:variant>
      <vt:variant>
        <vt:i4>5</vt:i4>
      </vt:variant>
      <vt:variant>
        <vt:lpwstr/>
      </vt:variant>
      <vt:variant>
        <vt:lpwstr>_Toc45264667</vt:lpwstr>
      </vt:variant>
      <vt:variant>
        <vt:i4>1310772</vt:i4>
      </vt:variant>
      <vt:variant>
        <vt:i4>14</vt:i4>
      </vt:variant>
      <vt:variant>
        <vt:i4>0</vt:i4>
      </vt:variant>
      <vt:variant>
        <vt:i4>5</vt:i4>
      </vt:variant>
      <vt:variant>
        <vt:lpwstr/>
      </vt:variant>
      <vt:variant>
        <vt:lpwstr>_Toc45264666</vt:lpwstr>
      </vt:variant>
      <vt:variant>
        <vt:i4>1507380</vt:i4>
      </vt:variant>
      <vt:variant>
        <vt:i4>8</vt:i4>
      </vt:variant>
      <vt:variant>
        <vt:i4>0</vt:i4>
      </vt:variant>
      <vt:variant>
        <vt:i4>5</vt:i4>
      </vt:variant>
      <vt:variant>
        <vt:lpwstr/>
      </vt:variant>
      <vt:variant>
        <vt:lpwstr>_Toc45264665</vt:lpwstr>
      </vt:variant>
      <vt:variant>
        <vt:i4>1441844</vt:i4>
      </vt:variant>
      <vt:variant>
        <vt:i4>2</vt:i4>
      </vt:variant>
      <vt:variant>
        <vt:i4>0</vt:i4>
      </vt:variant>
      <vt:variant>
        <vt:i4>5</vt:i4>
      </vt:variant>
      <vt:variant>
        <vt:lpwstr/>
      </vt:variant>
      <vt:variant>
        <vt:lpwstr>_Toc45264664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Treatment of AASB Standards issued which are not yet effective as at 30 June 2017</dc:title>
  <dc:subject>financial reporting accounting policy</dc:subject>
  <dc:creator>ACT Government</dc:creator>
  <cp:keywords>annual reports accounting, financial statements,</cp:keywords>
  <cp:lastModifiedBy>Palfreyman, Hamish</cp:lastModifiedBy>
  <cp:revision>4</cp:revision>
  <cp:lastPrinted>2020-07-16T21:13:00Z</cp:lastPrinted>
  <dcterms:created xsi:type="dcterms:W3CDTF">2022-06-06T03:30:00Z</dcterms:created>
  <dcterms:modified xsi:type="dcterms:W3CDTF">2022-06-07T02:04:00Z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Treatment of AASB standards issued 30 june 2015</vt:lpwstr>
  </property>
</Properties>
</file>