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E3" w:rsidRDefault="005D1A0D">
      <w:pPr>
        <w:pStyle w:val="Heading1"/>
      </w:pPr>
      <w:r>
        <w:t>2.3</w:t>
      </w:r>
      <w:r w:rsidR="00763FE3">
        <w:tab/>
        <w:t xml:space="preserve">The Budget Plan </w:t>
      </w:r>
      <w:r w:rsidR="007618A8">
        <w:t>and Savings</w:t>
      </w:r>
    </w:p>
    <w:p w:rsidR="00D91BEC" w:rsidRPr="00A9315B" w:rsidRDefault="00D91BEC" w:rsidP="00A9315B">
      <w:pPr>
        <w:pStyle w:val="Heading3"/>
      </w:pPr>
      <w:r w:rsidRPr="00A9315B">
        <w:t>Budget Plan</w:t>
      </w:r>
    </w:p>
    <w:p w:rsidR="00D91BEC" w:rsidRPr="00B64089" w:rsidRDefault="00B64089" w:rsidP="00B64089">
      <w:pPr>
        <w:pStyle w:val="BodyText"/>
      </w:pPr>
      <w:r>
        <w:t xml:space="preserve">The Budget Plan </w:t>
      </w:r>
      <w:r w:rsidR="00D91BEC" w:rsidRPr="00B64089">
        <w:t xml:space="preserve">was introduced in the 2009-10 Budget in response to the impact of the global financial crisis on the Territory’s finances.  The objectives of the Budget Plan are to:  </w:t>
      </w:r>
    </w:p>
    <w:p w:rsidR="00D91BEC" w:rsidRPr="003F5966" w:rsidRDefault="00D91BEC" w:rsidP="00B64089">
      <w:pPr>
        <w:pStyle w:val="BodyTextIndent"/>
        <w:rPr>
          <w:rFonts w:eastAsia="Calibri"/>
        </w:rPr>
      </w:pPr>
      <w:r w:rsidRPr="003F5966">
        <w:rPr>
          <w:rFonts w:eastAsia="Calibri"/>
        </w:rPr>
        <w:t>adopt a measured approach to addressing the deficit;</w:t>
      </w:r>
    </w:p>
    <w:p w:rsidR="00D91BEC" w:rsidRPr="003F5966" w:rsidRDefault="00D91BEC" w:rsidP="00B64089">
      <w:pPr>
        <w:pStyle w:val="BodyTextIndent"/>
        <w:rPr>
          <w:rFonts w:eastAsia="Calibri"/>
        </w:rPr>
      </w:pPr>
      <w:r w:rsidRPr="003F5966">
        <w:rPr>
          <w:rFonts w:eastAsia="Calibri"/>
        </w:rPr>
        <w:t>achieve a balanced Budget by 2015-16;</w:t>
      </w:r>
    </w:p>
    <w:p w:rsidR="00D91BEC" w:rsidRPr="003F5966" w:rsidRDefault="00D91BEC" w:rsidP="00B64089">
      <w:pPr>
        <w:pStyle w:val="BodyTextIndent"/>
        <w:rPr>
          <w:rFonts w:eastAsia="Calibri"/>
        </w:rPr>
      </w:pPr>
      <w:r w:rsidRPr="003F5966">
        <w:rPr>
          <w:rFonts w:eastAsia="Calibri"/>
        </w:rPr>
        <w:t>identify annual savings over the forward estimates period that align  revenue and expenditure trajectories;</w:t>
      </w:r>
    </w:p>
    <w:p w:rsidR="00D91BEC" w:rsidRPr="003F5966" w:rsidRDefault="00D91BEC" w:rsidP="00B64089">
      <w:pPr>
        <w:pStyle w:val="BodyTextIndent"/>
        <w:rPr>
          <w:rFonts w:eastAsia="Calibri"/>
        </w:rPr>
      </w:pPr>
      <w:r w:rsidRPr="003F5966">
        <w:rPr>
          <w:rFonts w:eastAsia="Calibri"/>
        </w:rPr>
        <w:t xml:space="preserve">ensure that in returning to surplus government services are maintained to a high standard; and </w:t>
      </w:r>
    </w:p>
    <w:p w:rsidR="00D91BEC" w:rsidRPr="003F5966" w:rsidRDefault="00D91BEC" w:rsidP="00B64089">
      <w:pPr>
        <w:pStyle w:val="BodyTextIndent"/>
        <w:rPr>
          <w:rFonts w:eastAsia="Calibri"/>
        </w:rPr>
      </w:pPr>
      <w:proofErr w:type="gramStart"/>
      <w:r w:rsidRPr="003F5966">
        <w:rPr>
          <w:rFonts w:eastAsia="Calibri"/>
        </w:rPr>
        <w:t>plan</w:t>
      </w:r>
      <w:proofErr w:type="gramEnd"/>
      <w:r w:rsidRPr="003F5966">
        <w:rPr>
          <w:rFonts w:eastAsia="Calibri"/>
        </w:rPr>
        <w:t xml:space="preserve"> for adequate growth in expenditure to meet priority services such as health and education and to meet the needs of growing community.</w:t>
      </w:r>
    </w:p>
    <w:p w:rsidR="00D91BEC" w:rsidRPr="00B64089" w:rsidRDefault="00D91BEC" w:rsidP="00B64089">
      <w:pPr>
        <w:pStyle w:val="BodyText"/>
      </w:pPr>
      <w:r w:rsidRPr="00B64089">
        <w:t>The Budget Plan accepted temporary deficits to allow the flexibility to preserve service levels and meet growth in demand.  The</w:t>
      </w:r>
      <w:r w:rsidR="00B64089" w:rsidRPr="00B64089">
        <w:t xml:space="preserve"> Budget</w:t>
      </w:r>
      <w:r w:rsidRPr="00B64089">
        <w:t xml:space="preserve"> Plan adopted a long term approach of constraining expenditure below the revenue trajectory.  </w:t>
      </w:r>
    </w:p>
    <w:p w:rsidR="00D91BEC" w:rsidRPr="00B64089" w:rsidRDefault="00D91BEC" w:rsidP="00B64089">
      <w:pPr>
        <w:pStyle w:val="BodyText"/>
      </w:pPr>
      <w:r w:rsidRPr="00B64089">
        <w:t>The 2013-14 Budget recommits to the original target of a return to surplus in 2015-16.  It takes a sharper focus on restructuring the Territory’s expenditure and revenue base and plan for the future challenges ahead.  In the 2013-14 Budget:</w:t>
      </w:r>
    </w:p>
    <w:p w:rsidR="00D91BEC" w:rsidRPr="00E41E0D" w:rsidRDefault="00D91BEC" w:rsidP="00B64089">
      <w:pPr>
        <w:pStyle w:val="BodyTextIndent"/>
        <w:rPr>
          <w:rFonts w:eastAsia="Calibri"/>
        </w:rPr>
      </w:pPr>
      <w:r>
        <w:rPr>
          <w:rFonts w:eastAsia="Calibri"/>
        </w:rPr>
        <w:t>w</w:t>
      </w:r>
      <w:r w:rsidRPr="00E41E0D">
        <w:rPr>
          <w:rFonts w:eastAsia="Calibri"/>
        </w:rPr>
        <w:t>ork on tax reform, commenced in the last budget, continues with further initiatives to make our system fairer, simpler and more efficient</w:t>
      </w:r>
      <w:r>
        <w:rPr>
          <w:rFonts w:eastAsia="Calibri"/>
        </w:rPr>
        <w:t>;</w:t>
      </w:r>
    </w:p>
    <w:p w:rsidR="00D91BEC" w:rsidRPr="00E41E0D" w:rsidRDefault="00D91BEC" w:rsidP="00B64089">
      <w:pPr>
        <w:pStyle w:val="BodyTextIndent"/>
        <w:rPr>
          <w:rFonts w:eastAsia="Calibri"/>
        </w:rPr>
      </w:pPr>
      <w:r w:rsidRPr="00E41E0D">
        <w:rPr>
          <w:rFonts w:eastAsia="Calibri"/>
        </w:rPr>
        <w:t>includes $142.6 million in additional savings over four years</w:t>
      </w:r>
      <w:r>
        <w:rPr>
          <w:rFonts w:eastAsia="Calibri"/>
        </w:rPr>
        <w:t>;</w:t>
      </w:r>
      <w:r w:rsidRPr="00E41E0D">
        <w:rPr>
          <w:rFonts w:eastAsia="Calibri"/>
        </w:rPr>
        <w:t xml:space="preserve">  </w:t>
      </w:r>
    </w:p>
    <w:p w:rsidR="00D91BEC" w:rsidRPr="00E41E0D" w:rsidRDefault="00D91BEC" w:rsidP="00B64089">
      <w:pPr>
        <w:pStyle w:val="BodyTextIndent"/>
        <w:rPr>
          <w:rFonts w:eastAsia="Calibri"/>
        </w:rPr>
      </w:pPr>
      <w:r>
        <w:rPr>
          <w:rFonts w:eastAsia="Calibri"/>
        </w:rPr>
        <w:t>n</w:t>
      </w:r>
      <w:r w:rsidRPr="00E41E0D">
        <w:rPr>
          <w:rFonts w:eastAsia="Calibri"/>
        </w:rPr>
        <w:t>et borrowings of $192 million over the 2013-14 budget and forward estimates are supporting service delivery and key infrastructure projects</w:t>
      </w:r>
      <w:r>
        <w:rPr>
          <w:rFonts w:eastAsia="Calibri"/>
        </w:rPr>
        <w:t>;</w:t>
      </w:r>
    </w:p>
    <w:p w:rsidR="00D91BEC" w:rsidRPr="00E41E0D" w:rsidRDefault="00D91BEC" w:rsidP="00B64089">
      <w:pPr>
        <w:pStyle w:val="BodyTextIndent"/>
        <w:rPr>
          <w:rFonts w:eastAsia="Calibri"/>
        </w:rPr>
      </w:pPr>
      <w:proofErr w:type="gramStart"/>
      <w:r>
        <w:rPr>
          <w:rFonts w:eastAsia="Calibri"/>
        </w:rPr>
        <w:t>the</w:t>
      </w:r>
      <w:proofErr w:type="gramEnd"/>
      <w:r>
        <w:rPr>
          <w:rFonts w:eastAsia="Calibri"/>
        </w:rPr>
        <w:t xml:space="preserve"> </w:t>
      </w:r>
      <w:r w:rsidRPr="00E41E0D">
        <w:rPr>
          <w:rFonts w:eastAsia="Calibri"/>
        </w:rPr>
        <w:t>focus on services</w:t>
      </w:r>
      <w:r>
        <w:rPr>
          <w:rFonts w:eastAsia="Calibri"/>
        </w:rPr>
        <w:t xml:space="preserve"> is maintained</w:t>
      </w:r>
      <w:r w:rsidRPr="00E41E0D">
        <w:rPr>
          <w:rFonts w:eastAsia="Calibri"/>
        </w:rPr>
        <w:t xml:space="preserve">.  Funding for growth has been included for </w:t>
      </w:r>
      <w:r w:rsidR="00B64089">
        <w:rPr>
          <w:rFonts w:eastAsia="Calibri"/>
        </w:rPr>
        <w:t>h</w:t>
      </w:r>
      <w:r w:rsidRPr="00E41E0D">
        <w:rPr>
          <w:rFonts w:eastAsia="Calibri"/>
        </w:rPr>
        <w:t xml:space="preserve">ealth and </w:t>
      </w:r>
      <w:r w:rsidR="00B64089">
        <w:rPr>
          <w:rFonts w:eastAsia="Calibri"/>
        </w:rPr>
        <w:t>g</w:t>
      </w:r>
      <w:r>
        <w:rPr>
          <w:rFonts w:eastAsia="Calibri"/>
        </w:rPr>
        <w:t xml:space="preserve">overnment </w:t>
      </w:r>
      <w:r w:rsidR="00B64089">
        <w:rPr>
          <w:rFonts w:eastAsia="Calibri"/>
        </w:rPr>
        <w:t>s</w:t>
      </w:r>
      <w:r>
        <w:rPr>
          <w:rFonts w:eastAsia="Calibri"/>
        </w:rPr>
        <w:t xml:space="preserve">chool </w:t>
      </w:r>
      <w:r w:rsidR="00B64089">
        <w:rPr>
          <w:rFonts w:eastAsia="Calibri"/>
        </w:rPr>
        <w:t>e</w:t>
      </w:r>
      <w:r w:rsidRPr="00E41E0D">
        <w:rPr>
          <w:rFonts w:eastAsia="Calibri"/>
        </w:rPr>
        <w:t>ducation at around 7 per cent and 3 per cent respectively</w:t>
      </w:r>
      <w:r>
        <w:rPr>
          <w:rFonts w:eastAsia="Calibri"/>
        </w:rPr>
        <w:t>; and</w:t>
      </w:r>
      <w:r w:rsidRPr="00E41E0D">
        <w:rPr>
          <w:rFonts w:eastAsia="Calibri"/>
        </w:rPr>
        <w:t xml:space="preserve">  </w:t>
      </w:r>
    </w:p>
    <w:p w:rsidR="00366A31" w:rsidRDefault="00A0306D" w:rsidP="00B64089">
      <w:pPr>
        <w:pStyle w:val="BodyTextIndent"/>
        <w:rPr>
          <w:rFonts w:eastAsia="Calibri"/>
        </w:rPr>
      </w:pPr>
      <w:proofErr w:type="gramStart"/>
      <w:r>
        <w:rPr>
          <w:rFonts w:eastAsia="Calibri"/>
        </w:rPr>
        <w:t>allowance</w:t>
      </w:r>
      <w:proofErr w:type="gramEnd"/>
      <w:r>
        <w:rPr>
          <w:rFonts w:eastAsia="Calibri"/>
        </w:rPr>
        <w:t xml:space="preserve"> is made for </w:t>
      </w:r>
      <w:r w:rsidR="006A483A">
        <w:rPr>
          <w:rFonts w:eastAsia="Calibri"/>
        </w:rPr>
        <w:t xml:space="preserve">the </w:t>
      </w:r>
      <w:r w:rsidR="00D91BEC" w:rsidRPr="00E41E0D">
        <w:rPr>
          <w:rFonts w:eastAsia="Calibri"/>
        </w:rPr>
        <w:t>ACT’s participation in the National Education Reform and the National Disability Insurance Scheme</w:t>
      </w:r>
      <w:r w:rsidR="00B64089">
        <w:rPr>
          <w:rFonts w:eastAsia="Calibri"/>
        </w:rPr>
        <w:t xml:space="preserve"> (now DisabilityCare Australia)</w:t>
      </w:r>
      <w:r>
        <w:rPr>
          <w:rFonts w:eastAsia="Calibri"/>
        </w:rPr>
        <w:t>.</w:t>
      </w:r>
    </w:p>
    <w:p w:rsidR="00B64089" w:rsidRDefault="00D91BEC" w:rsidP="00366A31">
      <w:pPr>
        <w:pStyle w:val="BodyText"/>
        <w:rPr>
          <w:rFonts w:cs="Calibri"/>
        </w:rPr>
      </w:pPr>
      <w:r w:rsidRPr="00366A31">
        <w:rPr>
          <w:rFonts w:cs="Calibri"/>
        </w:rPr>
        <w:t>The revenue and expenditure trajectories of the 2013-14 Budget are show</w:t>
      </w:r>
      <w:r w:rsidR="00B64089">
        <w:rPr>
          <w:rFonts w:cs="Calibri"/>
        </w:rPr>
        <w:t>n</w:t>
      </w:r>
      <w:r w:rsidRPr="00366A31">
        <w:rPr>
          <w:rFonts w:cs="Calibri"/>
        </w:rPr>
        <w:t xml:space="preserve"> below and are separately discussed.  </w:t>
      </w:r>
    </w:p>
    <w:p w:rsidR="00B64089" w:rsidRDefault="00B64089">
      <w:pPr>
        <w:rPr>
          <w:rFonts w:cs="Calibri"/>
        </w:rPr>
      </w:pPr>
      <w:r>
        <w:rPr>
          <w:rFonts w:cs="Calibri"/>
        </w:rPr>
        <w:br w:type="page"/>
      </w:r>
    </w:p>
    <w:p w:rsidR="001D4EBC" w:rsidRPr="00977C5B" w:rsidRDefault="00366A31" w:rsidP="00977C5B">
      <w:pPr>
        <w:pStyle w:val="TableName"/>
      </w:pPr>
      <w:r w:rsidRPr="00B64089">
        <w:lastRenderedPageBreak/>
        <w:t xml:space="preserve">Figure </w:t>
      </w:r>
      <w:r w:rsidR="00595BF1" w:rsidRPr="00B64089">
        <w:t>2.3.1</w:t>
      </w:r>
      <w:r w:rsidR="00D91BEC" w:rsidRPr="00B64089">
        <w:t xml:space="preserve">: Underlying Revenue and Expenditure </w:t>
      </w:r>
      <w:r w:rsidR="00B64089">
        <w:t>–</w:t>
      </w:r>
      <w:r w:rsidR="00D91BEC" w:rsidRPr="00B64089">
        <w:t xml:space="preserve"> 2013-14 </w:t>
      </w:r>
      <w:proofErr w:type="gramStart"/>
      <w:r w:rsidR="00D91BEC" w:rsidRPr="00B64089">
        <w:t>Budget</w:t>
      </w:r>
      <w:proofErr w:type="gramEnd"/>
      <w:r w:rsidR="00D91BEC" w:rsidRPr="00B64089">
        <w:t xml:space="preserve"> </w:t>
      </w:r>
    </w:p>
    <w:p w:rsidR="00977C5B" w:rsidRDefault="00785C80" w:rsidP="001D4EBC">
      <w:pPr>
        <w:pStyle w:val="BodyText"/>
      </w:pPr>
      <w:r w:rsidRPr="00785C80">
        <w:rPr>
          <w:noProof/>
          <w:lang w:eastAsia="en-AU"/>
        </w:rPr>
        <w:drawing>
          <wp:inline distT="0" distB="0" distL="0" distR="0">
            <wp:extent cx="5732145" cy="1782722"/>
            <wp:effectExtent l="19050" t="0" r="20955" b="7978"/>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1BEC" w:rsidRPr="00977C5B" w:rsidRDefault="00D91BEC" w:rsidP="00977C5B">
      <w:pPr>
        <w:pStyle w:val="BodyText"/>
      </w:pPr>
      <w:r w:rsidRPr="00977C5B">
        <w:t xml:space="preserve">Aggregate underlying revenue across the budget and forward estimates grows at a compound average annual rate of 5.8 percent, which is above the original planning parameters of 5.25 per cent.  </w:t>
      </w:r>
    </w:p>
    <w:p w:rsidR="00D91BEC" w:rsidRPr="00977C5B" w:rsidRDefault="00D91BEC" w:rsidP="00977C5B">
      <w:pPr>
        <w:pStyle w:val="BodyText"/>
      </w:pPr>
      <w:r w:rsidRPr="00977C5B">
        <w:t>This is also above the 2012-13 Budget</w:t>
      </w:r>
      <w:r w:rsidR="00366A31" w:rsidRPr="00977C5B">
        <w:t xml:space="preserve">’s </w:t>
      </w:r>
      <w:r w:rsidR="00A0306D">
        <w:t>forecast</w:t>
      </w:r>
      <w:r w:rsidRPr="00977C5B">
        <w:t xml:space="preserve"> annual average </w:t>
      </w:r>
      <w:r w:rsidR="00A0306D">
        <w:t xml:space="preserve">revenue </w:t>
      </w:r>
      <w:r w:rsidRPr="00977C5B">
        <w:t>gr</w:t>
      </w:r>
      <w:r w:rsidR="00E61012">
        <w:t>owth rate of 4.75 </w:t>
      </w:r>
      <w:r w:rsidRPr="00977C5B">
        <w:t xml:space="preserve">per cent, which was largely attributed to </w:t>
      </w:r>
      <w:r w:rsidR="00A0306D">
        <w:t xml:space="preserve">expected </w:t>
      </w:r>
      <w:r w:rsidRPr="00977C5B">
        <w:t>flat revenue growth in 2012-13.</w:t>
      </w:r>
    </w:p>
    <w:p w:rsidR="00D91BEC" w:rsidRPr="00977C5B" w:rsidRDefault="00D91BEC" w:rsidP="00977C5B">
      <w:pPr>
        <w:pStyle w:val="BodyText"/>
      </w:pPr>
      <w:r w:rsidRPr="00977C5B">
        <w:t xml:space="preserve">At the aggregate level, underlying revenue in the 2013-14 Budget and forward estimates remains largely consistent with the 2012-13 Budget projections.  However, over the forward estimates, there are variations from the 2012-13 </w:t>
      </w:r>
      <w:r w:rsidR="001D4EBC" w:rsidRPr="00977C5B">
        <w:t>B</w:t>
      </w:r>
      <w:r w:rsidRPr="00977C5B">
        <w:t xml:space="preserve">udget associated with increases in Commonwealth grants, offset by reduced taxation and lower dividend revenue.  </w:t>
      </w:r>
    </w:p>
    <w:p w:rsidR="00D91BEC" w:rsidRPr="00977C5B" w:rsidRDefault="00D91BEC" w:rsidP="00977C5B">
      <w:pPr>
        <w:pStyle w:val="BodyText"/>
      </w:pPr>
      <w:r w:rsidRPr="00977C5B">
        <w:t>Aggregate underlying expenditure across the budget and forward estimates grows at a co</w:t>
      </w:r>
      <w:r w:rsidR="001D4EBC" w:rsidRPr="00977C5B">
        <w:t>mpound average annual rate of 3 </w:t>
      </w:r>
      <w:r w:rsidRPr="00977C5B">
        <w:t>½ percent, which is below the original planning parameters of 4 ½ per cent.</w:t>
      </w:r>
    </w:p>
    <w:p w:rsidR="00D91BEC" w:rsidRPr="00977C5B" w:rsidRDefault="00D91BEC" w:rsidP="00977C5B">
      <w:pPr>
        <w:pStyle w:val="BodyText"/>
      </w:pPr>
      <w:r w:rsidRPr="00977C5B">
        <w:t xml:space="preserve">This is also below the 2012-13 Budget annual average growth </w:t>
      </w:r>
      <w:proofErr w:type="gramStart"/>
      <w:r w:rsidRPr="00977C5B">
        <w:t>rate</w:t>
      </w:r>
      <w:proofErr w:type="gramEnd"/>
      <w:r w:rsidRPr="00977C5B">
        <w:t xml:space="preserve"> of 4 per cent.  </w:t>
      </w:r>
    </w:p>
    <w:p w:rsidR="00D91BEC" w:rsidRPr="00977C5B" w:rsidRDefault="00D91BEC" w:rsidP="00977C5B">
      <w:pPr>
        <w:pStyle w:val="BodyText"/>
      </w:pPr>
      <w:r w:rsidRPr="00977C5B">
        <w:t xml:space="preserve">At the aggregate level, underlying expenditure in the 2013-14 Budget and forward </w:t>
      </w:r>
      <w:r w:rsidR="00366A31" w:rsidRPr="00977C5B">
        <w:t>estimates is above the 2012-13 B</w:t>
      </w:r>
      <w:r w:rsidRPr="00977C5B">
        <w:t xml:space="preserve">udget projections.  The 2012-13 </w:t>
      </w:r>
      <w:r w:rsidR="00366A31" w:rsidRPr="00977C5B">
        <w:t xml:space="preserve">total estimated </w:t>
      </w:r>
      <w:proofErr w:type="gramStart"/>
      <w:r w:rsidR="00366A31" w:rsidRPr="00977C5B">
        <w:t>outcome</w:t>
      </w:r>
      <w:proofErr w:type="gramEnd"/>
      <w:r w:rsidR="00366A31" w:rsidRPr="00977C5B">
        <w:t xml:space="preserve"> is $77</w:t>
      </w:r>
      <w:r w:rsidRPr="00977C5B">
        <w:t xml:space="preserve"> million above the original budget largely due to superannuation expenses resulting from the increased 30 June 2012 superannuation liability.  Across the forward estimates expenditure remains higher, primarily due to increases in employee, supplies and services, grants and interest expenses. </w:t>
      </w:r>
    </w:p>
    <w:p w:rsidR="00977C5B" w:rsidRDefault="00A0306D" w:rsidP="00977C5B">
      <w:pPr>
        <w:pStyle w:val="BodyText"/>
      </w:pPr>
      <w:r>
        <w:t>Compared to the 2012-13 B</w:t>
      </w:r>
      <w:r w:rsidR="00366A31" w:rsidRPr="00977C5B">
        <w:t xml:space="preserve">udget, the 2013-14 Budget net operating balance has deteriorated between 2012-13 and </w:t>
      </w:r>
      <w:r>
        <w:t>2014-15</w:t>
      </w:r>
      <w:r w:rsidR="00366A31" w:rsidRPr="00977C5B">
        <w:t>.  This is</w:t>
      </w:r>
      <w:r w:rsidR="00D91BEC" w:rsidRPr="00977C5B">
        <w:t xml:space="preserve"> primarily due to the growth in expenditure discussed above, with the budget returning to surplus in 2015-16.  </w:t>
      </w:r>
    </w:p>
    <w:p w:rsidR="00D91BEC" w:rsidRPr="00977C5B" w:rsidRDefault="00977C5B" w:rsidP="00977C5B">
      <w:r>
        <w:br w:type="page"/>
      </w:r>
    </w:p>
    <w:p w:rsidR="00D91BEC" w:rsidRPr="00590AD1" w:rsidRDefault="00366A31" w:rsidP="00590AD1">
      <w:pPr>
        <w:pStyle w:val="TableName"/>
        <w:rPr>
          <w:szCs w:val="24"/>
        </w:rPr>
      </w:pPr>
      <w:r w:rsidRPr="00590AD1">
        <w:lastRenderedPageBreak/>
        <w:t xml:space="preserve">Figure </w:t>
      </w:r>
      <w:r w:rsidR="00595BF1" w:rsidRPr="00590AD1">
        <w:t>2.3.2</w:t>
      </w:r>
      <w:r w:rsidRPr="00590AD1">
        <w:t xml:space="preserve">: </w:t>
      </w:r>
      <w:r w:rsidR="00D91BEC" w:rsidRPr="00590AD1">
        <w:t xml:space="preserve">Underlying Net Operating Balance </w:t>
      </w:r>
      <w:r w:rsidR="001D4EBC" w:rsidRPr="00590AD1">
        <w:t>–</w:t>
      </w:r>
      <w:r w:rsidR="00D91BEC" w:rsidRPr="00590AD1">
        <w:t xml:space="preserve"> 2012-13 Budget and 2013-14 Budget</w:t>
      </w:r>
    </w:p>
    <w:p w:rsidR="00590AD1" w:rsidRDefault="00590AD1" w:rsidP="00590AD1">
      <w:pPr>
        <w:pStyle w:val="Heading3"/>
      </w:pPr>
      <w:r w:rsidRPr="00590AD1">
        <w:rPr>
          <w:noProof/>
          <w:lang w:eastAsia="en-AU"/>
        </w:rPr>
        <w:drawing>
          <wp:inline distT="0" distB="0" distL="0" distR="0">
            <wp:extent cx="5732145" cy="1769861"/>
            <wp:effectExtent l="19050" t="0" r="20955" b="1789"/>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1BEC" w:rsidRPr="00590AD1" w:rsidRDefault="00D91BEC" w:rsidP="00590AD1">
      <w:pPr>
        <w:pStyle w:val="Heading3"/>
      </w:pPr>
      <w:r w:rsidRPr="00590AD1">
        <w:t>Savings</w:t>
      </w:r>
    </w:p>
    <w:p w:rsidR="00F50156" w:rsidRPr="00977C5B" w:rsidRDefault="00E6425E" w:rsidP="00977C5B">
      <w:pPr>
        <w:pStyle w:val="BodyText"/>
      </w:pPr>
      <w:r w:rsidRPr="00977C5B">
        <w:t xml:space="preserve">The ACT Government has continued to seek out ways to improve the efficiency of services delivered to the Territory.  </w:t>
      </w:r>
      <w:r w:rsidR="00F50156" w:rsidRPr="00977C5B">
        <w:t>The 2013-14 Budget introduces a range of savings initiatives totalling $</w:t>
      </w:r>
      <w:r w:rsidR="00D91BEC" w:rsidRPr="00977C5B">
        <w:t>1</w:t>
      </w:r>
      <w:r w:rsidR="00C30AF8" w:rsidRPr="00977C5B">
        <w:t>4</w:t>
      </w:r>
      <w:r w:rsidR="00D91BEC" w:rsidRPr="00977C5B">
        <w:t>2.</w:t>
      </w:r>
      <w:r w:rsidR="00C30AF8" w:rsidRPr="00977C5B">
        <w:t>6</w:t>
      </w:r>
      <w:r w:rsidR="00F50156" w:rsidRPr="00977C5B">
        <w:t> million over four years.  These initiatives focus on reducing input costs, both in staff and non-staff resources consumed, to facilitate a redirection of expenditure to higher priority areas of Government.</w:t>
      </w:r>
    </w:p>
    <w:p w:rsidR="003A0BFD" w:rsidRPr="00977C5B" w:rsidRDefault="00D91BEC" w:rsidP="00977C5B">
      <w:pPr>
        <w:pStyle w:val="BodyText"/>
      </w:pPr>
      <w:r w:rsidRPr="00977C5B">
        <w:t xml:space="preserve">Table </w:t>
      </w:r>
      <w:r w:rsidR="00595BF1" w:rsidRPr="00977C5B">
        <w:t>2</w:t>
      </w:r>
      <w:r w:rsidRPr="00977C5B">
        <w:t>.</w:t>
      </w:r>
      <w:r w:rsidR="00595BF1" w:rsidRPr="00977C5B">
        <w:t>3</w:t>
      </w:r>
      <w:r w:rsidRPr="00977C5B">
        <w:t>.1 shows Government savings implemented since the 2009-10 Budget.</w:t>
      </w:r>
    </w:p>
    <w:p w:rsidR="00D91BEC" w:rsidRPr="00A9315B" w:rsidRDefault="00D91BEC" w:rsidP="00A9315B">
      <w:pPr>
        <w:pStyle w:val="TableNumber"/>
      </w:pPr>
      <w:r w:rsidRPr="00A9315B">
        <w:t xml:space="preserve">Table </w:t>
      </w:r>
      <w:r w:rsidR="00595BF1" w:rsidRPr="00A9315B">
        <w:t>2</w:t>
      </w:r>
      <w:r w:rsidRPr="00A9315B">
        <w:t>.</w:t>
      </w:r>
      <w:r w:rsidR="00595BF1" w:rsidRPr="00A9315B">
        <w:t>3</w:t>
      </w:r>
      <w:r w:rsidRPr="00A9315B">
        <w:t>.1</w:t>
      </w:r>
    </w:p>
    <w:p w:rsidR="00D91BEC" w:rsidRPr="00A9315B" w:rsidRDefault="00D91BEC" w:rsidP="00A9315B">
      <w:pPr>
        <w:pStyle w:val="TableName"/>
      </w:pPr>
      <w:r w:rsidRPr="00A9315B">
        <w:t>2013-14 and Past Budget Savings Initiatives</w:t>
      </w:r>
    </w:p>
    <w:tbl>
      <w:tblPr>
        <w:tblW w:w="9100" w:type="dxa"/>
        <w:tblLayout w:type="fixed"/>
        <w:tblCellMar>
          <w:left w:w="0" w:type="dxa"/>
          <w:right w:w="0" w:type="dxa"/>
        </w:tblCellMar>
        <w:tblLook w:val="0000"/>
      </w:tblPr>
      <w:tblGrid>
        <w:gridCol w:w="4016"/>
        <w:gridCol w:w="1016"/>
        <w:gridCol w:w="1017"/>
        <w:gridCol w:w="1017"/>
        <w:gridCol w:w="1017"/>
        <w:gridCol w:w="1017"/>
      </w:tblGrid>
      <w:tr w:rsidR="00D91BEC" w:rsidTr="00785C80">
        <w:trPr>
          <w:trHeight w:val="255"/>
          <w:tblHeader/>
        </w:trPr>
        <w:tc>
          <w:tcPr>
            <w:tcW w:w="4016" w:type="dxa"/>
            <w:tcBorders>
              <w:top w:val="single" w:sz="4" w:space="0" w:color="auto"/>
              <w:left w:val="nil"/>
              <w:bottom w:val="nil"/>
              <w:right w:val="nil"/>
            </w:tcBorders>
            <w:noWrap/>
            <w:tcMar>
              <w:top w:w="13" w:type="dxa"/>
              <w:left w:w="13" w:type="dxa"/>
              <w:bottom w:w="0" w:type="dxa"/>
              <w:right w:w="13" w:type="dxa"/>
            </w:tcMar>
          </w:tcPr>
          <w:p w:rsidR="00D91BEC" w:rsidRPr="0079169A" w:rsidRDefault="00D91BEC" w:rsidP="00A9315B">
            <w:pPr>
              <w:pStyle w:val="TableTextLeftBold-BP3"/>
            </w:pPr>
            <w:r w:rsidRPr="0079169A">
              <w:rPr>
                <w:lang w:eastAsia="en-AU"/>
              </w:rPr>
              <w:t>Across Government Savings</w:t>
            </w:r>
          </w:p>
        </w:tc>
        <w:tc>
          <w:tcPr>
            <w:tcW w:w="1016" w:type="dxa"/>
            <w:tcBorders>
              <w:top w:val="single" w:sz="4" w:space="0" w:color="auto"/>
              <w:left w:val="nil"/>
              <w:bottom w:val="nil"/>
              <w:right w:val="nil"/>
            </w:tcBorders>
            <w:tcMar>
              <w:top w:w="13" w:type="dxa"/>
              <w:left w:w="13" w:type="dxa"/>
              <w:bottom w:w="0" w:type="dxa"/>
              <w:right w:w="13" w:type="dxa"/>
            </w:tcMar>
          </w:tcPr>
          <w:p w:rsidR="00D91BEC" w:rsidRPr="00A9315B" w:rsidRDefault="00D91BEC" w:rsidP="00A9315B">
            <w:pPr>
              <w:pStyle w:val="TableTextRightBold"/>
            </w:pPr>
            <w:r w:rsidRPr="00A9315B">
              <w:t>2012-13</w:t>
            </w:r>
          </w:p>
        </w:tc>
        <w:tc>
          <w:tcPr>
            <w:tcW w:w="1017" w:type="dxa"/>
            <w:tcBorders>
              <w:top w:val="single" w:sz="4" w:space="0" w:color="auto"/>
              <w:left w:val="nil"/>
              <w:bottom w:val="nil"/>
              <w:right w:val="nil"/>
            </w:tcBorders>
            <w:tcMar>
              <w:top w:w="13" w:type="dxa"/>
              <w:left w:w="13" w:type="dxa"/>
              <w:bottom w:w="0" w:type="dxa"/>
              <w:right w:w="13" w:type="dxa"/>
            </w:tcMar>
          </w:tcPr>
          <w:p w:rsidR="00D91BEC" w:rsidRPr="00A9315B" w:rsidRDefault="00D91BEC" w:rsidP="00A9315B">
            <w:pPr>
              <w:pStyle w:val="TableTextRightBold"/>
            </w:pPr>
            <w:r w:rsidRPr="00A9315B">
              <w:t>2013-14</w:t>
            </w:r>
          </w:p>
        </w:tc>
        <w:tc>
          <w:tcPr>
            <w:tcW w:w="1017" w:type="dxa"/>
            <w:tcBorders>
              <w:top w:val="single" w:sz="4" w:space="0" w:color="auto"/>
              <w:left w:val="nil"/>
              <w:bottom w:val="nil"/>
              <w:right w:val="nil"/>
            </w:tcBorders>
            <w:tcMar>
              <w:top w:w="13" w:type="dxa"/>
              <w:left w:w="13" w:type="dxa"/>
              <w:bottom w:w="0" w:type="dxa"/>
              <w:right w:w="13" w:type="dxa"/>
            </w:tcMar>
          </w:tcPr>
          <w:p w:rsidR="00D91BEC" w:rsidRPr="00A9315B" w:rsidRDefault="00D91BEC" w:rsidP="00A9315B">
            <w:pPr>
              <w:pStyle w:val="TableTextRightBold"/>
            </w:pPr>
            <w:r w:rsidRPr="00A9315B">
              <w:t>2014-15</w:t>
            </w:r>
          </w:p>
        </w:tc>
        <w:tc>
          <w:tcPr>
            <w:tcW w:w="1017" w:type="dxa"/>
            <w:tcBorders>
              <w:top w:val="single" w:sz="4" w:space="0" w:color="auto"/>
              <w:left w:val="nil"/>
              <w:bottom w:val="nil"/>
              <w:right w:val="nil"/>
            </w:tcBorders>
          </w:tcPr>
          <w:p w:rsidR="00D91BEC" w:rsidRPr="00A9315B" w:rsidRDefault="00D91BEC" w:rsidP="00A9315B">
            <w:pPr>
              <w:pStyle w:val="TableTextRightBold"/>
            </w:pPr>
            <w:r w:rsidRPr="00A9315B">
              <w:t>2015-16</w:t>
            </w:r>
          </w:p>
        </w:tc>
        <w:tc>
          <w:tcPr>
            <w:tcW w:w="1017" w:type="dxa"/>
            <w:tcBorders>
              <w:top w:val="single" w:sz="4" w:space="0" w:color="auto"/>
              <w:left w:val="nil"/>
              <w:bottom w:val="nil"/>
              <w:right w:val="nil"/>
            </w:tcBorders>
          </w:tcPr>
          <w:p w:rsidR="00D91BEC" w:rsidRPr="00A9315B" w:rsidRDefault="00D91BEC" w:rsidP="00A9315B">
            <w:pPr>
              <w:pStyle w:val="TableTextRightBold"/>
            </w:pPr>
            <w:r w:rsidRPr="00A9315B">
              <w:t>2016-17</w:t>
            </w:r>
          </w:p>
        </w:tc>
      </w:tr>
      <w:tr w:rsidR="00D91BEC" w:rsidTr="00785C80">
        <w:trPr>
          <w:trHeight w:val="255"/>
          <w:tblHeader/>
        </w:trPr>
        <w:tc>
          <w:tcPr>
            <w:tcW w:w="4016" w:type="dxa"/>
            <w:tcBorders>
              <w:top w:val="nil"/>
              <w:left w:val="nil"/>
              <w:bottom w:val="single" w:sz="4" w:space="0" w:color="auto"/>
              <w:right w:val="nil"/>
            </w:tcBorders>
            <w:noWrap/>
            <w:tcMar>
              <w:top w:w="13" w:type="dxa"/>
              <w:left w:w="13" w:type="dxa"/>
              <w:bottom w:w="0" w:type="dxa"/>
              <w:right w:w="13" w:type="dxa"/>
            </w:tcMar>
          </w:tcPr>
          <w:p w:rsidR="00D91BEC" w:rsidRPr="0079169A" w:rsidRDefault="00D91BEC" w:rsidP="00A9315B">
            <w:pPr>
              <w:pStyle w:val="TableTextLeftBold-BP3"/>
            </w:pPr>
          </w:p>
        </w:tc>
        <w:tc>
          <w:tcPr>
            <w:tcW w:w="1016" w:type="dxa"/>
            <w:tcBorders>
              <w:top w:val="nil"/>
              <w:left w:val="nil"/>
              <w:bottom w:val="single" w:sz="4" w:space="0" w:color="auto"/>
              <w:right w:val="nil"/>
            </w:tcBorders>
            <w:tcMar>
              <w:top w:w="13" w:type="dxa"/>
              <w:left w:w="13" w:type="dxa"/>
              <w:bottom w:w="0" w:type="dxa"/>
              <w:right w:w="13" w:type="dxa"/>
            </w:tcMar>
          </w:tcPr>
          <w:p w:rsidR="00D91BEC" w:rsidRPr="00A9315B" w:rsidRDefault="00D91BEC" w:rsidP="00A9315B">
            <w:pPr>
              <w:pStyle w:val="TableTextRightBold"/>
            </w:pPr>
            <w:r w:rsidRPr="00A9315B">
              <w:t>$m</w:t>
            </w:r>
          </w:p>
        </w:tc>
        <w:tc>
          <w:tcPr>
            <w:tcW w:w="1017" w:type="dxa"/>
            <w:tcBorders>
              <w:top w:val="nil"/>
              <w:left w:val="nil"/>
              <w:bottom w:val="single" w:sz="4" w:space="0" w:color="auto"/>
              <w:right w:val="nil"/>
            </w:tcBorders>
            <w:tcMar>
              <w:top w:w="13" w:type="dxa"/>
              <w:left w:w="13" w:type="dxa"/>
              <w:bottom w:w="0" w:type="dxa"/>
              <w:right w:w="13" w:type="dxa"/>
            </w:tcMar>
          </w:tcPr>
          <w:p w:rsidR="00D91BEC" w:rsidRPr="00A9315B" w:rsidRDefault="00D91BEC" w:rsidP="00A9315B">
            <w:pPr>
              <w:pStyle w:val="TableTextRightBold"/>
            </w:pPr>
            <w:r w:rsidRPr="00A9315B">
              <w:t>$m</w:t>
            </w:r>
          </w:p>
        </w:tc>
        <w:tc>
          <w:tcPr>
            <w:tcW w:w="1017" w:type="dxa"/>
            <w:tcBorders>
              <w:top w:val="nil"/>
              <w:left w:val="nil"/>
              <w:bottom w:val="single" w:sz="4" w:space="0" w:color="auto"/>
              <w:right w:val="nil"/>
            </w:tcBorders>
            <w:tcMar>
              <w:top w:w="13" w:type="dxa"/>
              <w:left w:w="13" w:type="dxa"/>
              <w:bottom w:w="0" w:type="dxa"/>
              <w:right w:w="13" w:type="dxa"/>
            </w:tcMar>
          </w:tcPr>
          <w:p w:rsidR="00D91BEC" w:rsidRPr="00A9315B" w:rsidRDefault="00D91BEC" w:rsidP="00A9315B">
            <w:pPr>
              <w:pStyle w:val="TableTextRightBold"/>
            </w:pPr>
            <w:r w:rsidRPr="00A9315B">
              <w:t>$m</w:t>
            </w:r>
          </w:p>
        </w:tc>
        <w:tc>
          <w:tcPr>
            <w:tcW w:w="1017" w:type="dxa"/>
            <w:tcBorders>
              <w:top w:val="nil"/>
              <w:left w:val="nil"/>
              <w:bottom w:val="single" w:sz="4" w:space="0" w:color="auto"/>
              <w:right w:val="nil"/>
            </w:tcBorders>
          </w:tcPr>
          <w:p w:rsidR="00D91BEC" w:rsidRPr="00A9315B" w:rsidRDefault="00D91BEC" w:rsidP="00A9315B">
            <w:pPr>
              <w:pStyle w:val="TableTextRightBold"/>
            </w:pPr>
            <w:r w:rsidRPr="00A9315B">
              <w:t>$m</w:t>
            </w:r>
          </w:p>
        </w:tc>
        <w:tc>
          <w:tcPr>
            <w:tcW w:w="1017" w:type="dxa"/>
            <w:tcBorders>
              <w:top w:val="nil"/>
              <w:left w:val="nil"/>
              <w:bottom w:val="single" w:sz="4" w:space="0" w:color="auto"/>
              <w:right w:val="nil"/>
            </w:tcBorders>
          </w:tcPr>
          <w:p w:rsidR="00D91BEC" w:rsidRPr="00A9315B" w:rsidRDefault="00D91BEC" w:rsidP="00A9315B">
            <w:pPr>
              <w:pStyle w:val="TableTextRightBold"/>
            </w:pPr>
            <w:r w:rsidRPr="00A9315B">
              <w:t>$m</w:t>
            </w:r>
          </w:p>
        </w:tc>
      </w:tr>
      <w:tr w:rsidR="00D91BEC" w:rsidTr="00785C80">
        <w:tblPrEx>
          <w:tblCellMar>
            <w:left w:w="108" w:type="dxa"/>
            <w:right w:w="108" w:type="dxa"/>
          </w:tblCellMar>
        </w:tblPrEx>
        <w:tc>
          <w:tcPr>
            <w:tcW w:w="4016" w:type="dxa"/>
            <w:tcBorders>
              <w:top w:val="nil"/>
              <w:left w:val="nil"/>
              <w:bottom w:val="nil"/>
              <w:right w:val="nil"/>
            </w:tcBorders>
            <w:shd w:val="clear" w:color="auto" w:fill="auto"/>
            <w:noWrap/>
          </w:tcPr>
          <w:p w:rsidR="00D91BEC" w:rsidRPr="00785C80" w:rsidRDefault="00D91BEC" w:rsidP="00D91BEC">
            <w:pPr>
              <w:rPr>
                <w:rFonts w:cs="Calibri"/>
                <w:i/>
                <w:sz w:val="16"/>
                <w:szCs w:val="16"/>
                <w:lang w:eastAsia="en-AU"/>
              </w:rPr>
            </w:pPr>
          </w:p>
        </w:tc>
        <w:tc>
          <w:tcPr>
            <w:tcW w:w="1016"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tcPr>
          <w:p w:rsidR="00D91BEC" w:rsidRPr="00785C80" w:rsidRDefault="00D91BEC" w:rsidP="00A9315B">
            <w:pPr>
              <w:pStyle w:val="TableTextRight-BP3"/>
              <w:rPr>
                <w:sz w:val="16"/>
                <w:szCs w:val="16"/>
              </w:rPr>
            </w:pPr>
          </w:p>
        </w:tc>
        <w:tc>
          <w:tcPr>
            <w:tcW w:w="1017" w:type="dxa"/>
            <w:tcBorders>
              <w:top w:val="nil"/>
              <w:left w:val="nil"/>
              <w:bottom w:val="nil"/>
              <w:right w:val="nil"/>
            </w:tcBorders>
          </w:tcPr>
          <w:p w:rsidR="00D91BEC" w:rsidRPr="00785C80" w:rsidRDefault="00D91BEC" w:rsidP="00A9315B">
            <w:pPr>
              <w:pStyle w:val="TableTextRight-BP3"/>
              <w:rPr>
                <w:sz w:val="16"/>
                <w:szCs w:val="16"/>
              </w:rPr>
            </w:pP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A9315B" w:rsidRDefault="00D91BEC" w:rsidP="00A9315B">
            <w:pPr>
              <w:pStyle w:val="TableTextLeft-BP3"/>
              <w:rPr>
                <w:i/>
                <w:lang w:eastAsia="en-AU"/>
              </w:rPr>
            </w:pPr>
            <w:r w:rsidRPr="00A9315B">
              <w:rPr>
                <w:i/>
                <w:lang w:eastAsia="en-AU"/>
              </w:rPr>
              <w:t>2009</w:t>
            </w:r>
            <w:r w:rsidRPr="00A9315B">
              <w:rPr>
                <w:i/>
                <w:lang w:eastAsia="en-AU"/>
              </w:rPr>
              <w:noBreakHyphen/>
              <w:t>10 Budget</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tcPr>
          <w:p w:rsidR="00D91BEC" w:rsidRPr="00A9315B" w:rsidRDefault="00D91BEC" w:rsidP="00A9315B">
            <w:pPr>
              <w:pStyle w:val="TableTextRight-BP3"/>
            </w:pPr>
          </w:p>
        </w:tc>
        <w:tc>
          <w:tcPr>
            <w:tcW w:w="1017" w:type="dxa"/>
            <w:tcBorders>
              <w:top w:val="nil"/>
              <w:left w:val="nil"/>
              <w:bottom w:val="nil"/>
              <w:right w:val="nil"/>
            </w:tcBorders>
          </w:tcPr>
          <w:p w:rsidR="00D91BEC" w:rsidRPr="00A9315B" w:rsidRDefault="00D91BEC" w:rsidP="00A9315B">
            <w:pPr>
              <w:pStyle w:val="TableTextRight-BP3"/>
            </w:pP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79169A" w:rsidRDefault="00D91BEC" w:rsidP="00A9315B">
            <w:pPr>
              <w:pStyle w:val="TableTextLeft-BP3"/>
              <w:rPr>
                <w:lang w:eastAsia="en-AU"/>
              </w:rPr>
            </w:pPr>
            <w:r w:rsidRPr="0079169A">
              <w:rPr>
                <w:lang w:eastAsia="en-AU"/>
              </w:rPr>
              <w:t xml:space="preserve">Wages Policy </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r w:rsidRPr="00A9315B">
              <w:t>35</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35</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35</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35</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35</w:t>
            </w: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79169A" w:rsidRDefault="00D91BEC" w:rsidP="00A9315B">
            <w:pPr>
              <w:pStyle w:val="TableTextLeft-BP3"/>
              <w:rPr>
                <w:lang w:eastAsia="en-AU"/>
              </w:rPr>
            </w:pPr>
            <w:r w:rsidRPr="0079169A">
              <w:rPr>
                <w:lang w:eastAsia="en-AU"/>
              </w:rPr>
              <w:t>Efficiency Dividend (commencing 1 July 2010)</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r w:rsidRPr="00A9315B">
              <w:t>19</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19</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19</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19</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19</w:t>
            </w:r>
          </w:p>
        </w:tc>
      </w:tr>
      <w:tr w:rsidR="00D91BEC" w:rsidTr="00785C80">
        <w:tblPrEx>
          <w:tblCellMar>
            <w:left w:w="108" w:type="dxa"/>
            <w:right w:w="108" w:type="dxa"/>
          </w:tblCellMar>
        </w:tblPrEx>
        <w:tc>
          <w:tcPr>
            <w:tcW w:w="4016" w:type="dxa"/>
            <w:tcBorders>
              <w:top w:val="nil"/>
              <w:left w:val="nil"/>
              <w:bottom w:val="nil"/>
              <w:right w:val="nil"/>
            </w:tcBorders>
            <w:shd w:val="clear" w:color="auto" w:fill="auto"/>
            <w:noWrap/>
          </w:tcPr>
          <w:p w:rsidR="00D91BEC" w:rsidRPr="00785C80" w:rsidRDefault="00D91BEC" w:rsidP="00A9315B">
            <w:pPr>
              <w:pStyle w:val="TableTextLeft-BP3"/>
              <w:rPr>
                <w:sz w:val="16"/>
                <w:szCs w:val="16"/>
                <w:lang w:eastAsia="en-AU"/>
              </w:rPr>
            </w:pPr>
          </w:p>
        </w:tc>
        <w:tc>
          <w:tcPr>
            <w:tcW w:w="1016"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tcPr>
          <w:p w:rsidR="00D91BEC" w:rsidRPr="00785C80" w:rsidRDefault="00D91BEC" w:rsidP="00A9315B">
            <w:pPr>
              <w:pStyle w:val="TableTextRight-BP3"/>
              <w:rPr>
                <w:sz w:val="16"/>
                <w:szCs w:val="16"/>
              </w:rPr>
            </w:pPr>
          </w:p>
        </w:tc>
      </w:tr>
      <w:tr w:rsidR="00D91BEC" w:rsidTr="00785C80">
        <w:tblPrEx>
          <w:tblCellMar>
            <w:left w:w="108" w:type="dxa"/>
            <w:right w:w="108" w:type="dxa"/>
          </w:tblCellMar>
        </w:tblPrEx>
        <w:trPr>
          <w:trHeight w:val="275"/>
        </w:trPr>
        <w:tc>
          <w:tcPr>
            <w:tcW w:w="4016" w:type="dxa"/>
            <w:tcBorders>
              <w:top w:val="nil"/>
              <w:left w:val="nil"/>
              <w:bottom w:val="nil"/>
              <w:right w:val="nil"/>
            </w:tcBorders>
            <w:shd w:val="clear" w:color="auto" w:fill="auto"/>
            <w:noWrap/>
          </w:tcPr>
          <w:p w:rsidR="00D91BEC" w:rsidRPr="00A9315B" w:rsidRDefault="00D91BEC" w:rsidP="00A9315B">
            <w:pPr>
              <w:pStyle w:val="TableTextLeft-BP3"/>
              <w:rPr>
                <w:i/>
                <w:lang w:eastAsia="en-AU"/>
              </w:rPr>
            </w:pPr>
            <w:r w:rsidRPr="00A9315B">
              <w:rPr>
                <w:i/>
                <w:lang w:eastAsia="en-AU"/>
              </w:rPr>
              <w:t>2010</w:t>
            </w:r>
            <w:r w:rsidRPr="00A9315B">
              <w:rPr>
                <w:i/>
                <w:lang w:eastAsia="en-AU"/>
              </w:rPr>
              <w:noBreakHyphen/>
              <w:t>11 Budget</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tcPr>
          <w:p w:rsidR="00D91BEC" w:rsidRPr="00A9315B" w:rsidRDefault="00D91BEC" w:rsidP="00A9315B">
            <w:pPr>
              <w:pStyle w:val="TableTextRight-BP3"/>
            </w:pPr>
          </w:p>
        </w:tc>
        <w:tc>
          <w:tcPr>
            <w:tcW w:w="1017" w:type="dxa"/>
            <w:tcBorders>
              <w:top w:val="nil"/>
              <w:left w:val="nil"/>
              <w:bottom w:val="nil"/>
              <w:right w:val="nil"/>
            </w:tcBorders>
            <w:shd w:val="clear" w:color="auto" w:fill="auto"/>
          </w:tcPr>
          <w:p w:rsidR="00D91BEC" w:rsidRPr="00A9315B" w:rsidRDefault="00D91BEC" w:rsidP="00A9315B">
            <w:pPr>
              <w:pStyle w:val="TableTextRight-BP3"/>
            </w:pP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79169A" w:rsidRDefault="00D91BEC" w:rsidP="00A9315B">
            <w:pPr>
              <w:pStyle w:val="TableTextLeft-BP3"/>
              <w:rPr>
                <w:lang w:eastAsia="en-AU"/>
              </w:rPr>
            </w:pPr>
            <w:r w:rsidRPr="0079169A">
              <w:rPr>
                <w:lang w:eastAsia="en-AU"/>
              </w:rPr>
              <w:t>Efficiency Dividend</w:t>
            </w:r>
            <w:r w:rsidRPr="0079169A">
              <w:rPr>
                <w:rStyle w:val="FootnoteReference"/>
                <w:rFonts w:cs="Calibri"/>
                <w:lang w:eastAsia="en-AU"/>
              </w:rPr>
              <w:footnoteReference w:id="1"/>
            </w:r>
            <w:r w:rsidRPr="0079169A">
              <w:rPr>
                <w:lang w:eastAsia="en-AU"/>
              </w:rPr>
              <w:t xml:space="preserve"> (commencing 1 July 2011)</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r w:rsidRPr="00A9315B">
              <w:t>14</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22</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22</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22</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22</w:t>
            </w: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79169A" w:rsidRDefault="00D91BEC" w:rsidP="00A9315B">
            <w:pPr>
              <w:pStyle w:val="TableTextLeft-BP3"/>
              <w:rPr>
                <w:lang w:eastAsia="en-AU"/>
              </w:rPr>
            </w:pPr>
            <w:r w:rsidRPr="0079169A">
              <w:rPr>
                <w:lang w:eastAsia="en-AU"/>
              </w:rPr>
              <w:t xml:space="preserve">Treasurer’s Advance Reduction </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r w:rsidRPr="00A9315B">
              <w:t>8</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8</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8</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8</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8</w:t>
            </w: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79169A" w:rsidRDefault="00D91BEC" w:rsidP="00A9315B">
            <w:pPr>
              <w:pStyle w:val="TableTextLeft-BP3"/>
              <w:rPr>
                <w:lang w:eastAsia="en-AU"/>
              </w:rPr>
            </w:pPr>
            <w:r w:rsidRPr="0079169A">
              <w:rPr>
                <w:lang w:eastAsia="en-AU"/>
              </w:rPr>
              <w:t>Deferral of Tree Planting</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r w:rsidRPr="00A9315B">
              <w:t>4</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0</w:t>
            </w: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r w:rsidRPr="00A9315B">
              <w:t>0</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0</w:t>
            </w:r>
          </w:p>
        </w:tc>
        <w:tc>
          <w:tcPr>
            <w:tcW w:w="1017" w:type="dxa"/>
            <w:tcBorders>
              <w:top w:val="nil"/>
              <w:left w:val="nil"/>
              <w:bottom w:val="nil"/>
              <w:right w:val="nil"/>
            </w:tcBorders>
            <w:shd w:val="clear" w:color="auto" w:fill="auto"/>
          </w:tcPr>
          <w:p w:rsidR="00D91BEC" w:rsidRPr="00A9315B" w:rsidRDefault="00D91BEC" w:rsidP="00A9315B">
            <w:pPr>
              <w:pStyle w:val="TableTextRight-BP3"/>
            </w:pPr>
            <w:r w:rsidRPr="00A9315B">
              <w:t>0</w:t>
            </w:r>
          </w:p>
        </w:tc>
      </w:tr>
      <w:tr w:rsidR="00D91BEC" w:rsidTr="00785C80">
        <w:tblPrEx>
          <w:tblCellMar>
            <w:left w:w="108" w:type="dxa"/>
            <w:right w:w="108" w:type="dxa"/>
          </w:tblCellMar>
        </w:tblPrEx>
        <w:tc>
          <w:tcPr>
            <w:tcW w:w="4016" w:type="dxa"/>
            <w:tcBorders>
              <w:top w:val="nil"/>
              <w:left w:val="nil"/>
              <w:bottom w:val="nil"/>
              <w:right w:val="nil"/>
            </w:tcBorders>
            <w:shd w:val="clear" w:color="auto" w:fill="auto"/>
            <w:noWrap/>
          </w:tcPr>
          <w:p w:rsidR="00D91BEC" w:rsidRPr="00785C80" w:rsidRDefault="00D91BEC" w:rsidP="00A9315B">
            <w:pPr>
              <w:pStyle w:val="TableTextLeft-BP3"/>
              <w:rPr>
                <w:sz w:val="16"/>
                <w:szCs w:val="16"/>
                <w:lang w:eastAsia="en-AU"/>
              </w:rPr>
            </w:pPr>
          </w:p>
        </w:tc>
        <w:tc>
          <w:tcPr>
            <w:tcW w:w="1016"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tcPr>
          <w:p w:rsidR="00D91BEC" w:rsidRPr="00785C80" w:rsidRDefault="00D91BEC" w:rsidP="00A9315B">
            <w:pPr>
              <w:pStyle w:val="TableTextRight-BP3"/>
              <w:rPr>
                <w:sz w:val="16"/>
                <w:szCs w:val="16"/>
              </w:rPr>
            </w:pPr>
          </w:p>
        </w:tc>
        <w:tc>
          <w:tcPr>
            <w:tcW w:w="1017" w:type="dxa"/>
            <w:tcBorders>
              <w:top w:val="nil"/>
              <w:left w:val="nil"/>
              <w:bottom w:val="nil"/>
              <w:right w:val="nil"/>
            </w:tcBorders>
            <w:shd w:val="clear" w:color="auto" w:fill="auto"/>
          </w:tcPr>
          <w:p w:rsidR="00D91BEC" w:rsidRPr="00785C80" w:rsidRDefault="00D91BEC" w:rsidP="00A9315B">
            <w:pPr>
              <w:pStyle w:val="TableTextRight-BP3"/>
              <w:rPr>
                <w:sz w:val="16"/>
                <w:szCs w:val="16"/>
              </w:rPr>
            </w:pPr>
          </w:p>
        </w:tc>
      </w:tr>
      <w:tr w:rsidR="00D91BEC" w:rsidTr="00785C80">
        <w:tblPrEx>
          <w:tblCellMar>
            <w:left w:w="108" w:type="dxa"/>
            <w:right w:w="108" w:type="dxa"/>
          </w:tblCellMar>
        </w:tblPrEx>
        <w:trPr>
          <w:trHeight w:val="255"/>
        </w:trPr>
        <w:tc>
          <w:tcPr>
            <w:tcW w:w="4016" w:type="dxa"/>
            <w:tcBorders>
              <w:top w:val="nil"/>
              <w:left w:val="nil"/>
              <w:bottom w:val="nil"/>
              <w:right w:val="nil"/>
            </w:tcBorders>
            <w:shd w:val="clear" w:color="auto" w:fill="auto"/>
            <w:noWrap/>
          </w:tcPr>
          <w:p w:rsidR="00D91BEC" w:rsidRPr="00A9315B" w:rsidRDefault="00D91BEC" w:rsidP="00A9315B">
            <w:pPr>
              <w:pStyle w:val="TableTextLeft-BP3"/>
              <w:rPr>
                <w:i/>
                <w:lang w:eastAsia="en-AU"/>
              </w:rPr>
            </w:pPr>
            <w:r w:rsidRPr="00A9315B">
              <w:rPr>
                <w:i/>
                <w:lang w:eastAsia="en-AU"/>
              </w:rPr>
              <w:t>2011</w:t>
            </w:r>
            <w:r w:rsidRPr="00A9315B">
              <w:rPr>
                <w:i/>
                <w:lang w:eastAsia="en-AU"/>
              </w:rPr>
              <w:noBreakHyphen/>
              <w:t>12 Budget</w:t>
            </w:r>
          </w:p>
        </w:tc>
        <w:tc>
          <w:tcPr>
            <w:tcW w:w="1016"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noWrap/>
          </w:tcPr>
          <w:p w:rsidR="00D91BEC" w:rsidRPr="00A9315B" w:rsidRDefault="00D91BEC" w:rsidP="00A9315B">
            <w:pPr>
              <w:pStyle w:val="TableTextRight-BP3"/>
            </w:pPr>
          </w:p>
        </w:tc>
        <w:tc>
          <w:tcPr>
            <w:tcW w:w="1017" w:type="dxa"/>
            <w:tcBorders>
              <w:top w:val="nil"/>
              <w:left w:val="nil"/>
              <w:bottom w:val="nil"/>
              <w:right w:val="nil"/>
            </w:tcBorders>
            <w:shd w:val="clear" w:color="auto" w:fill="auto"/>
          </w:tcPr>
          <w:p w:rsidR="00D91BEC" w:rsidRPr="00A9315B" w:rsidRDefault="00D91BEC" w:rsidP="00A9315B">
            <w:pPr>
              <w:pStyle w:val="TableTextRight-BP3"/>
            </w:pPr>
          </w:p>
        </w:tc>
        <w:tc>
          <w:tcPr>
            <w:tcW w:w="1017" w:type="dxa"/>
            <w:tcBorders>
              <w:top w:val="nil"/>
              <w:left w:val="nil"/>
              <w:bottom w:val="nil"/>
              <w:right w:val="nil"/>
            </w:tcBorders>
            <w:shd w:val="clear" w:color="auto" w:fill="auto"/>
          </w:tcPr>
          <w:p w:rsidR="00D91BEC" w:rsidRPr="00A9315B" w:rsidRDefault="00D91BEC" w:rsidP="00A9315B">
            <w:pPr>
              <w:pStyle w:val="TableTextRight-BP3"/>
            </w:pPr>
          </w:p>
        </w:tc>
      </w:tr>
      <w:tr w:rsidR="00D91BEC"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D91BEC" w:rsidRPr="0079169A" w:rsidRDefault="00D91BEC" w:rsidP="00A9315B">
            <w:pPr>
              <w:pStyle w:val="TableTextLeft-BP3"/>
              <w:rPr>
                <w:lang w:eastAsia="en-AU"/>
              </w:rPr>
            </w:pPr>
            <w:r w:rsidRPr="0079169A">
              <w:rPr>
                <w:lang w:eastAsia="en-AU"/>
              </w:rPr>
              <w:t>Savings Initiative</w:t>
            </w:r>
          </w:p>
        </w:tc>
        <w:tc>
          <w:tcPr>
            <w:tcW w:w="1016" w:type="dxa"/>
            <w:tcBorders>
              <w:top w:val="nil"/>
              <w:left w:val="nil"/>
              <w:right w:val="nil"/>
            </w:tcBorders>
            <w:shd w:val="clear" w:color="auto" w:fill="auto"/>
            <w:noWrap/>
          </w:tcPr>
          <w:p w:rsidR="00D91BEC" w:rsidRPr="00A9315B" w:rsidRDefault="00D91BEC" w:rsidP="00A9315B">
            <w:pPr>
              <w:pStyle w:val="TableTextRight-BP3"/>
            </w:pPr>
            <w:r w:rsidRPr="00A9315B">
              <w:t>38</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38</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40</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40</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40</w:t>
            </w:r>
          </w:p>
        </w:tc>
      </w:tr>
      <w:tr w:rsidR="00D91BEC" w:rsidTr="00785C80">
        <w:tblPrEx>
          <w:tblCellMar>
            <w:left w:w="108" w:type="dxa"/>
            <w:right w:w="108" w:type="dxa"/>
          </w:tblCellMar>
        </w:tblPrEx>
        <w:tc>
          <w:tcPr>
            <w:tcW w:w="4016" w:type="dxa"/>
            <w:tcBorders>
              <w:top w:val="nil"/>
              <w:left w:val="nil"/>
              <w:right w:val="nil"/>
            </w:tcBorders>
            <w:shd w:val="clear" w:color="auto" w:fill="auto"/>
            <w:noWrap/>
          </w:tcPr>
          <w:p w:rsidR="00D91BEC" w:rsidRPr="00785C80" w:rsidRDefault="00D91BEC" w:rsidP="00A9315B">
            <w:pPr>
              <w:pStyle w:val="TableTextLeft-BP3"/>
              <w:rPr>
                <w:sz w:val="16"/>
                <w:szCs w:val="16"/>
                <w:lang w:eastAsia="en-AU"/>
              </w:rPr>
            </w:pPr>
          </w:p>
        </w:tc>
        <w:tc>
          <w:tcPr>
            <w:tcW w:w="1016" w:type="dxa"/>
            <w:tcBorders>
              <w:top w:val="nil"/>
              <w:left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right w:val="nil"/>
            </w:tcBorders>
            <w:shd w:val="clear" w:color="auto" w:fill="auto"/>
            <w:noWrap/>
          </w:tcPr>
          <w:p w:rsidR="00D91BEC" w:rsidRPr="00785C80" w:rsidRDefault="00D91BEC" w:rsidP="00A9315B">
            <w:pPr>
              <w:pStyle w:val="TableTextRight-BP3"/>
              <w:rPr>
                <w:sz w:val="16"/>
                <w:szCs w:val="16"/>
              </w:rPr>
            </w:pPr>
          </w:p>
        </w:tc>
        <w:tc>
          <w:tcPr>
            <w:tcW w:w="1017" w:type="dxa"/>
            <w:tcBorders>
              <w:top w:val="nil"/>
              <w:left w:val="nil"/>
              <w:right w:val="nil"/>
            </w:tcBorders>
            <w:shd w:val="clear" w:color="auto" w:fill="auto"/>
          </w:tcPr>
          <w:p w:rsidR="00D91BEC" w:rsidRPr="00785C80" w:rsidRDefault="00D91BEC" w:rsidP="00A9315B">
            <w:pPr>
              <w:pStyle w:val="TableTextRight-BP3"/>
              <w:rPr>
                <w:sz w:val="16"/>
                <w:szCs w:val="16"/>
              </w:rPr>
            </w:pPr>
          </w:p>
        </w:tc>
        <w:tc>
          <w:tcPr>
            <w:tcW w:w="1017" w:type="dxa"/>
            <w:tcBorders>
              <w:top w:val="nil"/>
              <w:left w:val="nil"/>
              <w:right w:val="nil"/>
            </w:tcBorders>
            <w:shd w:val="clear" w:color="auto" w:fill="auto"/>
          </w:tcPr>
          <w:p w:rsidR="00D91BEC" w:rsidRPr="00785C80" w:rsidRDefault="00D91BEC" w:rsidP="00A9315B">
            <w:pPr>
              <w:pStyle w:val="TableTextRight-BP3"/>
              <w:rPr>
                <w:sz w:val="16"/>
                <w:szCs w:val="16"/>
              </w:rPr>
            </w:pPr>
          </w:p>
        </w:tc>
      </w:tr>
      <w:tr w:rsidR="00D91BEC"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D91BEC" w:rsidRPr="00A9315B" w:rsidRDefault="00D91BEC" w:rsidP="00A9315B">
            <w:pPr>
              <w:pStyle w:val="TableTextLeft-BP3"/>
              <w:rPr>
                <w:i/>
                <w:lang w:eastAsia="en-AU"/>
              </w:rPr>
            </w:pPr>
            <w:r w:rsidRPr="00A9315B">
              <w:rPr>
                <w:i/>
                <w:lang w:eastAsia="en-AU"/>
              </w:rPr>
              <w:t>2012-13 Budget</w:t>
            </w:r>
          </w:p>
        </w:tc>
        <w:tc>
          <w:tcPr>
            <w:tcW w:w="1016" w:type="dxa"/>
            <w:tcBorders>
              <w:top w:val="nil"/>
              <w:left w:val="nil"/>
              <w:right w:val="nil"/>
            </w:tcBorders>
            <w:shd w:val="clear" w:color="auto" w:fill="auto"/>
            <w:noWrap/>
            <w:vAlign w:val="center"/>
          </w:tcPr>
          <w:p w:rsidR="00D91BEC" w:rsidRPr="00A9315B" w:rsidRDefault="00D91BEC" w:rsidP="00A9315B">
            <w:pPr>
              <w:pStyle w:val="TableTextRight-BP3"/>
            </w:pPr>
          </w:p>
        </w:tc>
        <w:tc>
          <w:tcPr>
            <w:tcW w:w="1017" w:type="dxa"/>
            <w:tcBorders>
              <w:top w:val="nil"/>
              <w:left w:val="nil"/>
              <w:right w:val="nil"/>
            </w:tcBorders>
            <w:shd w:val="clear" w:color="auto" w:fill="auto"/>
            <w:noWrap/>
            <w:vAlign w:val="center"/>
          </w:tcPr>
          <w:p w:rsidR="00D91BEC" w:rsidRPr="00A9315B" w:rsidRDefault="00D91BEC" w:rsidP="00A9315B">
            <w:pPr>
              <w:pStyle w:val="TableTextRight-BP3"/>
            </w:pPr>
          </w:p>
        </w:tc>
        <w:tc>
          <w:tcPr>
            <w:tcW w:w="1017" w:type="dxa"/>
            <w:tcBorders>
              <w:top w:val="nil"/>
              <w:left w:val="nil"/>
              <w:right w:val="nil"/>
            </w:tcBorders>
            <w:shd w:val="clear" w:color="auto" w:fill="auto"/>
            <w:noWrap/>
            <w:vAlign w:val="center"/>
          </w:tcPr>
          <w:p w:rsidR="00D91BEC" w:rsidRPr="00A9315B" w:rsidRDefault="00D91BEC" w:rsidP="00A9315B">
            <w:pPr>
              <w:pStyle w:val="TableTextRight-BP3"/>
            </w:pPr>
          </w:p>
        </w:tc>
        <w:tc>
          <w:tcPr>
            <w:tcW w:w="1017" w:type="dxa"/>
            <w:tcBorders>
              <w:top w:val="nil"/>
              <w:left w:val="nil"/>
              <w:right w:val="nil"/>
            </w:tcBorders>
            <w:shd w:val="clear" w:color="auto" w:fill="auto"/>
            <w:vAlign w:val="center"/>
          </w:tcPr>
          <w:p w:rsidR="00D91BEC" w:rsidRPr="00A9315B" w:rsidRDefault="00D91BEC" w:rsidP="00A9315B">
            <w:pPr>
              <w:pStyle w:val="TableTextRight-BP3"/>
            </w:pPr>
          </w:p>
        </w:tc>
        <w:tc>
          <w:tcPr>
            <w:tcW w:w="1017" w:type="dxa"/>
            <w:tcBorders>
              <w:top w:val="nil"/>
              <w:left w:val="nil"/>
              <w:right w:val="nil"/>
            </w:tcBorders>
            <w:shd w:val="clear" w:color="auto" w:fill="auto"/>
          </w:tcPr>
          <w:p w:rsidR="00D91BEC" w:rsidRPr="00A9315B" w:rsidRDefault="00D91BEC" w:rsidP="00A9315B">
            <w:pPr>
              <w:pStyle w:val="TableTextRight-BP3"/>
            </w:pPr>
          </w:p>
        </w:tc>
      </w:tr>
      <w:tr w:rsidR="00D91BEC"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D91BEC" w:rsidRPr="0079169A" w:rsidRDefault="00D91BEC" w:rsidP="00A9315B">
            <w:pPr>
              <w:pStyle w:val="TableTextLeft-BP3"/>
              <w:rPr>
                <w:lang w:eastAsia="en-AU"/>
              </w:rPr>
            </w:pPr>
            <w:r>
              <w:rPr>
                <w:lang w:eastAsia="en-AU"/>
              </w:rPr>
              <w:t>Agency Savings</w:t>
            </w:r>
          </w:p>
        </w:tc>
        <w:tc>
          <w:tcPr>
            <w:tcW w:w="1016" w:type="dxa"/>
            <w:tcBorders>
              <w:top w:val="nil"/>
              <w:left w:val="nil"/>
              <w:right w:val="nil"/>
            </w:tcBorders>
            <w:shd w:val="clear" w:color="auto" w:fill="auto"/>
            <w:noWrap/>
          </w:tcPr>
          <w:p w:rsidR="00D91BEC" w:rsidRPr="00A9315B" w:rsidRDefault="00D91BEC" w:rsidP="00A9315B">
            <w:pPr>
              <w:pStyle w:val="TableTextRight-BP3"/>
            </w:pPr>
            <w:r w:rsidRPr="00A9315B">
              <w:t>25</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37</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46</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54</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54</w:t>
            </w:r>
          </w:p>
        </w:tc>
      </w:tr>
      <w:tr w:rsidR="00D91BEC"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D91BEC" w:rsidRPr="0079169A" w:rsidRDefault="00D91BEC" w:rsidP="00A9315B">
            <w:pPr>
              <w:pStyle w:val="TableTextLeft-BP3"/>
              <w:rPr>
                <w:lang w:eastAsia="en-AU"/>
              </w:rPr>
            </w:pPr>
            <w:r>
              <w:rPr>
                <w:lang w:eastAsia="en-AU"/>
              </w:rPr>
              <w:t>Ceasing Initiatives</w:t>
            </w:r>
          </w:p>
        </w:tc>
        <w:tc>
          <w:tcPr>
            <w:tcW w:w="1016" w:type="dxa"/>
            <w:tcBorders>
              <w:top w:val="nil"/>
              <w:left w:val="nil"/>
              <w:right w:val="nil"/>
            </w:tcBorders>
            <w:shd w:val="clear" w:color="auto" w:fill="auto"/>
            <w:noWrap/>
          </w:tcPr>
          <w:p w:rsidR="00D91BEC" w:rsidRPr="00A9315B" w:rsidRDefault="00D91BEC" w:rsidP="00A9315B">
            <w:pPr>
              <w:pStyle w:val="TableTextRight-BP3"/>
            </w:pPr>
            <w:r w:rsidRPr="00A9315B">
              <w:t>2</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4</w:t>
            </w:r>
          </w:p>
        </w:tc>
        <w:tc>
          <w:tcPr>
            <w:tcW w:w="1017" w:type="dxa"/>
            <w:tcBorders>
              <w:top w:val="nil"/>
              <w:left w:val="nil"/>
              <w:right w:val="nil"/>
            </w:tcBorders>
            <w:shd w:val="clear" w:color="auto" w:fill="auto"/>
            <w:noWrap/>
          </w:tcPr>
          <w:p w:rsidR="00D91BEC" w:rsidRPr="00A9315B" w:rsidRDefault="00D91BEC" w:rsidP="00A9315B">
            <w:pPr>
              <w:pStyle w:val="TableTextRight-BP3"/>
            </w:pPr>
            <w:r w:rsidRPr="00A9315B">
              <w:t>5</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7</w:t>
            </w:r>
          </w:p>
        </w:tc>
        <w:tc>
          <w:tcPr>
            <w:tcW w:w="1017" w:type="dxa"/>
            <w:tcBorders>
              <w:top w:val="nil"/>
              <w:left w:val="nil"/>
              <w:right w:val="nil"/>
            </w:tcBorders>
            <w:shd w:val="clear" w:color="auto" w:fill="auto"/>
          </w:tcPr>
          <w:p w:rsidR="00D91BEC" w:rsidRPr="00A9315B" w:rsidRDefault="00D91BEC" w:rsidP="00A9315B">
            <w:pPr>
              <w:pStyle w:val="TableTextRight-BP3"/>
            </w:pPr>
            <w:r w:rsidRPr="00A9315B">
              <w:t>7</w:t>
            </w:r>
          </w:p>
        </w:tc>
      </w:tr>
      <w:tr w:rsidR="00D91BEC" w:rsidTr="00785C80">
        <w:tblPrEx>
          <w:tblCellMar>
            <w:left w:w="108" w:type="dxa"/>
            <w:right w:w="108" w:type="dxa"/>
          </w:tblCellMar>
        </w:tblPrEx>
        <w:tc>
          <w:tcPr>
            <w:tcW w:w="4016" w:type="dxa"/>
            <w:tcBorders>
              <w:top w:val="nil"/>
              <w:left w:val="nil"/>
              <w:right w:val="nil"/>
            </w:tcBorders>
            <w:shd w:val="clear" w:color="auto" w:fill="auto"/>
            <w:noWrap/>
          </w:tcPr>
          <w:p w:rsidR="00D91BEC" w:rsidRPr="00785C80" w:rsidRDefault="00D91BEC" w:rsidP="00A9315B">
            <w:pPr>
              <w:pStyle w:val="TableTextLeft-BP3"/>
              <w:rPr>
                <w:sz w:val="16"/>
                <w:szCs w:val="16"/>
                <w:lang w:eastAsia="en-AU"/>
              </w:rPr>
            </w:pPr>
          </w:p>
        </w:tc>
        <w:tc>
          <w:tcPr>
            <w:tcW w:w="1016" w:type="dxa"/>
            <w:tcBorders>
              <w:top w:val="nil"/>
              <w:left w:val="nil"/>
              <w:right w:val="nil"/>
            </w:tcBorders>
            <w:shd w:val="clear" w:color="auto" w:fill="auto"/>
            <w:noWrap/>
          </w:tcPr>
          <w:p w:rsidR="00D91BEC" w:rsidRPr="00785C80" w:rsidRDefault="00D91BEC" w:rsidP="00A9315B">
            <w:pPr>
              <w:pStyle w:val="TableTextRight-BP3"/>
              <w:rPr>
                <w:sz w:val="16"/>
                <w:szCs w:val="16"/>
                <w:highlight w:val="yellow"/>
              </w:rPr>
            </w:pPr>
          </w:p>
        </w:tc>
        <w:tc>
          <w:tcPr>
            <w:tcW w:w="1017" w:type="dxa"/>
            <w:tcBorders>
              <w:top w:val="nil"/>
              <w:left w:val="nil"/>
              <w:right w:val="nil"/>
            </w:tcBorders>
            <w:shd w:val="clear" w:color="auto" w:fill="auto"/>
            <w:noWrap/>
          </w:tcPr>
          <w:p w:rsidR="00D91BEC" w:rsidRPr="00785C80" w:rsidRDefault="00D91BEC" w:rsidP="00A9315B">
            <w:pPr>
              <w:pStyle w:val="TableTextRight-BP3"/>
              <w:rPr>
                <w:sz w:val="16"/>
                <w:szCs w:val="16"/>
                <w:highlight w:val="yellow"/>
              </w:rPr>
            </w:pPr>
          </w:p>
        </w:tc>
        <w:tc>
          <w:tcPr>
            <w:tcW w:w="1017" w:type="dxa"/>
            <w:tcBorders>
              <w:top w:val="nil"/>
              <w:left w:val="nil"/>
              <w:right w:val="nil"/>
            </w:tcBorders>
            <w:shd w:val="clear" w:color="auto" w:fill="auto"/>
            <w:noWrap/>
          </w:tcPr>
          <w:p w:rsidR="00D91BEC" w:rsidRPr="00785C80" w:rsidRDefault="00D91BEC" w:rsidP="00A9315B">
            <w:pPr>
              <w:pStyle w:val="TableTextRight-BP3"/>
              <w:rPr>
                <w:sz w:val="16"/>
                <w:szCs w:val="16"/>
                <w:highlight w:val="yellow"/>
              </w:rPr>
            </w:pPr>
          </w:p>
        </w:tc>
        <w:tc>
          <w:tcPr>
            <w:tcW w:w="1017" w:type="dxa"/>
            <w:tcBorders>
              <w:top w:val="nil"/>
              <w:left w:val="nil"/>
              <w:right w:val="nil"/>
            </w:tcBorders>
          </w:tcPr>
          <w:p w:rsidR="00D91BEC" w:rsidRPr="00785C80" w:rsidRDefault="00D91BEC" w:rsidP="00A9315B">
            <w:pPr>
              <w:pStyle w:val="TableTextRight-BP3"/>
              <w:rPr>
                <w:sz w:val="16"/>
                <w:szCs w:val="16"/>
                <w:highlight w:val="yellow"/>
              </w:rPr>
            </w:pPr>
          </w:p>
        </w:tc>
        <w:tc>
          <w:tcPr>
            <w:tcW w:w="1017" w:type="dxa"/>
            <w:tcBorders>
              <w:top w:val="nil"/>
              <w:left w:val="nil"/>
              <w:right w:val="nil"/>
            </w:tcBorders>
          </w:tcPr>
          <w:p w:rsidR="00D91BEC" w:rsidRPr="00785C80" w:rsidRDefault="00D91BEC" w:rsidP="00A9315B">
            <w:pPr>
              <w:pStyle w:val="TableTextRight-BP3"/>
              <w:rPr>
                <w:sz w:val="16"/>
                <w:szCs w:val="16"/>
                <w:highlight w:val="yellow"/>
              </w:rPr>
            </w:pPr>
          </w:p>
        </w:tc>
      </w:tr>
      <w:tr w:rsidR="00D91BEC"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D91BEC" w:rsidRPr="00A9315B" w:rsidRDefault="00D91BEC" w:rsidP="00A9315B">
            <w:pPr>
              <w:pStyle w:val="TableTextLeft-BP3"/>
              <w:rPr>
                <w:i/>
                <w:lang w:eastAsia="en-AU"/>
              </w:rPr>
            </w:pPr>
            <w:r w:rsidRPr="00A9315B">
              <w:rPr>
                <w:i/>
                <w:lang w:eastAsia="en-AU"/>
              </w:rPr>
              <w:t>2013-14 Budget</w:t>
            </w:r>
          </w:p>
        </w:tc>
        <w:tc>
          <w:tcPr>
            <w:tcW w:w="1016" w:type="dxa"/>
            <w:tcBorders>
              <w:top w:val="nil"/>
              <w:left w:val="nil"/>
              <w:right w:val="nil"/>
            </w:tcBorders>
            <w:shd w:val="clear" w:color="auto" w:fill="auto"/>
            <w:noWrap/>
            <w:vAlign w:val="center"/>
          </w:tcPr>
          <w:p w:rsidR="00D91BEC" w:rsidRPr="00A9315B" w:rsidRDefault="00D91BEC" w:rsidP="00A9315B">
            <w:pPr>
              <w:pStyle w:val="TableTextRight-BP3"/>
              <w:rPr>
                <w:highlight w:val="yellow"/>
              </w:rPr>
            </w:pPr>
          </w:p>
        </w:tc>
        <w:tc>
          <w:tcPr>
            <w:tcW w:w="1017" w:type="dxa"/>
            <w:tcBorders>
              <w:top w:val="nil"/>
              <w:left w:val="nil"/>
              <w:right w:val="nil"/>
            </w:tcBorders>
            <w:shd w:val="clear" w:color="auto" w:fill="auto"/>
            <w:noWrap/>
            <w:vAlign w:val="center"/>
          </w:tcPr>
          <w:p w:rsidR="00D91BEC" w:rsidRPr="00A9315B" w:rsidRDefault="00D91BEC" w:rsidP="00A9315B">
            <w:pPr>
              <w:pStyle w:val="TableTextRight-BP3"/>
              <w:rPr>
                <w:highlight w:val="yellow"/>
              </w:rPr>
            </w:pPr>
          </w:p>
        </w:tc>
        <w:tc>
          <w:tcPr>
            <w:tcW w:w="1017" w:type="dxa"/>
            <w:tcBorders>
              <w:top w:val="nil"/>
              <w:left w:val="nil"/>
              <w:right w:val="nil"/>
            </w:tcBorders>
            <w:shd w:val="clear" w:color="auto" w:fill="auto"/>
            <w:noWrap/>
            <w:vAlign w:val="center"/>
          </w:tcPr>
          <w:p w:rsidR="00D91BEC" w:rsidRPr="00A9315B" w:rsidRDefault="00D91BEC" w:rsidP="00A9315B">
            <w:pPr>
              <w:pStyle w:val="TableTextRight-BP3"/>
              <w:rPr>
                <w:highlight w:val="yellow"/>
              </w:rPr>
            </w:pPr>
          </w:p>
        </w:tc>
        <w:tc>
          <w:tcPr>
            <w:tcW w:w="1017" w:type="dxa"/>
            <w:tcBorders>
              <w:top w:val="nil"/>
              <w:left w:val="nil"/>
              <w:right w:val="nil"/>
            </w:tcBorders>
            <w:vAlign w:val="center"/>
          </w:tcPr>
          <w:p w:rsidR="00D91BEC" w:rsidRPr="00A9315B" w:rsidRDefault="00D91BEC" w:rsidP="00A9315B">
            <w:pPr>
              <w:pStyle w:val="TableTextRight-BP3"/>
              <w:rPr>
                <w:highlight w:val="yellow"/>
              </w:rPr>
            </w:pPr>
          </w:p>
        </w:tc>
        <w:tc>
          <w:tcPr>
            <w:tcW w:w="1017" w:type="dxa"/>
            <w:tcBorders>
              <w:top w:val="nil"/>
              <w:left w:val="nil"/>
              <w:right w:val="nil"/>
            </w:tcBorders>
          </w:tcPr>
          <w:p w:rsidR="00D91BEC" w:rsidRPr="00A9315B" w:rsidRDefault="00D91BEC" w:rsidP="00A9315B">
            <w:pPr>
              <w:pStyle w:val="TableTextRight-BP3"/>
              <w:rPr>
                <w:highlight w:val="yellow"/>
              </w:rPr>
            </w:pPr>
          </w:p>
        </w:tc>
      </w:tr>
      <w:tr w:rsidR="00A32F5B"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A32F5B" w:rsidRPr="0079169A" w:rsidRDefault="00A32F5B" w:rsidP="00A9315B">
            <w:pPr>
              <w:pStyle w:val="TableTextLeft-BP3"/>
              <w:rPr>
                <w:lang w:eastAsia="en-AU"/>
              </w:rPr>
            </w:pPr>
            <w:r>
              <w:rPr>
                <w:lang w:eastAsia="en-AU"/>
              </w:rPr>
              <w:t>Ceasing Initiatives</w:t>
            </w:r>
          </w:p>
        </w:tc>
        <w:tc>
          <w:tcPr>
            <w:tcW w:w="1016" w:type="dxa"/>
            <w:tcBorders>
              <w:top w:val="nil"/>
              <w:left w:val="nil"/>
              <w:right w:val="nil"/>
            </w:tcBorders>
            <w:shd w:val="clear" w:color="auto" w:fill="auto"/>
            <w:noWrap/>
          </w:tcPr>
          <w:p w:rsidR="00A32F5B" w:rsidRPr="00A9315B" w:rsidRDefault="00A32F5B" w:rsidP="00A9315B">
            <w:pPr>
              <w:pStyle w:val="TableTextRight-BP3"/>
            </w:pPr>
            <w:r w:rsidRPr="00A9315B">
              <w:t>0</w:t>
            </w:r>
          </w:p>
        </w:tc>
        <w:tc>
          <w:tcPr>
            <w:tcW w:w="1017" w:type="dxa"/>
            <w:tcBorders>
              <w:top w:val="nil"/>
              <w:left w:val="nil"/>
              <w:right w:val="nil"/>
            </w:tcBorders>
            <w:shd w:val="clear" w:color="auto" w:fill="auto"/>
            <w:noWrap/>
          </w:tcPr>
          <w:p w:rsidR="00A32F5B" w:rsidRPr="00A9315B" w:rsidRDefault="00A32F5B" w:rsidP="00A9315B">
            <w:pPr>
              <w:pStyle w:val="TableTextRight-BP3"/>
            </w:pPr>
            <w:r w:rsidRPr="00A9315B">
              <w:t>1</w:t>
            </w:r>
          </w:p>
        </w:tc>
        <w:tc>
          <w:tcPr>
            <w:tcW w:w="1017" w:type="dxa"/>
            <w:tcBorders>
              <w:top w:val="nil"/>
              <w:left w:val="nil"/>
              <w:right w:val="nil"/>
            </w:tcBorders>
            <w:shd w:val="clear" w:color="auto" w:fill="auto"/>
            <w:noWrap/>
          </w:tcPr>
          <w:p w:rsidR="00A32F5B" w:rsidRPr="00A9315B" w:rsidRDefault="00A32F5B" w:rsidP="00A9315B">
            <w:pPr>
              <w:pStyle w:val="TableTextRight-BP3"/>
            </w:pPr>
            <w:r w:rsidRPr="00A9315B">
              <w:t>2</w:t>
            </w:r>
          </w:p>
        </w:tc>
        <w:tc>
          <w:tcPr>
            <w:tcW w:w="1017" w:type="dxa"/>
            <w:tcBorders>
              <w:top w:val="nil"/>
              <w:left w:val="nil"/>
              <w:right w:val="nil"/>
            </w:tcBorders>
          </w:tcPr>
          <w:p w:rsidR="00A32F5B" w:rsidRPr="00A9315B" w:rsidRDefault="00A32F5B" w:rsidP="00A9315B">
            <w:pPr>
              <w:pStyle w:val="TableTextRight-BP3"/>
            </w:pPr>
            <w:r w:rsidRPr="00A9315B">
              <w:t>2</w:t>
            </w:r>
          </w:p>
        </w:tc>
        <w:tc>
          <w:tcPr>
            <w:tcW w:w="1017" w:type="dxa"/>
            <w:tcBorders>
              <w:top w:val="nil"/>
              <w:left w:val="nil"/>
              <w:right w:val="nil"/>
            </w:tcBorders>
          </w:tcPr>
          <w:p w:rsidR="00A32F5B" w:rsidRPr="00A9315B" w:rsidRDefault="00A32F5B" w:rsidP="00A9315B">
            <w:pPr>
              <w:pStyle w:val="TableTextRight-BP3"/>
            </w:pPr>
            <w:r w:rsidRPr="00A9315B">
              <w:t>2</w:t>
            </w:r>
          </w:p>
        </w:tc>
      </w:tr>
      <w:tr w:rsidR="00A32F5B" w:rsidTr="00785C80">
        <w:tblPrEx>
          <w:tblCellMar>
            <w:left w:w="108" w:type="dxa"/>
            <w:right w:w="108" w:type="dxa"/>
          </w:tblCellMar>
        </w:tblPrEx>
        <w:trPr>
          <w:trHeight w:val="255"/>
        </w:trPr>
        <w:tc>
          <w:tcPr>
            <w:tcW w:w="4016" w:type="dxa"/>
            <w:tcBorders>
              <w:top w:val="nil"/>
              <w:left w:val="nil"/>
              <w:right w:val="nil"/>
            </w:tcBorders>
            <w:shd w:val="clear" w:color="auto" w:fill="auto"/>
            <w:noWrap/>
          </w:tcPr>
          <w:p w:rsidR="00A32F5B" w:rsidRPr="0079169A" w:rsidRDefault="00A32F5B" w:rsidP="00A9315B">
            <w:pPr>
              <w:pStyle w:val="TableTextLeft-BP3"/>
              <w:rPr>
                <w:lang w:eastAsia="en-AU"/>
              </w:rPr>
            </w:pPr>
            <w:r>
              <w:rPr>
                <w:lang w:eastAsia="en-AU"/>
              </w:rPr>
              <w:t>General Savings i</w:t>
            </w:r>
            <w:r w:rsidR="00A9315B">
              <w:rPr>
                <w:lang w:eastAsia="en-AU"/>
              </w:rPr>
              <w:t>ncluding Whole of </w:t>
            </w:r>
            <w:r>
              <w:rPr>
                <w:lang w:eastAsia="en-AU"/>
              </w:rPr>
              <w:t>Government procurement</w:t>
            </w:r>
          </w:p>
        </w:tc>
        <w:tc>
          <w:tcPr>
            <w:tcW w:w="1016" w:type="dxa"/>
            <w:tcBorders>
              <w:top w:val="nil"/>
              <w:left w:val="nil"/>
              <w:right w:val="nil"/>
            </w:tcBorders>
            <w:shd w:val="clear" w:color="auto" w:fill="auto"/>
            <w:noWrap/>
          </w:tcPr>
          <w:p w:rsidR="00A32F5B" w:rsidRPr="00A9315B" w:rsidRDefault="00A32F5B" w:rsidP="00A9315B">
            <w:pPr>
              <w:pStyle w:val="TableTextRight-BP3"/>
            </w:pPr>
            <w:r w:rsidRPr="00A9315B">
              <w:t>0</w:t>
            </w:r>
          </w:p>
        </w:tc>
        <w:tc>
          <w:tcPr>
            <w:tcW w:w="1017" w:type="dxa"/>
            <w:tcBorders>
              <w:top w:val="nil"/>
              <w:left w:val="nil"/>
              <w:right w:val="nil"/>
            </w:tcBorders>
            <w:shd w:val="clear" w:color="auto" w:fill="auto"/>
            <w:noWrap/>
          </w:tcPr>
          <w:p w:rsidR="00A32F5B" w:rsidRPr="00A9315B" w:rsidRDefault="00A32F5B" w:rsidP="00A9315B">
            <w:pPr>
              <w:pStyle w:val="TableTextRight-BP3"/>
            </w:pPr>
            <w:r w:rsidRPr="00A9315B">
              <w:t>15</w:t>
            </w:r>
          </w:p>
        </w:tc>
        <w:tc>
          <w:tcPr>
            <w:tcW w:w="1017" w:type="dxa"/>
            <w:tcBorders>
              <w:top w:val="nil"/>
              <w:left w:val="nil"/>
              <w:right w:val="nil"/>
            </w:tcBorders>
            <w:shd w:val="clear" w:color="auto" w:fill="auto"/>
            <w:noWrap/>
          </w:tcPr>
          <w:p w:rsidR="00A32F5B" w:rsidRPr="00A9315B" w:rsidRDefault="00A32F5B" w:rsidP="00A9315B">
            <w:pPr>
              <w:pStyle w:val="TableTextRight-BP3"/>
            </w:pPr>
            <w:r w:rsidRPr="00A9315B">
              <w:t>20</w:t>
            </w:r>
          </w:p>
        </w:tc>
        <w:tc>
          <w:tcPr>
            <w:tcW w:w="1017" w:type="dxa"/>
            <w:tcBorders>
              <w:top w:val="nil"/>
              <w:left w:val="nil"/>
              <w:right w:val="nil"/>
            </w:tcBorders>
          </w:tcPr>
          <w:p w:rsidR="00A32F5B" w:rsidRPr="00A9315B" w:rsidRDefault="00A32F5B" w:rsidP="00A9315B">
            <w:pPr>
              <w:pStyle w:val="TableTextRight-BP3"/>
            </w:pPr>
            <w:r w:rsidRPr="00A9315B">
              <w:t>27</w:t>
            </w:r>
          </w:p>
        </w:tc>
        <w:tc>
          <w:tcPr>
            <w:tcW w:w="1017" w:type="dxa"/>
            <w:tcBorders>
              <w:top w:val="nil"/>
              <w:left w:val="nil"/>
              <w:right w:val="nil"/>
            </w:tcBorders>
          </w:tcPr>
          <w:p w:rsidR="00A32F5B" w:rsidRPr="00A9315B" w:rsidRDefault="00A32F5B" w:rsidP="00A9315B">
            <w:pPr>
              <w:pStyle w:val="TableTextRight-BP3"/>
            </w:pPr>
            <w:r w:rsidRPr="00A9315B">
              <w:t>35</w:t>
            </w:r>
          </w:p>
        </w:tc>
      </w:tr>
      <w:tr w:rsidR="00A32F5B" w:rsidTr="00785C80">
        <w:tblPrEx>
          <w:tblCellMar>
            <w:left w:w="108" w:type="dxa"/>
            <w:right w:w="108" w:type="dxa"/>
          </w:tblCellMar>
        </w:tblPrEx>
        <w:trPr>
          <w:trHeight w:val="255"/>
        </w:trPr>
        <w:tc>
          <w:tcPr>
            <w:tcW w:w="4016" w:type="dxa"/>
            <w:tcBorders>
              <w:top w:val="nil"/>
              <w:left w:val="nil"/>
              <w:bottom w:val="single" w:sz="4" w:space="0" w:color="auto"/>
              <w:right w:val="nil"/>
            </w:tcBorders>
            <w:shd w:val="clear" w:color="auto" w:fill="auto"/>
            <w:noWrap/>
          </w:tcPr>
          <w:p w:rsidR="00A32F5B" w:rsidRPr="0079169A" w:rsidRDefault="00A32F5B" w:rsidP="00A9315B">
            <w:pPr>
              <w:pStyle w:val="TableTextLeft-BP3"/>
              <w:rPr>
                <w:lang w:eastAsia="en-AU"/>
              </w:rPr>
            </w:pPr>
            <w:r>
              <w:rPr>
                <w:lang w:eastAsia="en-AU"/>
              </w:rPr>
              <w:t>Service Reprofiling</w:t>
            </w:r>
          </w:p>
        </w:tc>
        <w:tc>
          <w:tcPr>
            <w:tcW w:w="1016" w:type="dxa"/>
            <w:tcBorders>
              <w:top w:val="nil"/>
              <w:left w:val="nil"/>
              <w:bottom w:val="single" w:sz="4" w:space="0" w:color="auto"/>
              <w:right w:val="nil"/>
            </w:tcBorders>
            <w:shd w:val="clear" w:color="auto" w:fill="auto"/>
            <w:noWrap/>
          </w:tcPr>
          <w:p w:rsidR="00A32F5B" w:rsidRPr="00A9315B" w:rsidRDefault="00A32F5B" w:rsidP="00A9315B">
            <w:pPr>
              <w:pStyle w:val="TableTextRight-BP3"/>
            </w:pPr>
            <w:r w:rsidRPr="00A9315B">
              <w:t>0</w:t>
            </w:r>
          </w:p>
        </w:tc>
        <w:tc>
          <w:tcPr>
            <w:tcW w:w="1017" w:type="dxa"/>
            <w:tcBorders>
              <w:top w:val="nil"/>
              <w:left w:val="nil"/>
              <w:bottom w:val="single" w:sz="4" w:space="0" w:color="auto"/>
              <w:right w:val="nil"/>
            </w:tcBorders>
            <w:shd w:val="clear" w:color="auto" w:fill="auto"/>
            <w:noWrap/>
          </w:tcPr>
          <w:p w:rsidR="00A32F5B" w:rsidRPr="00A9315B" w:rsidRDefault="00A32F5B" w:rsidP="00A9315B">
            <w:pPr>
              <w:pStyle w:val="TableTextRight-BP3"/>
            </w:pPr>
            <w:r w:rsidRPr="00A9315B">
              <w:t>6</w:t>
            </w:r>
          </w:p>
        </w:tc>
        <w:tc>
          <w:tcPr>
            <w:tcW w:w="1017" w:type="dxa"/>
            <w:tcBorders>
              <w:top w:val="nil"/>
              <w:left w:val="nil"/>
              <w:bottom w:val="single" w:sz="4" w:space="0" w:color="auto"/>
              <w:right w:val="nil"/>
            </w:tcBorders>
            <w:shd w:val="clear" w:color="auto" w:fill="auto"/>
            <w:noWrap/>
          </w:tcPr>
          <w:p w:rsidR="00A32F5B" w:rsidRPr="00A9315B" w:rsidRDefault="00A32F5B" w:rsidP="00A9315B">
            <w:pPr>
              <w:pStyle w:val="TableTextRight-BP3"/>
            </w:pPr>
            <w:r w:rsidRPr="00A9315B">
              <w:t>8</w:t>
            </w:r>
          </w:p>
        </w:tc>
        <w:tc>
          <w:tcPr>
            <w:tcW w:w="1017" w:type="dxa"/>
            <w:tcBorders>
              <w:top w:val="nil"/>
              <w:left w:val="nil"/>
              <w:bottom w:val="single" w:sz="4" w:space="0" w:color="auto"/>
              <w:right w:val="nil"/>
            </w:tcBorders>
          </w:tcPr>
          <w:p w:rsidR="00A32F5B" w:rsidRPr="00A9315B" w:rsidRDefault="00A32F5B" w:rsidP="00A9315B">
            <w:pPr>
              <w:pStyle w:val="TableTextRight-BP3"/>
            </w:pPr>
            <w:r w:rsidRPr="00A9315B">
              <w:t>12</w:t>
            </w:r>
          </w:p>
        </w:tc>
        <w:tc>
          <w:tcPr>
            <w:tcW w:w="1017" w:type="dxa"/>
            <w:tcBorders>
              <w:top w:val="nil"/>
              <w:left w:val="nil"/>
              <w:bottom w:val="single" w:sz="4" w:space="0" w:color="auto"/>
              <w:right w:val="nil"/>
            </w:tcBorders>
          </w:tcPr>
          <w:p w:rsidR="00A32F5B" w:rsidRPr="00A9315B" w:rsidRDefault="00A32F5B" w:rsidP="00A9315B">
            <w:pPr>
              <w:pStyle w:val="TableTextRight-BP3"/>
            </w:pPr>
            <w:r w:rsidRPr="00A9315B">
              <w:t>14</w:t>
            </w:r>
          </w:p>
        </w:tc>
      </w:tr>
      <w:tr w:rsidR="00A32F5B" w:rsidTr="00785C80">
        <w:tblPrEx>
          <w:tblCellMar>
            <w:left w:w="108" w:type="dxa"/>
            <w:right w:w="108" w:type="dxa"/>
          </w:tblCellMar>
        </w:tblPrEx>
        <w:trPr>
          <w:trHeight w:val="255"/>
        </w:trPr>
        <w:tc>
          <w:tcPr>
            <w:tcW w:w="4016" w:type="dxa"/>
            <w:tcBorders>
              <w:top w:val="single" w:sz="4" w:space="0" w:color="auto"/>
              <w:left w:val="nil"/>
              <w:bottom w:val="single" w:sz="4" w:space="0" w:color="auto"/>
              <w:right w:val="nil"/>
            </w:tcBorders>
            <w:shd w:val="clear" w:color="auto" w:fill="auto"/>
            <w:noWrap/>
          </w:tcPr>
          <w:p w:rsidR="00A32F5B" w:rsidRPr="0079169A" w:rsidRDefault="00A32F5B" w:rsidP="00A9315B">
            <w:pPr>
              <w:pStyle w:val="TableTextLeft-BP3"/>
              <w:rPr>
                <w:b/>
                <w:bCs/>
                <w:lang w:eastAsia="en-AU"/>
              </w:rPr>
            </w:pPr>
            <w:r w:rsidRPr="0079169A">
              <w:rPr>
                <w:b/>
                <w:bCs/>
                <w:lang w:eastAsia="en-AU"/>
              </w:rPr>
              <w:t>Total Savings</w:t>
            </w:r>
          </w:p>
        </w:tc>
        <w:tc>
          <w:tcPr>
            <w:tcW w:w="1016" w:type="dxa"/>
            <w:tcBorders>
              <w:top w:val="single" w:sz="4" w:space="0" w:color="auto"/>
              <w:left w:val="nil"/>
              <w:bottom w:val="single" w:sz="4" w:space="0" w:color="auto"/>
              <w:right w:val="nil"/>
            </w:tcBorders>
            <w:shd w:val="clear" w:color="auto" w:fill="auto"/>
            <w:noWrap/>
          </w:tcPr>
          <w:p w:rsidR="00A32F5B" w:rsidRPr="00A9315B" w:rsidRDefault="00A32F5B" w:rsidP="00A9315B">
            <w:pPr>
              <w:pStyle w:val="TableTextRight-BP3"/>
            </w:pPr>
            <w:r w:rsidRPr="00A9315B">
              <w:t>145</w:t>
            </w:r>
          </w:p>
        </w:tc>
        <w:tc>
          <w:tcPr>
            <w:tcW w:w="1017" w:type="dxa"/>
            <w:tcBorders>
              <w:top w:val="single" w:sz="4" w:space="0" w:color="auto"/>
              <w:left w:val="nil"/>
              <w:bottom w:val="single" w:sz="4" w:space="0" w:color="auto"/>
              <w:right w:val="nil"/>
            </w:tcBorders>
            <w:shd w:val="clear" w:color="auto" w:fill="auto"/>
            <w:noWrap/>
          </w:tcPr>
          <w:p w:rsidR="00A32F5B" w:rsidRPr="00A9315B" w:rsidRDefault="00A32F5B" w:rsidP="00A9315B">
            <w:pPr>
              <w:pStyle w:val="TableTextRight-BP3"/>
            </w:pPr>
            <w:r w:rsidRPr="00A9315B">
              <w:t>185</w:t>
            </w:r>
          </w:p>
        </w:tc>
        <w:tc>
          <w:tcPr>
            <w:tcW w:w="1017" w:type="dxa"/>
            <w:tcBorders>
              <w:top w:val="single" w:sz="4" w:space="0" w:color="auto"/>
              <w:left w:val="nil"/>
              <w:bottom w:val="single" w:sz="4" w:space="0" w:color="auto"/>
              <w:right w:val="nil"/>
            </w:tcBorders>
            <w:shd w:val="clear" w:color="auto" w:fill="auto"/>
            <w:noWrap/>
          </w:tcPr>
          <w:p w:rsidR="00A32F5B" w:rsidRPr="00A9315B" w:rsidRDefault="00A32F5B" w:rsidP="00A9315B">
            <w:pPr>
              <w:pStyle w:val="TableTextRight-BP3"/>
            </w:pPr>
            <w:r w:rsidRPr="00A9315B">
              <w:t>205</w:t>
            </w:r>
          </w:p>
        </w:tc>
        <w:tc>
          <w:tcPr>
            <w:tcW w:w="1017" w:type="dxa"/>
            <w:tcBorders>
              <w:top w:val="single" w:sz="4" w:space="0" w:color="auto"/>
              <w:left w:val="nil"/>
              <w:bottom w:val="single" w:sz="4" w:space="0" w:color="auto"/>
              <w:right w:val="nil"/>
            </w:tcBorders>
          </w:tcPr>
          <w:p w:rsidR="00A32F5B" w:rsidRPr="00A9315B" w:rsidRDefault="00A32F5B" w:rsidP="00A9315B">
            <w:pPr>
              <w:pStyle w:val="TableTextRight-BP3"/>
            </w:pPr>
            <w:r w:rsidRPr="00A9315B">
              <w:t>226</w:t>
            </w:r>
          </w:p>
        </w:tc>
        <w:tc>
          <w:tcPr>
            <w:tcW w:w="1017" w:type="dxa"/>
            <w:tcBorders>
              <w:top w:val="single" w:sz="4" w:space="0" w:color="auto"/>
              <w:left w:val="nil"/>
              <w:bottom w:val="single" w:sz="4" w:space="0" w:color="auto"/>
              <w:right w:val="nil"/>
            </w:tcBorders>
          </w:tcPr>
          <w:p w:rsidR="00A32F5B" w:rsidRPr="00A9315B" w:rsidRDefault="00A32F5B" w:rsidP="00A9315B">
            <w:pPr>
              <w:pStyle w:val="TableTextRight-BP3"/>
            </w:pPr>
            <w:r w:rsidRPr="00A9315B">
              <w:t>236</w:t>
            </w:r>
          </w:p>
        </w:tc>
      </w:tr>
    </w:tbl>
    <w:p w:rsidR="00D91BEC" w:rsidRPr="00A9315B" w:rsidRDefault="006F7C03" w:rsidP="00785C80">
      <w:pPr>
        <w:pStyle w:val="NoteHeading0"/>
        <w:spacing w:before="80"/>
        <w:rPr>
          <w:rStyle w:val="NoteTextChar"/>
          <w:b w:val="0"/>
        </w:rPr>
      </w:pPr>
      <w:r w:rsidRPr="00A9315B">
        <w:t>Note</w:t>
      </w:r>
      <w:r w:rsidR="00977C5B">
        <w:t>:</w:t>
      </w:r>
      <w:r w:rsidR="00977C5B">
        <w:rPr>
          <w:rStyle w:val="FootnoteReference"/>
          <w:rFonts w:cs="Calibri"/>
          <w:b w:val="0"/>
        </w:rPr>
        <w:t xml:space="preserve"> </w:t>
      </w:r>
      <w:r w:rsidR="00977C5B">
        <w:rPr>
          <w:rStyle w:val="NoteTextChar"/>
          <w:b w:val="0"/>
        </w:rPr>
        <w:t xml:space="preserve"> </w:t>
      </w:r>
      <w:r w:rsidRPr="00A9315B">
        <w:rPr>
          <w:rStyle w:val="NoteTextChar"/>
          <w:b w:val="0"/>
        </w:rPr>
        <w:t>Savings introduced in Budget Review are included in the totals for the 2013-14 Budget</w:t>
      </w:r>
    </w:p>
    <w:p w:rsidR="00EA3D44" w:rsidRDefault="00E6425E" w:rsidP="00A9315B">
      <w:pPr>
        <w:pStyle w:val="BodyText"/>
      </w:pPr>
      <w:r>
        <w:t>Further details in relation to the</w:t>
      </w:r>
      <w:r w:rsidR="009021AB">
        <w:t xml:space="preserve"> 2013-14</w:t>
      </w:r>
      <w:r>
        <w:t xml:space="preserve"> savings are presented in Chapter 5.3.</w:t>
      </w:r>
    </w:p>
    <w:p w:rsidR="00D91BEC" w:rsidRPr="00E6425E" w:rsidRDefault="00EA3D44" w:rsidP="00EA3D44">
      <w:r>
        <w:br w:type="page"/>
      </w:r>
    </w:p>
    <w:sectPr w:rsidR="00D91BEC" w:rsidRPr="00E6425E" w:rsidSect="007618A8">
      <w:footerReference w:type="default" r:id="rId9"/>
      <w:pgSz w:w="11907" w:h="16840" w:code="9"/>
      <w:pgMar w:top="1151" w:right="1440" w:bottom="1729" w:left="1440" w:header="720" w:footer="720" w:gutter="0"/>
      <w:pgNumType w:start="3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AD1" w:rsidRDefault="00590AD1">
      <w:r>
        <w:separator/>
      </w:r>
    </w:p>
  </w:endnote>
  <w:endnote w:type="continuationSeparator" w:id="0">
    <w:p w:rsidR="00590AD1" w:rsidRDefault="00590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AD1" w:rsidRPr="00A40821" w:rsidRDefault="00590AD1">
    <w:pPr>
      <w:pStyle w:val="FooterBP"/>
      <w:rPr>
        <w:rFonts w:cs="Calibri"/>
      </w:rPr>
    </w:pPr>
    <w:r w:rsidRPr="00A40821">
      <w:rPr>
        <w:rFonts w:cs="Calibri"/>
      </w:rPr>
      <w:t>201</w:t>
    </w:r>
    <w:r>
      <w:rPr>
        <w:rFonts w:cs="Calibri"/>
      </w:rPr>
      <w:t>3</w:t>
    </w:r>
    <w:r w:rsidRPr="00A40821">
      <w:rPr>
        <w:rFonts w:cs="Calibri"/>
      </w:rPr>
      <w:t>-1</w:t>
    </w:r>
    <w:r>
      <w:rPr>
        <w:rFonts w:cs="Calibri"/>
      </w:rPr>
      <w:t>4</w:t>
    </w:r>
    <w:r w:rsidRPr="00A40821">
      <w:rPr>
        <w:rFonts w:cs="Calibri"/>
      </w:rPr>
      <w:t xml:space="preserve"> Budget Paper No. 3</w:t>
    </w:r>
    <w:r w:rsidRPr="00A40821">
      <w:rPr>
        <w:rFonts w:cs="Calibri"/>
      </w:rPr>
      <w:tab/>
    </w:r>
    <w:r w:rsidR="00F05A61">
      <w:rPr>
        <w:rStyle w:val="PageNumber"/>
        <w:rFonts w:cs="Calibri"/>
      </w:rPr>
      <w:fldChar w:fldCharType="begin"/>
    </w:r>
    <w:r w:rsidR="007D784D">
      <w:rPr>
        <w:rStyle w:val="PageNumber"/>
        <w:rFonts w:cs="Calibri"/>
      </w:rPr>
      <w:instrText xml:space="preserve"> PAGE   \* MERGEFORMAT </w:instrText>
    </w:r>
    <w:r w:rsidR="00F05A61">
      <w:rPr>
        <w:rStyle w:val="PageNumber"/>
        <w:rFonts w:cs="Calibri"/>
      </w:rPr>
      <w:fldChar w:fldCharType="separate"/>
    </w:r>
    <w:r w:rsidR="00C02ECF">
      <w:rPr>
        <w:rStyle w:val="PageNumber"/>
        <w:rFonts w:cs="Calibri"/>
        <w:noProof/>
      </w:rPr>
      <w:t>39</w:t>
    </w:r>
    <w:r w:rsidR="00F05A61">
      <w:rPr>
        <w:rStyle w:val="PageNumber"/>
        <w:rFonts w:cs="Calibri"/>
      </w:rPr>
      <w:fldChar w:fldCharType="end"/>
    </w:r>
    <w:r>
      <w:rPr>
        <w:rFonts w:cs="Calibri"/>
      </w:rPr>
      <w:tab/>
      <w:t>The Budget Plan</w:t>
    </w:r>
    <w:r w:rsidR="007618A8">
      <w:rPr>
        <w:rFonts w:cs="Calibri"/>
      </w:rPr>
      <w:t xml:space="preserve"> and Savings</w:t>
    </w:r>
    <w:r>
      <w:rPr>
        <w:rFonts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AD1" w:rsidRDefault="00590AD1">
      <w:r>
        <w:separator/>
      </w:r>
    </w:p>
  </w:footnote>
  <w:footnote w:type="continuationSeparator" w:id="0">
    <w:p w:rsidR="00590AD1" w:rsidRDefault="00590AD1">
      <w:r>
        <w:continuationSeparator/>
      </w:r>
    </w:p>
  </w:footnote>
  <w:footnote w:id="1">
    <w:p w:rsidR="00590AD1" w:rsidRPr="0079169A" w:rsidRDefault="00590AD1" w:rsidP="00D91BEC">
      <w:pPr>
        <w:pStyle w:val="FootnoteText"/>
        <w:rPr>
          <w:rFonts w:cs="Calibri"/>
          <w:sz w:val="16"/>
          <w:szCs w:val="16"/>
        </w:rPr>
      </w:pPr>
      <w:r w:rsidRPr="0079169A">
        <w:rPr>
          <w:rStyle w:val="FootnoteReference"/>
          <w:rFonts w:cs="Calibri"/>
          <w:sz w:val="16"/>
          <w:szCs w:val="16"/>
        </w:rPr>
        <w:footnoteRef/>
      </w:r>
      <w:r w:rsidRPr="0079169A">
        <w:rPr>
          <w:rFonts w:cs="Calibri"/>
          <w:sz w:val="16"/>
          <w:szCs w:val="16"/>
        </w:rPr>
        <w:t xml:space="preserve"> Revised in the 2011-12 Budget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17"/>
  </w:num>
  <w:num w:numId="4">
    <w:abstractNumId w:val="18"/>
  </w:num>
  <w:num w:numId="5">
    <w:abstractNumId w:val="13"/>
  </w:num>
  <w:num w:numId="6">
    <w:abstractNumId w:val="10"/>
  </w:num>
  <w:num w:numId="7">
    <w:abstractNumId w:val="12"/>
  </w:num>
  <w:num w:numId="8">
    <w:abstractNumId w:val="11"/>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rNromlAGIqJw7YO6UXZHs10w4Xg=" w:salt="9jIvTsWG75NHBkh/hgI81A=="/>
  <w:zoom w:percent="100"/>
  <w:proofState w:spelling="clean" w:grammar="clean"/>
  <w:stylePaneFormatFilter w:val="1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7982"/>
    <w:rsid w:val="00010379"/>
    <w:rsid w:val="00014CC6"/>
    <w:rsid w:val="000368FE"/>
    <w:rsid w:val="00070886"/>
    <w:rsid w:val="00082CD6"/>
    <w:rsid w:val="000B1538"/>
    <w:rsid w:val="000C3C57"/>
    <w:rsid w:val="000D5B25"/>
    <w:rsid w:val="000F4460"/>
    <w:rsid w:val="001073A0"/>
    <w:rsid w:val="001853EC"/>
    <w:rsid w:val="001D4EBC"/>
    <w:rsid w:val="00234083"/>
    <w:rsid w:val="00264E42"/>
    <w:rsid w:val="002667C4"/>
    <w:rsid w:val="0029695C"/>
    <w:rsid w:val="003264DD"/>
    <w:rsid w:val="0035099A"/>
    <w:rsid w:val="00366A31"/>
    <w:rsid w:val="003A0BFD"/>
    <w:rsid w:val="003F715C"/>
    <w:rsid w:val="00403FD7"/>
    <w:rsid w:val="00411D69"/>
    <w:rsid w:val="00435482"/>
    <w:rsid w:val="004D394D"/>
    <w:rsid w:val="004E5EC1"/>
    <w:rsid w:val="004F65DD"/>
    <w:rsid w:val="00590AD1"/>
    <w:rsid w:val="00595BF1"/>
    <w:rsid w:val="005A4811"/>
    <w:rsid w:val="005D1A0D"/>
    <w:rsid w:val="005D654B"/>
    <w:rsid w:val="00614942"/>
    <w:rsid w:val="00664625"/>
    <w:rsid w:val="00670435"/>
    <w:rsid w:val="00690E9E"/>
    <w:rsid w:val="006A483A"/>
    <w:rsid w:val="006A7C76"/>
    <w:rsid w:val="006F7C03"/>
    <w:rsid w:val="00713682"/>
    <w:rsid w:val="007256AC"/>
    <w:rsid w:val="007618A8"/>
    <w:rsid w:val="00763FE3"/>
    <w:rsid w:val="00766809"/>
    <w:rsid w:val="00785C80"/>
    <w:rsid w:val="0079169A"/>
    <w:rsid w:val="007B67F3"/>
    <w:rsid w:val="007D179E"/>
    <w:rsid w:val="007D5C09"/>
    <w:rsid w:val="007D784D"/>
    <w:rsid w:val="007E587D"/>
    <w:rsid w:val="007F351C"/>
    <w:rsid w:val="00822447"/>
    <w:rsid w:val="00842368"/>
    <w:rsid w:val="0085594E"/>
    <w:rsid w:val="008B7B44"/>
    <w:rsid w:val="009021AB"/>
    <w:rsid w:val="009162F3"/>
    <w:rsid w:val="00917083"/>
    <w:rsid w:val="0095512A"/>
    <w:rsid w:val="00977C5B"/>
    <w:rsid w:val="00990883"/>
    <w:rsid w:val="009C10EA"/>
    <w:rsid w:val="009E2BCA"/>
    <w:rsid w:val="009F4441"/>
    <w:rsid w:val="00A0306D"/>
    <w:rsid w:val="00A108D3"/>
    <w:rsid w:val="00A32F5B"/>
    <w:rsid w:val="00A40821"/>
    <w:rsid w:val="00A9315B"/>
    <w:rsid w:val="00AA376F"/>
    <w:rsid w:val="00AC1144"/>
    <w:rsid w:val="00B13A56"/>
    <w:rsid w:val="00B64089"/>
    <w:rsid w:val="00B66D7E"/>
    <w:rsid w:val="00BC46D8"/>
    <w:rsid w:val="00BD7AF6"/>
    <w:rsid w:val="00BE7982"/>
    <w:rsid w:val="00C02ECF"/>
    <w:rsid w:val="00C269B9"/>
    <w:rsid w:val="00C30AF8"/>
    <w:rsid w:val="00C43165"/>
    <w:rsid w:val="00C767A6"/>
    <w:rsid w:val="00C95C21"/>
    <w:rsid w:val="00CC34E4"/>
    <w:rsid w:val="00D50E77"/>
    <w:rsid w:val="00D87E8E"/>
    <w:rsid w:val="00D91BEC"/>
    <w:rsid w:val="00DB2478"/>
    <w:rsid w:val="00DC626A"/>
    <w:rsid w:val="00DF5ACB"/>
    <w:rsid w:val="00E61012"/>
    <w:rsid w:val="00E6397E"/>
    <w:rsid w:val="00E6425E"/>
    <w:rsid w:val="00E942B9"/>
    <w:rsid w:val="00E9534E"/>
    <w:rsid w:val="00EA3D44"/>
    <w:rsid w:val="00EB6846"/>
    <w:rsid w:val="00ED137A"/>
    <w:rsid w:val="00ED4345"/>
    <w:rsid w:val="00F05A61"/>
    <w:rsid w:val="00F4217B"/>
    <w:rsid w:val="00F44054"/>
    <w:rsid w:val="00F50156"/>
    <w:rsid w:val="00F8620E"/>
    <w:rsid w:val="00FC033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089"/>
    <w:rPr>
      <w:rFonts w:ascii="Calibri" w:hAnsi="Calibri"/>
      <w:sz w:val="24"/>
      <w:lang w:eastAsia="en-US"/>
    </w:rPr>
  </w:style>
  <w:style w:type="paragraph" w:styleId="Heading1">
    <w:name w:val="heading 1"/>
    <w:basedOn w:val="Normal"/>
    <w:next w:val="BodyText"/>
    <w:qFormat/>
    <w:rsid w:val="00B64089"/>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B64089"/>
    <w:pPr>
      <w:keepNext/>
      <w:spacing w:before="60" w:after="60"/>
      <w:jc w:val="center"/>
      <w:outlineLvl w:val="1"/>
    </w:pPr>
    <w:rPr>
      <w:b/>
      <w:snapToGrid w:val="0"/>
      <w:sz w:val="20"/>
    </w:rPr>
  </w:style>
  <w:style w:type="paragraph" w:styleId="Heading3">
    <w:name w:val="heading 3"/>
    <w:basedOn w:val="Normal"/>
    <w:next w:val="BodyText"/>
    <w:link w:val="Heading3Char"/>
    <w:qFormat/>
    <w:rsid w:val="00B64089"/>
    <w:pPr>
      <w:keepNext/>
      <w:keepLines/>
      <w:spacing w:before="240" w:after="60"/>
      <w:outlineLvl w:val="2"/>
    </w:pPr>
    <w:rPr>
      <w:rFonts w:ascii="Arial" w:hAnsi="Arial" w:cs="Arial"/>
      <w:b/>
      <w:bCs/>
      <w:szCs w:val="26"/>
    </w:rPr>
  </w:style>
  <w:style w:type="paragraph" w:styleId="Heading4">
    <w:name w:val="heading 4"/>
    <w:basedOn w:val="Normal"/>
    <w:next w:val="BodyText"/>
    <w:qFormat/>
    <w:rsid w:val="00B64089"/>
    <w:pPr>
      <w:keepNext/>
      <w:keepLines/>
      <w:spacing w:before="120" w:after="120"/>
      <w:outlineLvl w:val="3"/>
    </w:pPr>
    <w:rPr>
      <w:i/>
    </w:rPr>
  </w:style>
  <w:style w:type="paragraph" w:styleId="Heading5">
    <w:name w:val="heading 5"/>
    <w:basedOn w:val="Normal"/>
    <w:next w:val="Normal"/>
    <w:autoRedefine/>
    <w:qFormat/>
    <w:rsid w:val="00B64089"/>
    <w:pPr>
      <w:keepNext/>
      <w:numPr>
        <w:ilvl w:val="4"/>
        <w:numId w:val="9"/>
      </w:numPr>
      <w:outlineLvl w:val="4"/>
    </w:pPr>
    <w:rPr>
      <w:b/>
      <w:i/>
      <w:sz w:val="20"/>
    </w:rPr>
  </w:style>
  <w:style w:type="paragraph" w:styleId="Heading6">
    <w:name w:val="heading 6"/>
    <w:basedOn w:val="Normal"/>
    <w:next w:val="Normal"/>
    <w:qFormat/>
    <w:rsid w:val="00B64089"/>
    <w:pPr>
      <w:keepNext/>
      <w:jc w:val="right"/>
      <w:outlineLvl w:val="5"/>
    </w:pPr>
    <w:rPr>
      <w:b/>
      <w:sz w:val="20"/>
    </w:rPr>
  </w:style>
  <w:style w:type="paragraph" w:styleId="Heading7">
    <w:name w:val="heading 7"/>
    <w:basedOn w:val="Normal"/>
    <w:next w:val="Normal"/>
    <w:qFormat/>
    <w:rsid w:val="00B64089"/>
    <w:pPr>
      <w:keepNext/>
      <w:ind w:left="159" w:hanging="159"/>
      <w:outlineLvl w:val="6"/>
    </w:pPr>
    <w:rPr>
      <w:b/>
      <w:sz w:val="20"/>
    </w:rPr>
  </w:style>
  <w:style w:type="paragraph" w:styleId="Heading8">
    <w:name w:val="heading 8"/>
    <w:basedOn w:val="Normal"/>
    <w:next w:val="Normal"/>
    <w:qFormat/>
    <w:rsid w:val="00B64089"/>
    <w:pPr>
      <w:keepNext/>
      <w:numPr>
        <w:ilvl w:val="7"/>
        <w:numId w:val="9"/>
      </w:numPr>
      <w:outlineLvl w:val="7"/>
    </w:pPr>
    <w:rPr>
      <w:rFonts w:ascii="Arial" w:hAnsi="Arial"/>
      <w:b/>
      <w:snapToGrid w:val="0"/>
      <w:color w:val="000000"/>
      <w:sz w:val="20"/>
    </w:rPr>
  </w:style>
  <w:style w:type="paragraph" w:styleId="Heading9">
    <w:name w:val="heading 9"/>
    <w:basedOn w:val="Normal"/>
    <w:next w:val="Normal"/>
    <w:qFormat/>
    <w:rsid w:val="00B64089"/>
    <w:pPr>
      <w:keepNext/>
      <w:numPr>
        <w:ilvl w:val="8"/>
        <w:numId w:val="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B64089"/>
    <w:pPr>
      <w:keepNext/>
      <w:jc w:val="center"/>
    </w:pPr>
    <w:rPr>
      <w:b/>
      <w:sz w:val="20"/>
    </w:rPr>
  </w:style>
  <w:style w:type="character" w:customStyle="1" w:styleId="Heading3Char1">
    <w:name w:val="Heading 3 Char1"/>
    <w:basedOn w:val="DefaultParagraphFont"/>
    <w:link w:val="Heading3"/>
    <w:rsid w:val="00614942"/>
    <w:rPr>
      <w:rFonts w:ascii="Arial" w:hAnsi="Arial" w:cs="Arial"/>
      <w:b/>
      <w:bCs/>
      <w:sz w:val="24"/>
      <w:szCs w:val="26"/>
      <w:lang w:val="en-AU" w:eastAsia="en-US" w:bidi="ar-SA"/>
    </w:rPr>
  </w:style>
  <w:style w:type="paragraph" w:styleId="BodyText">
    <w:name w:val="Body Text"/>
    <w:basedOn w:val="Normal"/>
    <w:link w:val="BodyTextChar"/>
    <w:rsid w:val="00B64089"/>
    <w:pPr>
      <w:keepNext/>
      <w:keepLines/>
      <w:spacing w:before="120" w:after="120"/>
      <w:jc w:val="both"/>
    </w:pPr>
  </w:style>
  <w:style w:type="paragraph" w:styleId="BodyTextIndent">
    <w:name w:val="Body Text Indent"/>
    <w:basedOn w:val="Normal"/>
    <w:next w:val="BodyText"/>
    <w:link w:val="BodyTextIndentChar"/>
    <w:rsid w:val="00B64089"/>
    <w:pPr>
      <w:keepNext/>
      <w:keepLines/>
      <w:numPr>
        <w:numId w:val="5"/>
      </w:numPr>
      <w:spacing w:after="120"/>
      <w:jc w:val="both"/>
    </w:pPr>
    <w:rPr>
      <w:szCs w:val="24"/>
    </w:rPr>
  </w:style>
  <w:style w:type="paragraph" w:styleId="BodyTextIndent2">
    <w:name w:val="Body Text Indent 2"/>
    <w:basedOn w:val="Normal"/>
    <w:rsid w:val="00B64089"/>
    <w:pPr>
      <w:keepNext/>
      <w:keepLines/>
      <w:numPr>
        <w:numId w:val="6"/>
      </w:numPr>
      <w:spacing w:after="120"/>
      <w:jc w:val="both"/>
    </w:pPr>
  </w:style>
  <w:style w:type="paragraph" w:styleId="BodyTextIndent3">
    <w:name w:val="Body Text Indent 3"/>
    <w:basedOn w:val="Normal"/>
    <w:rsid w:val="00B64089"/>
    <w:pPr>
      <w:keepNext/>
      <w:keepLines/>
      <w:numPr>
        <w:numId w:val="7"/>
      </w:numPr>
      <w:tabs>
        <w:tab w:val="left" w:pos="1134"/>
      </w:tabs>
      <w:spacing w:after="120"/>
      <w:jc w:val="both"/>
    </w:pPr>
    <w:rPr>
      <w:szCs w:val="24"/>
    </w:rPr>
  </w:style>
  <w:style w:type="paragraph" w:customStyle="1" w:styleId="BodyTextIndent4">
    <w:name w:val="Body Text Indent 4"/>
    <w:basedOn w:val="BodyText"/>
    <w:next w:val="BodyText"/>
    <w:rsid w:val="00B64089"/>
    <w:pPr>
      <w:numPr>
        <w:numId w:val="8"/>
      </w:numPr>
      <w:spacing w:before="0"/>
    </w:pPr>
  </w:style>
  <w:style w:type="paragraph" w:customStyle="1" w:styleId="SIHeading1">
    <w:name w:val="SI Heading 1"/>
    <w:basedOn w:val="Normal"/>
    <w:next w:val="BodyText"/>
    <w:rsid w:val="00B64089"/>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B64089"/>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B64089"/>
    <w:pPr>
      <w:numPr>
        <w:numId w:val="21"/>
      </w:numPr>
      <w:spacing w:before="60"/>
    </w:pPr>
    <w:rPr>
      <w:kern w:val="16"/>
      <w:sz w:val="20"/>
      <w:szCs w:val="24"/>
    </w:rPr>
  </w:style>
  <w:style w:type="paragraph" w:customStyle="1" w:styleId="TableTextRightBold">
    <w:name w:val="Table Text Right Bold"/>
    <w:basedOn w:val="Normal"/>
    <w:rsid w:val="00B64089"/>
    <w:pPr>
      <w:ind w:left="357" w:hanging="357"/>
      <w:jc w:val="right"/>
    </w:pPr>
    <w:rPr>
      <w:b/>
      <w:sz w:val="20"/>
    </w:rPr>
  </w:style>
  <w:style w:type="paragraph" w:customStyle="1" w:styleId="TableHeadingRight">
    <w:name w:val="Table Heading Right"/>
    <w:basedOn w:val="Normal"/>
    <w:rsid w:val="00B64089"/>
    <w:pPr>
      <w:keepNext/>
      <w:jc w:val="right"/>
    </w:pPr>
    <w:rPr>
      <w:b/>
      <w:sz w:val="20"/>
      <w:szCs w:val="24"/>
    </w:rPr>
  </w:style>
  <w:style w:type="paragraph" w:customStyle="1" w:styleId="NoteText">
    <w:name w:val="Note Text"/>
    <w:basedOn w:val="Normal"/>
    <w:link w:val="NoteTextChar"/>
    <w:rsid w:val="00B64089"/>
    <w:pPr>
      <w:jc w:val="both"/>
    </w:pPr>
    <w:rPr>
      <w:iCs/>
      <w:sz w:val="16"/>
    </w:rPr>
  </w:style>
  <w:style w:type="paragraph" w:styleId="Header">
    <w:name w:val="header"/>
    <w:basedOn w:val="Normal"/>
    <w:semiHidden/>
    <w:rsid w:val="00B64089"/>
    <w:pPr>
      <w:tabs>
        <w:tab w:val="center" w:pos="4153"/>
        <w:tab w:val="right" w:pos="8306"/>
      </w:tabs>
    </w:pPr>
  </w:style>
  <w:style w:type="paragraph" w:customStyle="1" w:styleId="Noteheading">
    <w:name w:val="Note heading"/>
    <w:basedOn w:val="Normal"/>
    <w:autoRedefine/>
    <w:semiHidden/>
    <w:rsid w:val="00B64089"/>
    <w:pPr>
      <w:spacing w:before="120"/>
      <w:ind w:left="28"/>
    </w:pPr>
    <w:rPr>
      <w:b/>
      <w:bCs/>
      <w:sz w:val="20"/>
    </w:rPr>
  </w:style>
  <w:style w:type="character" w:customStyle="1" w:styleId="BodyTextIndentChar">
    <w:name w:val="Body Text Indent Char"/>
    <w:basedOn w:val="DefaultParagraphFont"/>
    <w:link w:val="BodyTextIndent"/>
    <w:rsid w:val="00614942"/>
    <w:rPr>
      <w:rFonts w:ascii="Calibri" w:hAnsi="Calibri"/>
      <w:sz w:val="24"/>
      <w:szCs w:val="24"/>
      <w:lang w:eastAsia="en-US"/>
    </w:rPr>
  </w:style>
  <w:style w:type="paragraph" w:customStyle="1" w:styleId="TableHeadingLeft">
    <w:name w:val="Table Heading Left"/>
    <w:basedOn w:val="Normal"/>
    <w:link w:val="TableHeadingLeftChar"/>
    <w:rsid w:val="00B64089"/>
    <w:pPr>
      <w:keepNext/>
    </w:pPr>
    <w:rPr>
      <w:b/>
      <w:sz w:val="20"/>
      <w:lang w:eastAsia="en-AU"/>
    </w:rPr>
  </w:style>
  <w:style w:type="paragraph" w:customStyle="1" w:styleId="TableTextRight">
    <w:name w:val="Table Text Right"/>
    <w:basedOn w:val="Normal"/>
    <w:rsid w:val="00B64089"/>
    <w:pPr>
      <w:ind w:left="357" w:hanging="357"/>
      <w:jc w:val="right"/>
    </w:pPr>
    <w:rPr>
      <w:sz w:val="20"/>
    </w:rPr>
  </w:style>
  <w:style w:type="paragraph" w:customStyle="1" w:styleId="TableTextLeftBold">
    <w:name w:val="Table Text Left Bold"/>
    <w:basedOn w:val="Normal"/>
    <w:link w:val="TableTextLeftBoldChar"/>
    <w:rsid w:val="00B64089"/>
    <w:pPr>
      <w:ind w:left="357" w:hanging="357"/>
    </w:pPr>
    <w:rPr>
      <w:b/>
      <w:sz w:val="20"/>
    </w:rPr>
  </w:style>
  <w:style w:type="paragraph" w:customStyle="1" w:styleId="TableTextLeft">
    <w:name w:val="Table Text Left"/>
    <w:basedOn w:val="Normal"/>
    <w:rsid w:val="00B64089"/>
    <w:pPr>
      <w:ind w:left="357" w:hanging="357"/>
    </w:pPr>
    <w:rPr>
      <w:sz w:val="20"/>
      <w:szCs w:val="18"/>
    </w:rPr>
  </w:style>
  <w:style w:type="paragraph" w:customStyle="1" w:styleId="TableNumbersRight">
    <w:name w:val="Table Numbers Right"/>
    <w:basedOn w:val="TableHeadingRight"/>
    <w:rsid w:val="00B64089"/>
    <w:rPr>
      <w:b w:val="0"/>
    </w:rPr>
  </w:style>
  <w:style w:type="character" w:customStyle="1" w:styleId="TableHeadingLeftChar">
    <w:name w:val="Table Heading Left Char"/>
    <w:basedOn w:val="DefaultParagraphFont"/>
    <w:link w:val="TableHeadingLeft"/>
    <w:rsid w:val="00614942"/>
    <w:rPr>
      <w:rFonts w:ascii="Calibri" w:hAnsi="Calibri"/>
      <w:b/>
    </w:rPr>
  </w:style>
  <w:style w:type="paragraph" w:customStyle="1" w:styleId="FooterBP">
    <w:name w:val="Footer BP"/>
    <w:basedOn w:val="Normal"/>
    <w:next w:val="Normal"/>
    <w:rsid w:val="00B64089"/>
    <w:pPr>
      <w:pBdr>
        <w:top w:val="single" w:sz="4" w:space="1" w:color="auto"/>
      </w:pBdr>
      <w:tabs>
        <w:tab w:val="center" w:pos="4536"/>
        <w:tab w:val="right" w:pos="9356"/>
      </w:tabs>
      <w:ind w:left="-284" w:right="-329"/>
    </w:pPr>
    <w:rPr>
      <w:i/>
      <w:sz w:val="20"/>
    </w:rPr>
  </w:style>
  <w:style w:type="paragraph" w:styleId="Footer">
    <w:name w:val="footer"/>
    <w:basedOn w:val="Normal"/>
    <w:semiHidden/>
    <w:rsid w:val="00B64089"/>
    <w:pPr>
      <w:tabs>
        <w:tab w:val="center" w:pos="4153"/>
        <w:tab w:val="right" w:pos="8306"/>
      </w:tabs>
    </w:pPr>
  </w:style>
  <w:style w:type="character" w:customStyle="1" w:styleId="TableTextLeftBoldChar">
    <w:name w:val="Table Text Left Bold Char"/>
    <w:basedOn w:val="DefaultParagraphFont"/>
    <w:link w:val="TableTextLeftBold"/>
    <w:rsid w:val="00614942"/>
    <w:rPr>
      <w:rFonts w:ascii="Calibri" w:hAnsi="Calibri"/>
      <w:b/>
      <w:lang w:eastAsia="en-US"/>
    </w:rPr>
  </w:style>
  <w:style w:type="paragraph" w:customStyle="1" w:styleId="Heading3TopofPage">
    <w:name w:val="Heading 3 Top of Page"/>
    <w:basedOn w:val="Heading3"/>
    <w:next w:val="BodyText"/>
    <w:rsid w:val="00B64089"/>
    <w:pPr>
      <w:spacing w:before="0"/>
    </w:pPr>
    <w:rPr>
      <w:rFonts w:cs="Times New Roman"/>
      <w:lang w:eastAsia="en-AU"/>
    </w:rPr>
  </w:style>
  <w:style w:type="paragraph" w:customStyle="1" w:styleId="Heading3Centred">
    <w:name w:val="Heading 3 Centred"/>
    <w:basedOn w:val="Heading3"/>
    <w:next w:val="BodyText"/>
    <w:rsid w:val="00B64089"/>
    <w:pPr>
      <w:spacing w:before="0"/>
      <w:jc w:val="center"/>
    </w:pPr>
    <w:rPr>
      <w:rFonts w:cs="Times New Roman"/>
      <w:lang w:eastAsia="en-AU"/>
    </w:rPr>
  </w:style>
  <w:style w:type="numbering" w:styleId="ArticleSection">
    <w:name w:val="Outline List 3"/>
    <w:basedOn w:val="NoList"/>
    <w:semiHidden/>
    <w:rsid w:val="00B64089"/>
    <w:pPr>
      <w:numPr>
        <w:numId w:val="4"/>
      </w:numPr>
    </w:pPr>
  </w:style>
  <w:style w:type="paragraph" w:styleId="BodyText2">
    <w:name w:val="Body Text 2"/>
    <w:basedOn w:val="Normal"/>
    <w:semiHidden/>
    <w:rsid w:val="00B64089"/>
    <w:pPr>
      <w:spacing w:after="120" w:line="480" w:lineRule="auto"/>
    </w:pPr>
  </w:style>
  <w:style w:type="paragraph" w:customStyle="1" w:styleId="SinglePara">
    <w:name w:val="Single Para"/>
    <w:basedOn w:val="Normal"/>
    <w:semiHidden/>
    <w:rsid w:val="00B64089"/>
  </w:style>
  <w:style w:type="paragraph" w:customStyle="1" w:styleId="xl25">
    <w:name w:val="xl25"/>
    <w:basedOn w:val="Normal"/>
    <w:semiHidden/>
    <w:rsid w:val="00B64089"/>
    <w:pPr>
      <w:spacing w:before="100" w:beforeAutospacing="1" w:after="100" w:afterAutospacing="1"/>
    </w:pPr>
    <w:rPr>
      <w:rFonts w:eastAsia="Arial Unicode MS"/>
      <w:sz w:val="18"/>
      <w:szCs w:val="18"/>
    </w:rPr>
  </w:style>
  <w:style w:type="paragraph" w:styleId="PlainText">
    <w:name w:val="Plain Text"/>
    <w:basedOn w:val="Normal"/>
    <w:semiHidden/>
    <w:rsid w:val="00B64089"/>
    <w:rPr>
      <w:sz w:val="20"/>
      <w:lang w:val="en-US"/>
    </w:rPr>
  </w:style>
  <w:style w:type="paragraph" w:styleId="BalloonText">
    <w:name w:val="Balloon Text"/>
    <w:basedOn w:val="Normal"/>
    <w:semiHidden/>
    <w:rsid w:val="00B64089"/>
    <w:rPr>
      <w:rFonts w:ascii="Tahoma" w:hAnsi="Tahoma" w:cs="Tahoma"/>
      <w:sz w:val="16"/>
      <w:szCs w:val="16"/>
    </w:rPr>
  </w:style>
  <w:style w:type="paragraph" w:customStyle="1" w:styleId="Sub-Heading">
    <w:name w:val="Sub-Heading"/>
    <w:basedOn w:val="Normal"/>
    <w:next w:val="BodyText"/>
    <w:rsid w:val="00B64089"/>
    <w:pPr>
      <w:keepNext/>
      <w:spacing w:before="240" w:after="120"/>
      <w:outlineLvl w:val="0"/>
    </w:pPr>
    <w:rPr>
      <w:rFonts w:ascii="Arial" w:hAnsi="Arial"/>
      <w:i/>
    </w:rPr>
  </w:style>
  <w:style w:type="paragraph" w:customStyle="1" w:styleId="Sub-Heading2">
    <w:name w:val="Sub-Heading 2"/>
    <w:basedOn w:val="BodyText"/>
    <w:semiHidden/>
    <w:rsid w:val="00B64089"/>
    <w:rPr>
      <w:i/>
    </w:rPr>
  </w:style>
  <w:style w:type="paragraph" w:customStyle="1" w:styleId="TableName">
    <w:name w:val="Table Name"/>
    <w:basedOn w:val="Normal"/>
    <w:link w:val="TableNameChar"/>
    <w:rsid w:val="00B64089"/>
    <w:pPr>
      <w:keepNext/>
      <w:keepLines/>
      <w:spacing w:after="120"/>
      <w:jc w:val="center"/>
    </w:pPr>
    <w:rPr>
      <w:rFonts w:ascii="Arial" w:hAnsi="Arial"/>
      <w:b/>
      <w:sz w:val="20"/>
    </w:rPr>
  </w:style>
  <w:style w:type="paragraph" w:customStyle="1" w:styleId="AIblurb">
    <w:name w:val="AI blurb"/>
    <w:basedOn w:val="Normal"/>
    <w:rsid w:val="00B64089"/>
    <w:pPr>
      <w:spacing w:before="120" w:after="240"/>
      <w:ind w:left="380"/>
      <w:jc w:val="both"/>
    </w:pPr>
    <w:rPr>
      <w:sz w:val="20"/>
    </w:rPr>
  </w:style>
  <w:style w:type="paragraph" w:styleId="BodyText3">
    <w:name w:val="Body Text 3"/>
    <w:basedOn w:val="Normal"/>
    <w:semiHidden/>
    <w:rsid w:val="00B64089"/>
    <w:pPr>
      <w:spacing w:after="120"/>
    </w:pPr>
    <w:rPr>
      <w:sz w:val="16"/>
      <w:szCs w:val="16"/>
    </w:rPr>
  </w:style>
  <w:style w:type="paragraph" w:customStyle="1" w:styleId="AINotes">
    <w:name w:val="AI Notes"/>
    <w:basedOn w:val="Normal"/>
    <w:rsid w:val="00B64089"/>
    <w:pPr>
      <w:numPr>
        <w:numId w:val="3"/>
      </w:numPr>
      <w:jc w:val="both"/>
    </w:pPr>
    <w:rPr>
      <w:sz w:val="16"/>
    </w:rPr>
  </w:style>
  <w:style w:type="paragraph" w:customStyle="1" w:styleId="n">
    <w:name w:val="n"/>
    <w:basedOn w:val="Normal"/>
    <w:semiHidden/>
    <w:rsid w:val="00B64089"/>
    <w:pPr>
      <w:jc w:val="both"/>
    </w:pPr>
    <w:rPr>
      <w:sz w:val="16"/>
      <w:szCs w:val="24"/>
    </w:rPr>
  </w:style>
  <w:style w:type="paragraph" w:customStyle="1" w:styleId="Notes">
    <w:name w:val="Notes"/>
    <w:basedOn w:val="Normal"/>
    <w:semiHidden/>
    <w:rsid w:val="00B64089"/>
    <w:pPr>
      <w:spacing w:before="120"/>
      <w:ind w:left="28"/>
    </w:pPr>
    <w:rPr>
      <w:b/>
      <w:sz w:val="20"/>
      <w:szCs w:val="24"/>
    </w:rPr>
  </w:style>
  <w:style w:type="numbering" w:styleId="1ai">
    <w:name w:val="Outline List 1"/>
    <w:basedOn w:val="NoList"/>
    <w:semiHidden/>
    <w:rsid w:val="00B64089"/>
    <w:pPr>
      <w:numPr>
        <w:numId w:val="2"/>
      </w:numPr>
    </w:pPr>
  </w:style>
  <w:style w:type="numbering" w:styleId="111111">
    <w:name w:val="Outline List 2"/>
    <w:basedOn w:val="NoList"/>
    <w:semiHidden/>
    <w:rsid w:val="00B64089"/>
    <w:pPr>
      <w:numPr>
        <w:numId w:val="1"/>
      </w:numPr>
    </w:pPr>
  </w:style>
  <w:style w:type="paragraph" w:styleId="BlockText">
    <w:name w:val="Block Text"/>
    <w:basedOn w:val="Normal"/>
    <w:semiHidden/>
    <w:rsid w:val="00B64089"/>
    <w:pPr>
      <w:spacing w:after="120"/>
      <w:ind w:left="1440" w:right="1440"/>
    </w:pPr>
  </w:style>
  <w:style w:type="paragraph" w:styleId="BodyTextFirstIndent">
    <w:name w:val="Body Text First Indent"/>
    <w:basedOn w:val="BodyText"/>
    <w:semiHidden/>
    <w:rsid w:val="00B64089"/>
    <w:pPr>
      <w:spacing w:before="0"/>
      <w:ind w:firstLine="210"/>
      <w:jc w:val="left"/>
    </w:pPr>
  </w:style>
  <w:style w:type="paragraph" w:styleId="BodyTextFirstIndent2">
    <w:name w:val="Body Text First Indent 2"/>
    <w:basedOn w:val="BodyTextIndent"/>
    <w:semiHidden/>
    <w:rsid w:val="00B64089"/>
    <w:pPr>
      <w:numPr>
        <w:numId w:val="0"/>
      </w:numPr>
      <w:ind w:left="283" w:firstLine="210"/>
      <w:jc w:val="left"/>
    </w:pPr>
  </w:style>
  <w:style w:type="paragraph" w:styleId="Closing">
    <w:name w:val="Closing"/>
    <w:basedOn w:val="Normal"/>
    <w:semiHidden/>
    <w:rsid w:val="00B64089"/>
    <w:pPr>
      <w:ind w:left="4252"/>
    </w:pPr>
  </w:style>
  <w:style w:type="paragraph" w:styleId="Date">
    <w:name w:val="Date"/>
    <w:basedOn w:val="Normal"/>
    <w:next w:val="Normal"/>
    <w:semiHidden/>
    <w:rsid w:val="00B64089"/>
  </w:style>
  <w:style w:type="paragraph" w:styleId="E-mailSignature">
    <w:name w:val="E-mail Signature"/>
    <w:basedOn w:val="Normal"/>
    <w:semiHidden/>
    <w:rsid w:val="00B64089"/>
  </w:style>
  <w:style w:type="character" w:styleId="Emphasis">
    <w:name w:val="Emphasis"/>
    <w:basedOn w:val="DefaultParagraphFont"/>
    <w:qFormat/>
    <w:rsid w:val="00B64089"/>
    <w:rPr>
      <w:rFonts w:ascii="Calibri" w:hAnsi="Calibri"/>
      <w:i/>
      <w:iCs/>
    </w:rPr>
  </w:style>
  <w:style w:type="paragraph" w:styleId="EnvelopeAddress">
    <w:name w:val="envelope address"/>
    <w:basedOn w:val="Normal"/>
    <w:semiHidden/>
    <w:rsid w:val="00B6408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B64089"/>
    <w:rPr>
      <w:rFonts w:ascii="Arial" w:hAnsi="Arial" w:cs="Arial"/>
      <w:sz w:val="20"/>
    </w:rPr>
  </w:style>
  <w:style w:type="character" w:styleId="FollowedHyperlink">
    <w:name w:val="FollowedHyperlink"/>
    <w:basedOn w:val="DefaultParagraphFont"/>
    <w:semiHidden/>
    <w:rsid w:val="00B64089"/>
    <w:rPr>
      <w:color w:val="800080"/>
      <w:u w:val="single"/>
    </w:rPr>
  </w:style>
  <w:style w:type="character" w:styleId="HTMLAcronym">
    <w:name w:val="HTML Acronym"/>
    <w:basedOn w:val="DefaultParagraphFont"/>
    <w:semiHidden/>
    <w:rsid w:val="00B64089"/>
  </w:style>
  <w:style w:type="paragraph" w:styleId="HTMLAddress">
    <w:name w:val="HTML Address"/>
    <w:basedOn w:val="Normal"/>
    <w:semiHidden/>
    <w:rsid w:val="00B64089"/>
    <w:rPr>
      <w:i/>
      <w:iCs/>
    </w:rPr>
  </w:style>
  <w:style w:type="character" w:styleId="HTMLCite">
    <w:name w:val="HTML Cite"/>
    <w:basedOn w:val="DefaultParagraphFont"/>
    <w:semiHidden/>
    <w:rsid w:val="00B64089"/>
    <w:rPr>
      <w:i/>
      <w:iCs/>
    </w:rPr>
  </w:style>
  <w:style w:type="character" w:styleId="HTMLCode">
    <w:name w:val="HTML Code"/>
    <w:basedOn w:val="DefaultParagraphFont"/>
    <w:semiHidden/>
    <w:rsid w:val="00B64089"/>
    <w:rPr>
      <w:rFonts w:ascii="Courier New" w:hAnsi="Courier New" w:cs="Courier New"/>
      <w:sz w:val="20"/>
      <w:szCs w:val="20"/>
    </w:rPr>
  </w:style>
  <w:style w:type="character" w:styleId="HTMLDefinition">
    <w:name w:val="HTML Definition"/>
    <w:basedOn w:val="DefaultParagraphFont"/>
    <w:semiHidden/>
    <w:rsid w:val="00B64089"/>
    <w:rPr>
      <w:i/>
      <w:iCs/>
    </w:rPr>
  </w:style>
  <w:style w:type="character" w:styleId="HTMLKeyboard">
    <w:name w:val="HTML Keyboard"/>
    <w:basedOn w:val="DefaultParagraphFont"/>
    <w:semiHidden/>
    <w:rsid w:val="00B64089"/>
    <w:rPr>
      <w:rFonts w:ascii="Courier New" w:hAnsi="Courier New" w:cs="Courier New"/>
      <w:sz w:val="20"/>
      <w:szCs w:val="20"/>
    </w:rPr>
  </w:style>
  <w:style w:type="paragraph" w:styleId="HTMLPreformatted">
    <w:name w:val="HTML Preformatted"/>
    <w:basedOn w:val="Normal"/>
    <w:semiHidden/>
    <w:rsid w:val="00B64089"/>
    <w:rPr>
      <w:rFonts w:ascii="Courier New" w:hAnsi="Courier New" w:cs="Courier New"/>
      <w:sz w:val="20"/>
    </w:rPr>
  </w:style>
  <w:style w:type="character" w:styleId="HTMLSample">
    <w:name w:val="HTML Sample"/>
    <w:basedOn w:val="DefaultParagraphFont"/>
    <w:semiHidden/>
    <w:rsid w:val="00B64089"/>
    <w:rPr>
      <w:rFonts w:ascii="Courier New" w:hAnsi="Courier New" w:cs="Courier New"/>
    </w:rPr>
  </w:style>
  <w:style w:type="character" w:styleId="HTMLTypewriter">
    <w:name w:val="HTML Typewriter"/>
    <w:basedOn w:val="DefaultParagraphFont"/>
    <w:semiHidden/>
    <w:rsid w:val="00B64089"/>
    <w:rPr>
      <w:rFonts w:ascii="Courier New" w:hAnsi="Courier New" w:cs="Courier New"/>
      <w:sz w:val="20"/>
      <w:szCs w:val="20"/>
    </w:rPr>
  </w:style>
  <w:style w:type="character" w:styleId="HTMLVariable">
    <w:name w:val="HTML Variable"/>
    <w:basedOn w:val="DefaultParagraphFont"/>
    <w:semiHidden/>
    <w:rsid w:val="00B64089"/>
    <w:rPr>
      <w:i/>
      <w:iCs/>
    </w:rPr>
  </w:style>
  <w:style w:type="character" w:styleId="Hyperlink">
    <w:name w:val="Hyperlink"/>
    <w:basedOn w:val="DefaultParagraphFont"/>
    <w:semiHidden/>
    <w:rsid w:val="00B64089"/>
    <w:rPr>
      <w:color w:val="0000FF"/>
      <w:u w:val="single"/>
    </w:rPr>
  </w:style>
  <w:style w:type="character" w:styleId="LineNumber">
    <w:name w:val="line number"/>
    <w:basedOn w:val="DefaultParagraphFont"/>
    <w:semiHidden/>
    <w:rsid w:val="00B64089"/>
  </w:style>
  <w:style w:type="paragraph" w:styleId="List">
    <w:name w:val="List"/>
    <w:basedOn w:val="Normal"/>
    <w:semiHidden/>
    <w:rsid w:val="00B64089"/>
    <w:pPr>
      <w:ind w:left="283" w:hanging="283"/>
    </w:pPr>
  </w:style>
  <w:style w:type="paragraph" w:styleId="List2">
    <w:name w:val="List 2"/>
    <w:basedOn w:val="Normal"/>
    <w:semiHidden/>
    <w:rsid w:val="00B64089"/>
    <w:pPr>
      <w:ind w:left="566" w:hanging="283"/>
    </w:pPr>
  </w:style>
  <w:style w:type="paragraph" w:styleId="List3">
    <w:name w:val="List 3"/>
    <w:basedOn w:val="Normal"/>
    <w:semiHidden/>
    <w:rsid w:val="00B64089"/>
    <w:pPr>
      <w:ind w:left="849" w:hanging="283"/>
    </w:pPr>
  </w:style>
  <w:style w:type="paragraph" w:styleId="List4">
    <w:name w:val="List 4"/>
    <w:basedOn w:val="Normal"/>
    <w:semiHidden/>
    <w:rsid w:val="00B64089"/>
    <w:pPr>
      <w:ind w:left="1132" w:hanging="283"/>
    </w:pPr>
  </w:style>
  <w:style w:type="paragraph" w:styleId="List5">
    <w:name w:val="List 5"/>
    <w:basedOn w:val="Normal"/>
    <w:semiHidden/>
    <w:rsid w:val="00B64089"/>
    <w:pPr>
      <w:ind w:left="1415" w:hanging="283"/>
    </w:pPr>
  </w:style>
  <w:style w:type="paragraph" w:styleId="ListBullet">
    <w:name w:val="List Bullet"/>
    <w:basedOn w:val="Normal"/>
    <w:semiHidden/>
    <w:rsid w:val="00B64089"/>
    <w:pPr>
      <w:numPr>
        <w:numId w:val="10"/>
      </w:numPr>
    </w:pPr>
  </w:style>
  <w:style w:type="paragraph" w:styleId="ListBullet2">
    <w:name w:val="List Bullet 2"/>
    <w:basedOn w:val="Normal"/>
    <w:semiHidden/>
    <w:rsid w:val="00B64089"/>
    <w:pPr>
      <w:numPr>
        <w:numId w:val="11"/>
      </w:numPr>
    </w:pPr>
  </w:style>
  <w:style w:type="paragraph" w:styleId="ListBullet3">
    <w:name w:val="List Bullet 3"/>
    <w:basedOn w:val="Normal"/>
    <w:semiHidden/>
    <w:rsid w:val="00B64089"/>
    <w:pPr>
      <w:numPr>
        <w:numId w:val="12"/>
      </w:numPr>
    </w:pPr>
  </w:style>
  <w:style w:type="paragraph" w:styleId="ListBullet4">
    <w:name w:val="List Bullet 4"/>
    <w:basedOn w:val="Normal"/>
    <w:semiHidden/>
    <w:rsid w:val="00B64089"/>
    <w:pPr>
      <w:numPr>
        <w:numId w:val="13"/>
      </w:numPr>
    </w:pPr>
  </w:style>
  <w:style w:type="paragraph" w:styleId="ListBullet5">
    <w:name w:val="List Bullet 5"/>
    <w:basedOn w:val="Normal"/>
    <w:semiHidden/>
    <w:rsid w:val="00B64089"/>
    <w:pPr>
      <w:numPr>
        <w:numId w:val="14"/>
      </w:numPr>
    </w:pPr>
  </w:style>
  <w:style w:type="paragraph" w:styleId="ListContinue">
    <w:name w:val="List Continue"/>
    <w:basedOn w:val="Normal"/>
    <w:semiHidden/>
    <w:rsid w:val="00B64089"/>
    <w:pPr>
      <w:spacing w:after="120"/>
      <w:ind w:left="283"/>
    </w:pPr>
  </w:style>
  <w:style w:type="paragraph" w:styleId="ListContinue2">
    <w:name w:val="List Continue 2"/>
    <w:basedOn w:val="Normal"/>
    <w:semiHidden/>
    <w:rsid w:val="00B64089"/>
    <w:pPr>
      <w:spacing w:after="120"/>
      <w:ind w:left="566"/>
    </w:pPr>
  </w:style>
  <w:style w:type="paragraph" w:styleId="ListContinue3">
    <w:name w:val="List Continue 3"/>
    <w:basedOn w:val="Normal"/>
    <w:semiHidden/>
    <w:rsid w:val="00B64089"/>
    <w:pPr>
      <w:spacing w:after="120"/>
      <w:ind w:left="849"/>
    </w:pPr>
  </w:style>
  <w:style w:type="paragraph" w:styleId="ListContinue4">
    <w:name w:val="List Continue 4"/>
    <w:basedOn w:val="Normal"/>
    <w:semiHidden/>
    <w:rsid w:val="00B64089"/>
    <w:pPr>
      <w:spacing w:after="120"/>
      <w:ind w:left="1132"/>
    </w:pPr>
  </w:style>
  <w:style w:type="paragraph" w:styleId="ListContinue5">
    <w:name w:val="List Continue 5"/>
    <w:basedOn w:val="Normal"/>
    <w:semiHidden/>
    <w:rsid w:val="00B64089"/>
    <w:pPr>
      <w:spacing w:after="120"/>
      <w:ind w:left="1415"/>
    </w:pPr>
  </w:style>
  <w:style w:type="paragraph" w:styleId="ListNumber">
    <w:name w:val="List Number"/>
    <w:basedOn w:val="Normal"/>
    <w:semiHidden/>
    <w:rsid w:val="00B64089"/>
    <w:pPr>
      <w:numPr>
        <w:numId w:val="15"/>
      </w:numPr>
    </w:pPr>
  </w:style>
  <w:style w:type="paragraph" w:styleId="ListNumber2">
    <w:name w:val="List Number 2"/>
    <w:basedOn w:val="Normal"/>
    <w:semiHidden/>
    <w:rsid w:val="00B64089"/>
    <w:pPr>
      <w:numPr>
        <w:numId w:val="16"/>
      </w:numPr>
    </w:pPr>
  </w:style>
  <w:style w:type="paragraph" w:styleId="ListNumber3">
    <w:name w:val="List Number 3"/>
    <w:basedOn w:val="Normal"/>
    <w:semiHidden/>
    <w:rsid w:val="00B64089"/>
    <w:pPr>
      <w:numPr>
        <w:numId w:val="17"/>
      </w:numPr>
    </w:pPr>
  </w:style>
  <w:style w:type="paragraph" w:styleId="ListNumber4">
    <w:name w:val="List Number 4"/>
    <w:basedOn w:val="Normal"/>
    <w:semiHidden/>
    <w:rsid w:val="00B64089"/>
    <w:pPr>
      <w:numPr>
        <w:numId w:val="18"/>
      </w:numPr>
    </w:pPr>
  </w:style>
  <w:style w:type="paragraph" w:styleId="ListNumber5">
    <w:name w:val="List Number 5"/>
    <w:basedOn w:val="Normal"/>
    <w:semiHidden/>
    <w:rsid w:val="00B64089"/>
    <w:pPr>
      <w:numPr>
        <w:numId w:val="19"/>
      </w:numPr>
    </w:pPr>
  </w:style>
  <w:style w:type="paragraph" w:styleId="MessageHeader">
    <w:name w:val="Message Header"/>
    <w:basedOn w:val="Normal"/>
    <w:semiHidden/>
    <w:rsid w:val="00B640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B64089"/>
    <w:rPr>
      <w:szCs w:val="24"/>
    </w:rPr>
  </w:style>
  <w:style w:type="paragraph" w:styleId="NormalIndent">
    <w:name w:val="Normal Indent"/>
    <w:basedOn w:val="Normal"/>
    <w:semiHidden/>
    <w:rsid w:val="00B64089"/>
    <w:pPr>
      <w:ind w:left="720"/>
    </w:pPr>
  </w:style>
  <w:style w:type="character" w:styleId="PageNumber">
    <w:name w:val="page number"/>
    <w:basedOn w:val="DefaultParagraphFont"/>
    <w:semiHidden/>
    <w:rsid w:val="00B64089"/>
  </w:style>
  <w:style w:type="paragraph" w:styleId="Salutation">
    <w:name w:val="Salutation"/>
    <w:basedOn w:val="Normal"/>
    <w:next w:val="Normal"/>
    <w:semiHidden/>
    <w:rsid w:val="00B64089"/>
  </w:style>
  <w:style w:type="paragraph" w:styleId="Signature">
    <w:name w:val="Signature"/>
    <w:basedOn w:val="Normal"/>
    <w:semiHidden/>
    <w:rsid w:val="00B64089"/>
    <w:pPr>
      <w:ind w:left="4252"/>
    </w:pPr>
  </w:style>
  <w:style w:type="character" w:styleId="Strong">
    <w:name w:val="Strong"/>
    <w:basedOn w:val="DefaultParagraphFont"/>
    <w:qFormat/>
    <w:rsid w:val="00B64089"/>
    <w:rPr>
      <w:b/>
      <w:bCs/>
    </w:rPr>
  </w:style>
  <w:style w:type="paragraph" w:styleId="Subtitle">
    <w:name w:val="Subtitle"/>
    <w:basedOn w:val="Normal"/>
    <w:qFormat/>
    <w:rsid w:val="00B64089"/>
    <w:pPr>
      <w:spacing w:after="60"/>
      <w:jc w:val="center"/>
      <w:outlineLvl w:val="1"/>
    </w:pPr>
    <w:rPr>
      <w:rFonts w:ascii="Arial" w:hAnsi="Arial" w:cs="Arial"/>
      <w:szCs w:val="24"/>
    </w:rPr>
  </w:style>
  <w:style w:type="table" w:styleId="Table3Deffects1">
    <w:name w:val="Table 3D effects 1"/>
    <w:basedOn w:val="TableNormal"/>
    <w:semiHidden/>
    <w:rsid w:val="00B6408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6408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6408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6408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6408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6408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6408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6408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6408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6408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6408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6408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6408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6408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6408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6408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6408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64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6408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6408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6408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6408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6408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6408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6408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6408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6408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6408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6408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6408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6408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6408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6408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6408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6408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6408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6408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6408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6408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640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64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6408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6408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6408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64089"/>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B64089"/>
    <w:pPr>
      <w:spacing w:before="120"/>
    </w:pPr>
    <w:rPr>
      <w:b/>
      <w:sz w:val="16"/>
    </w:rPr>
  </w:style>
  <w:style w:type="paragraph" w:customStyle="1" w:styleId="TableNumber">
    <w:name w:val="Table Number"/>
    <w:basedOn w:val="TableName"/>
    <w:next w:val="TableName"/>
    <w:link w:val="TableNumberChar"/>
    <w:rsid w:val="00B64089"/>
    <w:pPr>
      <w:spacing w:before="60" w:after="0"/>
    </w:pPr>
  </w:style>
  <w:style w:type="paragraph" w:customStyle="1" w:styleId="TableTextIndent">
    <w:name w:val="Table Text Indent"/>
    <w:rsid w:val="00B64089"/>
    <w:pPr>
      <w:numPr>
        <w:numId w:val="20"/>
      </w:numPr>
      <w:spacing w:before="60"/>
    </w:pPr>
    <w:rPr>
      <w:rFonts w:ascii="Calibri" w:hAnsi="Calibri"/>
      <w:szCs w:val="24"/>
      <w:lang w:eastAsia="en-US"/>
    </w:rPr>
  </w:style>
  <w:style w:type="character" w:customStyle="1" w:styleId="Heading3Char">
    <w:name w:val="Heading 3 Char"/>
    <w:basedOn w:val="DefaultParagraphFont"/>
    <w:link w:val="Heading3"/>
    <w:rsid w:val="00614942"/>
    <w:rPr>
      <w:rFonts w:ascii="Arial" w:hAnsi="Arial" w:cs="Arial"/>
      <w:b/>
      <w:bCs/>
      <w:sz w:val="24"/>
      <w:szCs w:val="26"/>
      <w:lang w:val="en-AU" w:eastAsia="en-US" w:bidi="ar-SA"/>
    </w:rPr>
  </w:style>
  <w:style w:type="character" w:customStyle="1" w:styleId="TableNameChar">
    <w:name w:val="Table Name Char"/>
    <w:basedOn w:val="DefaultParagraphFont"/>
    <w:link w:val="TableName"/>
    <w:rsid w:val="00614942"/>
    <w:rPr>
      <w:rFonts w:ascii="Arial" w:hAnsi="Arial"/>
      <w:b/>
      <w:lang w:eastAsia="en-US"/>
    </w:rPr>
  </w:style>
  <w:style w:type="paragraph" w:styleId="FootnoteText">
    <w:name w:val="footnote text"/>
    <w:basedOn w:val="Normal"/>
    <w:semiHidden/>
    <w:rsid w:val="00B64089"/>
    <w:rPr>
      <w:sz w:val="20"/>
    </w:rPr>
  </w:style>
  <w:style w:type="character" w:styleId="FootnoteReference">
    <w:name w:val="footnote reference"/>
    <w:basedOn w:val="DefaultParagraphFont"/>
    <w:rsid w:val="00B64089"/>
    <w:rPr>
      <w:rFonts w:ascii="Calibri" w:hAnsi="Calibri"/>
      <w:vertAlign w:val="superscript"/>
    </w:rPr>
  </w:style>
  <w:style w:type="character" w:customStyle="1" w:styleId="TableNumberChar">
    <w:name w:val="Table Number Char"/>
    <w:basedOn w:val="DefaultParagraphFont"/>
    <w:link w:val="TableNumber"/>
    <w:rsid w:val="00690E9E"/>
    <w:rPr>
      <w:rFonts w:ascii="Arial" w:hAnsi="Arial"/>
      <w:b/>
      <w:lang w:eastAsia="en-US"/>
    </w:rPr>
  </w:style>
  <w:style w:type="character" w:customStyle="1" w:styleId="NoteTextChar">
    <w:name w:val="Note Text Char"/>
    <w:basedOn w:val="DefaultParagraphFont"/>
    <w:link w:val="NoteText"/>
    <w:rsid w:val="00690E9E"/>
    <w:rPr>
      <w:rFonts w:ascii="Calibri" w:hAnsi="Calibri"/>
      <w:iCs/>
      <w:sz w:val="16"/>
      <w:lang w:eastAsia="en-US"/>
    </w:rPr>
  </w:style>
  <w:style w:type="character" w:customStyle="1" w:styleId="BodyTextChar">
    <w:name w:val="Body Text Char"/>
    <w:basedOn w:val="DefaultParagraphFont"/>
    <w:link w:val="BodyText"/>
    <w:rsid w:val="00690E9E"/>
    <w:rPr>
      <w:rFonts w:ascii="Calibri" w:hAnsi="Calibri"/>
      <w:sz w:val="24"/>
      <w:lang w:eastAsia="en-US"/>
    </w:rPr>
  </w:style>
  <w:style w:type="paragraph" w:styleId="ListParagraph">
    <w:name w:val="List Paragraph"/>
    <w:basedOn w:val="Normal"/>
    <w:qFormat/>
    <w:rsid w:val="00B64089"/>
    <w:pPr>
      <w:ind w:left="720"/>
    </w:pPr>
    <w:rPr>
      <w:szCs w:val="24"/>
    </w:rPr>
  </w:style>
  <w:style w:type="paragraph" w:customStyle="1" w:styleId="1n">
    <w:name w:val="1. n"/>
    <w:basedOn w:val="n"/>
    <w:rsid w:val="00B64089"/>
    <w:rPr>
      <w:iCs/>
      <w:szCs w:val="20"/>
    </w:rPr>
  </w:style>
  <w:style w:type="paragraph" w:customStyle="1" w:styleId="an">
    <w:name w:val="a. n"/>
    <w:basedOn w:val="n"/>
    <w:rsid w:val="00B64089"/>
    <w:rPr>
      <w:iCs/>
      <w:szCs w:val="20"/>
    </w:rPr>
  </w:style>
  <w:style w:type="paragraph" w:customStyle="1" w:styleId="AIIndent">
    <w:name w:val="AI Indent"/>
    <w:basedOn w:val="Normal"/>
    <w:rsid w:val="00B64089"/>
    <w:pPr>
      <w:tabs>
        <w:tab w:val="num" w:pos="360"/>
      </w:tabs>
      <w:ind w:left="357" w:hanging="357"/>
    </w:pPr>
    <w:rPr>
      <w:sz w:val="20"/>
    </w:rPr>
  </w:style>
  <w:style w:type="paragraph" w:customStyle="1" w:styleId="AITableText">
    <w:name w:val="AI Table Text"/>
    <w:basedOn w:val="Normal"/>
    <w:rsid w:val="00B64089"/>
    <w:pPr>
      <w:jc w:val="right"/>
    </w:pPr>
    <w:rPr>
      <w:sz w:val="20"/>
      <w:szCs w:val="24"/>
    </w:rPr>
  </w:style>
  <w:style w:type="character" w:customStyle="1" w:styleId="CharChar">
    <w:name w:val="Char Char"/>
    <w:basedOn w:val="DefaultParagraphFont"/>
    <w:rsid w:val="00B64089"/>
    <w:rPr>
      <w:rFonts w:ascii="Calibri" w:hAnsi="Calibri"/>
      <w:sz w:val="24"/>
      <w:lang w:val="en-AU" w:eastAsia="en-US" w:bidi="ar-SA"/>
    </w:rPr>
  </w:style>
  <w:style w:type="character" w:customStyle="1" w:styleId="CharChar1">
    <w:name w:val="Char Char1"/>
    <w:basedOn w:val="DefaultParagraphFont"/>
    <w:rsid w:val="00B64089"/>
    <w:rPr>
      <w:rFonts w:ascii="Arial" w:hAnsi="Arial" w:cs="Arial"/>
      <w:b/>
      <w:bCs/>
      <w:sz w:val="24"/>
      <w:szCs w:val="26"/>
      <w:lang w:val="en-AU" w:eastAsia="en-US" w:bidi="ar-SA"/>
    </w:rPr>
  </w:style>
  <w:style w:type="table" w:styleId="ColorfulGrid-Accent2">
    <w:name w:val="Colorful Grid Accent 2"/>
    <w:basedOn w:val="TableNormal"/>
    <w:uiPriority w:val="73"/>
    <w:rsid w:val="00B6408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6408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6408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6408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64089"/>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B64089"/>
    <w:rPr>
      <w:rFonts w:ascii="Calibri" w:hAnsi="Calibri"/>
      <w:sz w:val="16"/>
      <w:szCs w:val="16"/>
    </w:rPr>
  </w:style>
  <w:style w:type="paragraph" w:styleId="CommentText">
    <w:name w:val="annotation text"/>
    <w:basedOn w:val="Normal"/>
    <w:link w:val="CommentTextChar"/>
    <w:rsid w:val="00B64089"/>
    <w:rPr>
      <w:sz w:val="20"/>
    </w:rPr>
  </w:style>
  <w:style w:type="character" w:customStyle="1" w:styleId="CommentTextChar">
    <w:name w:val="Comment Text Char"/>
    <w:basedOn w:val="DefaultParagraphFont"/>
    <w:link w:val="CommentText"/>
    <w:rsid w:val="00B64089"/>
    <w:rPr>
      <w:rFonts w:ascii="Calibri" w:hAnsi="Calibri"/>
      <w:lang w:eastAsia="en-US"/>
    </w:rPr>
  </w:style>
  <w:style w:type="paragraph" w:styleId="CommentSubject">
    <w:name w:val="annotation subject"/>
    <w:basedOn w:val="CommentText"/>
    <w:next w:val="CommentText"/>
    <w:link w:val="CommentSubjectChar"/>
    <w:rsid w:val="00B64089"/>
    <w:rPr>
      <w:b/>
      <w:bCs/>
    </w:rPr>
  </w:style>
  <w:style w:type="character" w:customStyle="1" w:styleId="CommentSubjectChar">
    <w:name w:val="Comment Subject Char"/>
    <w:basedOn w:val="CommentTextChar"/>
    <w:link w:val="CommentSubject"/>
    <w:rsid w:val="00B64089"/>
    <w:rPr>
      <w:b/>
      <w:bCs/>
    </w:rPr>
  </w:style>
  <w:style w:type="character" w:styleId="EndnoteReference">
    <w:name w:val="endnote reference"/>
    <w:basedOn w:val="DefaultParagraphFont"/>
    <w:rsid w:val="00B64089"/>
    <w:rPr>
      <w:rFonts w:ascii="Calibri" w:hAnsi="Calibri"/>
      <w:vertAlign w:val="superscript"/>
    </w:rPr>
  </w:style>
  <w:style w:type="paragraph" w:styleId="EndnoteText">
    <w:name w:val="endnote text"/>
    <w:basedOn w:val="Normal"/>
    <w:link w:val="EndnoteTextChar"/>
    <w:rsid w:val="00B64089"/>
    <w:rPr>
      <w:sz w:val="20"/>
    </w:rPr>
  </w:style>
  <w:style w:type="character" w:customStyle="1" w:styleId="EndnoteTextChar">
    <w:name w:val="Endnote Text Char"/>
    <w:basedOn w:val="DefaultParagraphFont"/>
    <w:link w:val="EndnoteText"/>
    <w:rsid w:val="00B64089"/>
    <w:rPr>
      <w:rFonts w:ascii="Calibri" w:hAnsi="Calibri"/>
      <w:lang w:eastAsia="en-US"/>
    </w:rPr>
  </w:style>
  <w:style w:type="paragraph" w:styleId="Index1">
    <w:name w:val="index 1"/>
    <w:basedOn w:val="Normal"/>
    <w:next w:val="Normal"/>
    <w:autoRedefine/>
    <w:rsid w:val="00B64089"/>
    <w:pPr>
      <w:ind w:left="240" w:hanging="240"/>
    </w:pPr>
  </w:style>
  <w:style w:type="paragraph" w:styleId="Index2">
    <w:name w:val="index 2"/>
    <w:basedOn w:val="Normal"/>
    <w:next w:val="Normal"/>
    <w:autoRedefine/>
    <w:rsid w:val="00B64089"/>
    <w:pPr>
      <w:ind w:left="480" w:hanging="240"/>
    </w:pPr>
  </w:style>
  <w:style w:type="paragraph" w:styleId="Index3">
    <w:name w:val="index 3"/>
    <w:basedOn w:val="Normal"/>
    <w:next w:val="Normal"/>
    <w:autoRedefine/>
    <w:rsid w:val="00B64089"/>
    <w:pPr>
      <w:ind w:left="720" w:hanging="240"/>
    </w:pPr>
  </w:style>
  <w:style w:type="paragraph" w:styleId="Index4">
    <w:name w:val="index 4"/>
    <w:basedOn w:val="Normal"/>
    <w:next w:val="Normal"/>
    <w:autoRedefine/>
    <w:rsid w:val="00B64089"/>
    <w:pPr>
      <w:ind w:left="960" w:hanging="240"/>
    </w:pPr>
  </w:style>
  <w:style w:type="paragraph" w:styleId="Index5">
    <w:name w:val="index 5"/>
    <w:basedOn w:val="Normal"/>
    <w:next w:val="Normal"/>
    <w:autoRedefine/>
    <w:rsid w:val="00B64089"/>
    <w:pPr>
      <w:ind w:left="1200" w:hanging="240"/>
    </w:pPr>
  </w:style>
  <w:style w:type="paragraph" w:styleId="Index6">
    <w:name w:val="index 6"/>
    <w:basedOn w:val="Normal"/>
    <w:next w:val="Normal"/>
    <w:autoRedefine/>
    <w:rsid w:val="00B64089"/>
    <w:pPr>
      <w:ind w:left="1440" w:hanging="240"/>
    </w:pPr>
  </w:style>
  <w:style w:type="paragraph" w:styleId="Index7">
    <w:name w:val="index 7"/>
    <w:basedOn w:val="Normal"/>
    <w:next w:val="Normal"/>
    <w:autoRedefine/>
    <w:rsid w:val="00B64089"/>
    <w:pPr>
      <w:ind w:left="1680" w:hanging="240"/>
    </w:pPr>
  </w:style>
  <w:style w:type="paragraph" w:styleId="Index8">
    <w:name w:val="index 8"/>
    <w:basedOn w:val="Normal"/>
    <w:next w:val="Normal"/>
    <w:autoRedefine/>
    <w:rsid w:val="00B64089"/>
    <w:pPr>
      <w:ind w:left="1920" w:hanging="240"/>
    </w:pPr>
  </w:style>
  <w:style w:type="paragraph" w:styleId="Index9">
    <w:name w:val="index 9"/>
    <w:basedOn w:val="Normal"/>
    <w:next w:val="Normal"/>
    <w:autoRedefine/>
    <w:rsid w:val="00B64089"/>
    <w:pPr>
      <w:ind w:left="2160" w:hanging="240"/>
    </w:pPr>
  </w:style>
  <w:style w:type="paragraph" w:styleId="IndexHeading">
    <w:name w:val="index heading"/>
    <w:basedOn w:val="Normal"/>
    <w:next w:val="Index1"/>
    <w:rsid w:val="00B64089"/>
    <w:rPr>
      <w:b/>
      <w:bCs/>
    </w:rPr>
  </w:style>
  <w:style w:type="paragraph" w:customStyle="1" w:styleId="MajorHeading">
    <w:name w:val="Major Heading"/>
    <w:basedOn w:val="Normal"/>
    <w:rsid w:val="00B64089"/>
    <w:pPr>
      <w:spacing w:after="120"/>
    </w:pPr>
    <w:rPr>
      <w:rFonts w:ascii="Arial" w:hAnsi="Arial"/>
      <w:b/>
      <w:sz w:val="28"/>
    </w:rPr>
  </w:style>
  <w:style w:type="paragraph" w:customStyle="1" w:styleId="TableHeadingCentre-BP4">
    <w:name w:val="Table Heading Centre - BP4"/>
    <w:basedOn w:val="Normal"/>
    <w:rsid w:val="00B64089"/>
    <w:pPr>
      <w:keepNext/>
      <w:jc w:val="center"/>
    </w:pPr>
    <w:rPr>
      <w:b/>
      <w:sz w:val="18"/>
    </w:rPr>
  </w:style>
  <w:style w:type="paragraph" w:customStyle="1" w:styleId="TableHeadingCentre-BP3">
    <w:name w:val="Table Heading Centre - BP3"/>
    <w:basedOn w:val="TableHeadingCentre-BP4"/>
    <w:rsid w:val="00B64089"/>
    <w:rPr>
      <w:sz w:val="20"/>
    </w:rPr>
  </w:style>
  <w:style w:type="paragraph" w:customStyle="1" w:styleId="TableHeadingCentre-BP410pt">
    <w:name w:val="Table Heading Centre - BP4 10pt"/>
    <w:basedOn w:val="TableHeadingCentre-BP4"/>
    <w:rsid w:val="00B64089"/>
    <w:rPr>
      <w:sz w:val="20"/>
    </w:rPr>
  </w:style>
  <w:style w:type="paragraph" w:customStyle="1" w:styleId="TableHeadingLeft-BP4">
    <w:name w:val="Table Heading Left - BP4"/>
    <w:basedOn w:val="Normal"/>
    <w:rsid w:val="00B64089"/>
    <w:pPr>
      <w:keepNext/>
    </w:pPr>
    <w:rPr>
      <w:b/>
      <w:sz w:val="18"/>
      <w:lang w:eastAsia="en-AU"/>
    </w:rPr>
  </w:style>
  <w:style w:type="paragraph" w:customStyle="1" w:styleId="TableHeadingLeft-BP3">
    <w:name w:val="Table Heading Left - BP3"/>
    <w:basedOn w:val="TableHeadingLeft-BP4"/>
    <w:rsid w:val="00B64089"/>
    <w:rPr>
      <w:sz w:val="20"/>
    </w:rPr>
  </w:style>
  <w:style w:type="paragraph" w:customStyle="1" w:styleId="TableHeadingLeft-BP410pt">
    <w:name w:val="Table Heading Left - BP4 10pt"/>
    <w:basedOn w:val="TableHeadingLeft-BP4"/>
    <w:rsid w:val="00B64089"/>
    <w:rPr>
      <w:sz w:val="20"/>
    </w:rPr>
  </w:style>
  <w:style w:type="paragraph" w:customStyle="1" w:styleId="TableHeadingRight-BP4">
    <w:name w:val="Table Heading Right - BP4"/>
    <w:basedOn w:val="Normal"/>
    <w:rsid w:val="00B64089"/>
    <w:pPr>
      <w:keepNext/>
      <w:jc w:val="right"/>
    </w:pPr>
    <w:rPr>
      <w:b/>
      <w:sz w:val="18"/>
      <w:szCs w:val="24"/>
    </w:rPr>
  </w:style>
  <w:style w:type="paragraph" w:customStyle="1" w:styleId="TableHeadingRight-BP3">
    <w:name w:val="Table Heading Right - BP3"/>
    <w:basedOn w:val="TableHeadingRight-BP4"/>
    <w:rsid w:val="00B64089"/>
    <w:rPr>
      <w:sz w:val="20"/>
    </w:rPr>
  </w:style>
  <w:style w:type="paragraph" w:customStyle="1" w:styleId="TableHeadingRight-BP410pt">
    <w:name w:val="Table Heading Right - BP4 10pt"/>
    <w:basedOn w:val="TableHeadingRight-BP4"/>
    <w:rsid w:val="00B64089"/>
    <w:rPr>
      <w:sz w:val="20"/>
    </w:rPr>
  </w:style>
  <w:style w:type="paragraph" w:customStyle="1" w:styleId="TableNumbersRight-BP4">
    <w:name w:val="Table Numbers Right - BP4"/>
    <w:basedOn w:val="Normal"/>
    <w:rsid w:val="00B64089"/>
    <w:pPr>
      <w:jc w:val="right"/>
    </w:pPr>
    <w:rPr>
      <w:sz w:val="18"/>
    </w:rPr>
  </w:style>
  <w:style w:type="paragraph" w:customStyle="1" w:styleId="TableNumbersRight-BP3">
    <w:name w:val="Table Numbers Right - BP3"/>
    <w:basedOn w:val="TableNumbersRight-BP4"/>
    <w:rsid w:val="00B64089"/>
    <w:rPr>
      <w:sz w:val="20"/>
    </w:rPr>
  </w:style>
  <w:style w:type="paragraph" w:styleId="TableofAuthorities">
    <w:name w:val="table of authorities"/>
    <w:basedOn w:val="Normal"/>
    <w:next w:val="Normal"/>
    <w:rsid w:val="00B64089"/>
    <w:pPr>
      <w:ind w:left="240" w:hanging="240"/>
    </w:pPr>
  </w:style>
  <w:style w:type="paragraph" w:styleId="TableofFigures">
    <w:name w:val="table of figures"/>
    <w:basedOn w:val="Normal"/>
    <w:next w:val="Normal"/>
    <w:rsid w:val="00B64089"/>
  </w:style>
  <w:style w:type="paragraph" w:customStyle="1" w:styleId="TableTextLeft-BP4">
    <w:name w:val="Table Text Left - BP4"/>
    <w:basedOn w:val="Normal"/>
    <w:rsid w:val="00B64089"/>
    <w:pPr>
      <w:ind w:left="142" w:hanging="142"/>
    </w:pPr>
    <w:rPr>
      <w:sz w:val="18"/>
      <w:szCs w:val="18"/>
    </w:rPr>
  </w:style>
  <w:style w:type="paragraph" w:customStyle="1" w:styleId="TableTextLeft-BP3">
    <w:name w:val="Table Text Left - BP3"/>
    <w:basedOn w:val="TableTextLeft-BP4"/>
    <w:rsid w:val="00B64089"/>
    <w:rPr>
      <w:sz w:val="20"/>
    </w:rPr>
  </w:style>
  <w:style w:type="paragraph" w:customStyle="1" w:styleId="TableTextLeft-BP410pt">
    <w:name w:val="Table Text Left - BP4 10pt"/>
    <w:basedOn w:val="TableTextLeft-BP4"/>
    <w:rsid w:val="00B64089"/>
    <w:rPr>
      <w:sz w:val="20"/>
    </w:rPr>
  </w:style>
  <w:style w:type="paragraph" w:customStyle="1" w:styleId="TableTextLeft-BP4FS">
    <w:name w:val="Table Text Left - BP4 FS"/>
    <w:basedOn w:val="TableTextLeft-BP4"/>
    <w:rsid w:val="00B64089"/>
    <w:pPr>
      <w:ind w:left="227"/>
    </w:pPr>
  </w:style>
  <w:style w:type="paragraph" w:customStyle="1" w:styleId="TableTextLeftBold-BP4">
    <w:name w:val="Table Text Left Bold - BP4"/>
    <w:basedOn w:val="Normal"/>
    <w:rsid w:val="00B64089"/>
    <w:pPr>
      <w:ind w:left="142" w:hanging="142"/>
    </w:pPr>
    <w:rPr>
      <w:b/>
      <w:sz w:val="18"/>
    </w:rPr>
  </w:style>
  <w:style w:type="paragraph" w:customStyle="1" w:styleId="TableTextLeftBold-BP3">
    <w:name w:val="Table Text Left Bold - BP3"/>
    <w:basedOn w:val="TableTextLeftBold-BP4"/>
    <w:rsid w:val="00B64089"/>
    <w:rPr>
      <w:sz w:val="20"/>
    </w:rPr>
  </w:style>
  <w:style w:type="paragraph" w:customStyle="1" w:styleId="TableTextLeftBold-BP410pt">
    <w:name w:val="Table Text Left Bold - BP4 10pt"/>
    <w:basedOn w:val="TableTextLeftBold-BP4"/>
    <w:rsid w:val="00B64089"/>
    <w:rPr>
      <w:sz w:val="20"/>
    </w:rPr>
  </w:style>
  <w:style w:type="paragraph" w:customStyle="1" w:styleId="TableTextRight-BP4">
    <w:name w:val="Table Text Right - BP4"/>
    <w:basedOn w:val="Normal"/>
    <w:rsid w:val="00B64089"/>
    <w:pPr>
      <w:jc w:val="right"/>
    </w:pPr>
    <w:rPr>
      <w:sz w:val="18"/>
    </w:rPr>
  </w:style>
  <w:style w:type="paragraph" w:customStyle="1" w:styleId="TableTextRight-BP3">
    <w:name w:val="Table Text Right - BP3"/>
    <w:basedOn w:val="TableTextRight-BP4"/>
    <w:rsid w:val="00B64089"/>
    <w:rPr>
      <w:sz w:val="20"/>
    </w:rPr>
  </w:style>
  <w:style w:type="paragraph" w:customStyle="1" w:styleId="TableTextRight-BP410pt">
    <w:name w:val="Table Text Right - BP4 10pt"/>
    <w:basedOn w:val="TableTextRight-BP4"/>
    <w:rsid w:val="00B64089"/>
    <w:rPr>
      <w:sz w:val="20"/>
    </w:rPr>
  </w:style>
  <w:style w:type="paragraph" w:customStyle="1" w:styleId="TableTextRightBold-BP4">
    <w:name w:val="Table Text Right Bold - BP4"/>
    <w:basedOn w:val="Normal"/>
    <w:rsid w:val="00B64089"/>
    <w:pPr>
      <w:jc w:val="right"/>
    </w:pPr>
    <w:rPr>
      <w:b/>
      <w:sz w:val="18"/>
    </w:rPr>
  </w:style>
  <w:style w:type="paragraph" w:customStyle="1" w:styleId="TableTextRightBold-BP3">
    <w:name w:val="Table Text Right Bold - BP3"/>
    <w:basedOn w:val="TableTextRightBold-BP4"/>
    <w:rsid w:val="00B64089"/>
  </w:style>
  <w:style w:type="paragraph" w:customStyle="1" w:styleId="TableTextRightBold-BP410pt">
    <w:name w:val="Table Text Right Bold - BP4 10pt"/>
    <w:basedOn w:val="TableTextRightBold-BP4"/>
    <w:rsid w:val="00B64089"/>
    <w:rPr>
      <w:sz w:val="20"/>
    </w:rPr>
  </w:style>
  <w:style w:type="paragraph" w:styleId="TOAHeading">
    <w:name w:val="toa heading"/>
    <w:basedOn w:val="Normal"/>
    <w:next w:val="Normal"/>
    <w:rsid w:val="00B64089"/>
    <w:pPr>
      <w:spacing w:before="120"/>
    </w:pPr>
    <w:rPr>
      <w:b/>
      <w:bCs/>
      <w:szCs w:val="24"/>
    </w:rPr>
  </w:style>
  <w:style w:type="paragraph" w:styleId="TOC1">
    <w:name w:val="toc 1"/>
    <w:basedOn w:val="Normal"/>
    <w:next w:val="Normal"/>
    <w:autoRedefine/>
    <w:rsid w:val="00B64089"/>
  </w:style>
  <w:style w:type="paragraph" w:styleId="TOC2">
    <w:name w:val="toc 2"/>
    <w:basedOn w:val="Normal"/>
    <w:next w:val="Normal"/>
    <w:autoRedefine/>
    <w:rsid w:val="00B64089"/>
    <w:pPr>
      <w:ind w:left="240"/>
    </w:pPr>
  </w:style>
  <w:style w:type="paragraph" w:styleId="TOC3">
    <w:name w:val="toc 3"/>
    <w:basedOn w:val="Normal"/>
    <w:next w:val="Normal"/>
    <w:autoRedefine/>
    <w:rsid w:val="00B64089"/>
    <w:pPr>
      <w:ind w:left="480"/>
    </w:pPr>
  </w:style>
  <w:style w:type="paragraph" w:styleId="TOC4">
    <w:name w:val="toc 4"/>
    <w:basedOn w:val="Normal"/>
    <w:next w:val="Normal"/>
    <w:autoRedefine/>
    <w:rsid w:val="00B64089"/>
    <w:pPr>
      <w:ind w:left="720"/>
    </w:pPr>
  </w:style>
  <w:style w:type="paragraph" w:styleId="TOC5">
    <w:name w:val="toc 5"/>
    <w:basedOn w:val="Normal"/>
    <w:next w:val="Normal"/>
    <w:autoRedefine/>
    <w:rsid w:val="00B64089"/>
    <w:pPr>
      <w:ind w:left="960"/>
    </w:pPr>
  </w:style>
  <w:style w:type="paragraph" w:styleId="TOC6">
    <w:name w:val="toc 6"/>
    <w:basedOn w:val="Normal"/>
    <w:next w:val="Normal"/>
    <w:autoRedefine/>
    <w:rsid w:val="00B64089"/>
    <w:pPr>
      <w:ind w:left="1200"/>
    </w:pPr>
  </w:style>
  <w:style w:type="paragraph" w:styleId="TOC7">
    <w:name w:val="toc 7"/>
    <w:basedOn w:val="Normal"/>
    <w:next w:val="Normal"/>
    <w:autoRedefine/>
    <w:rsid w:val="00B64089"/>
    <w:pPr>
      <w:ind w:left="1440"/>
    </w:pPr>
  </w:style>
  <w:style w:type="paragraph" w:styleId="TOC8">
    <w:name w:val="toc 8"/>
    <w:basedOn w:val="Normal"/>
    <w:next w:val="Normal"/>
    <w:autoRedefine/>
    <w:rsid w:val="00B64089"/>
    <w:pPr>
      <w:ind w:left="1680"/>
    </w:pPr>
  </w:style>
  <w:style w:type="paragraph" w:styleId="TOC9">
    <w:name w:val="toc 9"/>
    <w:basedOn w:val="Normal"/>
    <w:next w:val="Normal"/>
    <w:autoRedefine/>
    <w:rsid w:val="00B64089"/>
    <w:pPr>
      <w:ind w:left="1920"/>
    </w:pPr>
  </w:style>
</w:styles>
</file>

<file path=word/webSettings.xml><?xml version="1.0" encoding="utf-8"?>
<w:webSettings xmlns:r="http://schemas.openxmlformats.org/officeDocument/2006/relationships" xmlns:w="http://schemas.openxmlformats.org/wordprocessingml/2006/main">
  <w:divs>
    <w:div w:id="348794215">
      <w:bodyDiv w:val="1"/>
      <w:marLeft w:val="0"/>
      <w:marRight w:val="0"/>
      <w:marTop w:val="0"/>
      <w:marBottom w:val="0"/>
      <w:divBdr>
        <w:top w:val="none" w:sz="0" w:space="0" w:color="auto"/>
        <w:left w:val="none" w:sz="0" w:space="0" w:color="auto"/>
        <w:bottom w:val="none" w:sz="0" w:space="0" w:color="auto"/>
        <w:right w:val="none" w:sz="0" w:space="0" w:color="auto"/>
      </w:divBdr>
    </w:div>
    <w:div w:id="15312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enivere%20marshall\AppData\Local\Microsoft\Windows\Temporary%20Internet%20Files\Content.Outlook\WTNDFNXY\Book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uenivere%20marshall\AppData\Local\Microsoft\Windows\Temporary%20Internet%20Files\Content.Outlook\WTNDFNXY\Book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AU"/>
  <c:style val="1"/>
  <c:chart>
    <c:plotArea>
      <c:layout/>
      <c:lineChart>
        <c:grouping val="standard"/>
        <c:ser>
          <c:idx val="0"/>
          <c:order val="0"/>
          <c:tx>
            <c:v>Underlying Revenue 13-14</c:v>
          </c:tx>
          <c:marker>
            <c:symbol val="none"/>
          </c:marker>
          <c:cat>
            <c:strRef>
              <c:f>'[1]Comparison to 12-13'!$B$1:$F$1</c:f>
              <c:strCache>
                <c:ptCount val="5"/>
                <c:pt idx="0">
                  <c:v>2012-13</c:v>
                </c:pt>
                <c:pt idx="1">
                  <c:v>2013-14</c:v>
                </c:pt>
                <c:pt idx="2">
                  <c:v>2014-15</c:v>
                </c:pt>
                <c:pt idx="3">
                  <c:v>2015-16</c:v>
                </c:pt>
                <c:pt idx="4">
                  <c:v>2016-17</c:v>
                </c:pt>
              </c:strCache>
            </c:strRef>
          </c:cat>
          <c:val>
            <c:numRef>
              <c:f>'[1]Comparison to 12-13'!$B$3:$F$3</c:f>
              <c:numCache>
                <c:formatCode>General</c:formatCode>
                <c:ptCount val="5"/>
                <c:pt idx="0">
                  <c:v>4084.5309999999999</c:v>
                </c:pt>
                <c:pt idx="1">
                  <c:v>4274.2329999999993</c:v>
                </c:pt>
                <c:pt idx="2">
                  <c:v>4549.4220000000014</c:v>
                </c:pt>
                <c:pt idx="3">
                  <c:v>4869.4939999999997</c:v>
                </c:pt>
                <c:pt idx="4">
                  <c:v>5115.7069999999994</c:v>
                </c:pt>
              </c:numCache>
            </c:numRef>
          </c:val>
          <c:smooth val="1"/>
        </c:ser>
        <c:ser>
          <c:idx val="1"/>
          <c:order val="1"/>
          <c:tx>
            <c:v>Underlying Expense 13-14</c:v>
          </c:tx>
          <c:marker>
            <c:symbol val="none"/>
          </c:marker>
          <c:cat>
            <c:strRef>
              <c:f>'[1]Comparison to 12-13'!$B$1:$F$1</c:f>
              <c:strCache>
                <c:ptCount val="5"/>
                <c:pt idx="0">
                  <c:v>2012-13</c:v>
                </c:pt>
                <c:pt idx="1">
                  <c:v>2013-14</c:v>
                </c:pt>
                <c:pt idx="2">
                  <c:v>2014-15</c:v>
                </c:pt>
                <c:pt idx="3">
                  <c:v>2015-16</c:v>
                </c:pt>
                <c:pt idx="4">
                  <c:v>2016-17</c:v>
                </c:pt>
              </c:strCache>
            </c:strRef>
          </c:cat>
          <c:val>
            <c:numRef>
              <c:f>'[1]Comparison to 12-13'!$B$5:$F$5</c:f>
              <c:numCache>
                <c:formatCode>General</c:formatCode>
                <c:ptCount val="5"/>
                <c:pt idx="0">
                  <c:v>4424.3410000000003</c:v>
                </c:pt>
                <c:pt idx="1">
                  <c:v>4577.8760000000002</c:v>
                </c:pt>
                <c:pt idx="2">
                  <c:v>4713.4670000000006</c:v>
                </c:pt>
                <c:pt idx="3">
                  <c:v>4860.2339999999995</c:v>
                </c:pt>
                <c:pt idx="4">
                  <c:v>5068.5749999999998</c:v>
                </c:pt>
              </c:numCache>
            </c:numRef>
          </c:val>
          <c:smooth val="1"/>
        </c:ser>
        <c:marker val="1"/>
        <c:axId val="101522432"/>
        <c:axId val="101528320"/>
      </c:lineChart>
      <c:catAx>
        <c:axId val="101522432"/>
        <c:scaling>
          <c:orientation val="minMax"/>
        </c:scaling>
        <c:axPos val="b"/>
        <c:tickLblPos val="nextTo"/>
        <c:crossAx val="101528320"/>
        <c:crosses val="autoZero"/>
        <c:auto val="1"/>
        <c:lblAlgn val="ctr"/>
        <c:lblOffset val="100"/>
      </c:catAx>
      <c:valAx>
        <c:axId val="101528320"/>
        <c:scaling>
          <c:orientation val="minMax"/>
          <c:min val="4000"/>
        </c:scaling>
        <c:axPos val="l"/>
        <c:majorGridlines/>
        <c:title>
          <c:tx>
            <c:rich>
              <a:bodyPr rot="-5400000" vert="horz"/>
              <a:lstStyle/>
              <a:p>
                <a:pPr>
                  <a:defRPr/>
                </a:pPr>
                <a:r>
                  <a:rPr lang="en-AU"/>
                  <a:t>$ million</a:t>
                </a:r>
              </a:p>
            </c:rich>
          </c:tx>
        </c:title>
        <c:numFmt formatCode="General" sourceLinked="1"/>
        <c:tickLblPos val="nextTo"/>
        <c:crossAx val="101522432"/>
        <c:crosses val="autoZero"/>
        <c:crossBetween val="between"/>
      </c:valAx>
    </c:plotArea>
    <c:legend>
      <c:legendPos val="r"/>
      <c:layout>
        <c:manualLayout>
          <c:xMode val="edge"/>
          <c:yMode val="edge"/>
          <c:x val="0.62404371349897969"/>
          <c:y val="0.44158237398460964"/>
          <c:w val="0.32403275647842794"/>
          <c:h val="0.25715787430681847"/>
        </c:manualLayout>
      </c:layout>
      <c:overlay val="1"/>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AU"/>
  <c:style val="1"/>
  <c:chart>
    <c:plotArea>
      <c:layout/>
      <c:lineChart>
        <c:grouping val="standard"/>
        <c:ser>
          <c:idx val="0"/>
          <c:order val="0"/>
          <c:tx>
            <c:strRef>
              <c:f>'[1]Comparison to 12-13'!$J$32</c:f>
              <c:strCache>
                <c:ptCount val="1"/>
                <c:pt idx="0">
                  <c:v>2012-13 NOB</c:v>
                </c:pt>
              </c:strCache>
            </c:strRef>
          </c:tx>
          <c:marker>
            <c:symbol val="none"/>
          </c:marker>
          <c:cat>
            <c:strRef>
              <c:f>'[1]Comparison to 12-13'!$K$24:$P$24</c:f>
              <c:strCache>
                <c:ptCount val="6"/>
                <c:pt idx="0">
                  <c:v>2011-12</c:v>
                </c:pt>
                <c:pt idx="1">
                  <c:v>2012-13</c:v>
                </c:pt>
                <c:pt idx="2">
                  <c:v>2013-14</c:v>
                </c:pt>
                <c:pt idx="3">
                  <c:v>2014-15</c:v>
                </c:pt>
                <c:pt idx="4">
                  <c:v>2015-16</c:v>
                </c:pt>
                <c:pt idx="5">
                  <c:v>2016-17</c:v>
                </c:pt>
              </c:strCache>
            </c:strRef>
          </c:cat>
          <c:val>
            <c:numRef>
              <c:f>'[1]Comparison to 12-13'!$K$32:$P$32</c:f>
              <c:numCache>
                <c:formatCode>General</c:formatCode>
                <c:ptCount val="6"/>
                <c:pt idx="0">
                  <c:v>-125.49999999999963</c:v>
                </c:pt>
                <c:pt idx="1">
                  <c:v>-318.29999999999944</c:v>
                </c:pt>
                <c:pt idx="2">
                  <c:v>-180.20000000000073</c:v>
                </c:pt>
                <c:pt idx="3">
                  <c:v>-116.69999999999892</c:v>
                </c:pt>
                <c:pt idx="4">
                  <c:v>5.1000000000003638</c:v>
                </c:pt>
              </c:numCache>
            </c:numRef>
          </c:val>
          <c:smooth val="1"/>
        </c:ser>
        <c:ser>
          <c:idx val="1"/>
          <c:order val="1"/>
          <c:tx>
            <c:strRef>
              <c:f>'[1]Comparison to 12-13'!$J$33</c:f>
              <c:strCache>
                <c:ptCount val="1"/>
                <c:pt idx="0">
                  <c:v>2013-14 NOB</c:v>
                </c:pt>
              </c:strCache>
            </c:strRef>
          </c:tx>
          <c:marker>
            <c:symbol val="none"/>
          </c:marker>
          <c:cat>
            <c:strRef>
              <c:f>'[1]Comparison to 12-13'!$K$24:$P$24</c:f>
              <c:strCache>
                <c:ptCount val="6"/>
                <c:pt idx="0">
                  <c:v>2011-12</c:v>
                </c:pt>
                <c:pt idx="1">
                  <c:v>2012-13</c:v>
                </c:pt>
                <c:pt idx="2">
                  <c:v>2013-14</c:v>
                </c:pt>
                <c:pt idx="3">
                  <c:v>2014-15</c:v>
                </c:pt>
                <c:pt idx="4">
                  <c:v>2015-16</c:v>
                </c:pt>
                <c:pt idx="5">
                  <c:v>2016-17</c:v>
                </c:pt>
              </c:strCache>
            </c:strRef>
          </c:cat>
          <c:val>
            <c:numRef>
              <c:f>'[1]Comparison to 12-13'!$K$33:$P$33</c:f>
              <c:numCache>
                <c:formatCode>General</c:formatCode>
                <c:ptCount val="6"/>
                <c:pt idx="0">
                  <c:v>-125.49999999999963</c:v>
                </c:pt>
                <c:pt idx="1">
                  <c:v>-339.8100000000004</c:v>
                </c:pt>
                <c:pt idx="2">
                  <c:v>-303.64300000000031</c:v>
                </c:pt>
                <c:pt idx="3">
                  <c:v>-164.04500000000002</c:v>
                </c:pt>
                <c:pt idx="4">
                  <c:v>9.2599999999993194</c:v>
                </c:pt>
                <c:pt idx="5">
                  <c:v>47.132000000000517</c:v>
                </c:pt>
              </c:numCache>
            </c:numRef>
          </c:val>
          <c:smooth val="1"/>
        </c:ser>
        <c:marker val="1"/>
        <c:axId val="101566336"/>
        <c:axId val="101567872"/>
      </c:lineChart>
      <c:catAx>
        <c:axId val="101566336"/>
        <c:scaling>
          <c:orientation val="minMax"/>
        </c:scaling>
        <c:axPos val="b"/>
        <c:tickLblPos val="nextTo"/>
        <c:crossAx val="101567872"/>
        <c:crosses val="autoZero"/>
        <c:auto val="1"/>
        <c:lblAlgn val="ctr"/>
        <c:lblOffset val="100"/>
      </c:catAx>
      <c:valAx>
        <c:axId val="101567872"/>
        <c:scaling>
          <c:orientation val="minMax"/>
        </c:scaling>
        <c:axPos val="l"/>
        <c:majorGridlines/>
        <c:title>
          <c:tx>
            <c:rich>
              <a:bodyPr rot="-5400000" vert="horz"/>
              <a:lstStyle/>
              <a:p>
                <a:pPr>
                  <a:defRPr/>
                </a:pPr>
                <a:r>
                  <a:rPr lang="en-AU"/>
                  <a:t>$ million</a:t>
                </a:r>
              </a:p>
            </c:rich>
          </c:tx>
        </c:title>
        <c:numFmt formatCode="General" sourceLinked="1"/>
        <c:tickLblPos val="nextTo"/>
        <c:crossAx val="101566336"/>
        <c:crosses val="autoZero"/>
        <c:crossBetween val="between"/>
        <c:majorUnit val="100"/>
      </c:valAx>
    </c:plotArea>
    <c:legend>
      <c:legendPos val="r"/>
      <c:layout>
        <c:manualLayout>
          <c:xMode val="edge"/>
          <c:yMode val="edge"/>
          <c:x val="0.73818044619422574"/>
          <c:y val="0.5736902158063576"/>
          <c:w val="0.23404177602799717"/>
          <c:h val="0.16743438320210088"/>
        </c:manualLayout>
      </c:layout>
      <c:overlay val="1"/>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809</Words>
  <Characters>4403</Characters>
  <Application>Microsoft Office Word</Application>
  <DocSecurity>6</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ACT Government</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2.3 The Budget Plan and Savings</dc:title>
  <dc:subject>2.3 The Budget Plan and Savings</dc:subject>
  <dc:creator>Chief Minister and Treasury Directorate</dc:creator>
  <cp:lastModifiedBy>Keaton Paterson</cp:lastModifiedBy>
  <cp:revision>9</cp:revision>
  <cp:lastPrinted>2013-05-27T07:26:00Z</cp:lastPrinted>
  <dcterms:created xsi:type="dcterms:W3CDTF">2013-05-27T04:04:00Z</dcterms:created>
  <dcterms:modified xsi:type="dcterms:W3CDTF">2013-06-02T07:25:00Z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